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C3A32" w:rsidRPr="00873B7F" w:rsidRDefault="00CB70CD" w:rsidP="00207D58">
      <w:pPr>
        <w:pStyle w:val="EstiloPortada"/>
        <w:ind w:left="3840" w:right="-58"/>
        <w:rPr>
          <w:b w:val="0"/>
          <w:color w:val="BFBFBF" w:themeColor="background1" w:themeShade="BF"/>
        </w:rPr>
      </w:pPr>
      <w:r w:rsidRPr="00873B7F">
        <w:rPr>
          <w:b w:val="0"/>
          <w:noProof/>
          <w:color w:val="A6A6A6" w:themeColor="background1" w:themeShade="A6"/>
          <w:lang w:val="es-ES" w:eastAsia="es-ES"/>
        </w:rPr>
        <mc:AlternateContent>
          <mc:Choice Requires="wps">
            <w:drawing>
              <wp:anchor distT="0" distB="0" distL="114300" distR="114300" simplePos="0" relativeHeight="251657728" behindDoc="0" locked="0" layoutInCell="1" allowOverlap="1" wp14:anchorId="115362F7" wp14:editId="47085600">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0660F" w:rsidRPr="002C7026" w:rsidRDefault="00F0660F" w:rsidP="002C7026">
                            <w:pPr>
                              <w:spacing w:after="0"/>
                              <w:ind w:firstLine="0"/>
                              <w:jc w:val="center"/>
                              <w:rPr>
                                <w:rFonts w:ascii="Trajan" w:hAnsi="Trajan"/>
                                <w:sz w:val="18"/>
                                <w:szCs w:val="18"/>
                                <w:lang w:val="es-ES"/>
                              </w:rPr>
                            </w:pPr>
                            <w:r w:rsidRPr="002C7026">
                              <w:rPr>
                                <w:rFonts w:ascii="Trajan" w:hAnsi="Trajan"/>
                                <w:sz w:val="18"/>
                                <w:szCs w:val="18"/>
                                <w:lang w:val="es-ES"/>
                              </w:rPr>
                              <w:t>Cámara de</w:t>
                            </w:r>
                          </w:p>
                          <w:p w:rsidR="00F0660F" w:rsidRPr="002C7026" w:rsidRDefault="00F0660F"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F0660F" w:rsidRPr="002C7026" w:rsidRDefault="00F0660F"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F0660F" w:rsidRPr="002C7026" w:rsidRDefault="00F0660F"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F0660F" w:rsidRPr="002C7026" w:rsidRDefault="00F0660F" w:rsidP="002C7026">
                            <w:pPr>
                              <w:spacing w:after="0"/>
                              <w:ind w:firstLine="0"/>
                              <w:jc w:val="center"/>
                              <w:rPr>
                                <w:rFonts w:ascii="Trajan" w:hAnsi="Trajan"/>
                                <w:color w:val="808080"/>
                                <w:sz w:val="18"/>
                                <w:szCs w:val="18"/>
                                <w:lang w:val="es-ES"/>
                              </w:rPr>
                            </w:pPr>
                            <w:r>
                              <w:rPr>
                                <w:rFonts w:ascii="Trajan" w:hAnsi="Trajan"/>
                                <w:color w:val="808080"/>
                                <w:sz w:val="18"/>
                                <w:szCs w:val="18"/>
                                <w:lang w:val="es-ES"/>
                              </w:rPr>
                              <w:t>kontuen</w:t>
                            </w:r>
                          </w:p>
                          <w:p w:rsidR="00F0660F" w:rsidRPr="002C7026" w:rsidRDefault="00F0660F"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FF4C8C" w:rsidRPr="002C7026" w:rsidRDefault="00FF4C8C" w:rsidP="002C7026">
                      <w:pPr>
                        <w:spacing w:after="0"/>
                        <w:ind w:firstLine="0"/>
                        <w:jc w:val="center"/>
                        <w:rPr>
                          <w:rFonts w:ascii="Trajan" w:hAnsi="Trajan"/>
                          <w:sz w:val="18"/>
                          <w:szCs w:val="18"/>
                          <w:lang w:val="es-ES"/>
                        </w:rPr>
                      </w:pPr>
                      <w:r w:rsidRPr="002C7026">
                        <w:rPr>
                          <w:rFonts w:ascii="Trajan" w:hAnsi="Trajan"/>
                          <w:sz w:val="18"/>
                          <w:szCs w:val="18"/>
                          <w:lang w:val="es-ES"/>
                        </w:rPr>
                        <w:t>Cámara de</w:t>
                      </w:r>
                    </w:p>
                    <w:p w:rsidR="00FF4C8C" w:rsidRPr="002C7026" w:rsidRDefault="00FF4C8C"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FF4C8C" w:rsidRPr="002C7026" w:rsidRDefault="00FF4C8C"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FF4C8C" w:rsidRPr="002C7026" w:rsidRDefault="00FF4C8C"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FF4C8C" w:rsidRPr="002C7026" w:rsidRDefault="00FF4C8C" w:rsidP="002C7026">
                      <w:pPr>
                        <w:spacing w:after="0"/>
                        <w:ind w:firstLine="0"/>
                        <w:jc w:val="center"/>
                        <w:rPr>
                          <w:rFonts w:ascii="Trajan" w:hAnsi="Trajan"/>
                          <w:color w:val="808080"/>
                          <w:sz w:val="18"/>
                          <w:szCs w:val="18"/>
                          <w:lang w:val="es-ES"/>
                        </w:rPr>
                      </w:pPr>
                      <w:r>
                        <w:rPr>
                          <w:rFonts w:ascii="Trajan" w:hAnsi="Trajan"/>
                          <w:color w:val="808080"/>
                          <w:sz w:val="18"/>
                          <w:szCs w:val="18"/>
                          <w:lang w:val="es-ES"/>
                        </w:rPr>
                        <w:t>kontuen</w:t>
                      </w:r>
                    </w:p>
                    <w:p w:rsidR="00FF4C8C" w:rsidRPr="002C7026" w:rsidRDefault="00FF4C8C"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ganbera</w:t>
                      </w:r>
                    </w:p>
                  </w:txbxContent>
                </v:textbox>
              </v:shape>
            </w:pict>
          </mc:Fallback>
        </mc:AlternateContent>
      </w:r>
    </w:p>
    <w:p w:rsidR="001C3A32" w:rsidRPr="003C4D81" w:rsidRDefault="001C3A32" w:rsidP="00891D73">
      <w:pPr>
        <w:pStyle w:val="texto"/>
        <w:rPr>
          <w:rFonts w:ascii="Arial" w:hAnsi="Arial" w:cs="Arial"/>
          <w:b/>
          <w:sz w:val="36"/>
          <w:szCs w:val="36"/>
        </w:rPr>
      </w:pPr>
    </w:p>
    <w:p w:rsidR="00345710" w:rsidRDefault="00345710" w:rsidP="00407EAE">
      <w:pPr>
        <w:pStyle w:val="EstiloPortada"/>
        <w:spacing w:before="0"/>
        <w:ind w:left="3544" w:right="-425"/>
        <w:jc w:val="right"/>
        <w:rPr>
          <w:sz w:val="48"/>
          <w:szCs w:val="48"/>
        </w:rPr>
      </w:pPr>
      <w:r>
        <w:rPr>
          <w:sz w:val="48"/>
          <w:szCs w:val="48"/>
        </w:rPr>
        <w:t xml:space="preserve">Situación de las obras del Tren de Alta Velocidad </w:t>
      </w:r>
    </w:p>
    <w:p w:rsidR="00D7670F" w:rsidRPr="00BB29A4" w:rsidRDefault="00345710" w:rsidP="00407EAE">
      <w:pPr>
        <w:pStyle w:val="EstiloPortada"/>
        <w:spacing w:before="0"/>
        <w:ind w:left="3544" w:right="-425"/>
        <w:jc w:val="right"/>
        <w:rPr>
          <w:sz w:val="48"/>
          <w:szCs w:val="48"/>
        </w:rPr>
      </w:pPr>
      <w:r>
        <w:rPr>
          <w:sz w:val="48"/>
          <w:szCs w:val="48"/>
        </w:rPr>
        <w:t>en Navarra</w:t>
      </w:r>
    </w:p>
    <w:p w:rsidR="001C3A32" w:rsidRDefault="001C3A32" w:rsidP="00BB29A4">
      <w:pPr>
        <w:pStyle w:val="texto"/>
        <w:ind w:left="1843" w:right="-142"/>
      </w:pPr>
    </w:p>
    <w:p w:rsidR="00FE4963" w:rsidRDefault="00FE4963" w:rsidP="00891D73">
      <w:pPr>
        <w:pStyle w:val="texto"/>
      </w:pPr>
    </w:p>
    <w:p w:rsidR="00FE4963" w:rsidRPr="00204979" w:rsidRDefault="00FE4963"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Default="001C3A32" w:rsidP="00891D73">
      <w:pPr>
        <w:pStyle w:val="texto"/>
      </w:pPr>
    </w:p>
    <w:p w:rsidR="00BB29A4" w:rsidRDefault="00BB29A4" w:rsidP="00891D73">
      <w:pPr>
        <w:pStyle w:val="texto"/>
      </w:pPr>
    </w:p>
    <w:p w:rsidR="00BB29A4" w:rsidRDefault="00BB29A4" w:rsidP="00891D73">
      <w:pPr>
        <w:pStyle w:val="texto"/>
      </w:pPr>
    </w:p>
    <w:p w:rsidR="00BB29A4" w:rsidRDefault="00BB29A4" w:rsidP="00891D73">
      <w:pPr>
        <w:pStyle w:val="texto"/>
      </w:pPr>
    </w:p>
    <w:p w:rsidR="00BB29A4" w:rsidRDefault="00BB29A4" w:rsidP="00891D73">
      <w:pPr>
        <w:pStyle w:val="texto"/>
      </w:pPr>
    </w:p>
    <w:p w:rsidR="00BB29A4" w:rsidRPr="00204979" w:rsidRDefault="00BB29A4" w:rsidP="00891D73">
      <w:pPr>
        <w:pStyle w:val="texto"/>
      </w:pPr>
    </w:p>
    <w:p w:rsidR="00873B7F" w:rsidRDefault="00873B7F" w:rsidP="00764B5C">
      <w:pPr>
        <w:pStyle w:val="texto"/>
        <w:ind w:firstLine="0"/>
      </w:pPr>
    </w:p>
    <w:p w:rsidR="00873B7F" w:rsidRPr="00204979" w:rsidRDefault="00873B7F" w:rsidP="00891D73">
      <w:pPr>
        <w:pStyle w:val="texto"/>
      </w:pPr>
    </w:p>
    <w:p w:rsidR="00716463" w:rsidRPr="00B52998" w:rsidRDefault="00EB314E" w:rsidP="009936FC">
      <w:pPr>
        <w:pStyle w:val="Fechaportada"/>
      </w:pPr>
      <w:r>
        <w:t>Noviembre</w:t>
      </w:r>
      <w:r w:rsidR="004B15C9">
        <w:t>,</w:t>
      </w:r>
      <w:r w:rsidR="00407EAE">
        <w:t xml:space="preserve"> </w:t>
      </w:r>
      <w:r w:rsidR="008656F3">
        <w:t>2016</w:t>
      </w:r>
    </w:p>
    <w:p w:rsidR="008E3FFE" w:rsidRPr="00B52998" w:rsidRDefault="008E3FFE" w:rsidP="00891D73">
      <w:pPr>
        <w:pStyle w:val="ndice"/>
        <w:rPr>
          <w:rFonts w:ascii="Times New Roman" w:hAnsi="Times New Roman"/>
          <w:color w:val="auto"/>
        </w:rPr>
        <w:sectPr w:rsidR="008E3FFE" w:rsidRPr="00B52998" w:rsidSect="00482F67">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Default="00891D73" w:rsidP="00891D73">
      <w:pPr>
        <w:pStyle w:val="ndice"/>
      </w:pPr>
      <w:r w:rsidRPr="00891D73">
        <w:lastRenderedPageBreak/>
        <w:t>Índice</w:t>
      </w:r>
    </w:p>
    <w:p w:rsidR="0014728F" w:rsidRPr="004950CC" w:rsidRDefault="004950CC" w:rsidP="001841D5">
      <w:pPr>
        <w:pStyle w:val="texto"/>
        <w:ind w:right="-211"/>
        <w:jc w:val="right"/>
        <w:rPr>
          <w:smallCaps/>
          <w:sz w:val="20"/>
          <w:szCs w:val="20"/>
        </w:rPr>
      </w:pPr>
      <w:r>
        <w:tab/>
      </w:r>
      <w:r>
        <w:tab/>
      </w:r>
      <w:r>
        <w:tab/>
      </w:r>
      <w:r>
        <w:tab/>
      </w:r>
      <w:r>
        <w:tab/>
      </w:r>
      <w:r>
        <w:rPr>
          <w:smallCaps/>
          <w:sz w:val="20"/>
          <w:szCs w:val="20"/>
        </w:rPr>
        <w:t>página</w:t>
      </w:r>
    </w:p>
    <w:p w:rsidR="00361393" w:rsidRDefault="00F81F03">
      <w:pPr>
        <w:pStyle w:val="TDC1"/>
        <w:rPr>
          <w:noProof/>
        </w:rPr>
      </w:pPr>
      <w:r>
        <w:t xml:space="preserve"> </w:t>
      </w:r>
      <w:r w:rsidR="00882BEB">
        <w:fldChar w:fldCharType="begin"/>
      </w:r>
      <w:r w:rsidR="00882BEB">
        <w:instrText xml:space="preserve"> TOC \o "1-3" \h \z \t "atitulo1;1;atitulo2;2" </w:instrText>
      </w:r>
      <w:r w:rsidR="00882BEB">
        <w:fldChar w:fldCharType="separate"/>
      </w:r>
    </w:p>
    <w:p w:rsidR="00361393" w:rsidRDefault="005329C7">
      <w:pPr>
        <w:pStyle w:val="TDC1"/>
        <w:rPr>
          <w:rFonts w:asciiTheme="minorHAnsi" w:eastAsiaTheme="minorEastAsia" w:hAnsiTheme="minorHAnsi" w:cstheme="minorBidi"/>
          <w:smallCaps w:val="0"/>
          <w:noProof/>
          <w:szCs w:val="22"/>
          <w:lang w:val="es-ES" w:eastAsia="es-ES"/>
        </w:rPr>
      </w:pPr>
      <w:hyperlink w:anchor="_Toc467480847" w:history="1">
        <w:r w:rsidR="00361393" w:rsidRPr="003F6BC5">
          <w:rPr>
            <w:rStyle w:val="Hipervnculo"/>
            <w:noProof/>
          </w:rPr>
          <w:t>I. Introducción</w:t>
        </w:r>
        <w:r w:rsidR="00361393">
          <w:rPr>
            <w:noProof/>
            <w:webHidden/>
          </w:rPr>
          <w:tab/>
        </w:r>
        <w:r w:rsidR="00361393">
          <w:rPr>
            <w:noProof/>
            <w:webHidden/>
          </w:rPr>
          <w:fldChar w:fldCharType="begin"/>
        </w:r>
        <w:r w:rsidR="00361393">
          <w:rPr>
            <w:noProof/>
            <w:webHidden/>
          </w:rPr>
          <w:instrText xml:space="preserve"> PAGEREF _Toc467480847 \h </w:instrText>
        </w:r>
        <w:r w:rsidR="00361393">
          <w:rPr>
            <w:noProof/>
            <w:webHidden/>
          </w:rPr>
        </w:r>
        <w:r w:rsidR="00361393">
          <w:rPr>
            <w:noProof/>
            <w:webHidden/>
          </w:rPr>
          <w:fldChar w:fldCharType="separate"/>
        </w:r>
        <w:r w:rsidR="00082869">
          <w:rPr>
            <w:noProof/>
            <w:webHidden/>
          </w:rPr>
          <w:t>3</w:t>
        </w:r>
        <w:r w:rsidR="00361393">
          <w:rPr>
            <w:noProof/>
            <w:webHidden/>
          </w:rPr>
          <w:fldChar w:fldCharType="end"/>
        </w:r>
      </w:hyperlink>
    </w:p>
    <w:p w:rsidR="00361393" w:rsidRDefault="005329C7">
      <w:pPr>
        <w:pStyle w:val="TDC1"/>
        <w:rPr>
          <w:rFonts w:asciiTheme="minorHAnsi" w:eastAsiaTheme="minorEastAsia" w:hAnsiTheme="minorHAnsi" w:cstheme="minorBidi"/>
          <w:smallCaps w:val="0"/>
          <w:noProof/>
          <w:szCs w:val="22"/>
          <w:lang w:val="es-ES" w:eastAsia="es-ES"/>
        </w:rPr>
      </w:pPr>
      <w:hyperlink w:anchor="_Toc467480848" w:history="1">
        <w:r w:rsidR="00361393" w:rsidRPr="003F6BC5">
          <w:rPr>
            <w:rStyle w:val="Hipervnculo"/>
            <w:noProof/>
          </w:rPr>
          <w:t>II. Objetivo, alcance y limitaciones</w:t>
        </w:r>
        <w:r w:rsidR="00361393">
          <w:rPr>
            <w:noProof/>
            <w:webHidden/>
          </w:rPr>
          <w:tab/>
        </w:r>
        <w:r w:rsidR="00361393">
          <w:rPr>
            <w:noProof/>
            <w:webHidden/>
          </w:rPr>
          <w:fldChar w:fldCharType="begin"/>
        </w:r>
        <w:r w:rsidR="00361393">
          <w:rPr>
            <w:noProof/>
            <w:webHidden/>
          </w:rPr>
          <w:instrText xml:space="preserve"> PAGEREF _Toc467480848 \h </w:instrText>
        </w:r>
        <w:r w:rsidR="00361393">
          <w:rPr>
            <w:noProof/>
            <w:webHidden/>
          </w:rPr>
        </w:r>
        <w:r w:rsidR="00361393">
          <w:rPr>
            <w:noProof/>
            <w:webHidden/>
          </w:rPr>
          <w:fldChar w:fldCharType="separate"/>
        </w:r>
        <w:r w:rsidR="00082869">
          <w:rPr>
            <w:noProof/>
            <w:webHidden/>
          </w:rPr>
          <w:t>4</w:t>
        </w:r>
        <w:r w:rsidR="00361393">
          <w:rPr>
            <w:noProof/>
            <w:webHidden/>
          </w:rPr>
          <w:fldChar w:fldCharType="end"/>
        </w:r>
      </w:hyperlink>
    </w:p>
    <w:p w:rsidR="00361393" w:rsidRDefault="005329C7">
      <w:pPr>
        <w:pStyle w:val="TDC1"/>
        <w:rPr>
          <w:rFonts w:asciiTheme="minorHAnsi" w:eastAsiaTheme="minorEastAsia" w:hAnsiTheme="minorHAnsi" w:cstheme="minorBidi"/>
          <w:smallCaps w:val="0"/>
          <w:noProof/>
          <w:szCs w:val="22"/>
          <w:lang w:val="es-ES" w:eastAsia="es-ES"/>
        </w:rPr>
      </w:pPr>
      <w:hyperlink w:anchor="_Toc467480849" w:history="1">
        <w:r w:rsidR="00361393" w:rsidRPr="003F6BC5">
          <w:rPr>
            <w:rStyle w:val="Hipervnculo"/>
            <w:noProof/>
          </w:rPr>
          <w:t>III. Marco regulador de las obras del TAV en Navarra</w:t>
        </w:r>
        <w:r w:rsidR="00361393">
          <w:rPr>
            <w:noProof/>
            <w:webHidden/>
          </w:rPr>
          <w:tab/>
        </w:r>
        <w:r w:rsidR="00361393">
          <w:rPr>
            <w:noProof/>
            <w:webHidden/>
          </w:rPr>
          <w:fldChar w:fldCharType="begin"/>
        </w:r>
        <w:r w:rsidR="00361393">
          <w:rPr>
            <w:noProof/>
            <w:webHidden/>
          </w:rPr>
          <w:instrText xml:space="preserve"> PAGEREF _Toc467480849 \h </w:instrText>
        </w:r>
        <w:r w:rsidR="00361393">
          <w:rPr>
            <w:noProof/>
            <w:webHidden/>
          </w:rPr>
        </w:r>
        <w:r w:rsidR="00361393">
          <w:rPr>
            <w:noProof/>
            <w:webHidden/>
          </w:rPr>
          <w:fldChar w:fldCharType="separate"/>
        </w:r>
        <w:r w:rsidR="00082869">
          <w:rPr>
            <w:noProof/>
            <w:webHidden/>
          </w:rPr>
          <w:t>5</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0" w:history="1">
        <w:r w:rsidR="00361393" w:rsidRPr="003F6BC5">
          <w:rPr>
            <w:rStyle w:val="Hipervnculo"/>
            <w:noProof/>
          </w:rPr>
          <w:t>III.1. Tramo Castejón-Comarca de Pamplona (Esquíroz)</w:t>
        </w:r>
        <w:r w:rsidR="00361393">
          <w:rPr>
            <w:noProof/>
            <w:webHidden/>
          </w:rPr>
          <w:tab/>
        </w:r>
        <w:r w:rsidR="00361393">
          <w:rPr>
            <w:noProof/>
            <w:webHidden/>
          </w:rPr>
          <w:fldChar w:fldCharType="begin"/>
        </w:r>
        <w:r w:rsidR="00361393">
          <w:rPr>
            <w:noProof/>
            <w:webHidden/>
          </w:rPr>
          <w:instrText xml:space="preserve"> PAGEREF _Toc467480850 \h </w:instrText>
        </w:r>
        <w:r w:rsidR="00361393">
          <w:rPr>
            <w:noProof/>
            <w:webHidden/>
          </w:rPr>
        </w:r>
        <w:r w:rsidR="00361393">
          <w:rPr>
            <w:noProof/>
            <w:webHidden/>
          </w:rPr>
          <w:fldChar w:fldCharType="separate"/>
        </w:r>
        <w:r w:rsidR="00082869">
          <w:rPr>
            <w:noProof/>
            <w:webHidden/>
          </w:rPr>
          <w:t>7</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1" w:history="1">
        <w:r w:rsidR="00361393" w:rsidRPr="003F6BC5">
          <w:rPr>
            <w:rStyle w:val="Hipervnculo"/>
            <w:noProof/>
          </w:rPr>
          <w:t>III.2. Comarca de Pamplona</w:t>
        </w:r>
        <w:r w:rsidR="00361393">
          <w:rPr>
            <w:noProof/>
            <w:webHidden/>
          </w:rPr>
          <w:tab/>
        </w:r>
        <w:r w:rsidR="00361393">
          <w:rPr>
            <w:noProof/>
            <w:webHidden/>
          </w:rPr>
          <w:fldChar w:fldCharType="begin"/>
        </w:r>
        <w:r w:rsidR="00361393">
          <w:rPr>
            <w:noProof/>
            <w:webHidden/>
          </w:rPr>
          <w:instrText xml:space="preserve"> PAGEREF _Toc467480851 \h </w:instrText>
        </w:r>
        <w:r w:rsidR="00361393">
          <w:rPr>
            <w:noProof/>
            <w:webHidden/>
          </w:rPr>
        </w:r>
        <w:r w:rsidR="00361393">
          <w:rPr>
            <w:noProof/>
            <w:webHidden/>
          </w:rPr>
          <w:fldChar w:fldCharType="separate"/>
        </w:r>
        <w:r w:rsidR="00082869">
          <w:rPr>
            <w:noProof/>
            <w:webHidden/>
          </w:rPr>
          <w:t>11</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2" w:history="1">
        <w:r w:rsidR="00361393" w:rsidRPr="003F6BC5">
          <w:rPr>
            <w:rStyle w:val="Hipervnculo"/>
            <w:noProof/>
          </w:rPr>
          <w:t>III.3. Tramo Pamplona (Zuasti)-Enlace con la Y vasca</w:t>
        </w:r>
        <w:r w:rsidR="00361393">
          <w:rPr>
            <w:noProof/>
            <w:webHidden/>
          </w:rPr>
          <w:tab/>
        </w:r>
        <w:r w:rsidR="00361393">
          <w:rPr>
            <w:noProof/>
            <w:webHidden/>
          </w:rPr>
          <w:fldChar w:fldCharType="begin"/>
        </w:r>
        <w:r w:rsidR="00361393">
          <w:rPr>
            <w:noProof/>
            <w:webHidden/>
          </w:rPr>
          <w:instrText xml:space="preserve"> PAGEREF _Toc467480852 \h </w:instrText>
        </w:r>
        <w:r w:rsidR="00361393">
          <w:rPr>
            <w:noProof/>
            <w:webHidden/>
          </w:rPr>
        </w:r>
        <w:r w:rsidR="00361393">
          <w:rPr>
            <w:noProof/>
            <w:webHidden/>
          </w:rPr>
          <w:fldChar w:fldCharType="separate"/>
        </w:r>
        <w:r w:rsidR="00082869">
          <w:rPr>
            <w:noProof/>
            <w:webHidden/>
          </w:rPr>
          <w:t>13</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3" w:history="1">
        <w:r w:rsidR="00361393" w:rsidRPr="003F6BC5">
          <w:rPr>
            <w:rStyle w:val="Hipervnculo"/>
            <w:noProof/>
          </w:rPr>
          <w:t>III.4. Tramo Zaragoza (Plasencia de Jalón)-Castejón</w:t>
        </w:r>
        <w:r w:rsidR="00361393">
          <w:rPr>
            <w:noProof/>
            <w:webHidden/>
          </w:rPr>
          <w:tab/>
        </w:r>
        <w:r w:rsidR="00361393">
          <w:rPr>
            <w:noProof/>
            <w:webHidden/>
          </w:rPr>
          <w:fldChar w:fldCharType="begin"/>
        </w:r>
        <w:r w:rsidR="00361393">
          <w:rPr>
            <w:noProof/>
            <w:webHidden/>
          </w:rPr>
          <w:instrText xml:space="preserve"> PAGEREF _Toc467480853 \h </w:instrText>
        </w:r>
        <w:r w:rsidR="00361393">
          <w:rPr>
            <w:noProof/>
            <w:webHidden/>
          </w:rPr>
        </w:r>
        <w:r w:rsidR="00361393">
          <w:rPr>
            <w:noProof/>
            <w:webHidden/>
          </w:rPr>
          <w:fldChar w:fldCharType="separate"/>
        </w:r>
        <w:r w:rsidR="00082869">
          <w:rPr>
            <w:noProof/>
            <w:webHidden/>
          </w:rPr>
          <w:t>14</w:t>
        </w:r>
        <w:r w:rsidR="00361393">
          <w:rPr>
            <w:noProof/>
            <w:webHidden/>
          </w:rPr>
          <w:fldChar w:fldCharType="end"/>
        </w:r>
      </w:hyperlink>
    </w:p>
    <w:p w:rsidR="00361393" w:rsidRDefault="005329C7">
      <w:pPr>
        <w:pStyle w:val="TDC1"/>
        <w:rPr>
          <w:rFonts w:asciiTheme="minorHAnsi" w:eastAsiaTheme="minorEastAsia" w:hAnsiTheme="minorHAnsi" w:cstheme="minorBidi"/>
          <w:smallCaps w:val="0"/>
          <w:noProof/>
          <w:szCs w:val="22"/>
          <w:lang w:val="es-ES" w:eastAsia="es-ES"/>
        </w:rPr>
      </w:pPr>
      <w:hyperlink w:anchor="_Toc467480854" w:history="1">
        <w:r w:rsidR="00361393" w:rsidRPr="003F6BC5">
          <w:rPr>
            <w:rStyle w:val="Hipervnculo"/>
            <w:noProof/>
          </w:rPr>
          <w:t>IV. Conclusiones</w:t>
        </w:r>
        <w:r w:rsidR="00361393">
          <w:rPr>
            <w:noProof/>
            <w:webHidden/>
          </w:rPr>
          <w:tab/>
        </w:r>
        <w:r w:rsidR="00361393">
          <w:rPr>
            <w:noProof/>
            <w:webHidden/>
          </w:rPr>
          <w:fldChar w:fldCharType="begin"/>
        </w:r>
        <w:r w:rsidR="00361393">
          <w:rPr>
            <w:noProof/>
            <w:webHidden/>
          </w:rPr>
          <w:instrText xml:space="preserve"> PAGEREF _Toc467480854 \h </w:instrText>
        </w:r>
        <w:r w:rsidR="00361393">
          <w:rPr>
            <w:noProof/>
            <w:webHidden/>
          </w:rPr>
        </w:r>
        <w:r w:rsidR="00361393">
          <w:rPr>
            <w:noProof/>
            <w:webHidden/>
          </w:rPr>
          <w:fldChar w:fldCharType="separate"/>
        </w:r>
        <w:r w:rsidR="00082869">
          <w:rPr>
            <w:noProof/>
            <w:webHidden/>
          </w:rPr>
          <w:t>15</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5" w:history="1">
        <w:r w:rsidR="00361393" w:rsidRPr="003F6BC5">
          <w:rPr>
            <w:rStyle w:val="Hipervnculo"/>
            <w:noProof/>
          </w:rPr>
          <w:t>IV.1. Ejecución y estado de las obras a 31 de diciembre de 2015</w:t>
        </w:r>
        <w:r w:rsidR="00361393">
          <w:rPr>
            <w:noProof/>
            <w:webHidden/>
          </w:rPr>
          <w:tab/>
        </w:r>
        <w:r w:rsidR="00361393">
          <w:rPr>
            <w:noProof/>
            <w:webHidden/>
          </w:rPr>
          <w:fldChar w:fldCharType="begin"/>
        </w:r>
        <w:r w:rsidR="00361393">
          <w:rPr>
            <w:noProof/>
            <w:webHidden/>
          </w:rPr>
          <w:instrText xml:space="preserve"> PAGEREF _Toc467480855 \h </w:instrText>
        </w:r>
        <w:r w:rsidR="00361393">
          <w:rPr>
            <w:noProof/>
            <w:webHidden/>
          </w:rPr>
        </w:r>
        <w:r w:rsidR="00361393">
          <w:rPr>
            <w:noProof/>
            <w:webHidden/>
          </w:rPr>
          <w:fldChar w:fldCharType="separate"/>
        </w:r>
        <w:r w:rsidR="00082869">
          <w:rPr>
            <w:noProof/>
            <w:webHidden/>
          </w:rPr>
          <w:t>15</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6" w:history="1">
        <w:r w:rsidR="00361393" w:rsidRPr="003F6BC5">
          <w:rPr>
            <w:rStyle w:val="Hipervnculo"/>
            <w:noProof/>
          </w:rPr>
          <w:t>IV.2. Gastos conformados y reintegros a favor del Gobierno de Navarra en el tramo Castejón-Comarca de Pamplona</w:t>
        </w:r>
        <w:r w:rsidR="00361393">
          <w:rPr>
            <w:noProof/>
            <w:webHidden/>
          </w:rPr>
          <w:tab/>
        </w:r>
        <w:r w:rsidR="00361393">
          <w:rPr>
            <w:noProof/>
            <w:webHidden/>
          </w:rPr>
          <w:fldChar w:fldCharType="begin"/>
        </w:r>
        <w:r w:rsidR="00361393">
          <w:rPr>
            <w:noProof/>
            <w:webHidden/>
          </w:rPr>
          <w:instrText xml:space="preserve"> PAGEREF _Toc467480856 \h </w:instrText>
        </w:r>
        <w:r w:rsidR="00361393">
          <w:rPr>
            <w:noProof/>
            <w:webHidden/>
          </w:rPr>
        </w:r>
        <w:r w:rsidR="00361393">
          <w:rPr>
            <w:noProof/>
            <w:webHidden/>
          </w:rPr>
          <w:fldChar w:fldCharType="separate"/>
        </w:r>
        <w:r w:rsidR="00082869">
          <w:rPr>
            <w:noProof/>
            <w:webHidden/>
          </w:rPr>
          <w:t>21</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7" w:history="1">
        <w:r w:rsidR="00361393" w:rsidRPr="003F6BC5">
          <w:rPr>
            <w:rStyle w:val="Hipervnculo"/>
            <w:noProof/>
          </w:rPr>
          <w:t>IV.3. Financiación y estimación de los gastos financieros derivados de los obras del TAV</w:t>
        </w:r>
        <w:r w:rsidR="00361393">
          <w:rPr>
            <w:noProof/>
            <w:webHidden/>
          </w:rPr>
          <w:tab/>
        </w:r>
        <w:r w:rsidR="00361393">
          <w:rPr>
            <w:noProof/>
            <w:webHidden/>
          </w:rPr>
          <w:fldChar w:fldCharType="begin"/>
        </w:r>
        <w:r w:rsidR="00361393">
          <w:rPr>
            <w:noProof/>
            <w:webHidden/>
          </w:rPr>
          <w:instrText xml:space="preserve"> PAGEREF _Toc467480857 \h </w:instrText>
        </w:r>
        <w:r w:rsidR="00361393">
          <w:rPr>
            <w:noProof/>
            <w:webHidden/>
          </w:rPr>
        </w:r>
        <w:r w:rsidR="00361393">
          <w:rPr>
            <w:noProof/>
            <w:webHidden/>
          </w:rPr>
          <w:fldChar w:fldCharType="separate"/>
        </w:r>
        <w:r w:rsidR="00082869">
          <w:rPr>
            <w:noProof/>
            <w:webHidden/>
          </w:rPr>
          <w:t>24</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8" w:history="1">
        <w:r w:rsidR="00361393" w:rsidRPr="003F6BC5">
          <w:rPr>
            <w:rStyle w:val="Hipervnculo"/>
            <w:noProof/>
          </w:rPr>
          <w:t>IV.4. Tratamiento contable en el Gobierno de Navarra de las obras del TAV</w:t>
        </w:r>
        <w:r w:rsidR="00361393">
          <w:rPr>
            <w:noProof/>
            <w:webHidden/>
          </w:rPr>
          <w:tab/>
        </w:r>
        <w:r w:rsidR="00361393">
          <w:rPr>
            <w:noProof/>
            <w:webHidden/>
          </w:rPr>
          <w:fldChar w:fldCharType="begin"/>
        </w:r>
        <w:r w:rsidR="00361393">
          <w:rPr>
            <w:noProof/>
            <w:webHidden/>
          </w:rPr>
          <w:instrText xml:space="preserve"> PAGEREF _Toc467480858 \h </w:instrText>
        </w:r>
        <w:r w:rsidR="00361393">
          <w:rPr>
            <w:noProof/>
            <w:webHidden/>
          </w:rPr>
        </w:r>
        <w:r w:rsidR="00361393">
          <w:rPr>
            <w:noProof/>
            <w:webHidden/>
          </w:rPr>
          <w:fldChar w:fldCharType="separate"/>
        </w:r>
        <w:r w:rsidR="00082869">
          <w:rPr>
            <w:noProof/>
            <w:webHidden/>
          </w:rPr>
          <w:t>26</w:t>
        </w:r>
        <w:r w:rsidR="00361393">
          <w:rPr>
            <w:noProof/>
            <w:webHidden/>
          </w:rPr>
          <w:fldChar w:fldCharType="end"/>
        </w:r>
      </w:hyperlink>
    </w:p>
    <w:p w:rsidR="00361393" w:rsidRDefault="005329C7">
      <w:pPr>
        <w:pStyle w:val="TDC2"/>
        <w:rPr>
          <w:rFonts w:asciiTheme="minorHAnsi" w:eastAsiaTheme="minorEastAsia" w:hAnsiTheme="minorHAnsi" w:cstheme="minorBidi"/>
          <w:noProof/>
          <w:szCs w:val="22"/>
          <w:lang w:val="es-ES" w:eastAsia="es-ES"/>
        </w:rPr>
      </w:pPr>
      <w:hyperlink w:anchor="_Toc467480859" w:history="1">
        <w:r w:rsidR="00361393" w:rsidRPr="003F6BC5">
          <w:rPr>
            <w:rStyle w:val="Hipervnculo"/>
            <w:noProof/>
          </w:rPr>
          <w:t>IV.5. Tercer Carril</w:t>
        </w:r>
        <w:r w:rsidR="00361393">
          <w:rPr>
            <w:noProof/>
            <w:webHidden/>
          </w:rPr>
          <w:tab/>
        </w:r>
        <w:r w:rsidR="00361393">
          <w:rPr>
            <w:noProof/>
            <w:webHidden/>
          </w:rPr>
          <w:fldChar w:fldCharType="begin"/>
        </w:r>
        <w:r w:rsidR="00361393">
          <w:rPr>
            <w:noProof/>
            <w:webHidden/>
          </w:rPr>
          <w:instrText xml:space="preserve"> PAGEREF _Toc467480859 \h </w:instrText>
        </w:r>
        <w:r w:rsidR="00361393">
          <w:rPr>
            <w:noProof/>
            <w:webHidden/>
          </w:rPr>
        </w:r>
        <w:r w:rsidR="00361393">
          <w:rPr>
            <w:noProof/>
            <w:webHidden/>
          </w:rPr>
          <w:fldChar w:fldCharType="separate"/>
        </w:r>
        <w:r w:rsidR="00082869">
          <w:rPr>
            <w:noProof/>
            <w:webHidden/>
          </w:rPr>
          <w:t>28</w:t>
        </w:r>
        <w:r w:rsidR="00361393">
          <w:rPr>
            <w:noProof/>
            <w:webHidden/>
          </w:rPr>
          <w:fldChar w:fldCharType="end"/>
        </w:r>
      </w:hyperlink>
    </w:p>
    <w:p w:rsidR="00361393" w:rsidRDefault="005329C7">
      <w:pPr>
        <w:pStyle w:val="TDC1"/>
        <w:rPr>
          <w:rFonts w:asciiTheme="minorHAnsi" w:eastAsiaTheme="minorEastAsia" w:hAnsiTheme="minorHAnsi" w:cstheme="minorBidi"/>
          <w:smallCaps w:val="0"/>
          <w:noProof/>
          <w:szCs w:val="22"/>
          <w:lang w:val="es-ES" w:eastAsia="es-ES"/>
        </w:rPr>
      </w:pPr>
      <w:hyperlink w:anchor="_Toc467480860" w:history="1">
        <w:r w:rsidR="00361393" w:rsidRPr="003F6BC5">
          <w:rPr>
            <w:rStyle w:val="Hipervnculo"/>
            <w:noProof/>
          </w:rPr>
          <w:t>V. Conclusión y reflexiones finales</w:t>
        </w:r>
        <w:r w:rsidR="00361393">
          <w:rPr>
            <w:noProof/>
            <w:webHidden/>
          </w:rPr>
          <w:tab/>
        </w:r>
        <w:r w:rsidR="00361393">
          <w:rPr>
            <w:noProof/>
            <w:webHidden/>
          </w:rPr>
          <w:fldChar w:fldCharType="begin"/>
        </w:r>
        <w:r w:rsidR="00361393">
          <w:rPr>
            <w:noProof/>
            <w:webHidden/>
          </w:rPr>
          <w:instrText xml:space="preserve"> PAGEREF _Toc467480860 \h </w:instrText>
        </w:r>
        <w:r w:rsidR="00361393">
          <w:rPr>
            <w:noProof/>
            <w:webHidden/>
          </w:rPr>
        </w:r>
        <w:r w:rsidR="00361393">
          <w:rPr>
            <w:noProof/>
            <w:webHidden/>
          </w:rPr>
          <w:fldChar w:fldCharType="separate"/>
        </w:r>
        <w:r w:rsidR="00082869">
          <w:rPr>
            <w:noProof/>
            <w:webHidden/>
          </w:rPr>
          <w:t>32</w:t>
        </w:r>
        <w:r w:rsidR="00361393">
          <w:rPr>
            <w:noProof/>
            <w:webHidden/>
          </w:rPr>
          <w:fldChar w:fldCharType="end"/>
        </w:r>
      </w:hyperlink>
    </w:p>
    <w:p w:rsidR="00891D73" w:rsidRDefault="00882BEB" w:rsidP="00146342">
      <w:pPr>
        <w:pStyle w:val="texto"/>
      </w:pPr>
      <w:r>
        <w:fldChar w:fldCharType="end"/>
      </w:r>
    </w:p>
    <w:p w:rsidR="00891D73" w:rsidRDefault="00891D73" w:rsidP="00146342">
      <w:pPr>
        <w:pStyle w:val="texto"/>
      </w:pPr>
    </w:p>
    <w:p w:rsidR="008E3FFE" w:rsidRDefault="008E3FFE" w:rsidP="00587AC6">
      <w:pPr>
        <w:pStyle w:val="texto"/>
        <w:ind w:firstLine="0"/>
        <w:sectPr w:rsidR="008E3FFE" w:rsidSect="00482F67">
          <w:type w:val="oddPage"/>
          <w:pgSz w:w="11907" w:h="16840" w:code="9"/>
          <w:pgMar w:top="2109" w:right="1559" w:bottom="1644" w:left="1559" w:header="369" w:footer="402" w:gutter="0"/>
          <w:pgNumType w:start="3"/>
          <w:cols w:space="720"/>
          <w:docGrid w:linePitch="360"/>
        </w:sectPr>
      </w:pPr>
    </w:p>
    <w:p w:rsidR="001C772F" w:rsidRDefault="001C772F" w:rsidP="001C772F">
      <w:pPr>
        <w:pStyle w:val="atitulo1"/>
      </w:pPr>
      <w:bookmarkStart w:id="1" w:name="_Toc303592528"/>
      <w:bookmarkStart w:id="2" w:name="_Toc309383711"/>
      <w:bookmarkStart w:id="3" w:name="_Toc339016600"/>
      <w:bookmarkStart w:id="4" w:name="_Toc463350236"/>
      <w:bookmarkStart w:id="5" w:name="_Toc467480847"/>
      <w:r w:rsidRPr="00FB570E">
        <w:lastRenderedPageBreak/>
        <w:t>I. Introducción</w:t>
      </w:r>
      <w:bookmarkEnd w:id="1"/>
      <w:bookmarkEnd w:id="2"/>
      <w:bookmarkEnd w:id="3"/>
      <w:bookmarkEnd w:id="4"/>
      <w:bookmarkEnd w:id="5"/>
      <w:r>
        <w:t xml:space="preserve"> </w:t>
      </w:r>
    </w:p>
    <w:p w:rsidR="007C4EB3" w:rsidRPr="00A435D9" w:rsidRDefault="007C4EB3" w:rsidP="007C4EB3">
      <w:pPr>
        <w:pStyle w:val="texto"/>
        <w:tabs>
          <w:tab w:val="clear" w:pos="2835"/>
          <w:tab w:val="clear" w:pos="3969"/>
          <w:tab w:val="clear" w:pos="5103"/>
          <w:tab w:val="clear" w:pos="6237"/>
          <w:tab w:val="clear" w:pos="7371"/>
        </w:tabs>
        <w:rPr>
          <w:spacing w:val="0"/>
          <w:szCs w:val="26"/>
        </w:rPr>
      </w:pPr>
      <w:r w:rsidRPr="00A435D9">
        <w:rPr>
          <w:spacing w:val="0"/>
          <w:szCs w:val="26"/>
        </w:rPr>
        <w:t>A petición de la Agrupación de Parlamentarios Forales de Izquierda-Ezkerra, la Junta de Portavoces del Parlamento de Navarra acordó el 25 de enero de 2016 sol</w:t>
      </w:r>
      <w:r w:rsidRPr="00A435D9">
        <w:rPr>
          <w:spacing w:val="0"/>
          <w:szCs w:val="26"/>
        </w:rPr>
        <w:t>i</w:t>
      </w:r>
      <w:r w:rsidRPr="00A435D9">
        <w:rPr>
          <w:spacing w:val="0"/>
          <w:szCs w:val="26"/>
        </w:rPr>
        <w:t>citar a la Cámara de Comptos la realización de un informe sobre “</w:t>
      </w:r>
      <w:r w:rsidRPr="00A435D9">
        <w:rPr>
          <w:i/>
          <w:spacing w:val="0"/>
          <w:szCs w:val="26"/>
        </w:rPr>
        <w:t>el coste, calend</w:t>
      </w:r>
      <w:r w:rsidRPr="00A435D9">
        <w:rPr>
          <w:i/>
          <w:spacing w:val="0"/>
          <w:szCs w:val="26"/>
        </w:rPr>
        <w:t>a</w:t>
      </w:r>
      <w:r w:rsidRPr="00A435D9">
        <w:rPr>
          <w:i/>
          <w:spacing w:val="0"/>
          <w:szCs w:val="26"/>
        </w:rPr>
        <w:t>rio de las inversiones, financiación del corredor navarro del TAV y análisis comp</w:t>
      </w:r>
      <w:r w:rsidRPr="00A435D9">
        <w:rPr>
          <w:i/>
          <w:spacing w:val="0"/>
          <w:szCs w:val="26"/>
        </w:rPr>
        <w:t>a</w:t>
      </w:r>
      <w:r w:rsidRPr="00A435D9">
        <w:rPr>
          <w:i/>
          <w:spacing w:val="0"/>
          <w:szCs w:val="26"/>
        </w:rPr>
        <w:t>rativo del tramo Pamplona-Castejón entre el coste de la inversión del proyecto del TAV y el coste que conllevaría un proyecto de tercer carril de ancho europeo</w:t>
      </w:r>
      <w:r w:rsidRPr="00A435D9">
        <w:rPr>
          <w:spacing w:val="0"/>
          <w:szCs w:val="26"/>
        </w:rPr>
        <w:t xml:space="preserve">”. </w:t>
      </w:r>
    </w:p>
    <w:p w:rsidR="007C4EB3" w:rsidRPr="00A0407B" w:rsidRDefault="007C4EB3" w:rsidP="007C4EB3">
      <w:pPr>
        <w:pStyle w:val="texto"/>
        <w:rPr>
          <w:szCs w:val="26"/>
        </w:rPr>
      </w:pPr>
      <w:r w:rsidRPr="00A0407B">
        <w:rPr>
          <w:szCs w:val="26"/>
        </w:rPr>
        <w:t xml:space="preserve">En </w:t>
      </w:r>
      <w:r w:rsidR="00326227">
        <w:rPr>
          <w:szCs w:val="26"/>
        </w:rPr>
        <w:t>dicha petición, se solicitaba expresamente de la Cámara de Comptos, el análisis</w:t>
      </w:r>
      <w:r w:rsidR="00345710">
        <w:rPr>
          <w:szCs w:val="26"/>
        </w:rPr>
        <w:t xml:space="preserve"> de los siguientes aspectos:</w:t>
      </w:r>
    </w:p>
    <w:p w:rsidR="007C4EB3" w:rsidRPr="00A0407B" w:rsidRDefault="007C4EB3" w:rsidP="007C4EB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Coste que la Comunidad Foral de Navarra ha adelantado ya en las obras del corredor navarro del TAV.</w:t>
      </w:r>
    </w:p>
    <w:p w:rsidR="007C4EB3" w:rsidRPr="00A0407B" w:rsidRDefault="007C4EB3" w:rsidP="007C4EB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Costes que ha incurrido e incurrirá la Comunidad Foral incluidos los i</w:t>
      </w:r>
      <w:r w:rsidRPr="00A0407B">
        <w:rPr>
          <w:szCs w:val="26"/>
          <w:lang w:val="es-ES"/>
        </w:rPr>
        <w:t>n</w:t>
      </w:r>
      <w:r w:rsidRPr="00A0407B">
        <w:rPr>
          <w:szCs w:val="26"/>
          <w:lang w:val="es-ES"/>
        </w:rPr>
        <w:t>tereses del préstamo que sirve para financiar las obras.</w:t>
      </w:r>
    </w:p>
    <w:p w:rsidR="007C4EB3" w:rsidRPr="00A0407B" w:rsidRDefault="007C4EB3" w:rsidP="007C4EB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Calendario de las inversiones, pago de intereses y devoluciones del Estado efectuadas y previstas.</w:t>
      </w:r>
    </w:p>
    <w:p w:rsidR="007C4EB3" w:rsidRPr="00A0407B" w:rsidRDefault="007C4EB3" w:rsidP="007C4EB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Análisis</w:t>
      </w:r>
      <w:r w:rsidR="008C5750" w:rsidRPr="00A0407B">
        <w:rPr>
          <w:szCs w:val="26"/>
          <w:lang w:val="es-ES"/>
        </w:rPr>
        <w:t xml:space="preserve"> comparativo del tramo </w:t>
      </w:r>
      <w:r w:rsidRPr="00A0407B">
        <w:rPr>
          <w:szCs w:val="26"/>
          <w:lang w:val="es-ES"/>
        </w:rPr>
        <w:t>Castejón</w:t>
      </w:r>
      <w:r w:rsidR="008C5750" w:rsidRPr="00A0407B">
        <w:rPr>
          <w:szCs w:val="26"/>
          <w:lang w:val="es-ES"/>
        </w:rPr>
        <w:t>-Pamplona</w:t>
      </w:r>
      <w:r w:rsidRPr="00A0407B">
        <w:rPr>
          <w:szCs w:val="26"/>
          <w:lang w:val="es-ES"/>
        </w:rPr>
        <w:t xml:space="preserve"> entre el coste de la i</w:t>
      </w:r>
      <w:r w:rsidRPr="00A0407B">
        <w:rPr>
          <w:szCs w:val="26"/>
          <w:lang w:val="es-ES"/>
        </w:rPr>
        <w:t>n</w:t>
      </w:r>
      <w:r w:rsidRPr="00A0407B">
        <w:rPr>
          <w:szCs w:val="26"/>
          <w:lang w:val="es-ES"/>
        </w:rPr>
        <w:t xml:space="preserve">versión del proyecto </w:t>
      </w:r>
      <w:r w:rsidR="008C5750" w:rsidRPr="00A0407B">
        <w:rPr>
          <w:szCs w:val="26"/>
          <w:lang w:val="es-ES"/>
        </w:rPr>
        <w:t xml:space="preserve">actual </w:t>
      </w:r>
      <w:r w:rsidRPr="00A0407B">
        <w:rPr>
          <w:szCs w:val="26"/>
          <w:lang w:val="es-ES"/>
        </w:rPr>
        <w:t>del TAV y el coste que conllevaría un proyecto de tercer carril de ancho europeo.</w:t>
      </w:r>
    </w:p>
    <w:p w:rsidR="009223A7" w:rsidRDefault="009223A7" w:rsidP="00C247F9">
      <w:pPr>
        <w:pStyle w:val="texto"/>
        <w:tabs>
          <w:tab w:val="clear" w:pos="2835"/>
          <w:tab w:val="clear" w:pos="3969"/>
          <w:tab w:val="clear" w:pos="5103"/>
          <w:tab w:val="clear" w:pos="6237"/>
          <w:tab w:val="clear" w:pos="7371"/>
        </w:tabs>
        <w:rPr>
          <w:szCs w:val="26"/>
        </w:rPr>
      </w:pPr>
      <w:r>
        <w:rPr>
          <w:szCs w:val="26"/>
        </w:rPr>
        <w:t>Al objeto de dar cumplimiento a esta petición, se incluyó en el P</w:t>
      </w:r>
      <w:r w:rsidR="00CC04F2">
        <w:rPr>
          <w:szCs w:val="26"/>
        </w:rPr>
        <w:t>ro</w:t>
      </w:r>
      <w:r>
        <w:rPr>
          <w:szCs w:val="26"/>
        </w:rPr>
        <w:t>grama de Fiscal</w:t>
      </w:r>
      <w:r w:rsidR="00CC04F2">
        <w:rPr>
          <w:szCs w:val="26"/>
        </w:rPr>
        <w:t>ización</w:t>
      </w:r>
      <w:r>
        <w:rPr>
          <w:szCs w:val="26"/>
        </w:rPr>
        <w:t xml:space="preserve"> de 2016 de esta Cámara la real</w:t>
      </w:r>
      <w:r w:rsidR="00CC04F2">
        <w:rPr>
          <w:szCs w:val="26"/>
        </w:rPr>
        <w:t>ización</w:t>
      </w:r>
      <w:r>
        <w:rPr>
          <w:szCs w:val="26"/>
        </w:rPr>
        <w:t xml:space="preserve"> del mencionado trabajo.</w:t>
      </w:r>
    </w:p>
    <w:p w:rsidR="00C247F9" w:rsidRPr="00A0407B" w:rsidRDefault="00345710" w:rsidP="00C247F9">
      <w:pPr>
        <w:pStyle w:val="texto"/>
        <w:tabs>
          <w:tab w:val="clear" w:pos="2835"/>
          <w:tab w:val="clear" w:pos="3969"/>
          <w:tab w:val="clear" w:pos="5103"/>
          <w:tab w:val="clear" w:pos="6237"/>
          <w:tab w:val="clear" w:pos="7371"/>
        </w:tabs>
        <w:rPr>
          <w:szCs w:val="26"/>
        </w:rPr>
      </w:pPr>
      <w:r w:rsidRPr="008D1EB9">
        <w:rPr>
          <w:szCs w:val="26"/>
        </w:rPr>
        <w:t xml:space="preserve">El informe se estructura en </w:t>
      </w:r>
      <w:r>
        <w:rPr>
          <w:szCs w:val="26"/>
        </w:rPr>
        <w:t>c</w:t>
      </w:r>
      <w:r w:rsidR="00405260">
        <w:rPr>
          <w:szCs w:val="26"/>
        </w:rPr>
        <w:t>inco</w:t>
      </w:r>
      <w:r w:rsidRPr="008D1EB9">
        <w:rPr>
          <w:szCs w:val="26"/>
        </w:rPr>
        <w:t xml:space="preserve"> epígrafes, incluyendo esta introducción</w:t>
      </w:r>
      <w:r>
        <w:rPr>
          <w:szCs w:val="26"/>
        </w:rPr>
        <w:t>. El segundo se indica el objetivo, alcance y limitaciones del trabajo realizado. El marco general regulador de las obras del TAV en Navarra se recoge en el ep</w:t>
      </w:r>
      <w:r>
        <w:rPr>
          <w:szCs w:val="26"/>
        </w:rPr>
        <w:t>í</w:t>
      </w:r>
      <w:r>
        <w:rPr>
          <w:szCs w:val="26"/>
        </w:rPr>
        <w:t>grafe tercero. E</w:t>
      </w:r>
      <w:r w:rsidR="00C247F9">
        <w:rPr>
          <w:szCs w:val="26"/>
        </w:rPr>
        <w:t xml:space="preserve">n el </w:t>
      </w:r>
      <w:r>
        <w:rPr>
          <w:szCs w:val="26"/>
        </w:rPr>
        <w:t>cuarto</w:t>
      </w:r>
      <w:r w:rsidR="00C247F9">
        <w:rPr>
          <w:szCs w:val="26"/>
        </w:rPr>
        <w:t>,</w:t>
      </w:r>
      <w:r>
        <w:rPr>
          <w:szCs w:val="26"/>
        </w:rPr>
        <w:t xml:space="preserve"> </w:t>
      </w:r>
      <w:r w:rsidR="00C247F9">
        <w:rPr>
          <w:szCs w:val="26"/>
        </w:rPr>
        <w:t>reflejamos las conclusiones obtenidas. Finalmente en el quinto, prese</w:t>
      </w:r>
      <w:r w:rsidR="001C772F">
        <w:rPr>
          <w:szCs w:val="26"/>
        </w:rPr>
        <w:t xml:space="preserve">ntamos </w:t>
      </w:r>
      <w:r w:rsidR="00C247F9">
        <w:rPr>
          <w:szCs w:val="26"/>
        </w:rPr>
        <w:t>unas reflexiones finales sobre la situación de esta</w:t>
      </w:r>
      <w:r w:rsidR="00AA3206">
        <w:rPr>
          <w:szCs w:val="26"/>
        </w:rPr>
        <w:t xml:space="preserve"> i</w:t>
      </w:r>
      <w:r w:rsidR="00AA3206">
        <w:rPr>
          <w:szCs w:val="26"/>
        </w:rPr>
        <w:t>n</w:t>
      </w:r>
      <w:r w:rsidR="00AA3206">
        <w:rPr>
          <w:szCs w:val="26"/>
        </w:rPr>
        <w:t>fraestructura</w:t>
      </w:r>
      <w:r w:rsidR="00C247F9">
        <w:rPr>
          <w:szCs w:val="26"/>
        </w:rPr>
        <w:t xml:space="preserve">. </w:t>
      </w:r>
    </w:p>
    <w:p w:rsidR="00345710" w:rsidRDefault="00345710" w:rsidP="00345710">
      <w:pPr>
        <w:pStyle w:val="texto"/>
        <w:tabs>
          <w:tab w:val="clear" w:pos="2835"/>
          <w:tab w:val="clear" w:pos="3969"/>
          <w:tab w:val="clear" w:pos="5103"/>
          <w:tab w:val="clear" w:pos="6237"/>
          <w:tab w:val="clear" w:pos="7371"/>
        </w:tabs>
        <w:rPr>
          <w:szCs w:val="26"/>
        </w:rPr>
      </w:pPr>
      <w:r w:rsidRPr="008D1EB9">
        <w:rPr>
          <w:szCs w:val="26"/>
        </w:rPr>
        <w:t xml:space="preserve">El trabajo de campo </w:t>
      </w:r>
      <w:r>
        <w:rPr>
          <w:szCs w:val="26"/>
        </w:rPr>
        <w:t>lo</w:t>
      </w:r>
      <w:r w:rsidRPr="008D1EB9">
        <w:rPr>
          <w:szCs w:val="26"/>
        </w:rPr>
        <w:t xml:space="preserve"> ejecutó </w:t>
      </w:r>
      <w:r>
        <w:rPr>
          <w:szCs w:val="26"/>
        </w:rPr>
        <w:t>entre mayo y septiembre</w:t>
      </w:r>
      <w:r w:rsidRPr="008D1EB9">
        <w:rPr>
          <w:szCs w:val="26"/>
        </w:rPr>
        <w:t xml:space="preserve"> de 2015 un equipo integrado por</w:t>
      </w:r>
      <w:r w:rsidR="00C75698">
        <w:rPr>
          <w:szCs w:val="26"/>
        </w:rPr>
        <w:t xml:space="preserve"> una técnica</w:t>
      </w:r>
      <w:r>
        <w:rPr>
          <w:szCs w:val="26"/>
        </w:rPr>
        <w:t xml:space="preserve"> de auditoría</w:t>
      </w:r>
      <w:r w:rsidRPr="008D1EB9">
        <w:rPr>
          <w:szCs w:val="26"/>
        </w:rPr>
        <w:t xml:space="preserve"> y un auditor, con la colaboración de los servicios jurídicos, informáticos y administrativos de la Cámara. </w:t>
      </w:r>
    </w:p>
    <w:p w:rsidR="00EB314E" w:rsidRPr="002E3750" w:rsidRDefault="00EB314E" w:rsidP="00326227">
      <w:pPr>
        <w:pStyle w:val="texto"/>
        <w:tabs>
          <w:tab w:val="clear" w:pos="2835"/>
          <w:tab w:val="clear" w:pos="3969"/>
          <w:tab w:val="clear" w:pos="5103"/>
          <w:tab w:val="clear" w:pos="6237"/>
          <w:tab w:val="clear" w:pos="7371"/>
        </w:tabs>
        <w:rPr>
          <w:szCs w:val="26"/>
        </w:rPr>
      </w:pPr>
      <w:r w:rsidRPr="00EB314E">
        <w:rPr>
          <w:szCs w:val="26"/>
        </w:rPr>
        <w:t>Los resultados de esta actuación se pusieron de manifiesto al actual Consej</w:t>
      </w:r>
      <w:r w:rsidRPr="00EB314E">
        <w:rPr>
          <w:szCs w:val="26"/>
        </w:rPr>
        <w:t>e</w:t>
      </w:r>
      <w:r w:rsidRPr="00EB314E">
        <w:rPr>
          <w:szCs w:val="26"/>
        </w:rPr>
        <w:t>ro de Desarrollo Econ</w:t>
      </w:r>
      <w:r>
        <w:rPr>
          <w:szCs w:val="26"/>
        </w:rPr>
        <w:t>ó</w:t>
      </w:r>
      <w:r w:rsidRPr="00EB314E">
        <w:rPr>
          <w:szCs w:val="26"/>
        </w:rPr>
        <w:t>mico y a la p</w:t>
      </w:r>
      <w:r w:rsidR="009729B8">
        <w:rPr>
          <w:szCs w:val="26"/>
        </w:rPr>
        <w:t xml:space="preserve">ersona que </w:t>
      </w:r>
      <w:r w:rsidRPr="00EB314E">
        <w:rPr>
          <w:szCs w:val="26"/>
        </w:rPr>
        <w:t>ejerció</w:t>
      </w:r>
      <w:r w:rsidR="009729B8">
        <w:rPr>
          <w:szCs w:val="26"/>
        </w:rPr>
        <w:t xml:space="preserve"> el cargo de Consejero de Fomento</w:t>
      </w:r>
      <w:r w:rsidRPr="00EB314E">
        <w:rPr>
          <w:szCs w:val="26"/>
        </w:rPr>
        <w:t xml:space="preserve"> en la legislatura anterior, para que formulasen, en su caso, las aleg</w:t>
      </w:r>
      <w:r w:rsidRPr="00EB314E">
        <w:rPr>
          <w:szCs w:val="26"/>
        </w:rPr>
        <w:t>a</w:t>
      </w:r>
      <w:r w:rsidRPr="00EB314E">
        <w:rPr>
          <w:szCs w:val="26"/>
        </w:rPr>
        <w:t xml:space="preserve">ciones que estimasen oportunas, de conformidad con lo previsto en el art. 11.2 </w:t>
      </w:r>
      <w:r w:rsidRPr="002E3750">
        <w:rPr>
          <w:szCs w:val="26"/>
        </w:rPr>
        <w:t>de la Ley Foral 19/1984, reguladora de la Cámara de Comptos de Navarra.</w:t>
      </w:r>
      <w:r w:rsidR="002832C2" w:rsidRPr="002E3750">
        <w:rPr>
          <w:szCs w:val="26"/>
        </w:rPr>
        <w:t xml:space="preserve"> </w:t>
      </w:r>
      <w:r w:rsidR="00361393">
        <w:rPr>
          <w:szCs w:val="26"/>
        </w:rPr>
        <w:t>Dentro del plazo concedido,</w:t>
      </w:r>
      <w:r w:rsidR="00A435D9">
        <w:rPr>
          <w:szCs w:val="26"/>
        </w:rPr>
        <w:t xml:space="preserve"> h</w:t>
      </w:r>
      <w:r w:rsidR="00361393">
        <w:rPr>
          <w:szCs w:val="26"/>
        </w:rPr>
        <w:t xml:space="preserve">a presentado </w:t>
      </w:r>
      <w:r w:rsidR="00A435D9">
        <w:rPr>
          <w:szCs w:val="26"/>
        </w:rPr>
        <w:t>una alegación el consejero de Des</w:t>
      </w:r>
      <w:r w:rsidR="00A435D9">
        <w:rPr>
          <w:szCs w:val="26"/>
        </w:rPr>
        <w:t>a</w:t>
      </w:r>
      <w:r w:rsidR="00A435D9">
        <w:rPr>
          <w:szCs w:val="26"/>
        </w:rPr>
        <w:t xml:space="preserve">rrollo Económico, que se </w:t>
      </w:r>
      <w:r w:rsidR="00361393">
        <w:rPr>
          <w:szCs w:val="26"/>
        </w:rPr>
        <w:t xml:space="preserve">ha </w:t>
      </w:r>
      <w:r w:rsidR="00A435D9">
        <w:rPr>
          <w:szCs w:val="26"/>
        </w:rPr>
        <w:t>incorpora</w:t>
      </w:r>
      <w:r w:rsidR="00361393">
        <w:rPr>
          <w:szCs w:val="26"/>
        </w:rPr>
        <w:t>do</w:t>
      </w:r>
      <w:r w:rsidR="00A435D9">
        <w:rPr>
          <w:szCs w:val="26"/>
        </w:rPr>
        <w:t xml:space="preserve"> al informe</w:t>
      </w:r>
      <w:r w:rsidR="00361393">
        <w:rPr>
          <w:szCs w:val="26"/>
        </w:rPr>
        <w:t xml:space="preserve"> definitivo</w:t>
      </w:r>
      <w:r w:rsidR="00A435D9">
        <w:rPr>
          <w:szCs w:val="26"/>
        </w:rPr>
        <w:t>.</w:t>
      </w:r>
    </w:p>
    <w:p w:rsidR="00345710" w:rsidRPr="00AE5B1D" w:rsidRDefault="00345710" w:rsidP="00A435D9">
      <w:pPr>
        <w:pStyle w:val="texto"/>
        <w:tabs>
          <w:tab w:val="clear" w:pos="2835"/>
          <w:tab w:val="clear" w:pos="3969"/>
          <w:tab w:val="clear" w:pos="5103"/>
          <w:tab w:val="clear" w:pos="6237"/>
          <w:tab w:val="clear" w:pos="7371"/>
        </w:tabs>
        <w:spacing w:after="120"/>
        <w:rPr>
          <w:spacing w:val="4"/>
          <w:szCs w:val="26"/>
        </w:rPr>
      </w:pPr>
      <w:r w:rsidRPr="00AE5B1D">
        <w:rPr>
          <w:spacing w:val="4"/>
          <w:szCs w:val="26"/>
        </w:rPr>
        <w:t xml:space="preserve">Agradecemos al personal de la </w:t>
      </w:r>
      <w:r w:rsidR="00C247F9" w:rsidRPr="00AE5B1D">
        <w:rPr>
          <w:spacing w:val="4"/>
          <w:szCs w:val="26"/>
        </w:rPr>
        <w:t xml:space="preserve">Dirección </w:t>
      </w:r>
      <w:r w:rsidR="001C772F" w:rsidRPr="00AE5B1D">
        <w:rPr>
          <w:spacing w:val="4"/>
          <w:szCs w:val="26"/>
        </w:rPr>
        <w:t>G</w:t>
      </w:r>
      <w:r w:rsidR="00C247F9" w:rsidRPr="00AE5B1D">
        <w:rPr>
          <w:spacing w:val="4"/>
          <w:szCs w:val="26"/>
        </w:rPr>
        <w:t>eneral de Obras Públicas del G</w:t>
      </w:r>
      <w:r w:rsidR="00C247F9" w:rsidRPr="00AE5B1D">
        <w:rPr>
          <w:spacing w:val="4"/>
          <w:szCs w:val="26"/>
        </w:rPr>
        <w:t>o</w:t>
      </w:r>
      <w:r w:rsidR="00C247F9" w:rsidRPr="00AE5B1D">
        <w:rPr>
          <w:spacing w:val="4"/>
          <w:szCs w:val="26"/>
        </w:rPr>
        <w:t>bierno de Navarra</w:t>
      </w:r>
      <w:r w:rsidRPr="00AE5B1D">
        <w:rPr>
          <w:spacing w:val="4"/>
          <w:szCs w:val="26"/>
        </w:rPr>
        <w:t xml:space="preserve"> la colaboración prestada en la realización del presente trabajo.</w:t>
      </w:r>
    </w:p>
    <w:p w:rsidR="00345710" w:rsidRDefault="001C772F" w:rsidP="001C772F">
      <w:pPr>
        <w:pStyle w:val="atitulo1"/>
      </w:pPr>
      <w:bookmarkStart w:id="6" w:name="_Toc467480848"/>
      <w:r>
        <w:lastRenderedPageBreak/>
        <w:t xml:space="preserve">II. </w:t>
      </w:r>
      <w:r w:rsidR="00345710">
        <w:t>Objetivo, alcance y limitaciones</w:t>
      </w:r>
      <w:bookmarkEnd w:id="6"/>
    </w:p>
    <w:p w:rsidR="009223A7" w:rsidRDefault="009223A7" w:rsidP="007C4EB3">
      <w:pPr>
        <w:pStyle w:val="texto"/>
        <w:tabs>
          <w:tab w:val="clear" w:pos="2835"/>
          <w:tab w:val="clear" w:pos="3969"/>
          <w:tab w:val="clear" w:pos="5103"/>
          <w:tab w:val="clear" w:pos="6237"/>
          <w:tab w:val="clear" w:pos="7371"/>
        </w:tabs>
        <w:rPr>
          <w:szCs w:val="26"/>
        </w:rPr>
      </w:pPr>
      <w:r>
        <w:rPr>
          <w:szCs w:val="26"/>
        </w:rPr>
        <w:t>De acuerdo con la Ley Foral 19/1984, de 20 de diciembre, reguladora de la C</w:t>
      </w:r>
      <w:r w:rsidR="007C6BBC">
        <w:rPr>
          <w:szCs w:val="26"/>
        </w:rPr>
        <w:t xml:space="preserve">ámara de Comptos y atendiendo </w:t>
      </w:r>
      <w:r>
        <w:rPr>
          <w:szCs w:val="26"/>
        </w:rPr>
        <w:t>la citada petición parlamentaria, se ha inclu</w:t>
      </w:r>
      <w:r>
        <w:rPr>
          <w:szCs w:val="26"/>
        </w:rPr>
        <w:t>i</w:t>
      </w:r>
      <w:r>
        <w:rPr>
          <w:szCs w:val="26"/>
        </w:rPr>
        <w:t>do en su programa de actuación de 2016 la elaboración de un informe sobre “</w:t>
      </w:r>
      <w:r w:rsidRPr="009223A7">
        <w:rPr>
          <w:i/>
          <w:szCs w:val="26"/>
        </w:rPr>
        <w:t>la situación de las obras del TAV en Navarra</w:t>
      </w:r>
      <w:r>
        <w:rPr>
          <w:szCs w:val="26"/>
        </w:rPr>
        <w:t>”</w:t>
      </w:r>
      <w:r w:rsidR="006F2BDC">
        <w:rPr>
          <w:szCs w:val="26"/>
        </w:rPr>
        <w:t>.</w:t>
      </w:r>
    </w:p>
    <w:p w:rsidR="002859C0" w:rsidRPr="00A435D9" w:rsidRDefault="002859C0" w:rsidP="007C4EB3">
      <w:pPr>
        <w:pStyle w:val="texto"/>
        <w:tabs>
          <w:tab w:val="clear" w:pos="2835"/>
          <w:tab w:val="clear" w:pos="3969"/>
          <w:tab w:val="clear" w:pos="5103"/>
          <w:tab w:val="clear" w:pos="6237"/>
          <w:tab w:val="clear" w:pos="7371"/>
        </w:tabs>
        <w:rPr>
          <w:spacing w:val="0"/>
          <w:szCs w:val="26"/>
        </w:rPr>
      </w:pPr>
      <w:r w:rsidRPr="00A435D9">
        <w:rPr>
          <w:spacing w:val="0"/>
          <w:szCs w:val="26"/>
        </w:rPr>
        <w:t>El objetivo de nuestro informe consiste en expresar unas conclusiones acerca de:</w:t>
      </w:r>
    </w:p>
    <w:p w:rsidR="00F65C0B" w:rsidRPr="00F65C0B" w:rsidRDefault="00F65C0B" w:rsidP="00F65C0B">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Pr>
          <w:szCs w:val="26"/>
          <w:lang w:val="es-ES"/>
        </w:rPr>
        <w:t>Seguimiento del convenio, e</w:t>
      </w:r>
      <w:r w:rsidR="002859C0" w:rsidRPr="00EE6C38">
        <w:rPr>
          <w:szCs w:val="26"/>
          <w:lang w:val="es-ES"/>
        </w:rPr>
        <w:t>jecución y estado de las obras del TAV en N</w:t>
      </w:r>
      <w:r w:rsidR="002859C0" w:rsidRPr="00EE6C38">
        <w:rPr>
          <w:szCs w:val="26"/>
          <w:lang w:val="es-ES"/>
        </w:rPr>
        <w:t>a</w:t>
      </w:r>
      <w:r w:rsidR="002859C0" w:rsidRPr="00EE6C38">
        <w:rPr>
          <w:szCs w:val="26"/>
          <w:lang w:val="es-ES"/>
        </w:rPr>
        <w:t xml:space="preserve">varra a 31 de diciembre de 2015. </w:t>
      </w:r>
    </w:p>
    <w:p w:rsidR="002859C0" w:rsidRPr="00EE6C38" w:rsidRDefault="002859C0" w:rsidP="00EE6C3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EE6C38">
        <w:rPr>
          <w:szCs w:val="26"/>
          <w:lang w:val="es-ES"/>
        </w:rPr>
        <w:t xml:space="preserve">Gastos conformados por </w:t>
      </w:r>
      <w:r w:rsidR="007C6BBC">
        <w:rPr>
          <w:szCs w:val="26"/>
        </w:rPr>
        <w:t xml:space="preserve">la </w:t>
      </w:r>
      <w:r w:rsidR="007C6BBC" w:rsidRPr="00A0407B">
        <w:rPr>
          <w:szCs w:val="26"/>
        </w:rPr>
        <w:t>entidad pública em</w:t>
      </w:r>
      <w:r w:rsidR="007C6BBC">
        <w:rPr>
          <w:szCs w:val="26"/>
        </w:rPr>
        <w:t xml:space="preserve">presarial </w:t>
      </w:r>
      <w:r w:rsidR="007C6BBC" w:rsidRPr="00A0407B">
        <w:rPr>
          <w:szCs w:val="26"/>
        </w:rPr>
        <w:t>Administrador de Infraestructuras Ferroviarias</w:t>
      </w:r>
      <w:r w:rsidR="007C6BBC" w:rsidRPr="00A0407B">
        <w:rPr>
          <w:rStyle w:val="st1"/>
          <w:rFonts w:ascii="Arial" w:hAnsi="Arial" w:cs="Arial"/>
          <w:color w:val="545454"/>
          <w:szCs w:val="26"/>
        </w:rPr>
        <w:t xml:space="preserve"> </w:t>
      </w:r>
      <w:r w:rsidR="007C6BBC" w:rsidRPr="00A0407B">
        <w:rPr>
          <w:szCs w:val="26"/>
        </w:rPr>
        <w:t>(ADIF)</w:t>
      </w:r>
      <w:r w:rsidR="007C6BBC">
        <w:rPr>
          <w:szCs w:val="26"/>
        </w:rPr>
        <w:t xml:space="preserve"> </w:t>
      </w:r>
      <w:r w:rsidRPr="00EE6C38">
        <w:rPr>
          <w:szCs w:val="26"/>
          <w:lang w:val="es-ES"/>
        </w:rPr>
        <w:t>y su reintegro</w:t>
      </w:r>
      <w:r w:rsidR="00EE6C38">
        <w:rPr>
          <w:szCs w:val="26"/>
          <w:lang w:val="es-ES"/>
        </w:rPr>
        <w:t>.</w:t>
      </w:r>
    </w:p>
    <w:p w:rsidR="002859C0" w:rsidRPr="00EE6C38" w:rsidRDefault="002859C0" w:rsidP="00EE6C3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EE6C38">
        <w:rPr>
          <w:szCs w:val="26"/>
          <w:lang w:val="es-ES"/>
        </w:rPr>
        <w:t>Financiación y estimaci</w:t>
      </w:r>
      <w:r w:rsidR="00EE6C38">
        <w:rPr>
          <w:szCs w:val="26"/>
          <w:lang w:val="es-ES"/>
        </w:rPr>
        <w:t>ón d</w:t>
      </w:r>
      <w:r w:rsidRPr="00EE6C38">
        <w:rPr>
          <w:szCs w:val="26"/>
          <w:lang w:val="es-ES"/>
        </w:rPr>
        <w:t>e</w:t>
      </w:r>
      <w:r w:rsidR="00EE6C38">
        <w:rPr>
          <w:szCs w:val="26"/>
          <w:lang w:val="es-ES"/>
        </w:rPr>
        <w:t xml:space="preserve"> </w:t>
      </w:r>
      <w:r w:rsidRPr="00EE6C38">
        <w:rPr>
          <w:szCs w:val="26"/>
          <w:lang w:val="es-ES"/>
        </w:rPr>
        <w:t>los gastos financieros incurridos por el G</w:t>
      </w:r>
      <w:r w:rsidRPr="00EE6C38">
        <w:rPr>
          <w:szCs w:val="26"/>
          <w:lang w:val="es-ES"/>
        </w:rPr>
        <w:t>o</w:t>
      </w:r>
      <w:r w:rsidRPr="00EE6C38">
        <w:rPr>
          <w:szCs w:val="26"/>
          <w:lang w:val="es-ES"/>
        </w:rPr>
        <w:t>bierno</w:t>
      </w:r>
      <w:r w:rsidR="00EE6C38">
        <w:rPr>
          <w:szCs w:val="26"/>
          <w:lang w:val="es-ES"/>
        </w:rPr>
        <w:t xml:space="preserve"> d</w:t>
      </w:r>
      <w:r w:rsidRPr="00EE6C38">
        <w:rPr>
          <w:szCs w:val="26"/>
          <w:lang w:val="es-ES"/>
        </w:rPr>
        <w:t xml:space="preserve">e </w:t>
      </w:r>
      <w:r w:rsidR="00EE6C38">
        <w:rPr>
          <w:szCs w:val="26"/>
          <w:lang w:val="es-ES"/>
        </w:rPr>
        <w:t>N</w:t>
      </w:r>
      <w:r w:rsidRPr="00EE6C38">
        <w:rPr>
          <w:szCs w:val="26"/>
          <w:lang w:val="es-ES"/>
        </w:rPr>
        <w:t>avarra derivados del adelanto de financiación de tales obras.</w:t>
      </w:r>
    </w:p>
    <w:p w:rsidR="002859C0" w:rsidRPr="00EE6C38" w:rsidRDefault="002859C0" w:rsidP="00EE6C3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EE6C38">
        <w:rPr>
          <w:szCs w:val="26"/>
          <w:lang w:val="es-ES"/>
        </w:rPr>
        <w:t xml:space="preserve">Tratamiento contable </w:t>
      </w:r>
      <w:r w:rsidR="00EE6C38">
        <w:rPr>
          <w:szCs w:val="26"/>
          <w:lang w:val="es-ES"/>
        </w:rPr>
        <w:t>en el</w:t>
      </w:r>
      <w:r w:rsidRPr="00EE6C38">
        <w:rPr>
          <w:szCs w:val="26"/>
          <w:lang w:val="es-ES"/>
        </w:rPr>
        <w:t xml:space="preserve"> Gobierno de </w:t>
      </w:r>
      <w:r w:rsidR="00EE6C38">
        <w:rPr>
          <w:szCs w:val="26"/>
          <w:lang w:val="es-ES"/>
        </w:rPr>
        <w:t>N</w:t>
      </w:r>
      <w:r w:rsidRPr="00EE6C38">
        <w:rPr>
          <w:szCs w:val="26"/>
          <w:lang w:val="es-ES"/>
        </w:rPr>
        <w:t>avarra de las obras del TAV</w:t>
      </w:r>
      <w:r w:rsidR="00EE6C38">
        <w:rPr>
          <w:szCs w:val="26"/>
          <w:lang w:val="es-ES"/>
        </w:rPr>
        <w:t>.</w:t>
      </w:r>
    </w:p>
    <w:p w:rsidR="002859C0" w:rsidRPr="006F2BDC" w:rsidRDefault="002859C0" w:rsidP="006F2BDC">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EE6C38">
        <w:rPr>
          <w:szCs w:val="26"/>
          <w:lang w:val="es-ES"/>
        </w:rPr>
        <w:t>Análisis de</w:t>
      </w:r>
      <w:r w:rsidR="000E0FC1">
        <w:rPr>
          <w:szCs w:val="26"/>
          <w:lang w:val="es-ES"/>
        </w:rPr>
        <w:t xml:space="preserve"> la opción del</w:t>
      </w:r>
      <w:r w:rsidRPr="00EE6C38">
        <w:rPr>
          <w:szCs w:val="26"/>
          <w:lang w:val="es-ES"/>
        </w:rPr>
        <w:t xml:space="preserve"> tercer carril</w:t>
      </w:r>
      <w:r w:rsidR="00EE6C38">
        <w:rPr>
          <w:szCs w:val="26"/>
          <w:lang w:val="es-ES"/>
        </w:rPr>
        <w:t>.</w:t>
      </w:r>
    </w:p>
    <w:p w:rsidR="00405260" w:rsidRDefault="00405260" w:rsidP="007C4EB3">
      <w:pPr>
        <w:pStyle w:val="texto"/>
        <w:tabs>
          <w:tab w:val="clear" w:pos="2835"/>
          <w:tab w:val="clear" w:pos="3969"/>
          <w:tab w:val="clear" w:pos="5103"/>
          <w:tab w:val="clear" w:pos="6237"/>
          <w:tab w:val="clear" w:pos="7371"/>
        </w:tabs>
        <w:rPr>
          <w:szCs w:val="26"/>
        </w:rPr>
      </w:pPr>
      <w:r>
        <w:rPr>
          <w:szCs w:val="26"/>
        </w:rPr>
        <w:t>En cuanto al alcance del trabajo, se ha analizado</w:t>
      </w:r>
      <w:r w:rsidR="006B3606">
        <w:rPr>
          <w:szCs w:val="26"/>
        </w:rPr>
        <w:t xml:space="preserve"> fundamentalmente</w:t>
      </w:r>
      <w:r>
        <w:rPr>
          <w:szCs w:val="26"/>
        </w:rPr>
        <w:t xml:space="preserve"> el marco general que regula el desarrollo de estas obras, el convenio</w:t>
      </w:r>
      <w:r w:rsidR="001B4659">
        <w:rPr>
          <w:szCs w:val="26"/>
        </w:rPr>
        <w:t xml:space="preserve"> firmado</w:t>
      </w:r>
      <w:r>
        <w:rPr>
          <w:szCs w:val="26"/>
        </w:rPr>
        <w:t xml:space="preserve"> y su grado de cumplimiento entre la Administración </w:t>
      </w:r>
      <w:r w:rsidR="00107E28">
        <w:rPr>
          <w:szCs w:val="26"/>
        </w:rPr>
        <w:t>G</w:t>
      </w:r>
      <w:r>
        <w:rPr>
          <w:szCs w:val="26"/>
        </w:rPr>
        <w:t>eneral del Estado (AGE)</w:t>
      </w:r>
      <w:r w:rsidR="000D34E6">
        <w:rPr>
          <w:szCs w:val="26"/>
        </w:rPr>
        <w:t>, ADIF</w:t>
      </w:r>
      <w:r w:rsidR="007C6BBC">
        <w:rPr>
          <w:szCs w:val="26"/>
        </w:rPr>
        <w:t xml:space="preserve"> </w:t>
      </w:r>
      <w:r>
        <w:rPr>
          <w:szCs w:val="26"/>
        </w:rPr>
        <w:t>y el Gobierno de Navarra, las partidas de gastos e ingresos presupuestarios afect</w:t>
      </w:r>
      <w:r>
        <w:rPr>
          <w:szCs w:val="26"/>
        </w:rPr>
        <w:t>a</w:t>
      </w:r>
      <w:r>
        <w:rPr>
          <w:szCs w:val="26"/>
        </w:rPr>
        <w:t>dos</w:t>
      </w:r>
      <w:r w:rsidR="006B3606">
        <w:rPr>
          <w:szCs w:val="26"/>
        </w:rPr>
        <w:t xml:space="preserve"> y</w:t>
      </w:r>
      <w:r>
        <w:rPr>
          <w:szCs w:val="26"/>
        </w:rPr>
        <w:t xml:space="preserve"> el reflejo en la contabilidad del Gobierno de Navarra</w:t>
      </w:r>
      <w:r w:rsidR="006B3606">
        <w:rPr>
          <w:szCs w:val="26"/>
        </w:rPr>
        <w:t>.</w:t>
      </w:r>
    </w:p>
    <w:p w:rsidR="00F41C24" w:rsidRDefault="00F41C24" w:rsidP="00F41C24">
      <w:pPr>
        <w:pStyle w:val="texto"/>
        <w:tabs>
          <w:tab w:val="clear" w:pos="2835"/>
          <w:tab w:val="clear" w:pos="3969"/>
          <w:tab w:val="clear" w:pos="5103"/>
          <w:tab w:val="clear" w:pos="6237"/>
          <w:tab w:val="clear" w:pos="7371"/>
        </w:tabs>
        <w:rPr>
          <w:szCs w:val="26"/>
        </w:rPr>
      </w:pPr>
      <w:r>
        <w:rPr>
          <w:szCs w:val="26"/>
        </w:rPr>
        <w:t>El alcance temporal del trabajo se ha extendido al periodo de 2009 a 2015.</w:t>
      </w:r>
    </w:p>
    <w:p w:rsidR="00D870B7" w:rsidRPr="00A0407B" w:rsidRDefault="006F2BDC" w:rsidP="007C4EB3">
      <w:pPr>
        <w:pStyle w:val="texto"/>
        <w:tabs>
          <w:tab w:val="clear" w:pos="2835"/>
          <w:tab w:val="clear" w:pos="3969"/>
          <w:tab w:val="clear" w:pos="5103"/>
          <w:tab w:val="clear" w:pos="6237"/>
          <w:tab w:val="clear" w:pos="7371"/>
        </w:tabs>
        <w:rPr>
          <w:szCs w:val="26"/>
        </w:rPr>
      </w:pPr>
      <w:r>
        <w:rPr>
          <w:szCs w:val="26"/>
        </w:rPr>
        <w:t>Se ha tenido en cuenta</w:t>
      </w:r>
      <w:r w:rsidR="00E82B46">
        <w:rPr>
          <w:szCs w:val="26"/>
        </w:rPr>
        <w:t>,</w:t>
      </w:r>
      <w:r>
        <w:rPr>
          <w:szCs w:val="26"/>
        </w:rPr>
        <w:t xml:space="preserve"> </w:t>
      </w:r>
      <w:r w:rsidR="00F41C24">
        <w:rPr>
          <w:szCs w:val="26"/>
        </w:rPr>
        <w:t>así mismo</w:t>
      </w:r>
      <w:r>
        <w:rPr>
          <w:szCs w:val="26"/>
        </w:rPr>
        <w:t xml:space="preserve">, los </w:t>
      </w:r>
      <w:r w:rsidR="00D870B7" w:rsidRPr="00A0407B">
        <w:rPr>
          <w:szCs w:val="26"/>
        </w:rPr>
        <w:t>comentarios</w:t>
      </w:r>
      <w:r w:rsidR="00A533AC" w:rsidRPr="00A0407B">
        <w:rPr>
          <w:szCs w:val="26"/>
        </w:rPr>
        <w:t xml:space="preserve"> y revisiones</w:t>
      </w:r>
      <w:r w:rsidR="00D870B7" w:rsidRPr="00A0407B">
        <w:rPr>
          <w:szCs w:val="26"/>
        </w:rPr>
        <w:t xml:space="preserve"> que sobre esta infraestructura viene realizando esta Cámara desde 2012 en los distintos informes sobre las c</w:t>
      </w:r>
      <w:r w:rsidR="00F41C24">
        <w:rPr>
          <w:szCs w:val="26"/>
        </w:rPr>
        <w:t>uentas</w:t>
      </w:r>
      <w:r w:rsidR="00D870B7" w:rsidRPr="00A0407B">
        <w:rPr>
          <w:szCs w:val="26"/>
        </w:rPr>
        <w:t xml:space="preserve"> generales.</w:t>
      </w:r>
    </w:p>
    <w:p w:rsidR="00EB314E" w:rsidRDefault="00EB314E" w:rsidP="00EB314E">
      <w:pPr>
        <w:pStyle w:val="texto"/>
        <w:tabs>
          <w:tab w:val="clear" w:pos="2835"/>
          <w:tab w:val="clear" w:pos="3969"/>
          <w:tab w:val="clear" w:pos="5103"/>
          <w:tab w:val="clear" w:pos="6237"/>
          <w:tab w:val="clear" w:pos="7371"/>
        </w:tabs>
        <w:rPr>
          <w:szCs w:val="26"/>
        </w:rPr>
      </w:pPr>
      <w:r>
        <w:rPr>
          <w:szCs w:val="26"/>
        </w:rPr>
        <w:t>Nuestra actuación se ha efectuado exclusivamente desde la óptica de la fisc</w:t>
      </w:r>
      <w:r>
        <w:rPr>
          <w:szCs w:val="26"/>
        </w:rPr>
        <w:t>a</w:t>
      </w:r>
      <w:r>
        <w:rPr>
          <w:szCs w:val="26"/>
        </w:rPr>
        <w:t>lización económico-financiera, sin entrar a valorar aspectos técnicos del diseño y de la construcción de la infraestructura.</w:t>
      </w:r>
    </w:p>
    <w:p w:rsidR="00C6719E" w:rsidRPr="009729B8" w:rsidRDefault="00CD1069" w:rsidP="007C4EB3">
      <w:pPr>
        <w:pStyle w:val="texto"/>
        <w:tabs>
          <w:tab w:val="clear" w:pos="2835"/>
          <w:tab w:val="clear" w:pos="3969"/>
          <w:tab w:val="clear" w:pos="5103"/>
          <w:tab w:val="clear" w:pos="6237"/>
          <w:tab w:val="clear" w:pos="7371"/>
        </w:tabs>
        <w:rPr>
          <w:szCs w:val="26"/>
        </w:rPr>
      </w:pPr>
      <w:r>
        <w:rPr>
          <w:szCs w:val="26"/>
        </w:rPr>
        <w:t xml:space="preserve">Igualmente se </w:t>
      </w:r>
      <w:r w:rsidR="001C3AD6" w:rsidRPr="00A0407B">
        <w:rPr>
          <w:szCs w:val="26"/>
        </w:rPr>
        <w:t>solicit</w:t>
      </w:r>
      <w:r>
        <w:rPr>
          <w:szCs w:val="26"/>
        </w:rPr>
        <w:t>ó</w:t>
      </w:r>
      <w:r w:rsidR="001C3AD6" w:rsidRPr="00A0407B">
        <w:rPr>
          <w:szCs w:val="26"/>
        </w:rPr>
        <w:t xml:space="preserve"> información a</w:t>
      </w:r>
      <w:r w:rsidR="002B7F63" w:rsidRPr="00A0407B">
        <w:rPr>
          <w:szCs w:val="26"/>
        </w:rPr>
        <w:t xml:space="preserve"> la entidad pública empresarial</w:t>
      </w:r>
      <w:r w:rsidR="001C3AD6" w:rsidRPr="00A0407B">
        <w:rPr>
          <w:szCs w:val="26"/>
        </w:rPr>
        <w:t xml:space="preserve"> ADIF-Alta Velocidad sobre las inversiones realizadas hasta la actualidad y las prev</w:t>
      </w:r>
      <w:r w:rsidR="001C3AD6" w:rsidRPr="00A0407B">
        <w:rPr>
          <w:szCs w:val="26"/>
        </w:rPr>
        <w:t>i</w:t>
      </w:r>
      <w:r w:rsidR="001C3AD6" w:rsidRPr="00A0407B">
        <w:rPr>
          <w:szCs w:val="26"/>
        </w:rPr>
        <w:t>siones futuras de inver</w:t>
      </w:r>
      <w:r w:rsidR="002B7F63" w:rsidRPr="00A0407B">
        <w:rPr>
          <w:szCs w:val="26"/>
        </w:rPr>
        <w:t xml:space="preserve">sión </w:t>
      </w:r>
      <w:r w:rsidR="001C3AD6" w:rsidRPr="00A0407B">
        <w:rPr>
          <w:szCs w:val="26"/>
        </w:rPr>
        <w:t>en el corredor navarro</w:t>
      </w:r>
      <w:r w:rsidR="001C3AD6" w:rsidRPr="009729B8">
        <w:rPr>
          <w:szCs w:val="26"/>
        </w:rPr>
        <w:t>.</w:t>
      </w:r>
      <w:r w:rsidR="002B7F63" w:rsidRPr="009729B8">
        <w:rPr>
          <w:szCs w:val="26"/>
        </w:rPr>
        <w:t xml:space="preserve"> A la fecha de redacción de este informe</w:t>
      </w:r>
      <w:r w:rsidR="00251B9C" w:rsidRPr="009729B8">
        <w:rPr>
          <w:szCs w:val="26"/>
        </w:rPr>
        <w:t>, no se ha recibido respuesta</w:t>
      </w:r>
      <w:r w:rsidR="00C6719E" w:rsidRPr="009729B8">
        <w:rPr>
          <w:szCs w:val="26"/>
        </w:rPr>
        <w:t xml:space="preserve"> </w:t>
      </w:r>
      <w:r>
        <w:rPr>
          <w:szCs w:val="26"/>
        </w:rPr>
        <w:t>a tal solicitud</w:t>
      </w:r>
      <w:r w:rsidR="00C6719E" w:rsidRPr="009729B8">
        <w:rPr>
          <w:szCs w:val="26"/>
        </w:rPr>
        <w:t>.</w:t>
      </w:r>
    </w:p>
    <w:p w:rsidR="008C5750" w:rsidRDefault="008C5750" w:rsidP="007C4EB3">
      <w:pPr>
        <w:pStyle w:val="texto"/>
        <w:tabs>
          <w:tab w:val="clear" w:pos="2835"/>
          <w:tab w:val="clear" w:pos="3969"/>
          <w:tab w:val="clear" w:pos="5103"/>
          <w:tab w:val="clear" w:pos="6237"/>
          <w:tab w:val="clear" w:pos="7371"/>
        </w:tabs>
        <w:rPr>
          <w:szCs w:val="26"/>
        </w:rPr>
      </w:pPr>
      <w:r w:rsidRPr="00A0407B">
        <w:rPr>
          <w:szCs w:val="26"/>
        </w:rPr>
        <w:t xml:space="preserve">Como </w:t>
      </w:r>
      <w:r w:rsidRPr="001B4659">
        <w:rPr>
          <w:b/>
          <w:szCs w:val="26"/>
        </w:rPr>
        <w:t>limitaciones</w:t>
      </w:r>
      <w:r w:rsidRPr="00A0407B">
        <w:rPr>
          <w:szCs w:val="26"/>
        </w:rPr>
        <w:t xml:space="preserve"> al trabajo realizado</w:t>
      </w:r>
      <w:r w:rsidR="00EB314E" w:rsidRPr="00EB314E">
        <w:rPr>
          <w:szCs w:val="26"/>
        </w:rPr>
        <w:t xml:space="preserve"> </w:t>
      </w:r>
      <w:r w:rsidR="00EB314E" w:rsidRPr="00A0407B">
        <w:rPr>
          <w:szCs w:val="26"/>
        </w:rPr>
        <w:t>señalamos que</w:t>
      </w:r>
      <w:r w:rsidRPr="00A0407B">
        <w:rPr>
          <w:szCs w:val="26"/>
        </w:rPr>
        <w:t xml:space="preserve">, </w:t>
      </w:r>
      <w:r w:rsidR="00C6719E" w:rsidRPr="009729B8">
        <w:rPr>
          <w:szCs w:val="26"/>
        </w:rPr>
        <w:t>además de la falta de respuesta por parte de ADIF</w:t>
      </w:r>
      <w:r w:rsidR="00C6719E" w:rsidRPr="00EB314E">
        <w:rPr>
          <w:szCs w:val="26"/>
        </w:rPr>
        <w:t>,</w:t>
      </w:r>
      <w:r w:rsidR="00C6719E">
        <w:rPr>
          <w:szCs w:val="26"/>
        </w:rPr>
        <w:t xml:space="preserve"> </w:t>
      </w:r>
      <w:r w:rsidRPr="00A0407B">
        <w:rPr>
          <w:szCs w:val="26"/>
        </w:rPr>
        <w:t>no hemos dispuesto de información suficiente p</w:t>
      </w:r>
      <w:r w:rsidRPr="00A0407B">
        <w:rPr>
          <w:szCs w:val="26"/>
        </w:rPr>
        <w:t>a</w:t>
      </w:r>
      <w:r w:rsidRPr="00A0407B">
        <w:rPr>
          <w:szCs w:val="26"/>
        </w:rPr>
        <w:t xml:space="preserve">ra poder concluir </w:t>
      </w:r>
      <w:r w:rsidR="00940185" w:rsidRPr="00A0407B">
        <w:rPr>
          <w:szCs w:val="26"/>
        </w:rPr>
        <w:t xml:space="preserve">razonablemente </w:t>
      </w:r>
      <w:r w:rsidRPr="00A0407B">
        <w:rPr>
          <w:szCs w:val="26"/>
        </w:rPr>
        <w:t>sobre el coste de un teórico proyecto de te</w:t>
      </w:r>
      <w:r w:rsidRPr="00A0407B">
        <w:rPr>
          <w:szCs w:val="26"/>
        </w:rPr>
        <w:t>r</w:t>
      </w:r>
      <w:r w:rsidRPr="00A0407B">
        <w:rPr>
          <w:szCs w:val="26"/>
        </w:rPr>
        <w:t xml:space="preserve">cer carril en el tramo de Castejón-Pamplona y su comparación con el vigente proyecto.  </w:t>
      </w:r>
    </w:p>
    <w:p w:rsidR="00D870B7" w:rsidRPr="00D870B7" w:rsidRDefault="001C772F" w:rsidP="001C772F">
      <w:pPr>
        <w:pStyle w:val="atitulo1"/>
      </w:pPr>
      <w:bookmarkStart w:id="7" w:name="_Toc467480849"/>
      <w:r>
        <w:lastRenderedPageBreak/>
        <w:t xml:space="preserve">III. </w:t>
      </w:r>
      <w:r w:rsidR="00D870B7" w:rsidRPr="00D870B7">
        <w:t>Marco regulador de las obras del TAV en Navarra</w:t>
      </w:r>
      <w:bookmarkEnd w:id="7"/>
    </w:p>
    <w:p w:rsidR="00DA5BD5" w:rsidRPr="00A0407B" w:rsidRDefault="006237CA" w:rsidP="00DA5BD5">
      <w:pPr>
        <w:pStyle w:val="texto"/>
        <w:tabs>
          <w:tab w:val="clear" w:pos="2835"/>
          <w:tab w:val="clear" w:pos="3969"/>
          <w:tab w:val="clear" w:pos="5103"/>
          <w:tab w:val="clear" w:pos="6237"/>
          <w:tab w:val="clear" w:pos="7371"/>
        </w:tabs>
        <w:rPr>
          <w:szCs w:val="26"/>
        </w:rPr>
      </w:pPr>
      <w:r w:rsidRPr="00A0407B">
        <w:rPr>
          <w:szCs w:val="26"/>
        </w:rPr>
        <w:t>La línea de alta velocidad Zaragoza-Pamplona</w:t>
      </w:r>
      <w:r w:rsidR="00EE544C" w:rsidRPr="00A0407B">
        <w:rPr>
          <w:szCs w:val="26"/>
        </w:rPr>
        <w:t>-País Vasco se integra en el Corredor Cantábrico-Mediterráneo de alta velocidad incluido en el Plan Estr</w:t>
      </w:r>
      <w:r w:rsidR="00EE544C" w:rsidRPr="00A0407B">
        <w:rPr>
          <w:szCs w:val="26"/>
        </w:rPr>
        <w:t>a</w:t>
      </w:r>
      <w:r w:rsidR="00EE544C" w:rsidRPr="00A0407B">
        <w:rPr>
          <w:szCs w:val="26"/>
        </w:rPr>
        <w:t>tégico de Infraestructuras y Transportes 2005-2020</w:t>
      </w:r>
      <w:r w:rsidR="008E3CED" w:rsidRPr="00A0407B">
        <w:rPr>
          <w:szCs w:val="26"/>
        </w:rPr>
        <w:t xml:space="preserve"> aprobado por el Ministerio de Fomento</w:t>
      </w:r>
      <w:r w:rsidR="00EE544C" w:rsidRPr="00A0407B">
        <w:rPr>
          <w:szCs w:val="26"/>
        </w:rPr>
        <w:t>. La construcción</w:t>
      </w:r>
      <w:r w:rsidR="00DA5BD5" w:rsidRPr="00A0407B">
        <w:rPr>
          <w:szCs w:val="26"/>
        </w:rPr>
        <w:t xml:space="preserve"> y financiación</w:t>
      </w:r>
      <w:r w:rsidR="00EE544C" w:rsidRPr="00A0407B">
        <w:rPr>
          <w:szCs w:val="26"/>
        </w:rPr>
        <w:t xml:space="preserve"> de ese </w:t>
      </w:r>
      <w:r w:rsidR="008E3CED" w:rsidRPr="00A0407B">
        <w:rPr>
          <w:szCs w:val="26"/>
        </w:rPr>
        <w:t>C</w:t>
      </w:r>
      <w:r w:rsidR="00EE544C" w:rsidRPr="00A0407B">
        <w:rPr>
          <w:szCs w:val="26"/>
        </w:rPr>
        <w:t>orredor es competencia exclusiva de la Administración del Estado (AGE) en virtud tanto de su declar</w:t>
      </w:r>
      <w:r w:rsidR="00EE544C" w:rsidRPr="00A0407B">
        <w:rPr>
          <w:szCs w:val="26"/>
        </w:rPr>
        <w:t>a</w:t>
      </w:r>
      <w:r w:rsidR="00EE544C" w:rsidRPr="00A0407B">
        <w:rPr>
          <w:szCs w:val="26"/>
        </w:rPr>
        <w:t>ción como obra pública de interés general como por tratarse de un ferrocarril que transcurre por el territorio de más de una Comunidad Autónoma</w:t>
      </w:r>
      <w:r w:rsidR="007267A6" w:rsidRPr="00A0407B">
        <w:rPr>
          <w:szCs w:val="26"/>
        </w:rPr>
        <w:t>.</w:t>
      </w:r>
      <w:r w:rsidR="00DA5BD5" w:rsidRPr="00A0407B">
        <w:rPr>
          <w:szCs w:val="26"/>
        </w:rPr>
        <w:t xml:space="preserve"> </w:t>
      </w:r>
    </w:p>
    <w:p w:rsidR="00DF71DE" w:rsidRPr="00A0407B" w:rsidRDefault="00DF71DE" w:rsidP="005B19F3">
      <w:pPr>
        <w:pStyle w:val="texto"/>
        <w:tabs>
          <w:tab w:val="clear" w:pos="2835"/>
          <w:tab w:val="clear" w:pos="3969"/>
          <w:tab w:val="clear" w:pos="5103"/>
          <w:tab w:val="clear" w:pos="6237"/>
          <w:tab w:val="clear" w:pos="7371"/>
        </w:tabs>
        <w:spacing w:before="120" w:after="240"/>
        <w:rPr>
          <w:szCs w:val="26"/>
        </w:rPr>
      </w:pPr>
      <w:r w:rsidRPr="00A0407B">
        <w:rPr>
          <w:szCs w:val="26"/>
        </w:rPr>
        <w:t>El citado corredor pu</w:t>
      </w:r>
      <w:r w:rsidR="00CD1EFC" w:rsidRPr="00A0407B">
        <w:rPr>
          <w:szCs w:val="26"/>
        </w:rPr>
        <w:t>e</w:t>
      </w:r>
      <w:r w:rsidRPr="00A0407B">
        <w:rPr>
          <w:szCs w:val="26"/>
        </w:rPr>
        <w:t>de observarse gráficamente</w:t>
      </w:r>
      <w:r w:rsidR="00BA7E70">
        <w:rPr>
          <w:szCs w:val="26"/>
        </w:rPr>
        <w:t>:</w:t>
      </w:r>
    </w:p>
    <w:p w:rsidR="00DF71DE" w:rsidRDefault="00DF71DE" w:rsidP="00B81482">
      <w:pPr>
        <w:pStyle w:val="texto"/>
        <w:tabs>
          <w:tab w:val="clear" w:pos="2835"/>
          <w:tab w:val="clear" w:pos="3969"/>
          <w:tab w:val="clear" w:pos="5103"/>
          <w:tab w:val="clear" w:pos="6237"/>
          <w:tab w:val="clear" w:pos="7371"/>
        </w:tabs>
        <w:ind w:firstLine="0"/>
        <w:rPr>
          <w:sz w:val="24"/>
        </w:rPr>
      </w:pPr>
      <w:r>
        <w:rPr>
          <w:noProof/>
          <w:sz w:val="24"/>
          <w:lang w:val="es-ES" w:eastAsia="es-ES"/>
        </w:rPr>
        <w:drawing>
          <wp:inline distT="0" distB="0" distL="0" distR="0" wp14:anchorId="7BF7133D" wp14:editId="50AA048B">
            <wp:extent cx="5576835" cy="4019341"/>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4022354"/>
                    </a:xfrm>
                    <a:prstGeom prst="rect">
                      <a:avLst/>
                    </a:prstGeom>
                    <a:noFill/>
                    <a:ln>
                      <a:noFill/>
                    </a:ln>
                  </pic:spPr>
                </pic:pic>
              </a:graphicData>
            </a:graphic>
          </wp:inline>
        </w:drawing>
      </w:r>
    </w:p>
    <w:p w:rsidR="00CD1EFC" w:rsidRDefault="00CD1EFC" w:rsidP="00CD1EFC">
      <w:pPr>
        <w:pStyle w:val="texto"/>
        <w:tabs>
          <w:tab w:val="clear" w:pos="2835"/>
          <w:tab w:val="clear" w:pos="3969"/>
          <w:tab w:val="clear" w:pos="5103"/>
          <w:tab w:val="clear" w:pos="6237"/>
          <w:tab w:val="clear" w:pos="7371"/>
        </w:tabs>
        <w:ind w:firstLine="0"/>
        <w:rPr>
          <w:sz w:val="24"/>
        </w:rPr>
      </w:pPr>
    </w:p>
    <w:p w:rsidR="00825DCE" w:rsidRPr="00A0407B" w:rsidRDefault="003E7BB8" w:rsidP="007A4B43">
      <w:pPr>
        <w:pStyle w:val="texto"/>
        <w:tabs>
          <w:tab w:val="clear" w:pos="2835"/>
          <w:tab w:val="clear" w:pos="3969"/>
          <w:tab w:val="clear" w:pos="5103"/>
          <w:tab w:val="clear" w:pos="6237"/>
          <w:tab w:val="clear" w:pos="7371"/>
        </w:tabs>
        <w:rPr>
          <w:szCs w:val="26"/>
        </w:rPr>
      </w:pPr>
      <w:r w:rsidRPr="00A0407B">
        <w:rPr>
          <w:szCs w:val="26"/>
        </w:rPr>
        <w:t>E</w:t>
      </w:r>
      <w:r w:rsidR="00825DCE" w:rsidRPr="00A0407B">
        <w:rPr>
          <w:szCs w:val="26"/>
        </w:rPr>
        <w:t>l corredor</w:t>
      </w:r>
      <w:r w:rsidR="00CD1EFC" w:rsidRPr="00A0407B">
        <w:rPr>
          <w:szCs w:val="26"/>
        </w:rPr>
        <w:t xml:space="preserve"> navarro</w:t>
      </w:r>
      <w:r w:rsidR="00825DCE" w:rsidRPr="00A0407B">
        <w:rPr>
          <w:szCs w:val="26"/>
        </w:rPr>
        <w:t xml:space="preserve"> del TAV</w:t>
      </w:r>
      <w:r w:rsidR="00CD1EFC" w:rsidRPr="00A0407B">
        <w:rPr>
          <w:szCs w:val="26"/>
        </w:rPr>
        <w:t>, con una longitud total de 214 Km</w:t>
      </w:r>
      <w:r w:rsidR="00DF558C" w:rsidRPr="00A0407B">
        <w:rPr>
          <w:szCs w:val="26"/>
        </w:rPr>
        <w:t xml:space="preserve"> y un pres</w:t>
      </w:r>
      <w:r w:rsidR="00DF558C" w:rsidRPr="00A0407B">
        <w:rPr>
          <w:szCs w:val="26"/>
        </w:rPr>
        <w:t>u</w:t>
      </w:r>
      <w:r w:rsidR="00DF558C" w:rsidRPr="00A0407B">
        <w:rPr>
          <w:szCs w:val="26"/>
        </w:rPr>
        <w:t xml:space="preserve">puesto estimado </w:t>
      </w:r>
      <w:r w:rsidR="00244532" w:rsidRPr="00A0407B">
        <w:rPr>
          <w:szCs w:val="26"/>
        </w:rPr>
        <w:t xml:space="preserve">en torno a los </w:t>
      </w:r>
      <w:r w:rsidR="00DD0C58" w:rsidRPr="00A0407B">
        <w:rPr>
          <w:szCs w:val="26"/>
        </w:rPr>
        <w:t>3</w:t>
      </w:r>
      <w:r w:rsidR="00244532" w:rsidRPr="00A0407B">
        <w:rPr>
          <w:szCs w:val="26"/>
        </w:rPr>
        <w:t>.000</w:t>
      </w:r>
      <w:r w:rsidR="00B81482" w:rsidRPr="00A0407B">
        <w:rPr>
          <w:szCs w:val="26"/>
        </w:rPr>
        <w:t>–</w:t>
      </w:r>
      <w:r w:rsidR="00DD0C58" w:rsidRPr="00A0407B">
        <w:rPr>
          <w:szCs w:val="26"/>
        </w:rPr>
        <w:t>4</w:t>
      </w:r>
      <w:r w:rsidR="00244532" w:rsidRPr="00A0407B">
        <w:rPr>
          <w:szCs w:val="26"/>
        </w:rPr>
        <w:t>.000</w:t>
      </w:r>
      <w:r w:rsidR="00DF558C" w:rsidRPr="00A0407B">
        <w:rPr>
          <w:szCs w:val="26"/>
        </w:rPr>
        <w:t xml:space="preserve"> millones</w:t>
      </w:r>
      <w:r w:rsidR="00244532" w:rsidRPr="00A0407B">
        <w:rPr>
          <w:szCs w:val="26"/>
        </w:rPr>
        <w:t xml:space="preserve"> de euros</w:t>
      </w:r>
      <w:r w:rsidR="005B06E4" w:rsidRPr="00A0407B">
        <w:rPr>
          <w:rStyle w:val="Refdenotaalpie"/>
          <w:szCs w:val="26"/>
        </w:rPr>
        <w:footnoteReference w:id="1"/>
      </w:r>
      <w:r w:rsidR="00CD1EFC" w:rsidRPr="00A0407B">
        <w:rPr>
          <w:szCs w:val="26"/>
        </w:rPr>
        <w:t xml:space="preserve">, se apoya </w:t>
      </w:r>
      <w:r w:rsidR="00825DCE" w:rsidRPr="00A0407B">
        <w:rPr>
          <w:szCs w:val="26"/>
        </w:rPr>
        <w:t>bás</w:t>
      </w:r>
      <w:r w:rsidR="00825DCE" w:rsidRPr="00A0407B">
        <w:rPr>
          <w:szCs w:val="26"/>
        </w:rPr>
        <w:t>i</w:t>
      </w:r>
      <w:r w:rsidR="00825DCE" w:rsidRPr="00A0407B">
        <w:rPr>
          <w:szCs w:val="26"/>
        </w:rPr>
        <w:t>camente en</w:t>
      </w:r>
      <w:r w:rsidR="00CD1EFC" w:rsidRPr="00A0407B">
        <w:rPr>
          <w:szCs w:val="26"/>
        </w:rPr>
        <w:t xml:space="preserve"> los siguientes tramos:</w:t>
      </w:r>
    </w:p>
    <w:p w:rsidR="00F63CC8" w:rsidRPr="00A0407B" w:rsidRDefault="00DE3FA2" w:rsidP="00F63CC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 xml:space="preserve">Conexión con el </w:t>
      </w:r>
      <w:r w:rsidR="00B37848" w:rsidRPr="00A0407B">
        <w:rPr>
          <w:szCs w:val="26"/>
          <w:lang w:val="es-ES"/>
        </w:rPr>
        <w:t>Corredor</w:t>
      </w:r>
      <w:r w:rsidRPr="00A0407B">
        <w:rPr>
          <w:szCs w:val="26"/>
          <w:lang w:val="es-ES"/>
        </w:rPr>
        <w:t xml:space="preserve"> a través del </w:t>
      </w:r>
      <w:r w:rsidR="00F63CC8" w:rsidRPr="00A0407B">
        <w:rPr>
          <w:szCs w:val="26"/>
          <w:lang w:val="es-ES"/>
        </w:rPr>
        <w:t>Tramo Plasencia de Jalón (Zarag</w:t>
      </w:r>
      <w:r w:rsidR="00F63CC8" w:rsidRPr="00A0407B">
        <w:rPr>
          <w:szCs w:val="26"/>
          <w:lang w:val="es-ES"/>
        </w:rPr>
        <w:t>o</w:t>
      </w:r>
      <w:r w:rsidR="00F63CC8" w:rsidRPr="00A0407B">
        <w:rPr>
          <w:szCs w:val="26"/>
          <w:lang w:val="es-ES"/>
        </w:rPr>
        <w:t>za)-Castejón.</w:t>
      </w:r>
    </w:p>
    <w:p w:rsidR="00825DCE" w:rsidRPr="00A0407B" w:rsidRDefault="00071FC3" w:rsidP="00825DC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lastRenderedPageBreak/>
        <w:t xml:space="preserve">Tramo </w:t>
      </w:r>
      <w:r w:rsidR="00825DCE" w:rsidRPr="00A0407B">
        <w:rPr>
          <w:szCs w:val="26"/>
          <w:lang w:val="es-ES"/>
        </w:rPr>
        <w:t>Castejón-</w:t>
      </w:r>
      <w:r w:rsidR="00C00DA3" w:rsidRPr="00A0407B">
        <w:rPr>
          <w:szCs w:val="26"/>
          <w:lang w:val="es-ES"/>
        </w:rPr>
        <w:t xml:space="preserve">Comarca de </w:t>
      </w:r>
      <w:r w:rsidR="00825DCE" w:rsidRPr="00A0407B">
        <w:rPr>
          <w:szCs w:val="26"/>
          <w:lang w:val="es-ES"/>
        </w:rPr>
        <w:t>Pamplona</w:t>
      </w:r>
      <w:r w:rsidR="006A5B1A" w:rsidRPr="00A0407B">
        <w:rPr>
          <w:szCs w:val="26"/>
          <w:lang w:val="es-ES"/>
        </w:rPr>
        <w:t xml:space="preserve"> (Esqu</w:t>
      </w:r>
      <w:r w:rsidR="00B4126E">
        <w:rPr>
          <w:szCs w:val="26"/>
          <w:lang w:val="es-ES"/>
        </w:rPr>
        <w:t>í</w:t>
      </w:r>
      <w:r w:rsidR="006A5B1A" w:rsidRPr="00A0407B">
        <w:rPr>
          <w:szCs w:val="26"/>
          <w:lang w:val="es-ES"/>
        </w:rPr>
        <w:t>roz)</w:t>
      </w:r>
      <w:r w:rsidR="00825DCE" w:rsidRPr="00A0407B">
        <w:rPr>
          <w:szCs w:val="26"/>
          <w:lang w:val="es-ES"/>
        </w:rPr>
        <w:t>.</w:t>
      </w:r>
    </w:p>
    <w:p w:rsidR="00825DCE" w:rsidRPr="00A0407B" w:rsidRDefault="00825DCE" w:rsidP="00825DC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Actuación en la Comarca de Pamplona (eliminación del bucle, nueva est</w:t>
      </w:r>
      <w:r w:rsidRPr="00A0407B">
        <w:rPr>
          <w:szCs w:val="26"/>
          <w:lang w:val="es-ES"/>
        </w:rPr>
        <w:t>a</w:t>
      </w:r>
      <w:r w:rsidRPr="00A0407B">
        <w:rPr>
          <w:szCs w:val="26"/>
          <w:lang w:val="es-ES"/>
        </w:rPr>
        <w:t>ción y desarrollo urbanístico del área afectada).</w:t>
      </w:r>
    </w:p>
    <w:p w:rsidR="00F63CC8" w:rsidRPr="00A0407B" w:rsidRDefault="00825DCE" w:rsidP="00B3784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Conexión</w:t>
      </w:r>
      <w:r w:rsidR="00C00DA3" w:rsidRPr="00A0407B">
        <w:rPr>
          <w:szCs w:val="26"/>
          <w:lang w:val="es-ES"/>
        </w:rPr>
        <w:t xml:space="preserve"> desde </w:t>
      </w:r>
      <w:r w:rsidR="00F63CC8" w:rsidRPr="00A0407B">
        <w:rPr>
          <w:szCs w:val="26"/>
          <w:lang w:val="es-ES"/>
        </w:rPr>
        <w:t>Pamplona</w:t>
      </w:r>
      <w:r w:rsidR="006A5B1A" w:rsidRPr="00A0407B">
        <w:rPr>
          <w:szCs w:val="26"/>
          <w:lang w:val="es-ES"/>
        </w:rPr>
        <w:t xml:space="preserve"> (Zuasti)</w:t>
      </w:r>
      <w:r w:rsidR="00F63CC8" w:rsidRPr="00A0407B">
        <w:rPr>
          <w:szCs w:val="26"/>
          <w:lang w:val="es-ES"/>
        </w:rPr>
        <w:t xml:space="preserve"> con la</w:t>
      </w:r>
      <w:r w:rsidRPr="00A0407B">
        <w:rPr>
          <w:szCs w:val="26"/>
          <w:lang w:val="es-ES"/>
        </w:rPr>
        <w:t xml:space="preserve"> “Y” vasca.  </w:t>
      </w:r>
    </w:p>
    <w:p w:rsidR="00CD1EFC" w:rsidRPr="00A0407B" w:rsidRDefault="00CD1EFC" w:rsidP="007A4B43">
      <w:pPr>
        <w:pStyle w:val="texto"/>
        <w:tabs>
          <w:tab w:val="clear" w:pos="2835"/>
          <w:tab w:val="clear" w:pos="3969"/>
          <w:tab w:val="clear" w:pos="5103"/>
          <w:tab w:val="clear" w:pos="6237"/>
          <w:tab w:val="clear" w:pos="7371"/>
        </w:tabs>
        <w:rPr>
          <w:szCs w:val="26"/>
        </w:rPr>
      </w:pPr>
      <w:r w:rsidRPr="00A0407B">
        <w:rPr>
          <w:szCs w:val="26"/>
        </w:rPr>
        <w:t>Gráficamente, se observan dichos tramos</w:t>
      </w:r>
      <w:r w:rsidR="00B4126E">
        <w:rPr>
          <w:szCs w:val="26"/>
        </w:rPr>
        <w:t>.</w:t>
      </w:r>
    </w:p>
    <w:p w:rsidR="00CD1EFC" w:rsidRPr="00A0407B" w:rsidRDefault="00CD1EFC" w:rsidP="007A4B43">
      <w:pPr>
        <w:pStyle w:val="texto"/>
        <w:tabs>
          <w:tab w:val="clear" w:pos="2835"/>
          <w:tab w:val="clear" w:pos="3969"/>
          <w:tab w:val="clear" w:pos="5103"/>
          <w:tab w:val="clear" w:pos="6237"/>
          <w:tab w:val="clear" w:pos="7371"/>
        </w:tabs>
        <w:rPr>
          <w:szCs w:val="26"/>
        </w:rPr>
      </w:pPr>
    </w:p>
    <w:p w:rsidR="00CD1EFC" w:rsidRDefault="003E7BB8" w:rsidP="007A4B43">
      <w:pPr>
        <w:pStyle w:val="texto"/>
        <w:tabs>
          <w:tab w:val="clear" w:pos="2835"/>
          <w:tab w:val="clear" w:pos="3969"/>
          <w:tab w:val="clear" w:pos="5103"/>
          <w:tab w:val="clear" w:pos="6237"/>
          <w:tab w:val="clear" w:pos="7371"/>
        </w:tabs>
        <w:rPr>
          <w:sz w:val="24"/>
        </w:rPr>
      </w:pPr>
      <w:r>
        <w:rPr>
          <w:sz w:val="24"/>
        </w:rPr>
        <w:t xml:space="preserve">                 </w:t>
      </w:r>
      <w:r>
        <w:rPr>
          <w:noProof/>
          <w:sz w:val="24"/>
          <w:lang w:val="es-ES" w:eastAsia="es-ES"/>
        </w:rPr>
        <w:drawing>
          <wp:inline distT="0" distB="0" distL="0" distR="0" wp14:anchorId="257D2C3A" wp14:editId="4E167DD8">
            <wp:extent cx="4132005" cy="4310743"/>
            <wp:effectExtent l="0" t="0" r="1905" b="0"/>
            <wp:docPr id="9" name="Imagen 9" descr="C:\Users\D196726\AppData\Local\Microsoft\Windows\Temporary Internet Files\Content.Outlook\N79D9WAG\situaciontav-j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196726\AppData\Local\Microsoft\Windows\Temporary Internet Files\Content.Outlook\N79D9WAG\situaciontav-jo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804" cy="4317836"/>
                    </a:xfrm>
                    <a:prstGeom prst="rect">
                      <a:avLst/>
                    </a:prstGeom>
                    <a:noFill/>
                    <a:ln>
                      <a:noFill/>
                    </a:ln>
                  </pic:spPr>
                </pic:pic>
              </a:graphicData>
            </a:graphic>
          </wp:inline>
        </w:drawing>
      </w:r>
    </w:p>
    <w:p w:rsidR="00CD1EFC" w:rsidRPr="00A0407B" w:rsidRDefault="00CD1EFC" w:rsidP="00B81482">
      <w:pPr>
        <w:pStyle w:val="texto"/>
        <w:tabs>
          <w:tab w:val="clear" w:pos="2835"/>
          <w:tab w:val="clear" w:pos="3969"/>
          <w:tab w:val="clear" w:pos="5103"/>
          <w:tab w:val="clear" w:pos="6237"/>
          <w:tab w:val="clear" w:pos="7371"/>
        </w:tabs>
        <w:spacing w:after="0"/>
        <w:rPr>
          <w:szCs w:val="26"/>
        </w:rPr>
      </w:pPr>
    </w:p>
    <w:p w:rsidR="00343639" w:rsidRPr="00A0407B" w:rsidRDefault="00343639" w:rsidP="00343639">
      <w:pPr>
        <w:pStyle w:val="texto"/>
        <w:tabs>
          <w:tab w:val="clear" w:pos="2835"/>
          <w:tab w:val="clear" w:pos="3969"/>
          <w:tab w:val="clear" w:pos="5103"/>
          <w:tab w:val="clear" w:pos="6237"/>
          <w:tab w:val="clear" w:pos="7371"/>
        </w:tabs>
        <w:rPr>
          <w:szCs w:val="26"/>
        </w:rPr>
      </w:pPr>
      <w:r w:rsidRPr="00A0407B">
        <w:rPr>
          <w:szCs w:val="26"/>
        </w:rPr>
        <w:t>Además</w:t>
      </w:r>
      <w:r w:rsidR="00DD0C58" w:rsidRPr="00A0407B">
        <w:rPr>
          <w:szCs w:val="26"/>
        </w:rPr>
        <w:t xml:space="preserve"> se pretende con este tramo navarro la conexión de la</w:t>
      </w:r>
      <w:r w:rsidRPr="00A0407B">
        <w:rPr>
          <w:szCs w:val="26"/>
        </w:rPr>
        <w:t xml:space="preserve"> Comunidad Foral con el corredor europeo de alta velocidad. </w:t>
      </w:r>
    </w:p>
    <w:p w:rsidR="007A4B43" w:rsidRPr="00A0407B" w:rsidRDefault="007A4B43" w:rsidP="007A4B43">
      <w:pPr>
        <w:pStyle w:val="texto"/>
        <w:tabs>
          <w:tab w:val="clear" w:pos="2835"/>
          <w:tab w:val="clear" w:pos="3969"/>
          <w:tab w:val="clear" w:pos="5103"/>
          <w:tab w:val="clear" w:pos="6237"/>
          <w:tab w:val="clear" w:pos="7371"/>
        </w:tabs>
        <w:rPr>
          <w:szCs w:val="26"/>
        </w:rPr>
      </w:pPr>
      <w:r w:rsidRPr="00A0407B">
        <w:rPr>
          <w:szCs w:val="26"/>
        </w:rPr>
        <w:t>Para el inicio y posterior desarrollo de las obras</w:t>
      </w:r>
      <w:r w:rsidR="00B37848" w:rsidRPr="00A0407B">
        <w:rPr>
          <w:szCs w:val="26"/>
        </w:rPr>
        <w:t xml:space="preserve"> </w:t>
      </w:r>
      <w:r w:rsidRPr="00A0407B">
        <w:rPr>
          <w:szCs w:val="26"/>
        </w:rPr>
        <w:t>del corredor navarro del TAV</w:t>
      </w:r>
      <w:r w:rsidR="00B76666" w:rsidRPr="00A0407B">
        <w:rPr>
          <w:szCs w:val="26"/>
        </w:rPr>
        <w:t xml:space="preserve"> en territorio foral</w:t>
      </w:r>
      <w:r w:rsidRPr="00A0407B">
        <w:rPr>
          <w:szCs w:val="26"/>
        </w:rPr>
        <w:t>, el 16 de mayo de 2009, se firman los siguientes prot</w:t>
      </w:r>
      <w:r w:rsidRPr="00A0407B">
        <w:rPr>
          <w:szCs w:val="26"/>
        </w:rPr>
        <w:t>o</w:t>
      </w:r>
      <w:r w:rsidRPr="00A0407B">
        <w:rPr>
          <w:szCs w:val="26"/>
        </w:rPr>
        <w:t>colos generales de colaboración:</w:t>
      </w:r>
    </w:p>
    <w:p w:rsidR="007A4B43" w:rsidRPr="00A0407B" w:rsidRDefault="007A4B43" w:rsidP="00B4126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 Protocolo </w:t>
      </w:r>
      <w:r w:rsidRPr="00B4126E">
        <w:rPr>
          <w:szCs w:val="26"/>
          <w:lang w:val="es-ES"/>
        </w:rPr>
        <w:t>General</w:t>
      </w:r>
      <w:r w:rsidRPr="00A0407B">
        <w:rPr>
          <w:szCs w:val="26"/>
        </w:rPr>
        <w:t xml:space="preserve"> de colaboración entre la Administración General del Estado (AGE) y la Administración de la Comunidad Foral para la construcción de la Línea de Alta Velocidad Zaragoza-Pamplona, en </w:t>
      </w:r>
      <w:r w:rsidR="00B37848" w:rsidRPr="00A0407B">
        <w:rPr>
          <w:szCs w:val="26"/>
        </w:rPr>
        <w:t>Navarra</w:t>
      </w:r>
      <w:bookmarkStart w:id="8" w:name="tm_385745840"/>
      <w:r w:rsidRPr="00A0407B">
        <w:rPr>
          <w:szCs w:val="26"/>
        </w:rPr>
        <w:t>.</w:t>
      </w:r>
      <w:bookmarkStart w:id="9" w:name="tm_385745841"/>
      <w:r w:rsidRPr="00A0407B">
        <w:rPr>
          <w:szCs w:val="26"/>
        </w:rPr>
        <w:t xml:space="preserve"> </w:t>
      </w:r>
      <w:bookmarkEnd w:id="8"/>
      <w:bookmarkEnd w:id="9"/>
      <w:r w:rsidR="00E053DD" w:rsidRPr="00A0407B">
        <w:rPr>
          <w:szCs w:val="26"/>
        </w:rPr>
        <w:t>En este prot</w:t>
      </w:r>
      <w:r w:rsidR="00E053DD" w:rsidRPr="00A0407B">
        <w:rPr>
          <w:szCs w:val="26"/>
        </w:rPr>
        <w:t>o</w:t>
      </w:r>
      <w:r w:rsidR="00E053DD" w:rsidRPr="00A0407B">
        <w:rPr>
          <w:szCs w:val="26"/>
        </w:rPr>
        <w:t>colo se fijan las bases de cooperación entre ambas administraciones encamin</w:t>
      </w:r>
      <w:r w:rsidR="00E053DD" w:rsidRPr="00A0407B">
        <w:rPr>
          <w:szCs w:val="26"/>
        </w:rPr>
        <w:t>a</w:t>
      </w:r>
      <w:r w:rsidR="00E053DD" w:rsidRPr="00A0407B">
        <w:rPr>
          <w:szCs w:val="26"/>
        </w:rPr>
        <w:t>das a la realización de la vía Zaragoza-Pamplona en territorio navarro</w:t>
      </w:r>
      <w:r w:rsidR="00DA5BD5" w:rsidRPr="00A0407B">
        <w:rPr>
          <w:szCs w:val="26"/>
        </w:rPr>
        <w:t>, se est</w:t>
      </w:r>
      <w:r w:rsidR="00DA5BD5" w:rsidRPr="00A0407B">
        <w:rPr>
          <w:szCs w:val="26"/>
        </w:rPr>
        <w:t>a</w:t>
      </w:r>
      <w:r w:rsidR="00DA5BD5" w:rsidRPr="00A0407B">
        <w:rPr>
          <w:szCs w:val="26"/>
        </w:rPr>
        <w:lastRenderedPageBreak/>
        <w:t>blecen los compromisos</w:t>
      </w:r>
      <w:r w:rsidR="00E42314" w:rsidRPr="00A0407B">
        <w:rPr>
          <w:szCs w:val="26"/>
        </w:rPr>
        <w:t xml:space="preserve"> y obligaciones</w:t>
      </w:r>
      <w:r w:rsidR="00DA5BD5" w:rsidRPr="00A0407B">
        <w:rPr>
          <w:szCs w:val="26"/>
        </w:rPr>
        <w:t xml:space="preserve"> generales de las mismas y se reconoce la voluntad de la Comunidad Foral de adelantar la financiación de las actuaci</w:t>
      </w:r>
      <w:r w:rsidR="00DA5BD5" w:rsidRPr="00A0407B">
        <w:rPr>
          <w:szCs w:val="26"/>
        </w:rPr>
        <w:t>o</w:t>
      </w:r>
      <w:r w:rsidR="00DA5BD5" w:rsidRPr="00A0407B">
        <w:rPr>
          <w:szCs w:val="26"/>
        </w:rPr>
        <w:t>nes a su cargo que serán posteriormente compensadas por la AGE.</w:t>
      </w:r>
    </w:p>
    <w:p w:rsidR="007A4B43" w:rsidRPr="00A0407B" w:rsidRDefault="007A4B43" w:rsidP="00B4126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 Protocolo </w:t>
      </w:r>
      <w:r w:rsidRPr="00B4126E">
        <w:rPr>
          <w:szCs w:val="26"/>
          <w:lang w:val="es-ES"/>
        </w:rPr>
        <w:t>General</w:t>
      </w:r>
      <w:r w:rsidRPr="00A0407B">
        <w:rPr>
          <w:szCs w:val="26"/>
        </w:rPr>
        <w:t xml:space="preserve"> entre el Ministerio de Fomento, la entidad pública e</w:t>
      </w:r>
      <w:r w:rsidRPr="00A0407B">
        <w:rPr>
          <w:szCs w:val="26"/>
        </w:rPr>
        <w:t>m</w:t>
      </w:r>
      <w:r w:rsidRPr="00A0407B">
        <w:rPr>
          <w:szCs w:val="26"/>
        </w:rPr>
        <w:t>presarial “Administrador de Infraestructuras Ferroviarias</w:t>
      </w:r>
      <w:r w:rsidRPr="00A0407B">
        <w:rPr>
          <w:rStyle w:val="st1"/>
          <w:rFonts w:ascii="Arial" w:hAnsi="Arial" w:cs="Arial"/>
          <w:color w:val="545454"/>
          <w:szCs w:val="26"/>
        </w:rPr>
        <w:t xml:space="preserve"> </w:t>
      </w:r>
      <w:r w:rsidRPr="00A0407B">
        <w:rPr>
          <w:szCs w:val="26"/>
        </w:rPr>
        <w:t>(ADIF)”, la Admini</w:t>
      </w:r>
      <w:r w:rsidRPr="00A0407B">
        <w:rPr>
          <w:szCs w:val="26"/>
        </w:rPr>
        <w:t>s</w:t>
      </w:r>
      <w:r w:rsidRPr="00A0407B">
        <w:rPr>
          <w:szCs w:val="26"/>
        </w:rPr>
        <w:t>tración de la Comunidad Foral y el Consorcio “Alta Velocidad-Comarca de Pamplona”</w:t>
      </w:r>
      <w:r w:rsidR="007279EF" w:rsidRPr="00A0407B">
        <w:rPr>
          <w:rStyle w:val="Refdenotaalpie"/>
          <w:szCs w:val="26"/>
        </w:rPr>
        <w:footnoteReference w:id="2"/>
      </w:r>
      <w:r w:rsidRPr="00A0407B">
        <w:rPr>
          <w:szCs w:val="26"/>
        </w:rPr>
        <w:t xml:space="preserve"> para la redacción de los proyectos, construcción y financiación de las obras de la nueva red ferroviaria en la Comarca de Pamplona y la nueva e</w:t>
      </w:r>
      <w:r w:rsidRPr="00A0407B">
        <w:rPr>
          <w:szCs w:val="26"/>
        </w:rPr>
        <w:t>s</w:t>
      </w:r>
      <w:r w:rsidRPr="00A0407B">
        <w:rPr>
          <w:szCs w:val="26"/>
        </w:rPr>
        <w:t>tación de Alta Velocidad de Pamplona.</w:t>
      </w:r>
      <w:bookmarkStart w:id="10" w:name="tm_385745842"/>
      <w:r w:rsidRPr="00A0407B">
        <w:rPr>
          <w:szCs w:val="26"/>
        </w:rPr>
        <w:t xml:space="preserve"> </w:t>
      </w:r>
      <w:bookmarkEnd w:id="10"/>
      <w:r w:rsidR="008E3CED" w:rsidRPr="00A0407B">
        <w:rPr>
          <w:szCs w:val="26"/>
        </w:rPr>
        <w:t>En este protocolo se prevé</w:t>
      </w:r>
      <w:r w:rsidR="00060BEE" w:rsidRPr="00A0407B">
        <w:rPr>
          <w:szCs w:val="26"/>
        </w:rPr>
        <w:t xml:space="preserve"> fundame</w:t>
      </w:r>
      <w:r w:rsidR="00060BEE" w:rsidRPr="00A0407B">
        <w:rPr>
          <w:szCs w:val="26"/>
        </w:rPr>
        <w:t>n</w:t>
      </w:r>
      <w:r w:rsidR="00060BEE" w:rsidRPr="00A0407B">
        <w:rPr>
          <w:szCs w:val="26"/>
        </w:rPr>
        <w:t>talmente</w:t>
      </w:r>
      <w:r w:rsidR="008E3CED" w:rsidRPr="00A0407B">
        <w:rPr>
          <w:szCs w:val="26"/>
        </w:rPr>
        <w:t xml:space="preserve"> la eliminación del bucle ferroviario</w:t>
      </w:r>
      <w:r w:rsidR="00060BEE" w:rsidRPr="00A0407B">
        <w:rPr>
          <w:szCs w:val="26"/>
        </w:rPr>
        <w:t xml:space="preserve"> de la Comarca de Pamplona y la construcción de la nueva estación</w:t>
      </w:r>
      <w:r w:rsidR="00A45287" w:rsidRPr="00A0407B">
        <w:rPr>
          <w:szCs w:val="26"/>
        </w:rPr>
        <w:t>.</w:t>
      </w:r>
    </w:p>
    <w:p w:rsidR="007A4B43" w:rsidRPr="00A0407B" w:rsidRDefault="007A4B43" w:rsidP="007A4B43">
      <w:pPr>
        <w:pStyle w:val="texto"/>
        <w:tabs>
          <w:tab w:val="clear" w:pos="2835"/>
          <w:tab w:val="clear" w:pos="3969"/>
          <w:tab w:val="clear" w:pos="5103"/>
          <w:tab w:val="clear" w:pos="6237"/>
          <w:tab w:val="clear" w:pos="7371"/>
        </w:tabs>
        <w:rPr>
          <w:szCs w:val="26"/>
        </w:rPr>
      </w:pPr>
      <w:r w:rsidRPr="00A0407B">
        <w:rPr>
          <w:szCs w:val="26"/>
        </w:rPr>
        <w:t>En diciembre de 2009, la Ley 26/2009 de Presupuestos Generales del Estado para 2010 señala la obligatoriedad de suscribir antes del 31 de marzo de 2010 el convenio que desarrolle el Protocolo General para la Construcción y Fina</w:t>
      </w:r>
      <w:r w:rsidRPr="00A0407B">
        <w:rPr>
          <w:szCs w:val="26"/>
        </w:rPr>
        <w:t>n</w:t>
      </w:r>
      <w:r w:rsidRPr="00A0407B">
        <w:rPr>
          <w:szCs w:val="26"/>
        </w:rPr>
        <w:t>ciación del Tren de Alta Velocidad, estableci</w:t>
      </w:r>
      <w:r w:rsidR="006237CA" w:rsidRPr="00A0407B">
        <w:rPr>
          <w:szCs w:val="26"/>
        </w:rPr>
        <w:t>é</w:t>
      </w:r>
      <w:r w:rsidRPr="00A0407B">
        <w:rPr>
          <w:szCs w:val="26"/>
        </w:rPr>
        <w:t>ndo</w:t>
      </w:r>
      <w:r w:rsidR="00A65438" w:rsidRPr="00A0407B">
        <w:rPr>
          <w:szCs w:val="26"/>
        </w:rPr>
        <w:t>se</w:t>
      </w:r>
      <w:r w:rsidRPr="00A0407B">
        <w:rPr>
          <w:szCs w:val="26"/>
        </w:rPr>
        <w:t xml:space="preserve"> los plazos de construcción de dicha línea y los procedimientos definitivos y compromisos de financiación de la parte de obra a construir por Navarra.</w:t>
      </w:r>
    </w:p>
    <w:p w:rsidR="007A4B43" w:rsidRPr="00F65C0B" w:rsidRDefault="007A4B43" w:rsidP="00AE5B1D">
      <w:pPr>
        <w:pStyle w:val="texto"/>
        <w:tabs>
          <w:tab w:val="clear" w:pos="2835"/>
          <w:tab w:val="clear" w:pos="3969"/>
          <w:tab w:val="clear" w:pos="5103"/>
          <w:tab w:val="clear" w:pos="6237"/>
          <w:tab w:val="clear" w:pos="7371"/>
        </w:tabs>
        <w:spacing w:after="240"/>
        <w:rPr>
          <w:szCs w:val="26"/>
        </w:rPr>
      </w:pPr>
      <w:r w:rsidRPr="00F65C0B">
        <w:rPr>
          <w:szCs w:val="26"/>
        </w:rPr>
        <w:t xml:space="preserve">El 30 de marzo de 2010, </w:t>
      </w:r>
      <w:r w:rsidR="00A65438" w:rsidRPr="00F65C0B">
        <w:rPr>
          <w:szCs w:val="26"/>
        </w:rPr>
        <w:t>el Ministerio de Fomento</w:t>
      </w:r>
      <w:r w:rsidRPr="00F65C0B">
        <w:rPr>
          <w:szCs w:val="26"/>
        </w:rPr>
        <w:t xml:space="preserve"> encomienda a ADIF  la construcción del tramo Castejón-Comarca de Pamplona, de la línea de Alta V</w:t>
      </w:r>
      <w:r w:rsidRPr="00F65C0B">
        <w:rPr>
          <w:szCs w:val="26"/>
        </w:rPr>
        <w:t>e</w:t>
      </w:r>
      <w:r w:rsidRPr="00F65C0B">
        <w:rPr>
          <w:szCs w:val="26"/>
        </w:rPr>
        <w:t>locidad Zaragoza-Pamplona, por lo que todas las actuaciones se realizarán a través de esta entidad.</w:t>
      </w:r>
    </w:p>
    <w:p w:rsidR="0066543A" w:rsidRPr="00A0407B" w:rsidRDefault="001D4273" w:rsidP="000F0638">
      <w:pPr>
        <w:pStyle w:val="atitulo2"/>
      </w:pPr>
      <w:bookmarkStart w:id="11" w:name="_Toc467480850"/>
      <w:r>
        <w:t xml:space="preserve">III.1. </w:t>
      </w:r>
      <w:r w:rsidR="0066543A" w:rsidRPr="00A0407B">
        <w:t>Tramo Castejón-Comarca de Pamplona (Es</w:t>
      </w:r>
      <w:r w:rsidR="00AF3D73" w:rsidRPr="00A0407B">
        <w:t>qu</w:t>
      </w:r>
      <w:r w:rsidR="00B4126E">
        <w:t>í</w:t>
      </w:r>
      <w:r w:rsidR="0066543A" w:rsidRPr="00A0407B">
        <w:t>roz)</w:t>
      </w:r>
      <w:bookmarkEnd w:id="11"/>
    </w:p>
    <w:p w:rsidR="007A4B43" w:rsidRPr="00A0407B" w:rsidRDefault="007A4B43" w:rsidP="00A65438">
      <w:pPr>
        <w:pStyle w:val="texto"/>
        <w:tabs>
          <w:tab w:val="clear" w:pos="2835"/>
          <w:tab w:val="clear" w:pos="3969"/>
          <w:tab w:val="clear" w:pos="5103"/>
          <w:tab w:val="clear" w:pos="6237"/>
          <w:tab w:val="clear" w:pos="7371"/>
        </w:tabs>
        <w:rPr>
          <w:szCs w:val="26"/>
        </w:rPr>
      </w:pPr>
      <w:r w:rsidRPr="00A0407B">
        <w:rPr>
          <w:szCs w:val="26"/>
        </w:rPr>
        <w:t>En desarrollo del primero de los protocolos</w:t>
      </w:r>
      <w:r w:rsidR="00A65438" w:rsidRPr="00A0407B">
        <w:rPr>
          <w:szCs w:val="26"/>
        </w:rPr>
        <w:t xml:space="preserve"> generales citados</w:t>
      </w:r>
      <w:r w:rsidRPr="00A0407B">
        <w:rPr>
          <w:szCs w:val="26"/>
        </w:rPr>
        <w:t>, e</w:t>
      </w:r>
      <w:r w:rsidR="00132DCA" w:rsidRPr="00A0407B">
        <w:rPr>
          <w:szCs w:val="26"/>
        </w:rPr>
        <w:t>l</w:t>
      </w:r>
      <w:r w:rsidRPr="00A0407B">
        <w:rPr>
          <w:szCs w:val="26"/>
        </w:rPr>
        <w:t xml:space="preserve"> 9 de abril de 2010</w:t>
      </w:r>
      <w:r w:rsidR="00A65438" w:rsidRPr="00A0407B">
        <w:rPr>
          <w:szCs w:val="26"/>
        </w:rPr>
        <w:t>,</w:t>
      </w:r>
      <w:r w:rsidRPr="00A0407B">
        <w:rPr>
          <w:szCs w:val="26"/>
        </w:rPr>
        <w:t xml:space="preserve"> se firman los siguientes convenios</w:t>
      </w:r>
      <w:r w:rsidR="0066543A" w:rsidRPr="00A0407B">
        <w:rPr>
          <w:szCs w:val="26"/>
        </w:rPr>
        <w:t xml:space="preserve"> relativos a este tramo</w:t>
      </w:r>
      <w:r w:rsidRPr="00A0407B">
        <w:rPr>
          <w:szCs w:val="26"/>
        </w:rPr>
        <w:t>:</w:t>
      </w:r>
    </w:p>
    <w:p w:rsidR="007A4B43" w:rsidRPr="00A0407B" w:rsidRDefault="00A45287" w:rsidP="00B4126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 </w:t>
      </w:r>
      <w:r w:rsidR="007A4B43" w:rsidRPr="00A0407B">
        <w:rPr>
          <w:szCs w:val="26"/>
        </w:rPr>
        <w:t>Convenio de colaboración entre la A</w:t>
      </w:r>
      <w:r w:rsidR="00A65438" w:rsidRPr="00A0407B">
        <w:rPr>
          <w:szCs w:val="26"/>
        </w:rPr>
        <w:t>GE</w:t>
      </w:r>
      <w:r w:rsidR="007A4B43" w:rsidRPr="00A0407B">
        <w:rPr>
          <w:szCs w:val="26"/>
        </w:rPr>
        <w:t>, la Administra</w:t>
      </w:r>
      <w:r w:rsidR="00A65438" w:rsidRPr="00A0407B">
        <w:rPr>
          <w:szCs w:val="26"/>
        </w:rPr>
        <w:t>ción de la C</w:t>
      </w:r>
      <w:r w:rsidR="00C00DA3" w:rsidRPr="00A0407B">
        <w:rPr>
          <w:szCs w:val="26"/>
        </w:rPr>
        <w:t>omun</w:t>
      </w:r>
      <w:r w:rsidR="00C00DA3" w:rsidRPr="00A0407B">
        <w:rPr>
          <w:szCs w:val="26"/>
        </w:rPr>
        <w:t>i</w:t>
      </w:r>
      <w:r w:rsidR="00C00DA3" w:rsidRPr="00A0407B">
        <w:rPr>
          <w:szCs w:val="26"/>
        </w:rPr>
        <w:t>dad Foral</w:t>
      </w:r>
      <w:r w:rsidR="00A65438" w:rsidRPr="00A0407B">
        <w:rPr>
          <w:szCs w:val="26"/>
        </w:rPr>
        <w:t xml:space="preserve"> y </w:t>
      </w:r>
      <w:r w:rsidR="007A4B43" w:rsidRPr="00A0407B">
        <w:rPr>
          <w:szCs w:val="26"/>
        </w:rPr>
        <w:t>A</w:t>
      </w:r>
      <w:r w:rsidR="00A65438" w:rsidRPr="00A0407B">
        <w:rPr>
          <w:szCs w:val="26"/>
        </w:rPr>
        <w:t>DIF</w:t>
      </w:r>
      <w:r w:rsidR="007A4B43" w:rsidRPr="00A0407B">
        <w:rPr>
          <w:szCs w:val="26"/>
        </w:rPr>
        <w:t>, para la construcción</w:t>
      </w:r>
      <w:r w:rsidR="00A65438" w:rsidRPr="00A0407B">
        <w:rPr>
          <w:szCs w:val="26"/>
        </w:rPr>
        <w:t>, en Navarra,</w:t>
      </w:r>
      <w:r w:rsidR="007A4B43" w:rsidRPr="00A0407B">
        <w:rPr>
          <w:szCs w:val="26"/>
        </w:rPr>
        <w:t xml:space="preserve"> de la</w:t>
      </w:r>
      <w:bookmarkStart w:id="12" w:name="tm_385745845"/>
      <w:r w:rsidR="007A4B43" w:rsidRPr="00A0407B">
        <w:rPr>
          <w:szCs w:val="26"/>
        </w:rPr>
        <w:t xml:space="preserve"> Línea de Alta Vel</w:t>
      </w:r>
      <w:r w:rsidR="007A4B43" w:rsidRPr="00A0407B">
        <w:rPr>
          <w:szCs w:val="26"/>
        </w:rPr>
        <w:t>o</w:t>
      </w:r>
      <w:r w:rsidR="007A4B43" w:rsidRPr="00A0407B">
        <w:rPr>
          <w:szCs w:val="26"/>
        </w:rPr>
        <w:t>cidad Zaragoza-Pamplona</w:t>
      </w:r>
      <w:bookmarkEnd w:id="12"/>
      <w:r w:rsidR="00085A30" w:rsidRPr="00A0407B">
        <w:rPr>
          <w:szCs w:val="26"/>
        </w:rPr>
        <w:t>, tramo Castejón-Comarca de Pamplona</w:t>
      </w:r>
      <w:r w:rsidR="00126917" w:rsidRPr="00A0407B">
        <w:rPr>
          <w:szCs w:val="26"/>
        </w:rPr>
        <w:t xml:space="preserve"> (Es</w:t>
      </w:r>
      <w:r w:rsidR="00AF3D73" w:rsidRPr="00A0407B">
        <w:rPr>
          <w:szCs w:val="26"/>
        </w:rPr>
        <w:t>qu</w:t>
      </w:r>
      <w:r w:rsidR="00E82B46">
        <w:rPr>
          <w:szCs w:val="26"/>
        </w:rPr>
        <w:t>í</w:t>
      </w:r>
      <w:r w:rsidR="00AF3D73" w:rsidRPr="00A0407B">
        <w:rPr>
          <w:szCs w:val="26"/>
        </w:rPr>
        <w:t>roz</w:t>
      </w:r>
      <w:r w:rsidR="00126917" w:rsidRPr="00A0407B">
        <w:rPr>
          <w:szCs w:val="26"/>
        </w:rPr>
        <w:t>)</w:t>
      </w:r>
      <w:r w:rsidR="007A4B43" w:rsidRPr="00A0407B">
        <w:rPr>
          <w:szCs w:val="26"/>
        </w:rPr>
        <w:t>.</w:t>
      </w:r>
      <w:r w:rsidR="00C00DA3" w:rsidRPr="00A0407B">
        <w:rPr>
          <w:szCs w:val="26"/>
        </w:rPr>
        <w:t xml:space="preserve"> En este convenio se fijan los términos y condiciones de cooperación entre a</w:t>
      </w:r>
      <w:r w:rsidR="00C00DA3" w:rsidRPr="00A0407B">
        <w:rPr>
          <w:szCs w:val="26"/>
        </w:rPr>
        <w:t>m</w:t>
      </w:r>
      <w:r w:rsidR="00C00DA3" w:rsidRPr="00A0407B">
        <w:rPr>
          <w:szCs w:val="26"/>
        </w:rPr>
        <w:t>bas administraciones para la construcción del citado tramo.</w:t>
      </w:r>
    </w:p>
    <w:p w:rsidR="007A4B43" w:rsidRPr="00A0407B" w:rsidRDefault="00A45287" w:rsidP="00B4126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 </w:t>
      </w:r>
      <w:r w:rsidR="007A4B43" w:rsidRPr="00A0407B">
        <w:rPr>
          <w:szCs w:val="26"/>
        </w:rPr>
        <w:t xml:space="preserve">Convenio de colaboración entre la </w:t>
      </w:r>
      <w:r w:rsidR="00A65438" w:rsidRPr="00A0407B">
        <w:rPr>
          <w:szCs w:val="26"/>
        </w:rPr>
        <w:t>AGE</w:t>
      </w:r>
      <w:r w:rsidR="007A4B43" w:rsidRPr="00A0407B">
        <w:rPr>
          <w:szCs w:val="26"/>
        </w:rPr>
        <w:t>, la Administra</w:t>
      </w:r>
      <w:r w:rsidR="00A65438" w:rsidRPr="00A0407B">
        <w:rPr>
          <w:szCs w:val="26"/>
        </w:rPr>
        <w:t xml:space="preserve">ción de la CFN y </w:t>
      </w:r>
      <w:r w:rsidR="007A4B43" w:rsidRPr="00A0407B">
        <w:rPr>
          <w:szCs w:val="26"/>
        </w:rPr>
        <w:t>A</w:t>
      </w:r>
      <w:r w:rsidR="00A65438" w:rsidRPr="00A0407B">
        <w:rPr>
          <w:szCs w:val="26"/>
        </w:rPr>
        <w:t xml:space="preserve">DIF </w:t>
      </w:r>
      <w:r w:rsidR="007A4B43" w:rsidRPr="00A0407B">
        <w:rPr>
          <w:szCs w:val="26"/>
        </w:rPr>
        <w:t xml:space="preserve">para la </w:t>
      </w:r>
      <w:r w:rsidR="00A65438" w:rsidRPr="00A0407B">
        <w:rPr>
          <w:szCs w:val="26"/>
        </w:rPr>
        <w:t>e</w:t>
      </w:r>
      <w:r w:rsidR="007A4B43" w:rsidRPr="00A0407B">
        <w:rPr>
          <w:szCs w:val="26"/>
        </w:rPr>
        <w:t>ncomienda de determinadas actuaciones de la línea de alta vel</w:t>
      </w:r>
      <w:r w:rsidR="007A4B43" w:rsidRPr="00A0407B">
        <w:rPr>
          <w:szCs w:val="26"/>
        </w:rPr>
        <w:t>o</w:t>
      </w:r>
      <w:r w:rsidR="007A4B43" w:rsidRPr="00A0407B">
        <w:rPr>
          <w:szCs w:val="26"/>
        </w:rPr>
        <w:t>cidad Zaragoza-Pamplona</w:t>
      </w:r>
      <w:r w:rsidR="00CD4139" w:rsidRPr="00A0407B">
        <w:rPr>
          <w:szCs w:val="26"/>
        </w:rPr>
        <w:t>, entre Castejón y la Comarca de Pamplona.</w:t>
      </w:r>
      <w:r w:rsidR="00C00DA3" w:rsidRPr="00A0407B">
        <w:rPr>
          <w:szCs w:val="26"/>
        </w:rPr>
        <w:t xml:space="preserve"> Este convenio tiene por objeto regular las condiciones de la encomienda del Estado a la Comunidad Foral en la redacción de proyectos constructivos, la dirección </w:t>
      </w:r>
      <w:r w:rsidR="00C00DA3" w:rsidRPr="00A0407B">
        <w:rPr>
          <w:szCs w:val="26"/>
        </w:rPr>
        <w:lastRenderedPageBreak/>
        <w:t>de obra, la contratación y ejecución de las obras y la colaboración en las expr</w:t>
      </w:r>
      <w:r w:rsidR="00C00DA3" w:rsidRPr="00A0407B">
        <w:rPr>
          <w:szCs w:val="26"/>
        </w:rPr>
        <w:t>o</w:t>
      </w:r>
      <w:r w:rsidR="00C00DA3" w:rsidRPr="00A0407B">
        <w:rPr>
          <w:szCs w:val="26"/>
        </w:rPr>
        <w:t>piaciones.</w:t>
      </w:r>
    </w:p>
    <w:p w:rsidR="007A4B43" w:rsidRPr="00AE5B1D" w:rsidRDefault="007A4B43" w:rsidP="00A65438">
      <w:pPr>
        <w:pStyle w:val="texto"/>
        <w:tabs>
          <w:tab w:val="clear" w:pos="2835"/>
          <w:tab w:val="clear" w:pos="3969"/>
          <w:tab w:val="clear" w:pos="5103"/>
          <w:tab w:val="clear" w:pos="6237"/>
          <w:tab w:val="clear" w:pos="7371"/>
        </w:tabs>
        <w:rPr>
          <w:spacing w:val="-2"/>
          <w:szCs w:val="26"/>
        </w:rPr>
      </w:pPr>
      <w:r w:rsidRPr="00AE5B1D">
        <w:rPr>
          <w:spacing w:val="-2"/>
          <w:szCs w:val="26"/>
        </w:rPr>
        <w:t>En estos documentos se definen las actuaciones a realizar de la siguiente manera:</w:t>
      </w:r>
    </w:p>
    <w:p w:rsidR="007A4B43" w:rsidRPr="00A0407B"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 xml:space="preserve">Tanto en el </w:t>
      </w:r>
      <w:r w:rsidR="003212D8">
        <w:rPr>
          <w:szCs w:val="26"/>
          <w:lang w:val="es-ES"/>
        </w:rPr>
        <w:t>p</w:t>
      </w:r>
      <w:r w:rsidRPr="00A0407B">
        <w:rPr>
          <w:szCs w:val="26"/>
          <w:lang w:val="es-ES"/>
        </w:rPr>
        <w:t xml:space="preserve">rotocolo como en el </w:t>
      </w:r>
      <w:r w:rsidR="003212D8">
        <w:rPr>
          <w:szCs w:val="26"/>
          <w:lang w:val="es-ES"/>
        </w:rPr>
        <w:t>c</w:t>
      </w:r>
      <w:r w:rsidRPr="00A0407B">
        <w:rPr>
          <w:szCs w:val="26"/>
          <w:lang w:val="es-ES"/>
        </w:rPr>
        <w:t>onvenio se establece que la nueva línea se proyectará y construirá para el tráfico mixto de viajeros y mercancías.</w:t>
      </w:r>
    </w:p>
    <w:p w:rsidR="007A4B43" w:rsidRPr="009729B8"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9729B8">
        <w:rPr>
          <w:szCs w:val="26"/>
          <w:lang w:val="es-ES"/>
        </w:rPr>
        <w:t>En cuanto a su definición técnica y funcional, el Estudio Informativo del tramo Castejón-Comarca de Pamplona fue aprobado por el Ministerio de F</w:t>
      </w:r>
      <w:r w:rsidRPr="009729B8">
        <w:rPr>
          <w:szCs w:val="26"/>
          <w:lang w:val="es-ES"/>
        </w:rPr>
        <w:t>o</w:t>
      </w:r>
      <w:r w:rsidRPr="009729B8">
        <w:rPr>
          <w:szCs w:val="26"/>
          <w:lang w:val="es-ES"/>
        </w:rPr>
        <w:t>mento mediante Resolución de 21 de julio de 2004</w:t>
      </w:r>
      <w:r w:rsidR="00C619A6" w:rsidRPr="009729B8">
        <w:rPr>
          <w:szCs w:val="26"/>
          <w:lang w:val="es-ES"/>
        </w:rPr>
        <w:t>.</w:t>
      </w:r>
      <w:r w:rsidR="002E620D" w:rsidRPr="009729B8">
        <w:rPr>
          <w:szCs w:val="26"/>
          <w:lang w:val="es-ES"/>
        </w:rPr>
        <w:t xml:space="preserve"> </w:t>
      </w:r>
      <w:r w:rsidR="00297E21" w:rsidRPr="009729B8">
        <w:rPr>
          <w:szCs w:val="26"/>
          <w:lang w:val="es-ES"/>
        </w:rPr>
        <w:t>En este Estudio</w:t>
      </w:r>
      <w:r w:rsidR="002E620D" w:rsidRPr="009729B8">
        <w:rPr>
          <w:szCs w:val="26"/>
          <w:lang w:val="es-ES"/>
        </w:rPr>
        <w:t xml:space="preserve"> solo se prev</w:t>
      </w:r>
      <w:r w:rsidR="003212D8" w:rsidRPr="009729B8">
        <w:rPr>
          <w:szCs w:val="26"/>
          <w:lang w:val="es-ES"/>
        </w:rPr>
        <w:t>é</w:t>
      </w:r>
      <w:r w:rsidR="002E620D" w:rsidRPr="009729B8">
        <w:rPr>
          <w:szCs w:val="26"/>
          <w:lang w:val="es-ES"/>
        </w:rPr>
        <w:t xml:space="preserve"> el diseño para el tráfico de viajeros </w:t>
      </w:r>
      <w:r w:rsidR="003212D8" w:rsidRPr="009729B8">
        <w:rPr>
          <w:szCs w:val="26"/>
          <w:lang w:val="es-ES"/>
        </w:rPr>
        <w:t>e incluye</w:t>
      </w:r>
      <w:r w:rsidR="002E620D" w:rsidRPr="009729B8">
        <w:rPr>
          <w:szCs w:val="26"/>
          <w:lang w:val="es-ES"/>
        </w:rPr>
        <w:t xml:space="preserve"> el llamado tramo 0 (cruce del río Ebro en Castejón)</w:t>
      </w:r>
      <w:r w:rsidR="00571D68" w:rsidRPr="009729B8">
        <w:rPr>
          <w:szCs w:val="26"/>
          <w:lang w:val="es-ES"/>
        </w:rPr>
        <w:t xml:space="preserve">, </w:t>
      </w:r>
      <w:r w:rsidR="003212D8" w:rsidRPr="009729B8">
        <w:rPr>
          <w:szCs w:val="26"/>
          <w:lang w:val="es-ES"/>
        </w:rPr>
        <w:t xml:space="preserve">tramo que </w:t>
      </w:r>
      <w:r w:rsidR="00571D68" w:rsidRPr="009729B8">
        <w:rPr>
          <w:szCs w:val="26"/>
          <w:lang w:val="es-ES"/>
        </w:rPr>
        <w:t>posteriormente</w:t>
      </w:r>
      <w:r w:rsidR="003212D8" w:rsidRPr="009729B8">
        <w:rPr>
          <w:szCs w:val="26"/>
          <w:lang w:val="es-ES"/>
        </w:rPr>
        <w:t xml:space="preserve"> no se considera en el co</w:t>
      </w:r>
      <w:r w:rsidR="003212D8" w:rsidRPr="009729B8">
        <w:rPr>
          <w:szCs w:val="26"/>
          <w:lang w:val="es-ES"/>
        </w:rPr>
        <w:t>n</w:t>
      </w:r>
      <w:r w:rsidR="003212D8" w:rsidRPr="009729B8">
        <w:rPr>
          <w:szCs w:val="26"/>
          <w:lang w:val="es-ES"/>
        </w:rPr>
        <w:t>venio.</w:t>
      </w:r>
    </w:p>
    <w:p w:rsidR="007A4B43" w:rsidRPr="00A0407B"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Según el convenio, la Administración Foral se responsabilizará de la r</w:t>
      </w:r>
      <w:r w:rsidRPr="00A0407B">
        <w:rPr>
          <w:szCs w:val="26"/>
          <w:lang w:val="es-ES"/>
        </w:rPr>
        <w:t>e</w:t>
      </w:r>
      <w:r w:rsidRPr="00A0407B">
        <w:rPr>
          <w:szCs w:val="26"/>
          <w:lang w:val="es-ES"/>
        </w:rPr>
        <w:t xml:space="preserve">dacción de los proyectos constructivos y de la ejecución de las obras de </w:t>
      </w:r>
      <w:r w:rsidR="00085A30" w:rsidRPr="00A0407B">
        <w:rPr>
          <w:szCs w:val="26"/>
          <w:lang w:val="es-ES"/>
        </w:rPr>
        <w:t>la</w:t>
      </w:r>
      <w:r w:rsidR="00085A30" w:rsidRPr="00A0407B">
        <w:rPr>
          <w:b/>
          <w:szCs w:val="26"/>
          <w:lang w:val="es-ES"/>
        </w:rPr>
        <w:t xml:space="preserve"> pl</w:t>
      </w:r>
      <w:r w:rsidR="00085A30" w:rsidRPr="00A0407B">
        <w:rPr>
          <w:b/>
          <w:szCs w:val="26"/>
          <w:lang w:val="es-ES"/>
        </w:rPr>
        <w:t>a</w:t>
      </w:r>
      <w:r w:rsidR="00085A30" w:rsidRPr="00A0407B">
        <w:rPr>
          <w:b/>
          <w:szCs w:val="26"/>
          <w:lang w:val="es-ES"/>
        </w:rPr>
        <w:t>taforma</w:t>
      </w:r>
      <w:r w:rsidRPr="00A0407B">
        <w:rPr>
          <w:szCs w:val="26"/>
          <w:lang w:val="es-ES"/>
        </w:rPr>
        <w:t xml:space="preserve"> de la línea de alta velocidad entre Castejón y la Comarca de Pampl</w:t>
      </w:r>
      <w:r w:rsidRPr="00A0407B">
        <w:rPr>
          <w:szCs w:val="26"/>
          <w:lang w:val="es-ES"/>
        </w:rPr>
        <w:t>o</w:t>
      </w:r>
      <w:r w:rsidRPr="00A0407B">
        <w:rPr>
          <w:szCs w:val="26"/>
          <w:lang w:val="es-ES"/>
        </w:rPr>
        <w:t>na, hasta la nueva estación de alta velocidad (69,89 kilómetros de longitud), i</w:t>
      </w:r>
      <w:r w:rsidRPr="00A0407B">
        <w:rPr>
          <w:szCs w:val="26"/>
          <w:lang w:val="es-ES"/>
        </w:rPr>
        <w:t>n</w:t>
      </w:r>
      <w:r w:rsidRPr="00A0407B">
        <w:rPr>
          <w:szCs w:val="26"/>
          <w:lang w:val="es-ES"/>
        </w:rPr>
        <w:t xml:space="preserve">cluyendo su dirección facultativa. </w:t>
      </w:r>
    </w:p>
    <w:p w:rsidR="007A4B43" w:rsidRPr="00A0407B" w:rsidRDefault="007A4B43" w:rsidP="00085A30">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 xml:space="preserve">Por su parte, el Ministerio de Fomento, a través de ADIF, se hará cargo de la redacción de los proyectos constructivos y de la ejecución de las obras de </w:t>
      </w:r>
      <w:r w:rsidR="00085A30" w:rsidRPr="00E82B46">
        <w:rPr>
          <w:b/>
          <w:szCs w:val="26"/>
          <w:lang w:val="es-ES"/>
        </w:rPr>
        <w:t>s</w:t>
      </w:r>
      <w:r w:rsidR="00085A30" w:rsidRPr="00E82B46">
        <w:rPr>
          <w:b/>
          <w:szCs w:val="26"/>
          <w:lang w:val="es-ES"/>
        </w:rPr>
        <w:t>u</w:t>
      </w:r>
      <w:r w:rsidR="00085A30" w:rsidRPr="00A0407B">
        <w:rPr>
          <w:b/>
          <w:szCs w:val="26"/>
          <w:lang w:val="es-ES"/>
        </w:rPr>
        <w:t>perestructura</w:t>
      </w:r>
      <w:r w:rsidRPr="00A0407B">
        <w:rPr>
          <w:szCs w:val="26"/>
          <w:lang w:val="es-ES"/>
        </w:rPr>
        <w:t xml:space="preserve"> </w:t>
      </w:r>
      <w:r w:rsidR="00085A30" w:rsidRPr="00A0407B">
        <w:rPr>
          <w:szCs w:val="26"/>
          <w:lang w:val="es-ES"/>
        </w:rPr>
        <w:t xml:space="preserve">(vía, electrificación, señalización, subestaciones, instalaciones de sistemas de seguridad y telecomunicaciones) </w:t>
      </w:r>
      <w:r w:rsidRPr="00A0407B">
        <w:rPr>
          <w:szCs w:val="26"/>
          <w:lang w:val="es-ES"/>
        </w:rPr>
        <w:t xml:space="preserve">entre Castejón y la Comarca de Pamplona, así como de la </w:t>
      </w:r>
      <w:r w:rsidR="00132DCA" w:rsidRPr="00A0407B">
        <w:rPr>
          <w:szCs w:val="26"/>
          <w:lang w:val="es-ES"/>
        </w:rPr>
        <w:t>d</w:t>
      </w:r>
      <w:r w:rsidRPr="00A0407B">
        <w:rPr>
          <w:szCs w:val="26"/>
          <w:lang w:val="es-ES"/>
        </w:rPr>
        <w:t xml:space="preserve">irección de </w:t>
      </w:r>
      <w:r w:rsidR="00132DCA" w:rsidRPr="00A0407B">
        <w:rPr>
          <w:szCs w:val="26"/>
          <w:lang w:val="es-ES"/>
        </w:rPr>
        <w:t>o</w:t>
      </w:r>
      <w:r w:rsidRPr="00A0407B">
        <w:rPr>
          <w:szCs w:val="26"/>
          <w:lang w:val="es-ES"/>
        </w:rPr>
        <w:t>bra.</w:t>
      </w:r>
    </w:p>
    <w:p w:rsidR="007A4B43" w:rsidRPr="00A0407B"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En cuanto a las expropiaciones, la administración expropiante es el Estado, y ADIF el beneficiario de la expropiación. La CFN colaborará en la gestión administrativa de tramitación de los expedientes expropiatorios, sufragando a su costa la apertura de una oficina de gestión del proceso expropiatorio.</w:t>
      </w:r>
    </w:p>
    <w:p w:rsidR="007A4B43" w:rsidRPr="00571D68"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571D68">
        <w:rPr>
          <w:szCs w:val="26"/>
          <w:lang w:val="es-ES"/>
        </w:rPr>
        <w:t>En todo caso la responsabilidad de la obra corresponde al Estado, por lo que las actuaciones del G</w:t>
      </w:r>
      <w:r w:rsidR="00085A30" w:rsidRPr="00571D68">
        <w:rPr>
          <w:szCs w:val="26"/>
          <w:lang w:val="es-ES"/>
        </w:rPr>
        <w:t>obierno de Navarra</w:t>
      </w:r>
      <w:r w:rsidRPr="00571D68">
        <w:rPr>
          <w:szCs w:val="26"/>
          <w:lang w:val="es-ES"/>
        </w:rPr>
        <w:t xml:space="preserve"> se realizan en virtud de la corre</w:t>
      </w:r>
      <w:r w:rsidRPr="00571D68">
        <w:rPr>
          <w:szCs w:val="26"/>
          <w:lang w:val="es-ES"/>
        </w:rPr>
        <w:t>s</w:t>
      </w:r>
      <w:r w:rsidRPr="00571D68">
        <w:rPr>
          <w:szCs w:val="26"/>
          <w:lang w:val="es-ES"/>
        </w:rPr>
        <w:t>pondiente encomienda de ADIF</w:t>
      </w:r>
      <w:r w:rsidR="00CD4139" w:rsidRPr="00571D68">
        <w:footnoteReference w:id="3"/>
      </w:r>
      <w:r w:rsidRPr="00571D68">
        <w:rPr>
          <w:szCs w:val="26"/>
          <w:lang w:val="es-ES"/>
        </w:rPr>
        <w:t>. Las condiciones de la encomienda se regulan en el Convenio de colaboración para la encomienda, citado</w:t>
      </w:r>
      <w:r w:rsidR="006A5B1A" w:rsidRPr="00571D68">
        <w:rPr>
          <w:szCs w:val="26"/>
          <w:lang w:val="es-ES"/>
        </w:rPr>
        <w:t xml:space="preserve"> en párrafos anteri</w:t>
      </w:r>
      <w:r w:rsidR="006A5B1A" w:rsidRPr="00571D68">
        <w:rPr>
          <w:szCs w:val="26"/>
          <w:lang w:val="es-ES"/>
        </w:rPr>
        <w:t>o</w:t>
      </w:r>
      <w:r w:rsidR="006A5B1A" w:rsidRPr="00571D68">
        <w:rPr>
          <w:szCs w:val="26"/>
          <w:lang w:val="es-ES"/>
        </w:rPr>
        <w:t>res</w:t>
      </w:r>
      <w:r w:rsidRPr="00571D68">
        <w:rPr>
          <w:szCs w:val="26"/>
          <w:lang w:val="es-ES"/>
        </w:rPr>
        <w:t>.</w:t>
      </w:r>
    </w:p>
    <w:p w:rsidR="007A4B43" w:rsidRPr="00571D68" w:rsidRDefault="007A4B43" w:rsidP="00085A3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571D68">
        <w:rPr>
          <w:szCs w:val="26"/>
          <w:lang w:val="es-ES"/>
        </w:rPr>
        <w:t>El Estado (ADIF) en su condición de titular de la infraestructura, deberá supervisar y aprobar la totalidad de los proyectos constructivos y sus modific</w:t>
      </w:r>
      <w:r w:rsidRPr="00571D68">
        <w:rPr>
          <w:szCs w:val="26"/>
          <w:lang w:val="es-ES"/>
        </w:rPr>
        <w:t>a</w:t>
      </w:r>
      <w:r w:rsidRPr="00571D68">
        <w:rPr>
          <w:szCs w:val="26"/>
          <w:lang w:val="es-ES"/>
        </w:rPr>
        <w:t>ciones, así como ejercer las funciones de supervisión y la recepción de las obras.</w:t>
      </w:r>
    </w:p>
    <w:p w:rsidR="002B4431" w:rsidRDefault="002B4431">
      <w:pPr>
        <w:spacing w:after="0"/>
        <w:ind w:firstLine="0"/>
        <w:jc w:val="left"/>
        <w:rPr>
          <w:spacing w:val="6"/>
          <w:sz w:val="26"/>
          <w:szCs w:val="26"/>
          <w:lang w:val="es-ES"/>
        </w:rPr>
      </w:pPr>
      <w:r>
        <w:rPr>
          <w:szCs w:val="26"/>
          <w:lang w:val="es-ES"/>
        </w:rPr>
        <w:br w:type="page"/>
      </w:r>
    </w:p>
    <w:p w:rsidR="00085A30" w:rsidRDefault="007A4B43" w:rsidP="00B14DF7">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89"/>
        <w:rPr>
          <w:szCs w:val="26"/>
          <w:lang w:val="es-ES"/>
        </w:rPr>
      </w:pPr>
      <w:r w:rsidRPr="00A0407B">
        <w:rPr>
          <w:szCs w:val="26"/>
          <w:lang w:val="es-ES"/>
        </w:rPr>
        <w:lastRenderedPageBreak/>
        <w:t>El coste máximo estimado de las actuaciones a realizar por ambas entid</w:t>
      </w:r>
      <w:r w:rsidRPr="00A0407B">
        <w:rPr>
          <w:szCs w:val="26"/>
          <w:lang w:val="es-ES"/>
        </w:rPr>
        <w:t>a</w:t>
      </w:r>
      <w:r w:rsidRPr="00A0407B">
        <w:rPr>
          <w:szCs w:val="26"/>
          <w:lang w:val="es-ES"/>
        </w:rPr>
        <w:t>des se establece en 675 millones de euros, incluyendo el IVA (</w:t>
      </w:r>
      <w:r w:rsidR="00DD0C58" w:rsidRPr="00A0407B">
        <w:rPr>
          <w:szCs w:val="26"/>
          <w:lang w:val="es-ES"/>
        </w:rPr>
        <w:t xml:space="preserve">tipo del </w:t>
      </w:r>
      <w:r w:rsidRPr="00A0407B">
        <w:rPr>
          <w:szCs w:val="26"/>
          <w:lang w:val="es-ES"/>
        </w:rPr>
        <w:t>16%</w:t>
      </w:r>
      <w:r w:rsidR="00DD0C58" w:rsidRPr="00A0407B">
        <w:rPr>
          <w:szCs w:val="26"/>
          <w:lang w:val="es-ES"/>
        </w:rPr>
        <w:t>, vigente a la firma del convenio</w:t>
      </w:r>
      <w:r w:rsidRPr="00A0407B">
        <w:rPr>
          <w:szCs w:val="26"/>
          <w:lang w:val="es-ES"/>
        </w:rPr>
        <w:t>), distribuidos de la siguiente forma:</w:t>
      </w:r>
    </w:p>
    <w:p w:rsidR="00B14DF7" w:rsidRPr="00B14DF7" w:rsidRDefault="00B14DF7" w:rsidP="00B14DF7">
      <w:pPr>
        <w:pStyle w:val="texto"/>
        <w:tabs>
          <w:tab w:val="clear" w:pos="2835"/>
          <w:tab w:val="clear" w:pos="3969"/>
          <w:tab w:val="clear" w:pos="5103"/>
          <w:tab w:val="clear" w:pos="6237"/>
          <w:tab w:val="clear" w:pos="7371"/>
          <w:tab w:val="left" w:pos="480"/>
          <w:tab w:val="num" w:pos="4920"/>
        </w:tabs>
        <w:spacing w:after="40"/>
        <w:jc w:val="right"/>
        <w:rPr>
          <w:rFonts w:ascii="Arial Narrow" w:hAnsi="Arial Narrow"/>
          <w:sz w:val="18"/>
          <w:szCs w:val="18"/>
          <w:lang w:val="es-ES"/>
        </w:rPr>
      </w:pPr>
      <w:r w:rsidRPr="00B14DF7">
        <w:rPr>
          <w:rFonts w:ascii="Arial Narrow" w:hAnsi="Arial Narrow"/>
          <w:sz w:val="18"/>
          <w:szCs w:val="18"/>
          <w:lang w:val="es-ES"/>
        </w:rPr>
        <w:t>(Millones de euros)</w:t>
      </w:r>
    </w:p>
    <w:tbl>
      <w:tblPr>
        <w:tblW w:w="8789" w:type="dxa"/>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5536"/>
        <w:gridCol w:w="3253"/>
      </w:tblGrid>
      <w:tr w:rsidR="00085A30" w:rsidRPr="00BB38DA" w:rsidTr="002B4431">
        <w:trPr>
          <w:trHeight w:hRule="exact" w:val="284"/>
        </w:trPr>
        <w:tc>
          <w:tcPr>
            <w:tcW w:w="5536" w:type="dxa"/>
            <w:tcBorders>
              <w:top w:val="single" w:sz="4" w:space="0" w:color="auto"/>
              <w:bottom w:val="single" w:sz="4" w:space="0" w:color="auto"/>
            </w:tcBorders>
            <w:shd w:val="clear" w:color="auto" w:fill="A8CBEE" w:themeFill="accent2" w:themeFillTint="66"/>
            <w:noWrap/>
            <w:vAlign w:val="center"/>
          </w:tcPr>
          <w:p w:rsidR="00085A30" w:rsidRPr="00E351AE" w:rsidRDefault="00085A30" w:rsidP="00AF3D73">
            <w:pPr>
              <w:pStyle w:val="cuadroCabe"/>
              <w:jc w:val="left"/>
              <w:rPr>
                <w:rFonts w:cs="Arial"/>
              </w:rPr>
            </w:pPr>
            <w:r w:rsidRPr="00E351AE">
              <w:rPr>
                <w:rFonts w:cs="Arial"/>
              </w:rPr>
              <w:t>TAV</w:t>
            </w:r>
            <w:r>
              <w:rPr>
                <w:rFonts w:cs="Arial"/>
              </w:rPr>
              <w:t>- Castejón/</w:t>
            </w:r>
            <w:r w:rsidR="00126917">
              <w:rPr>
                <w:rFonts w:cs="Arial"/>
              </w:rPr>
              <w:t>Es</w:t>
            </w:r>
            <w:r w:rsidR="00AF3D73">
              <w:rPr>
                <w:rFonts w:cs="Arial"/>
              </w:rPr>
              <w:t>quíroz</w:t>
            </w:r>
          </w:p>
        </w:tc>
        <w:tc>
          <w:tcPr>
            <w:tcW w:w="3253" w:type="dxa"/>
            <w:tcBorders>
              <w:top w:val="single" w:sz="4" w:space="0" w:color="auto"/>
              <w:bottom w:val="single" w:sz="4" w:space="0" w:color="auto"/>
            </w:tcBorders>
            <w:shd w:val="clear" w:color="auto" w:fill="A8CBEE" w:themeFill="accent2" w:themeFillTint="66"/>
            <w:noWrap/>
            <w:vAlign w:val="center"/>
          </w:tcPr>
          <w:p w:rsidR="00085A30" w:rsidRPr="00E351AE" w:rsidRDefault="00085A30" w:rsidP="00B14DF7">
            <w:pPr>
              <w:pStyle w:val="cuadroCabe"/>
              <w:jc w:val="right"/>
              <w:rPr>
                <w:rFonts w:cs="Arial"/>
              </w:rPr>
            </w:pPr>
            <w:r w:rsidRPr="00E351AE">
              <w:rPr>
                <w:rFonts w:cs="Arial"/>
              </w:rPr>
              <w:t>Importe</w:t>
            </w:r>
          </w:p>
        </w:tc>
      </w:tr>
      <w:tr w:rsidR="00085A30" w:rsidRPr="00BB38DA" w:rsidTr="002B4431">
        <w:trPr>
          <w:trHeight w:hRule="exact" w:val="284"/>
        </w:trPr>
        <w:tc>
          <w:tcPr>
            <w:tcW w:w="5536" w:type="dxa"/>
            <w:tcBorders>
              <w:top w:val="single" w:sz="4" w:space="0" w:color="auto"/>
              <w:bottom w:val="single" w:sz="2" w:space="0" w:color="auto"/>
            </w:tcBorders>
            <w:noWrap/>
            <w:vAlign w:val="center"/>
          </w:tcPr>
          <w:p w:rsidR="00085A30" w:rsidRPr="00E351AE" w:rsidRDefault="00085A30"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Plataforma</w:t>
            </w:r>
          </w:p>
        </w:tc>
        <w:tc>
          <w:tcPr>
            <w:tcW w:w="3253" w:type="dxa"/>
            <w:tcBorders>
              <w:top w:val="single" w:sz="4" w:space="0" w:color="auto"/>
              <w:bottom w:val="single" w:sz="2" w:space="0" w:color="auto"/>
            </w:tcBorders>
            <w:noWrap/>
            <w:vAlign w:val="center"/>
          </w:tcPr>
          <w:p w:rsidR="00085A30" w:rsidRPr="00E351AE" w:rsidRDefault="00085A30"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362,65</w:t>
            </w:r>
          </w:p>
        </w:tc>
      </w:tr>
      <w:tr w:rsidR="00085A30" w:rsidRPr="00BB38DA" w:rsidTr="002B4431">
        <w:trPr>
          <w:trHeight w:hRule="exact" w:val="284"/>
        </w:trPr>
        <w:tc>
          <w:tcPr>
            <w:tcW w:w="5536" w:type="dxa"/>
            <w:tcBorders>
              <w:top w:val="single" w:sz="2" w:space="0" w:color="auto"/>
              <w:bottom w:val="single" w:sz="2" w:space="0" w:color="auto"/>
            </w:tcBorders>
            <w:noWrap/>
            <w:vAlign w:val="center"/>
          </w:tcPr>
          <w:p w:rsidR="00085A30" w:rsidRPr="00E351AE" w:rsidRDefault="00085A30"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Expropiaciones</w:t>
            </w:r>
          </w:p>
        </w:tc>
        <w:tc>
          <w:tcPr>
            <w:tcW w:w="3253" w:type="dxa"/>
            <w:tcBorders>
              <w:top w:val="single" w:sz="2" w:space="0" w:color="auto"/>
              <w:bottom w:val="single" w:sz="2" w:space="0" w:color="auto"/>
            </w:tcBorders>
            <w:noWrap/>
            <w:vAlign w:val="center"/>
          </w:tcPr>
          <w:p w:rsidR="00085A30" w:rsidRPr="00E351AE" w:rsidRDefault="00085A30"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10</w:t>
            </w:r>
            <w:r>
              <w:rPr>
                <w:rFonts w:ascii="Arial Narrow" w:hAnsi="Arial Narrow" w:cs="Arial"/>
                <w:sz w:val="18"/>
                <w:szCs w:val="18"/>
                <w:lang w:val="es-ES" w:eastAsia="es-ES"/>
              </w:rPr>
              <w:t>,00</w:t>
            </w:r>
          </w:p>
        </w:tc>
      </w:tr>
      <w:tr w:rsidR="00085A30" w:rsidRPr="00BB38DA" w:rsidTr="002B4431">
        <w:trPr>
          <w:trHeight w:hRule="exact" w:val="284"/>
        </w:trPr>
        <w:tc>
          <w:tcPr>
            <w:tcW w:w="5536" w:type="dxa"/>
            <w:tcBorders>
              <w:top w:val="single" w:sz="2" w:space="0" w:color="auto"/>
              <w:bottom w:val="single" w:sz="2" w:space="0" w:color="auto"/>
            </w:tcBorders>
            <w:noWrap/>
            <w:vAlign w:val="center"/>
          </w:tcPr>
          <w:p w:rsidR="00085A30" w:rsidRPr="00E351AE" w:rsidRDefault="00085A30"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Redacción Proyectos, supervisión y DO Plataforma</w:t>
            </w:r>
          </w:p>
        </w:tc>
        <w:tc>
          <w:tcPr>
            <w:tcW w:w="3253" w:type="dxa"/>
            <w:tcBorders>
              <w:top w:val="single" w:sz="2" w:space="0" w:color="auto"/>
              <w:bottom w:val="single" w:sz="2" w:space="0" w:color="auto"/>
            </w:tcBorders>
            <w:noWrap/>
            <w:vAlign w:val="center"/>
          </w:tcPr>
          <w:p w:rsidR="00085A30" w:rsidRPr="00E351AE" w:rsidRDefault="00085A30"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w:t>
            </w:r>
            <w:r>
              <w:rPr>
                <w:rFonts w:ascii="Arial Narrow" w:hAnsi="Arial Narrow" w:cs="Arial"/>
                <w:sz w:val="18"/>
                <w:szCs w:val="18"/>
                <w:lang w:val="es-ES" w:eastAsia="es-ES"/>
              </w:rPr>
              <w:t>,00</w:t>
            </w:r>
          </w:p>
        </w:tc>
      </w:tr>
      <w:tr w:rsidR="00085A30" w:rsidRPr="00BB38DA" w:rsidTr="002B4431">
        <w:trPr>
          <w:trHeight w:hRule="exact" w:val="284"/>
        </w:trPr>
        <w:tc>
          <w:tcPr>
            <w:tcW w:w="5536" w:type="dxa"/>
            <w:tcBorders>
              <w:top w:val="single" w:sz="2" w:space="0" w:color="auto"/>
              <w:bottom w:val="single" w:sz="2" w:space="0" w:color="auto"/>
            </w:tcBorders>
            <w:shd w:val="clear" w:color="auto" w:fill="auto"/>
            <w:noWrap/>
            <w:vAlign w:val="center"/>
          </w:tcPr>
          <w:p w:rsidR="00085A30" w:rsidRPr="00E351AE" w:rsidRDefault="00085A30" w:rsidP="0066543A">
            <w:pPr>
              <w:spacing w:after="0"/>
              <w:ind w:firstLine="0"/>
              <w:jc w:val="left"/>
              <w:rPr>
                <w:rFonts w:ascii="Arial Narrow" w:hAnsi="Arial Narrow" w:cs="Arial"/>
                <w:b/>
                <w:sz w:val="18"/>
                <w:szCs w:val="18"/>
                <w:lang w:val="es-ES" w:eastAsia="es-ES"/>
              </w:rPr>
            </w:pPr>
            <w:r w:rsidRPr="00E351AE">
              <w:rPr>
                <w:rFonts w:ascii="Arial Narrow" w:hAnsi="Arial Narrow" w:cs="Arial"/>
                <w:b/>
                <w:sz w:val="18"/>
                <w:szCs w:val="18"/>
                <w:lang w:val="es-ES" w:eastAsia="es-ES"/>
              </w:rPr>
              <w:t>Total Gobierno de Navarra</w:t>
            </w:r>
          </w:p>
        </w:tc>
        <w:tc>
          <w:tcPr>
            <w:tcW w:w="3253" w:type="dxa"/>
            <w:tcBorders>
              <w:top w:val="single" w:sz="2" w:space="0" w:color="auto"/>
              <w:bottom w:val="single" w:sz="2" w:space="0" w:color="auto"/>
            </w:tcBorders>
            <w:shd w:val="clear" w:color="auto" w:fill="auto"/>
            <w:noWrap/>
            <w:vAlign w:val="center"/>
          </w:tcPr>
          <w:p w:rsidR="00085A30" w:rsidRPr="00E351AE" w:rsidRDefault="00085A30" w:rsidP="0066543A">
            <w:pPr>
              <w:spacing w:after="0"/>
              <w:ind w:firstLine="0"/>
              <w:jc w:val="right"/>
              <w:rPr>
                <w:rFonts w:ascii="Arial Narrow" w:hAnsi="Arial Narrow" w:cs="Arial"/>
                <w:b/>
                <w:sz w:val="18"/>
                <w:szCs w:val="18"/>
                <w:lang w:val="es-ES" w:eastAsia="es-ES"/>
              </w:rPr>
            </w:pPr>
            <w:r w:rsidRPr="00E351AE">
              <w:rPr>
                <w:rFonts w:ascii="Arial Narrow" w:hAnsi="Arial Narrow" w:cs="Arial"/>
                <w:b/>
                <w:sz w:val="18"/>
                <w:szCs w:val="18"/>
                <w:lang w:val="es-ES" w:eastAsia="es-ES"/>
              </w:rPr>
              <w:t>387,65</w:t>
            </w:r>
          </w:p>
        </w:tc>
      </w:tr>
      <w:tr w:rsidR="00085A30" w:rsidRPr="00BB38DA" w:rsidTr="002B4431">
        <w:trPr>
          <w:trHeight w:hRule="exact" w:val="284"/>
        </w:trPr>
        <w:tc>
          <w:tcPr>
            <w:tcW w:w="5536" w:type="dxa"/>
            <w:tcBorders>
              <w:top w:val="single" w:sz="2" w:space="0" w:color="auto"/>
              <w:bottom w:val="single" w:sz="2" w:space="0" w:color="auto"/>
            </w:tcBorders>
            <w:shd w:val="clear" w:color="auto" w:fill="auto"/>
            <w:noWrap/>
            <w:vAlign w:val="center"/>
          </w:tcPr>
          <w:p w:rsidR="00085A30" w:rsidRPr="00E351AE" w:rsidRDefault="00085A30"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 xml:space="preserve">Superestructura (incluido </w:t>
            </w:r>
            <w:r>
              <w:rPr>
                <w:rFonts w:ascii="Arial Narrow" w:hAnsi="Arial Narrow" w:cs="Arial"/>
                <w:sz w:val="18"/>
                <w:szCs w:val="18"/>
                <w:lang w:val="es-ES" w:eastAsia="es-ES"/>
              </w:rPr>
              <w:t>p</w:t>
            </w:r>
            <w:r w:rsidRPr="00E351AE">
              <w:rPr>
                <w:rFonts w:ascii="Arial Narrow" w:hAnsi="Arial Narrow" w:cs="Arial"/>
                <w:sz w:val="18"/>
                <w:szCs w:val="18"/>
                <w:lang w:val="es-ES" w:eastAsia="es-ES"/>
              </w:rPr>
              <w:t xml:space="preserve">royectos y </w:t>
            </w:r>
            <w:r>
              <w:rPr>
                <w:rFonts w:ascii="Arial Narrow" w:hAnsi="Arial Narrow" w:cs="Arial"/>
                <w:sz w:val="18"/>
                <w:szCs w:val="18"/>
                <w:lang w:val="es-ES" w:eastAsia="es-ES"/>
              </w:rPr>
              <w:t>d</w:t>
            </w:r>
            <w:r w:rsidRPr="00E351AE">
              <w:rPr>
                <w:rFonts w:ascii="Arial Narrow" w:hAnsi="Arial Narrow" w:cs="Arial"/>
                <w:sz w:val="18"/>
                <w:szCs w:val="18"/>
                <w:lang w:val="es-ES" w:eastAsia="es-ES"/>
              </w:rPr>
              <w:t xml:space="preserve">irección de </w:t>
            </w:r>
            <w:r>
              <w:rPr>
                <w:rFonts w:ascii="Arial Narrow" w:hAnsi="Arial Narrow" w:cs="Arial"/>
                <w:sz w:val="18"/>
                <w:szCs w:val="18"/>
                <w:lang w:val="es-ES" w:eastAsia="es-ES"/>
              </w:rPr>
              <w:t>o</w:t>
            </w:r>
            <w:r w:rsidRPr="00E351AE">
              <w:rPr>
                <w:rFonts w:ascii="Arial Narrow" w:hAnsi="Arial Narrow" w:cs="Arial"/>
                <w:sz w:val="18"/>
                <w:szCs w:val="18"/>
                <w:lang w:val="es-ES" w:eastAsia="es-ES"/>
              </w:rPr>
              <w:t>bra)</w:t>
            </w:r>
          </w:p>
        </w:tc>
        <w:tc>
          <w:tcPr>
            <w:tcW w:w="3253" w:type="dxa"/>
            <w:tcBorders>
              <w:top w:val="single" w:sz="2" w:space="0" w:color="auto"/>
              <w:bottom w:val="single" w:sz="2" w:space="0" w:color="auto"/>
            </w:tcBorders>
            <w:shd w:val="clear" w:color="auto" w:fill="auto"/>
            <w:noWrap/>
            <w:vAlign w:val="center"/>
          </w:tcPr>
          <w:p w:rsidR="00085A30" w:rsidRPr="00E351AE" w:rsidRDefault="00085A30"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287,35</w:t>
            </w:r>
          </w:p>
        </w:tc>
      </w:tr>
      <w:tr w:rsidR="00085A30" w:rsidRPr="00BB38DA" w:rsidTr="002B4431">
        <w:trPr>
          <w:trHeight w:hRule="exact" w:val="284"/>
        </w:trPr>
        <w:tc>
          <w:tcPr>
            <w:tcW w:w="5536" w:type="dxa"/>
            <w:tcBorders>
              <w:top w:val="single" w:sz="2" w:space="0" w:color="auto"/>
              <w:bottom w:val="single" w:sz="4" w:space="0" w:color="auto"/>
            </w:tcBorders>
            <w:shd w:val="clear" w:color="auto" w:fill="auto"/>
            <w:noWrap/>
            <w:vAlign w:val="center"/>
          </w:tcPr>
          <w:p w:rsidR="00085A30" w:rsidRPr="00E351AE" w:rsidRDefault="00085A30" w:rsidP="0066543A">
            <w:pPr>
              <w:spacing w:after="0"/>
              <w:ind w:firstLine="0"/>
              <w:jc w:val="left"/>
              <w:rPr>
                <w:rFonts w:ascii="Arial Narrow" w:hAnsi="Arial Narrow" w:cs="Arial"/>
                <w:b/>
                <w:sz w:val="18"/>
                <w:szCs w:val="18"/>
                <w:lang w:val="es-ES" w:eastAsia="es-ES"/>
              </w:rPr>
            </w:pPr>
            <w:r w:rsidRPr="00E351AE">
              <w:rPr>
                <w:rFonts w:ascii="Arial Narrow" w:hAnsi="Arial Narrow" w:cs="Arial"/>
                <w:b/>
                <w:sz w:val="18"/>
                <w:szCs w:val="18"/>
                <w:lang w:val="es-ES" w:eastAsia="es-ES"/>
              </w:rPr>
              <w:t xml:space="preserve">Total ADIF </w:t>
            </w:r>
          </w:p>
        </w:tc>
        <w:tc>
          <w:tcPr>
            <w:tcW w:w="3253" w:type="dxa"/>
            <w:tcBorders>
              <w:top w:val="single" w:sz="2" w:space="0" w:color="auto"/>
              <w:bottom w:val="single" w:sz="4" w:space="0" w:color="auto"/>
            </w:tcBorders>
            <w:shd w:val="clear" w:color="auto" w:fill="auto"/>
            <w:noWrap/>
            <w:vAlign w:val="center"/>
          </w:tcPr>
          <w:p w:rsidR="00085A30" w:rsidRPr="00E351AE" w:rsidRDefault="00085A30" w:rsidP="0066543A">
            <w:pPr>
              <w:spacing w:after="0"/>
              <w:ind w:firstLine="0"/>
              <w:jc w:val="right"/>
              <w:rPr>
                <w:rFonts w:ascii="Arial Narrow" w:hAnsi="Arial Narrow" w:cs="Arial"/>
                <w:b/>
                <w:sz w:val="18"/>
                <w:szCs w:val="18"/>
                <w:lang w:val="es-ES" w:eastAsia="es-ES"/>
              </w:rPr>
            </w:pPr>
            <w:r w:rsidRPr="00E351AE">
              <w:rPr>
                <w:rFonts w:ascii="Arial Narrow" w:hAnsi="Arial Narrow" w:cs="Arial"/>
                <w:b/>
                <w:sz w:val="18"/>
                <w:szCs w:val="18"/>
                <w:lang w:val="es-ES" w:eastAsia="es-ES"/>
              </w:rPr>
              <w:t>287,35</w:t>
            </w:r>
          </w:p>
        </w:tc>
      </w:tr>
      <w:tr w:rsidR="00085A30" w:rsidRPr="00BB38DA" w:rsidTr="002B4431">
        <w:trPr>
          <w:trHeight w:hRule="exact" w:val="284"/>
        </w:trPr>
        <w:tc>
          <w:tcPr>
            <w:tcW w:w="5536" w:type="dxa"/>
            <w:tcBorders>
              <w:top w:val="single" w:sz="4" w:space="0" w:color="auto"/>
              <w:bottom w:val="single" w:sz="4" w:space="0" w:color="auto"/>
            </w:tcBorders>
            <w:shd w:val="clear" w:color="auto" w:fill="A8CBEE" w:themeFill="accent2" w:themeFillTint="66"/>
            <w:noWrap/>
            <w:vAlign w:val="center"/>
          </w:tcPr>
          <w:p w:rsidR="00085A30" w:rsidRPr="00E351AE" w:rsidRDefault="00085A30" w:rsidP="00E82B46">
            <w:pPr>
              <w:pStyle w:val="cuadroCabe"/>
              <w:rPr>
                <w:lang w:val="es-ES" w:eastAsia="es-ES"/>
              </w:rPr>
            </w:pPr>
            <w:r w:rsidRPr="00E351AE">
              <w:rPr>
                <w:lang w:val="es-ES" w:eastAsia="es-ES"/>
              </w:rPr>
              <w:t>Total TAV</w:t>
            </w:r>
            <w:r>
              <w:rPr>
                <w:lang w:val="es-ES" w:eastAsia="es-ES"/>
              </w:rPr>
              <w:t>- Castejón/</w:t>
            </w:r>
            <w:r w:rsidR="0066543A">
              <w:rPr>
                <w:lang w:val="es-ES" w:eastAsia="es-ES"/>
              </w:rPr>
              <w:t>Es</w:t>
            </w:r>
            <w:r w:rsidR="00AF3D73">
              <w:rPr>
                <w:lang w:val="es-ES" w:eastAsia="es-ES"/>
              </w:rPr>
              <w:t>qu</w:t>
            </w:r>
            <w:r w:rsidR="00E82B46">
              <w:rPr>
                <w:lang w:val="es-ES" w:eastAsia="es-ES"/>
              </w:rPr>
              <w:t>í</w:t>
            </w:r>
            <w:r w:rsidR="00AF3D73">
              <w:rPr>
                <w:lang w:val="es-ES" w:eastAsia="es-ES"/>
              </w:rPr>
              <w:t>roz</w:t>
            </w:r>
          </w:p>
        </w:tc>
        <w:tc>
          <w:tcPr>
            <w:tcW w:w="3253" w:type="dxa"/>
            <w:tcBorders>
              <w:top w:val="single" w:sz="4" w:space="0" w:color="auto"/>
              <w:bottom w:val="single" w:sz="4" w:space="0" w:color="auto"/>
            </w:tcBorders>
            <w:shd w:val="clear" w:color="auto" w:fill="A8CBEE" w:themeFill="accent2" w:themeFillTint="66"/>
            <w:noWrap/>
            <w:vAlign w:val="center"/>
          </w:tcPr>
          <w:p w:rsidR="00085A30" w:rsidRPr="00E351AE" w:rsidRDefault="00085A30" w:rsidP="0066543A">
            <w:pPr>
              <w:pStyle w:val="cuadroCabe"/>
              <w:jc w:val="right"/>
              <w:rPr>
                <w:lang w:val="es-ES" w:eastAsia="es-ES"/>
              </w:rPr>
            </w:pPr>
            <w:r w:rsidRPr="00E351AE">
              <w:rPr>
                <w:lang w:val="es-ES" w:eastAsia="es-ES"/>
              </w:rPr>
              <w:t>67</w:t>
            </w:r>
            <w:r>
              <w:rPr>
                <w:lang w:val="es-ES" w:eastAsia="es-ES"/>
              </w:rPr>
              <w:t>5,00</w:t>
            </w:r>
          </w:p>
        </w:tc>
      </w:tr>
    </w:tbl>
    <w:p w:rsidR="00EC653F" w:rsidRPr="00A0407B" w:rsidRDefault="00EC653F" w:rsidP="00B81482">
      <w:pPr>
        <w:pStyle w:val="texto"/>
        <w:tabs>
          <w:tab w:val="clear" w:pos="2835"/>
          <w:tab w:val="clear" w:pos="3969"/>
          <w:tab w:val="clear" w:pos="5103"/>
          <w:tab w:val="clear" w:pos="6237"/>
          <w:tab w:val="clear" w:pos="7371"/>
          <w:tab w:val="num" w:pos="300"/>
        </w:tabs>
        <w:spacing w:before="240"/>
        <w:rPr>
          <w:spacing w:val="2"/>
          <w:szCs w:val="26"/>
          <w:lang w:val="es-ES"/>
        </w:rPr>
      </w:pPr>
      <w:r w:rsidRPr="00A0407B">
        <w:rPr>
          <w:spacing w:val="2"/>
          <w:szCs w:val="26"/>
          <w:lang w:val="es-ES"/>
        </w:rPr>
        <w:t>De acuerdo con el cuadro anterior, el coste por Km previsto asciende a 9,66 m</w:t>
      </w:r>
      <w:r w:rsidRPr="00A0407B">
        <w:rPr>
          <w:spacing w:val="2"/>
          <w:szCs w:val="26"/>
          <w:lang w:val="es-ES"/>
        </w:rPr>
        <w:t>i</w:t>
      </w:r>
      <w:r w:rsidRPr="00A0407B">
        <w:rPr>
          <w:spacing w:val="2"/>
          <w:szCs w:val="26"/>
          <w:lang w:val="es-ES"/>
        </w:rPr>
        <w:t xml:space="preserve">llones. </w:t>
      </w:r>
    </w:p>
    <w:p w:rsidR="00B81482" w:rsidRPr="00A0407B" w:rsidRDefault="00275E4F" w:rsidP="00191711">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Cada administración actuante licitará los correspondientes contratos que</w:t>
      </w:r>
      <w:r w:rsidR="00C00DA3" w:rsidRPr="00A0407B">
        <w:rPr>
          <w:szCs w:val="26"/>
          <w:lang w:val="es-ES"/>
        </w:rPr>
        <w:t>,</w:t>
      </w:r>
      <w:r w:rsidRPr="00A0407B">
        <w:rPr>
          <w:szCs w:val="26"/>
          <w:lang w:val="es-ES"/>
        </w:rPr>
        <w:t xml:space="preserve"> en virtud del convenio</w:t>
      </w:r>
      <w:r w:rsidR="00C00DA3" w:rsidRPr="00A0407B">
        <w:rPr>
          <w:szCs w:val="26"/>
          <w:lang w:val="es-ES"/>
        </w:rPr>
        <w:t>,</w:t>
      </w:r>
      <w:r w:rsidRPr="00A0407B">
        <w:rPr>
          <w:szCs w:val="26"/>
          <w:lang w:val="es-ES"/>
        </w:rPr>
        <w:t xml:space="preserve"> le correspond</w:t>
      </w:r>
      <w:r w:rsidR="00C00DA3" w:rsidRPr="00A0407B">
        <w:rPr>
          <w:szCs w:val="26"/>
          <w:lang w:val="es-ES"/>
        </w:rPr>
        <w:t>a</w:t>
      </w:r>
      <w:r w:rsidRPr="00A0407B">
        <w:rPr>
          <w:szCs w:val="26"/>
          <w:lang w:val="es-ES"/>
        </w:rPr>
        <w:t xml:space="preserve"> ejecutar.</w:t>
      </w:r>
    </w:p>
    <w:p w:rsidR="00126917" w:rsidRDefault="00126917" w:rsidP="00B14DF7">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89"/>
        <w:rPr>
          <w:szCs w:val="26"/>
          <w:lang w:val="es-ES"/>
        </w:rPr>
      </w:pPr>
      <w:r w:rsidRPr="00A0407B">
        <w:rPr>
          <w:szCs w:val="26"/>
          <w:lang w:val="es-ES"/>
        </w:rPr>
        <w:t>Las actuaciones del Gobierno de Navarra se realizarán entre 2011 y 2014 y</w:t>
      </w:r>
      <w:r w:rsidR="00DE1075" w:rsidRPr="00A0407B">
        <w:rPr>
          <w:szCs w:val="26"/>
          <w:lang w:val="es-ES"/>
        </w:rPr>
        <w:t xml:space="preserve"> su ejecución se divide en cinco tramos. En el cuadro siguiente se muestra la p</w:t>
      </w:r>
      <w:r w:rsidR="00A92B93" w:rsidRPr="00A0407B">
        <w:rPr>
          <w:szCs w:val="26"/>
          <w:lang w:val="es-ES"/>
        </w:rPr>
        <w:t>ro</w:t>
      </w:r>
      <w:r w:rsidR="00DE1075" w:rsidRPr="00A0407B">
        <w:rPr>
          <w:szCs w:val="26"/>
          <w:lang w:val="es-ES"/>
        </w:rPr>
        <w:t xml:space="preserve">gramación y coste de los mismos, </w:t>
      </w:r>
      <w:r w:rsidR="00A92B93" w:rsidRPr="00A0407B">
        <w:rPr>
          <w:szCs w:val="26"/>
          <w:lang w:val="es-ES"/>
        </w:rPr>
        <w:t>así como las previsiones de reintegro por</w:t>
      </w:r>
      <w:r w:rsidRPr="00A0407B">
        <w:rPr>
          <w:szCs w:val="26"/>
          <w:lang w:val="es-ES"/>
        </w:rPr>
        <w:t xml:space="preserve"> el Estado (ADIF) en cinco anualidades entre los ejercicios 2013 a 2017</w:t>
      </w:r>
      <w:r w:rsidR="00A92B93" w:rsidRPr="00A0407B">
        <w:rPr>
          <w:szCs w:val="26"/>
          <w:lang w:val="es-ES"/>
        </w:rPr>
        <w:t>:</w:t>
      </w:r>
      <w:r w:rsidRPr="00A0407B">
        <w:rPr>
          <w:szCs w:val="26"/>
          <w:lang w:val="es-ES"/>
        </w:rPr>
        <w:t xml:space="preserve"> </w:t>
      </w:r>
    </w:p>
    <w:p w:rsidR="00B14DF7" w:rsidRPr="00B4126E" w:rsidRDefault="00B14DF7" w:rsidP="00B14DF7">
      <w:pPr>
        <w:pStyle w:val="texto"/>
        <w:tabs>
          <w:tab w:val="clear" w:pos="2835"/>
          <w:tab w:val="clear" w:pos="3969"/>
          <w:tab w:val="clear" w:pos="5103"/>
          <w:tab w:val="clear" w:pos="6237"/>
          <w:tab w:val="clear" w:pos="7371"/>
          <w:tab w:val="left" w:pos="480"/>
          <w:tab w:val="num" w:pos="4920"/>
        </w:tabs>
        <w:spacing w:after="40"/>
        <w:jc w:val="right"/>
        <w:rPr>
          <w:rFonts w:ascii="Arial Narrow" w:hAnsi="Arial Narrow"/>
          <w:sz w:val="18"/>
          <w:szCs w:val="18"/>
          <w:lang w:val="es-ES"/>
        </w:rPr>
      </w:pPr>
      <w:r w:rsidRPr="00B4126E">
        <w:rPr>
          <w:rFonts w:ascii="Arial Narrow" w:hAnsi="Arial Narrow"/>
          <w:sz w:val="18"/>
          <w:szCs w:val="18"/>
          <w:lang w:val="es-ES"/>
        </w:rPr>
        <w:t>(Millones de euros)</w:t>
      </w:r>
    </w:p>
    <w:tbl>
      <w:tblPr>
        <w:tblW w:w="8882"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423"/>
        <w:gridCol w:w="835"/>
        <w:gridCol w:w="800"/>
        <w:gridCol w:w="702"/>
        <w:gridCol w:w="665"/>
        <w:gridCol w:w="833"/>
        <w:gridCol w:w="665"/>
        <w:gridCol w:w="664"/>
        <w:gridCol w:w="665"/>
        <w:gridCol w:w="630"/>
      </w:tblGrid>
      <w:tr w:rsidR="00126917" w:rsidRPr="00BB38DA" w:rsidTr="00B14DF7">
        <w:trPr>
          <w:trHeight w:val="284"/>
          <w:jc w:val="center"/>
        </w:trPr>
        <w:tc>
          <w:tcPr>
            <w:tcW w:w="2423"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AF3D73">
            <w:pPr>
              <w:pStyle w:val="cuadroCabe"/>
              <w:jc w:val="left"/>
              <w:rPr>
                <w:rFonts w:cs="Arial"/>
              </w:rPr>
            </w:pPr>
            <w:r>
              <w:rPr>
                <w:rFonts w:cs="Arial"/>
              </w:rPr>
              <w:t>Tramo Castejón–Esqu</w:t>
            </w:r>
            <w:r w:rsidR="00AF3D73">
              <w:rPr>
                <w:rFonts w:cs="Arial"/>
              </w:rPr>
              <w:t>íroz</w:t>
            </w:r>
          </w:p>
        </w:tc>
        <w:tc>
          <w:tcPr>
            <w:tcW w:w="835" w:type="dxa"/>
            <w:vMerge w:val="restart"/>
            <w:tcBorders>
              <w:top w:val="single" w:sz="4" w:space="0" w:color="auto"/>
            </w:tcBorders>
            <w:shd w:val="clear" w:color="auto" w:fill="A8CBEE" w:themeFill="accent2" w:themeFillTint="66"/>
            <w:noWrap/>
            <w:vAlign w:val="center"/>
          </w:tcPr>
          <w:p w:rsidR="00126917" w:rsidRPr="008C5183" w:rsidRDefault="00126917" w:rsidP="0066543A">
            <w:pPr>
              <w:pStyle w:val="cuadroCabe"/>
              <w:jc w:val="right"/>
              <w:rPr>
                <w:rFonts w:cs="Arial"/>
                <w:sz w:val="16"/>
                <w:szCs w:val="16"/>
              </w:rPr>
            </w:pPr>
            <w:r w:rsidRPr="008C5183">
              <w:rPr>
                <w:rFonts w:cs="Arial"/>
                <w:sz w:val="16"/>
                <w:szCs w:val="16"/>
              </w:rPr>
              <w:t>Longitud</w:t>
            </w:r>
          </w:p>
          <w:p w:rsidR="00126917" w:rsidRPr="00E351AE" w:rsidRDefault="00126917" w:rsidP="0066543A">
            <w:pPr>
              <w:pStyle w:val="cuadroCabe"/>
              <w:jc w:val="right"/>
              <w:rPr>
                <w:rFonts w:cs="Arial"/>
              </w:rPr>
            </w:pPr>
            <w:r w:rsidRPr="00E351AE">
              <w:rPr>
                <w:rFonts w:cs="Arial"/>
              </w:rPr>
              <w:t>(Km)</w:t>
            </w:r>
          </w:p>
        </w:tc>
        <w:tc>
          <w:tcPr>
            <w:tcW w:w="5624" w:type="dxa"/>
            <w:gridSpan w:val="8"/>
            <w:tcBorders>
              <w:top w:val="single" w:sz="4" w:space="0" w:color="auto"/>
              <w:bottom w:val="single" w:sz="4" w:space="0" w:color="auto"/>
            </w:tcBorders>
            <w:shd w:val="clear" w:color="auto" w:fill="A8CBEE" w:themeFill="accent2" w:themeFillTint="66"/>
            <w:noWrap/>
            <w:vAlign w:val="center"/>
          </w:tcPr>
          <w:p w:rsidR="00126917" w:rsidRPr="00E351AE" w:rsidRDefault="00126917" w:rsidP="00B14DF7">
            <w:pPr>
              <w:pStyle w:val="cuadroCabe"/>
              <w:jc w:val="center"/>
              <w:rPr>
                <w:rFonts w:cs="Arial"/>
              </w:rPr>
            </w:pPr>
            <w:r w:rsidRPr="00E351AE">
              <w:rPr>
                <w:rFonts w:cs="Arial"/>
              </w:rPr>
              <w:t>Costes estimados (*)</w:t>
            </w:r>
          </w:p>
        </w:tc>
      </w:tr>
      <w:tr w:rsidR="00126917" w:rsidRPr="00BB38DA" w:rsidTr="00B14DF7">
        <w:trPr>
          <w:trHeight w:val="284"/>
          <w:jc w:val="center"/>
        </w:trPr>
        <w:tc>
          <w:tcPr>
            <w:tcW w:w="2423"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left"/>
              <w:rPr>
                <w:rFonts w:cs="Arial"/>
              </w:rPr>
            </w:pPr>
            <w:r w:rsidRPr="00E351AE">
              <w:rPr>
                <w:rFonts w:cs="Arial"/>
              </w:rPr>
              <w:t>Plataforma</w:t>
            </w:r>
          </w:p>
        </w:tc>
        <w:tc>
          <w:tcPr>
            <w:tcW w:w="835" w:type="dxa"/>
            <w:vMerge/>
            <w:tcBorders>
              <w:bottom w:val="single" w:sz="4" w:space="0" w:color="auto"/>
            </w:tcBorders>
            <w:shd w:val="clear" w:color="auto" w:fill="A8CBEE" w:themeFill="accent2" w:themeFillTint="66"/>
            <w:noWrap/>
            <w:vAlign w:val="center"/>
          </w:tcPr>
          <w:p w:rsidR="00126917" w:rsidRPr="00E351AE" w:rsidRDefault="00126917" w:rsidP="0066543A">
            <w:pPr>
              <w:pStyle w:val="cuadroCabe"/>
              <w:jc w:val="left"/>
              <w:rPr>
                <w:rFonts w:cs="Arial"/>
              </w:rPr>
            </w:pPr>
          </w:p>
        </w:tc>
        <w:tc>
          <w:tcPr>
            <w:tcW w:w="800"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Total</w:t>
            </w:r>
          </w:p>
        </w:tc>
        <w:tc>
          <w:tcPr>
            <w:tcW w:w="702"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2011</w:t>
            </w:r>
          </w:p>
        </w:tc>
        <w:tc>
          <w:tcPr>
            <w:tcW w:w="665"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2012</w:t>
            </w:r>
          </w:p>
        </w:tc>
        <w:tc>
          <w:tcPr>
            <w:tcW w:w="833"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2013</w:t>
            </w:r>
          </w:p>
        </w:tc>
        <w:tc>
          <w:tcPr>
            <w:tcW w:w="665"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2014</w:t>
            </w:r>
          </w:p>
        </w:tc>
        <w:tc>
          <w:tcPr>
            <w:tcW w:w="664"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2015</w:t>
            </w:r>
          </w:p>
        </w:tc>
        <w:tc>
          <w:tcPr>
            <w:tcW w:w="665"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2016</w:t>
            </w:r>
          </w:p>
        </w:tc>
        <w:tc>
          <w:tcPr>
            <w:tcW w:w="630"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2017</w:t>
            </w:r>
          </w:p>
        </w:tc>
      </w:tr>
      <w:tr w:rsidR="00126917" w:rsidRPr="00BB38DA" w:rsidTr="00B14DF7">
        <w:trPr>
          <w:trHeight w:val="284"/>
          <w:jc w:val="center"/>
        </w:trPr>
        <w:tc>
          <w:tcPr>
            <w:tcW w:w="2423" w:type="dxa"/>
            <w:tcBorders>
              <w:top w:val="single" w:sz="4"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1. </w:t>
            </w:r>
            <w:r w:rsidRPr="00E351AE">
              <w:rPr>
                <w:rFonts w:ascii="Arial Narrow" w:hAnsi="Arial Narrow" w:cs="Arial"/>
                <w:sz w:val="18"/>
                <w:szCs w:val="18"/>
                <w:lang w:val="es-ES" w:eastAsia="es-ES"/>
              </w:rPr>
              <w:t>Castejón-Villafranca</w:t>
            </w:r>
          </w:p>
        </w:tc>
        <w:tc>
          <w:tcPr>
            <w:tcW w:w="835"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14,50</w:t>
            </w:r>
          </w:p>
        </w:tc>
        <w:tc>
          <w:tcPr>
            <w:tcW w:w="800"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71,10</w:t>
            </w:r>
          </w:p>
        </w:tc>
        <w:tc>
          <w:tcPr>
            <w:tcW w:w="702"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7,10</w:t>
            </w:r>
          </w:p>
        </w:tc>
        <w:tc>
          <w:tcPr>
            <w:tcW w:w="665"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28,40</w:t>
            </w:r>
          </w:p>
        </w:tc>
        <w:tc>
          <w:tcPr>
            <w:tcW w:w="833"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35,60</w:t>
            </w:r>
          </w:p>
        </w:tc>
        <w:tc>
          <w:tcPr>
            <w:tcW w:w="665"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664"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4"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BB38DA" w:rsidTr="00B14DF7">
        <w:trPr>
          <w:trHeight w:val="284"/>
          <w:jc w:val="center"/>
        </w:trPr>
        <w:tc>
          <w:tcPr>
            <w:tcW w:w="2423" w:type="dxa"/>
            <w:tcBorders>
              <w:top w:val="single" w:sz="2"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2. </w:t>
            </w:r>
            <w:r w:rsidRPr="00E351AE">
              <w:rPr>
                <w:rFonts w:ascii="Arial Narrow" w:hAnsi="Arial Narrow" w:cs="Arial"/>
                <w:sz w:val="18"/>
                <w:szCs w:val="18"/>
                <w:lang w:val="es-ES" w:eastAsia="es-ES"/>
              </w:rPr>
              <w:t>Villafranca-Olite</w:t>
            </w:r>
          </w:p>
        </w:tc>
        <w:tc>
          <w:tcPr>
            <w:tcW w:w="83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15,00</w:t>
            </w:r>
          </w:p>
        </w:tc>
        <w:tc>
          <w:tcPr>
            <w:tcW w:w="80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77,55</w:t>
            </w:r>
          </w:p>
        </w:tc>
        <w:tc>
          <w:tcPr>
            <w:tcW w:w="702"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7,75</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31,00</w:t>
            </w:r>
          </w:p>
        </w:tc>
        <w:tc>
          <w:tcPr>
            <w:tcW w:w="833"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38,80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664"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BB38DA" w:rsidTr="00B14DF7">
        <w:trPr>
          <w:trHeight w:val="284"/>
          <w:jc w:val="center"/>
        </w:trPr>
        <w:tc>
          <w:tcPr>
            <w:tcW w:w="2423" w:type="dxa"/>
            <w:tcBorders>
              <w:top w:val="single" w:sz="2"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3. </w:t>
            </w:r>
            <w:r w:rsidRPr="00E351AE">
              <w:rPr>
                <w:rFonts w:ascii="Arial Narrow" w:hAnsi="Arial Narrow" w:cs="Arial"/>
                <w:sz w:val="18"/>
                <w:szCs w:val="18"/>
                <w:lang w:val="es-ES" w:eastAsia="es-ES"/>
              </w:rPr>
              <w:t>Olite-Tafalla</w:t>
            </w:r>
          </w:p>
        </w:tc>
        <w:tc>
          <w:tcPr>
            <w:tcW w:w="83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15,00</w:t>
            </w:r>
          </w:p>
        </w:tc>
        <w:tc>
          <w:tcPr>
            <w:tcW w:w="80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76,00</w:t>
            </w:r>
          </w:p>
        </w:tc>
        <w:tc>
          <w:tcPr>
            <w:tcW w:w="702"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7,60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20,40</w:t>
            </w:r>
          </w:p>
        </w:tc>
        <w:tc>
          <w:tcPr>
            <w:tcW w:w="833"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22,00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26,00</w:t>
            </w:r>
          </w:p>
        </w:tc>
        <w:tc>
          <w:tcPr>
            <w:tcW w:w="664"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BB38DA" w:rsidTr="00B14DF7">
        <w:trPr>
          <w:trHeight w:val="284"/>
          <w:jc w:val="center"/>
        </w:trPr>
        <w:tc>
          <w:tcPr>
            <w:tcW w:w="2423" w:type="dxa"/>
            <w:tcBorders>
              <w:top w:val="single" w:sz="2"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4. </w:t>
            </w:r>
            <w:r w:rsidRPr="00E351AE">
              <w:rPr>
                <w:rFonts w:ascii="Arial Narrow" w:hAnsi="Arial Narrow" w:cs="Arial"/>
                <w:sz w:val="18"/>
                <w:szCs w:val="18"/>
                <w:lang w:val="es-ES" w:eastAsia="es-ES"/>
              </w:rPr>
              <w:t>Tafalla-Campanas</w:t>
            </w:r>
          </w:p>
        </w:tc>
        <w:tc>
          <w:tcPr>
            <w:tcW w:w="83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15,19</w:t>
            </w:r>
          </w:p>
        </w:tc>
        <w:tc>
          <w:tcPr>
            <w:tcW w:w="80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78,00</w:t>
            </w:r>
          </w:p>
        </w:tc>
        <w:tc>
          <w:tcPr>
            <w:tcW w:w="702"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7,80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21,20</w:t>
            </w:r>
          </w:p>
        </w:tc>
        <w:tc>
          <w:tcPr>
            <w:tcW w:w="833"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21,00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28,00</w:t>
            </w:r>
          </w:p>
        </w:tc>
        <w:tc>
          <w:tcPr>
            <w:tcW w:w="664"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BB38DA" w:rsidTr="00B14DF7">
        <w:trPr>
          <w:trHeight w:val="284"/>
          <w:jc w:val="center"/>
        </w:trPr>
        <w:tc>
          <w:tcPr>
            <w:tcW w:w="2423" w:type="dxa"/>
            <w:tcBorders>
              <w:top w:val="single" w:sz="2"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5. </w:t>
            </w:r>
            <w:r w:rsidRPr="00E351AE">
              <w:rPr>
                <w:rFonts w:ascii="Arial Narrow" w:hAnsi="Arial Narrow" w:cs="Arial"/>
                <w:sz w:val="18"/>
                <w:szCs w:val="18"/>
                <w:lang w:val="es-ES" w:eastAsia="es-ES"/>
              </w:rPr>
              <w:t>Campanas-Esquíroz</w:t>
            </w:r>
          </w:p>
        </w:tc>
        <w:tc>
          <w:tcPr>
            <w:tcW w:w="83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10,20</w:t>
            </w:r>
          </w:p>
        </w:tc>
        <w:tc>
          <w:tcPr>
            <w:tcW w:w="80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60,00</w:t>
            </w:r>
          </w:p>
        </w:tc>
        <w:tc>
          <w:tcPr>
            <w:tcW w:w="702"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6,00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24,00</w:t>
            </w:r>
          </w:p>
        </w:tc>
        <w:tc>
          <w:tcPr>
            <w:tcW w:w="833"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16,65</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13,35</w:t>
            </w:r>
          </w:p>
        </w:tc>
        <w:tc>
          <w:tcPr>
            <w:tcW w:w="664"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B3470" w:rsidRPr="00BB38DA" w:rsidTr="00B14DF7">
        <w:trPr>
          <w:trHeight w:val="284"/>
          <w:jc w:val="center"/>
        </w:trPr>
        <w:tc>
          <w:tcPr>
            <w:tcW w:w="2423" w:type="dxa"/>
            <w:tcBorders>
              <w:top w:val="single" w:sz="2" w:space="0" w:color="auto"/>
              <w:bottom w:val="single" w:sz="2" w:space="0" w:color="auto"/>
            </w:tcBorders>
            <w:noWrap/>
            <w:vAlign w:val="center"/>
          </w:tcPr>
          <w:p w:rsidR="001B3470" w:rsidRPr="001B3470" w:rsidRDefault="001B3470" w:rsidP="0066543A">
            <w:pPr>
              <w:spacing w:after="0"/>
              <w:ind w:firstLine="0"/>
              <w:jc w:val="left"/>
              <w:rPr>
                <w:rFonts w:ascii="Arial Narrow" w:hAnsi="Arial Narrow" w:cs="Arial"/>
                <w:i/>
                <w:sz w:val="18"/>
                <w:szCs w:val="18"/>
                <w:lang w:val="es-ES" w:eastAsia="es-ES"/>
              </w:rPr>
            </w:pPr>
            <w:r w:rsidRPr="001B3470">
              <w:rPr>
                <w:rFonts w:ascii="Arial Narrow" w:hAnsi="Arial Narrow" w:cs="Arial"/>
                <w:i/>
                <w:sz w:val="18"/>
                <w:szCs w:val="18"/>
                <w:lang w:val="es-ES" w:eastAsia="es-ES"/>
              </w:rPr>
              <w:t>Total construcción</w:t>
            </w:r>
          </w:p>
        </w:tc>
        <w:tc>
          <w:tcPr>
            <w:tcW w:w="835"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p>
        </w:tc>
        <w:tc>
          <w:tcPr>
            <w:tcW w:w="800"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r>
              <w:rPr>
                <w:rFonts w:ascii="Arial Narrow" w:hAnsi="Arial Narrow" w:cs="Arial"/>
                <w:i/>
                <w:sz w:val="18"/>
                <w:szCs w:val="18"/>
                <w:lang w:val="es-ES" w:eastAsia="es-ES"/>
              </w:rPr>
              <w:t>362,65</w:t>
            </w:r>
          </w:p>
        </w:tc>
        <w:tc>
          <w:tcPr>
            <w:tcW w:w="702"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r>
              <w:rPr>
                <w:rFonts w:ascii="Arial Narrow" w:hAnsi="Arial Narrow" w:cs="Arial"/>
                <w:i/>
                <w:sz w:val="18"/>
                <w:szCs w:val="18"/>
                <w:lang w:val="es-ES" w:eastAsia="es-ES"/>
              </w:rPr>
              <w:t>36,25</w:t>
            </w:r>
          </w:p>
        </w:tc>
        <w:tc>
          <w:tcPr>
            <w:tcW w:w="665"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r>
              <w:rPr>
                <w:rFonts w:ascii="Arial Narrow" w:hAnsi="Arial Narrow" w:cs="Arial"/>
                <w:i/>
                <w:sz w:val="18"/>
                <w:szCs w:val="18"/>
                <w:lang w:val="es-ES" w:eastAsia="es-ES"/>
              </w:rPr>
              <w:t>125,00</w:t>
            </w:r>
          </w:p>
        </w:tc>
        <w:tc>
          <w:tcPr>
            <w:tcW w:w="833"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r>
              <w:rPr>
                <w:rFonts w:ascii="Arial Narrow" w:hAnsi="Arial Narrow" w:cs="Arial"/>
                <w:i/>
                <w:sz w:val="18"/>
                <w:szCs w:val="18"/>
                <w:lang w:val="es-ES" w:eastAsia="es-ES"/>
              </w:rPr>
              <w:t>134,05</w:t>
            </w:r>
          </w:p>
        </w:tc>
        <w:tc>
          <w:tcPr>
            <w:tcW w:w="665"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r>
              <w:rPr>
                <w:rFonts w:ascii="Arial Narrow" w:hAnsi="Arial Narrow" w:cs="Arial"/>
                <w:i/>
                <w:sz w:val="18"/>
                <w:szCs w:val="18"/>
                <w:lang w:val="es-ES" w:eastAsia="es-ES"/>
              </w:rPr>
              <w:t>67,35</w:t>
            </w:r>
          </w:p>
        </w:tc>
        <w:tc>
          <w:tcPr>
            <w:tcW w:w="664"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p>
        </w:tc>
        <w:tc>
          <w:tcPr>
            <w:tcW w:w="665"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p>
        </w:tc>
        <w:tc>
          <w:tcPr>
            <w:tcW w:w="630" w:type="dxa"/>
            <w:tcBorders>
              <w:top w:val="single" w:sz="2" w:space="0" w:color="auto"/>
              <w:bottom w:val="single" w:sz="2" w:space="0" w:color="auto"/>
            </w:tcBorders>
            <w:noWrap/>
            <w:vAlign w:val="center"/>
          </w:tcPr>
          <w:p w:rsidR="001B3470" w:rsidRPr="001B3470" w:rsidRDefault="001B3470" w:rsidP="0066543A">
            <w:pPr>
              <w:spacing w:after="0"/>
              <w:ind w:firstLine="0"/>
              <w:jc w:val="right"/>
              <w:rPr>
                <w:rFonts w:ascii="Arial Narrow" w:hAnsi="Arial Narrow" w:cs="Arial"/>
                <w:i/>
                <w:sz w:val="18"/>
                <w:szCs w:val="18"/>
                <w:lang w:val="es-ES" w:eastAsia="es-ES"/>
              </w:rPr>
            </w:pPr>
          </w:p>
        </w:tc>
      </w:tr>
      <w:tr w:rsidR="00126917" w:rsidRPr="00BB38DA" w:rsidTr="00B14DF7">
        <w:trPr>
          <w:trHeight w:val="284"/>
          <w:jc w:val="center"/>
        </w:trPr>
        <w:tc>
          <w:tcPr>
            <w:tcW w:w="2423" w:type="dxa"/>
            <w:tcBorders>
              <w:top w:val="single" w:sz="2" w:space="0" w:color="auto"/>
              <w:bottom w:val="single" w:sz="2"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Expropiaciones</w:t>
            </w:r>
          </w:p>
        </w:tc>
        <w:tc>
          <w:tcPr>
            <w:tcW w:w="83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80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10,00</w:t>
            </w:r>
          </w:p>
        </w:tc>
        <w:tc>
          <w:tcPr>
            <w:tcW w:w="702"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5,00</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5,00</w:t>
            </w:r>
          </w:p>
        </w:tc>
        <w:tc>
          <w:tcPr>
            <w:tcW w:w="833"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664"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2"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BB38DA" w:rsidTr="00B14DF7">
        <w:trPr>
          <w:trHeight w:val="284"/>
          <w:jc w:val="center"/>
        </w:trPr>
        <w:tc>
          <w:tcPr>
            <w:tcW w:w="2423" w:type="dxa"/>
            <w:tcBorders>
              <w:top w:val="single" w:sz="2" w:space="0" w:color="auto"/>
              <w:bottom w:val="single" w:sz="4"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sidRPr="00E351AE">
              <w:rPr>
                <w:rFonts w:ascii="Arial Narrow" w:hAnsi="Arial Narrow" w:cs="Arial"/>
                <w:sz w:val="18"/>
                <w:szCs w:val="18"/>
                <w:lang w:val="es-ES" w:eastAsia="es-ES"/>
              </w:rPr>
              <w:t>Redac. Proytos, Supervisión y DO</w:t>
            </w:r>
          </w:p>
        </w:tc>
        <w:tc>
          <w:tcPr>
            <w:tcW w:w="835"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800"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15,00</w:t>
            </w:r>
          </w:p>
        </w:tc>
        <w:tc>
          <w:tcPr>
            <w:tcW w:w="702"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2,00</w:t>
            </w:r>
          </w:p>
        </w:tc>
        <w:tc>
          <w:tcPr>
            <w:tcW w:w="665"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4,00</w:t>
            </w:r>
          </w:p>
        </w:tc>
        <w:tc>
          <w:tcPr>
            <w:tcW w:w="833"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5,00</w:t>
            </w:r>
          </w:p>
        </w:tc>
        <w:tc>
          <w:tcPr>
            <w:tcW w:w="665"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4,00</w:t>
            </w:r>
          </w:p>
        </w:tc>
        <w:tc>
          <w:tcPr>
            <w:tcW w:w="664"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65"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c>
          <w:tcPr>
            <w:tcW w:w="630"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p>
        </w:tc>
      </w:tr>
      <w:tr w:rsidR="00126917" w:rsidRPr="00797BCF" w:rsidTr="00B14DF7">
        <w:trPr>
          <w:trHeight w:val="284"/>
          <w:jc w:val="center"/>
        </w:trPr>
        <w:tc>
          <w:tcPr>
            <w:tcW w:w="2423"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left"/>
              <w:rPr>
                <w:rFonts w:ascii="Arial" w:hAnsi="Arial" w:cs="Arial"/>
                <w:sz w:val="16"/>
                <w:szCs w:val="16"/>
                <w:lang w:val="es-ES" w:eastAsia="es-ES"/>
              </w:rPr>
            </w:pPr>
            <w:r w:rsidRPr="00797BCF">
              <w:rPr>
                <w:rFonts w:ascii="Arial" w:hAnsi="Arial" w:cs="Arial"/>
                <w:sz w:val="16"/>
                <w:szCs w:val="16"/>
                <w:lang w:val="es-ES" w:eastAsia="es-ES"/>
              </w:rPr>
              <w:t>Total Gobierno de Navarra</w:t>
            </w:r>
          </w:p>
        </w:tc>
        <w:tc>
          <w:tcPr>
            <w:tcW w:w="835"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69,89</w:t>
            </w:r>
          </w:p>
        </w:tc>
        <w:tc>
          <w:tcPr>
            <w:tcW w:w="800"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387,65</w:t>
            </w:r>
          </w:p>
        </w:tc>
        <w:tc>
          <w:tcPr>
            <w:tcW w:w="702"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43,25</w:t>
            </w:r>
          </w:p>
        </w:tc>
        <w:tc>
          <w:tcPr>
            <w:tcW w:w="665"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134,00</w:t>
            </w:r>
          </w:p>
        </w:tc>
        <w:tc>
          <w:tcPr>
            <w:tcW w:w="833"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139,05</w:t>
            </w:r>
          </w:p>
        </w:tc>
        <w:tc>
          <w:tcPr>
            <w:tcW w:w="665"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71,35</w:t>
            </w:r>
          </w:p>
        </w:tc>
        <w:tc>
          <w:tcPr>
            <w:tcW w:w="664"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p>
        </w:tc>
        <w:tc>
          <w:tcPr>
            <w:tcW w:w="665"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p>
        </w:tc>
        <w:tc>
          <w:tcPr>
            <w:tcW w:w="630" w:type="dxa"/>
            <w:tcBorders>
              <w:top w:val="single" w:sz="4" w:space="0" w:color="auto"/>
              <w:bottom w:val="single" w:sz="4"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p>
        </w:tc>
      </w:tr>
      <w:tr w:rsidR="00126917" w:rsidRPr="00797BCF" w:rsidTr="00B14DF7">
        <w:trPr>
          <w:trHeight w:val="284"/>
          <w:jc w:val="center"/>
        </w:trPr>
        <w:tc>
          <w:tcPr>
            <w:tcW w:w="2423" w:type="dxa"/>
            <w:tcBorders>
              <w:top w:val="single" w:sz="4" w:space="0" w:color="auto"/>
              <w:bottom w:val="single" w:sz="2" w:space="0" w:color="auto"/>
            </w:tcBorders>
            <w:shd w:val="clear" w:color="auto" w:fill="A8CBEE" w:themeFill="accent2" w:themeFillTint="66"/>
            <w:noWrap/>
            <w:vAlign w:val="center"/>
          </w:tcPr>
          <w:p w:rsidR="00126917" w:rsidRPr="00797BCF" w:rsidRDefault="00DE1075" w:rsidP="00DE1075">
            <w:pPr>
              <w:spacing w:after="0"/>
              <w:ind w:firstLine="0"/>
              <w:jc w:val="left"/>
              <w:rPr>
                <w:rFonts w:ascii="Arial" w:hAnsi="Arial" w:cs="Arial"/>
                <w:sz w:val="16"/>
                <w:szCs w:val="16"/>
                <w:lang w:val="es-ES" w:eastAsia="es-ES"/>
              </w:rPr>
            </w:pPr>
            <w:r w:rsidRPr="00797BCF">
              <w:rPr>
                <w:rFonts w:ascii="Arial" w:hAnsi="Arial" w:cs="Arial"/>
                <w:sz w:val="16"/>
                <w:szCs w:val="16"/>
                <w:lang w:val="es-ES" w:eastAsia="es-ES"/>
              </w:rPr>
              <w:t>Reintegro</w:t>
            </w:r>
            <w:r w:rsidR="00126917" w:rsidRPr="00797BCF">
              <w:rPr>
                <w:rFonts w:ascii="Arial" w:hAnsi="Arial" w:cs="Arial"/>
                <w:sz w:val="16"/>
                <w:szCs w:val="16"/>
                <w:lang w:val="es-ES" w:eastAsia="es-ES"/>
              </w:rPr>
              <w:t xml:space="preserve"> ADIF</w:t>
            </w:r>
          </w:p>
        </w:tc>
        <w:tc>
          <w:tcPr>
            <w:tcW w:w="835"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 </w:t>
            </w:r>
          </w:p>
        </w:tc>
        <w:tc>
          <w:tcPr>
            <w:tcW w:w="800"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387,65</w:t>
            </w:r>
          </w:p>
        </w:tc>
        <w:tc>
          <w:tcPr>
            <w:tcW w:w="702"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 </w:t>
            </w:r>
          </w:p>
        </w:tc>
        <w:tc>
          <w:tcPr>
            <w:tcW w:w="665"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 </w:t>
            </w:r>
          </w:p>
        </w:tc>
        <w:tc>
          <w:tcPr>
            <w:tcW w:w="833"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10,00</w:t>
            </w:r>
          </w:p>
        </w:tc>
        <w:tc>
          <w:tcPr>
            <w:tcW w:w="665"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25,65</w:t>
            </w:r>
          </w:p>
        </w:tc>
        <w:tc>
          <w:tcPr>
            <w:tcW w:w="664"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30,00</w:t>
            </w:r>
          </w:p>
        </w:tc>
        <w:tc>
          <w:tcPr>
            <w:tcW w:w="665"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170,00</w:t>
            </w:r>
          </w:p>
        </w:tc>
        <w:tc>
          <w:tcPr>
            <w:tcW w:w="630" w:type="dxa"/>
            <w:tcBorders>
              <w:top w:val="single" w:sz="4" w:space="0" w:color="auto"/>
              <w:bottom w:val="single" w:sz="2" w:space="0" w:color="auto"/>
            </w:tcBorders>
            <w:shd w:val="clear" w:color="auto" w:fill="A8CBEE" w:themeFill="accent2" w:themeFillTint="66"/>
            <w:noWrap/>
            <w:vAlign w:val="center"/>
          </w:tcPr>
          <w:p w:rsidR="00126917" w:rsidRPr="00797BCF" w:rsidRDefault="00126917" w:rsidP="0066543A">
            <w:pPr>
              <w:spacing w:after="0"/>
              <w:ind w:firstLine="0"/>
              <w:jc w:val="right"/>
              <w:rPr>
                <w:rFonts w:ascii="Arial" w:hAnsi="Arial" w:cs="Arial"/>
                <w:sz w:val="16"/>
                <w:szCs w:val="16"/>
                <w:lang w:val="es-ES" w:eastAsia="es-ES"/>
              </w:rPr>
            </w:pPr>
            <w:r w:rsidRPr="00797BCF">
              <w:rPr>
                <w:rFonts w:ascii="Arial" w:hAnsi="Arial" w:cs="Arial"/>
                <w:sz w:val="16"/>
                <w:szCs w:val="16"/>
                <w:lang w:val="es-ES" w:eastAsia="es-ES"/>
              </w:rPr>
              <w:t>152,00</w:t>
            </w:r>
          </w:p>
        </w:tc>
      </w:tr>
    </w:tbl>
    <w:p w:rsidR="00126917" w:rsidRDefault="00126917" w:rsidP="00797BCF">
      <w:pPr>
        <w:spacing w:before="60" w:after="0"/>
        <w:ind w:firstLine="0"/>
        <w:jc w:val="left"/>
        <w:rPr>
          <w:rFonts w:ascii="Arial Narrow" w:hAnsi="Arial Narrow" w:cs="Arial"/>
          <w:sz w:val="18"/>
          <w:szCs w:val="18"/>
          <w:lang w:val="es-ES" w:eastAsia="es-ES"/>
        </w:rPr>
      </w:pPr>
      <w:r w:rsidRPr="00126917">
        <w:rPr>
          <w:rFonts w:ascii="Arial Narrow" w:hAnsi="Arial Narrow" w:cs="Arial"/>
          <w:sz w:val="18"/>
          <w:szCs w:val="18"/>
          <w:lang w:val="es-ES" w:eastAsia="es-ES"/>
        </w:rPr>
        <w:t>(*) Presupuesto base de licitación, IVA incluido.</w:t>
      </w:r>
    </w:p>
    <w:p w:rsidR="00A92B93" w:rsidRPr="00A0407B" w:rsidRDefault="00A92B93" w:rsidP="00797BCF">
      <w:pPr>
        <w:pStyle w:val="texto"/>
        <w:tabs>
          <w:tab w:val="clear" w:pos="2835"/>
          <w:tab w:val="clear" w:pos="3969"/>
          <w:tab w:val="clear" w:pos="5103"/>
          <w:tab w:val="clear" w:pos="6237"/>
          <w:tab w:val="clear" w:pos="7371"/>
          <w:tab w:val="num" w:pos="300"/>
        </w:tabs>
        <w:spacing w:before="240"/>
        <w:rPr>
          <w:szCs w:val="26"/>
          <w:lang w:val="es-ES"/>
        </w:rPr>
      </w:pPr>
      <w:r w:rsidRPr="00A0407B">
        <w:rPr>
          <w:szCs w:val="26"/>
          <w:lang w:val="es-ES"/>
        </w:rPr>
        <w:t>El convenio establece que el pago de las anualidades se hará efectivo trime</w:t>
      </w:r>
      <w:r w:rsidRPr="00A0407B">
        <w:rPr>
          <w:szCs w:val="26"/>
          <w:lang w:val="es-ES"/>
        </w:rPr>
        <w:t>s</w:t>
      </w:r>
      <w:r w:rsidRPr="00A0407B">
        <w:rPr>
          <w:szCs w:val="26"/>
          <w:lang w:val="es-ES"/>
        </w:rPr>
        <w:t>tralmente a la Comunidad Foral de Navarra por parte de ADIF.</w:t>
      </w:r>
    </w:p>
    <w:p w:rsidR="002B4431" w:rsidRDefault="002B4431">
      <w:pPr>
        <w:spacing w:after="0"/>
        <w:ind w:firstLine="0"/>
        <w:jc w:val="left"/>
        <w:rPr>
          <w:spacing w:val="6"/>
          <w:sz w:val="26"/>
          <w:szCs w:val="26"/>
          <w:lang w:val="es-ES"/>
        </w:rPr>
      </w:pPr>
      <w:r>
        <w:rPr>
          <w:szCs w:val="26"/>
          <w:lang w:val="es-ES"/>
        </w:rPr>
        <w:br w:type="page"/>
      </w:r>
    </w:p>
    <w:p w:rsidR="000F0638" w:rsidRDefault="00126917" w:rsidP="00B14DF7">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89"/>
        <w:rPr>
          <w:szCs w:val="26"/>
          <w:lang w:val="es-ES"/>
        </w:rPr>
      </w:pPr>
      <w:r w:rsidRPr="00A0407B">
        <w:rPr>
          <w:szCs w:val="26"/>
          <w:lang w:val="es-ES"/>
        </w:rPr>
        <w:lastRenderedPageBreak/>
        <w:t>A su vez, las actuaciones del Estado</w:t>
      </w:r>
      <w:r w:rsidR="00DE1075" w:rsidRPr="00A0407B">
        <w:rPr>
          <w:szCs w:val="26"/>
          <w:lang w:val="es-ES"/>
        </w:rPr>
        <w:t xml:space="preserve"> (ADIF)</w:t>
      </w:r>
      <w:r w:rsidRPr="00A0407B">
        <w:rPr>
          <w:szCs w:val="26"/>
          <w:lang w:val="es-ES"/>
        </w:rPr>
        <w:t xml:space="preserve"> se prevé que se realicen entre los ejercicios 2013-2015 de acuerdo con la siguiente programación:</w:t>
      </w:r>
    </w:p>
    <w:p w:rsidR="00B14DF7" w:rsidRPr="00B14DF7" w:rsidRDefault="00B14DF7" w:rsidP="00B14DF7">
      <w:pPr>
        <w:tabs>
          <w:tab w:val="left" w:pos="480"/>
          <w:tab w:val="num" w:pos="4920"/>
        </w:tabs>
        <w:spacing w:after="40"/>
        <w:ind w:firstLine="284"/>
        <w:jc w:val="right"/>
        <w:rPr>
          <w:rFonts w:ascii="Arial Narrow" w:hAnsi="Arial Narrow"/>
          <w:spacing w:val="6"/>
          <w:sz w:val="18"/>
          <w:szCs w:val="18"/>
          <w:lang w:val="es-ES"/>
        </w:rPr>
      </w:pPr>
      <w:r w:rsidRPr="00B14DF7">
        <w:rPr>
          <w:rFonts w:ascii="Arial Narrow" w:hAnsi="Arial Narrow"/>
          <w:spacing w:val="6"/>
          <w:sz w:val="18"/>
          <w:szCs w:val="18"/>
          <w:lang w:val="es-ES"/>
        </w:rPr>
        <w:t>(Millones de euros)</w:t>
      </w:r>
    </w:p>
    <w:tbl>
      <w:tblPr>
        <w:tblW w:w="8874" w:type="dxa"/>
        <w:tblInd w:w="5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135"/>
        <w:gridCol w:w="960"/>
        <w:gridCol w:w="1225"/>
        <w:gridCol w:w="689"/>
        <w:gridCol w:w="689"/>
        <w:gridCol w:w="700"/>
        <w:gridCol w:w="737"/>
        <w:gridCol w:w="739"/>
      </w:tblGrid>
      <w:tr w:rsidR="00126917" w:rsidRPr="00EE43A1" w:rsidTr="002832C2">
        <w:trPr>
          <w:trHeight w:hRule="exact" w:val="260"/>
        </w:trPr>
        <w:tc>
          <w:tcPr>
            <w:tcW w:w="3135" w:type="dxa"/>
            <w:tcBorders>
              <w:top w:val="single" w:sz="4" w:space="0" w:color="auto"/>
              <w:bottom w:val="single" w:sz="4" w:space="0" w:color="auto"/>
            </w:tcBorders>
            <w:shd w:val="clear" w:color="auto" w:fill="A8CBEE" w:themeFill="accent2" w:themeFillTint="66"/>
            <w:noWrap/>
            <w:vAlign w:val="center"/>
          </w:tcPr>
          <w:p w:rsidR="00126917" w:rsidRPr="00E351AE" w:rsidRDefault="00126917" w:rsidP="00AF3D73">
            <w:pPr>
              <w:pStyle w:val="cuadroCabe"/>
              <w:jc w:val="left"/>
              <w:rPr>
                <w:rFonts w:cs="Arial"/>
              </w:rPr>
            </w:pPr>
            <w:r>
              <w:rPr>
                <w:rFonts w:cs="Arial"/>
              </w:rPr>
              <w:t>Tramo Castejón-Esqu</w:t>
            </w:r>
            <w:r w:rsidR="00AF3D73">
              <w:rPr>
                <w:rFonts w:cs="Arial"/>
              </w:rPr>
              <w:t>Í</w:t>
            </w:r>
            <w:r>
              <w:rPr>
                <w:rFonts w:cs="Arial"/>
              </w:rPr>
              <w:t>roz</w:t>
            </w:r>
          </w:p>
        </w:tc>
        <w:tc>
          <w:tcPr>
            <w:tcW w:w="960" w:type="dxa"/>
            <w:vMerge w:val="restart"/>
            <w:tcBorders>
              <w:top w:val="single" w:sz="4"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Longitud</w:t>
            </w:r>
          </w:p>
          <w:p w:rsidR="00126917" w:rsidRPr="00E351AE" w:rsidRDefault="00126917" w:rsidP="0066543A">
            <w:pPr>
              <w:pStyle w:val="cuadroCabe"/>
              <w:jc w:val="right"/>
              <w:rPr>
                <w:rFonts w:cs="Arial"/>
              </w:rPr>
            </w:pPr>
            <w:r w:rsidRPr="00E351AE">
              <w:rPr>
                <w:rFonts w:cs="Arial"/>
              </w:rPr>
              <w:t>(Km.)</w:t>
            </w:r>
          </w:p>
        </w:tc>
        <w:tc>
          <w:tcPr>
            <w:tcW w:w="4779" w:type="dxa"/>
            <w:gridSpan w:val="6"/>
            <w:tcBorders>
              <w:top w:val="single" w:sz="4" w:space="0" w:color="auto"/>
              <w:bottom w:val="single" w:sz="2" w:space="0" w:color="auto"/>
            </w:tcBorders>
            <w:shd w:val="clear" w:color="auto" w:fill="A8CBEE" w:themeFill="accent2" w:themeFillTint="66"/>
            <w:noWrap/>
            <w:vAlign w:val="center"/>
          </w:tcPr>
          <w:p w:rsidR="00126917" w:rsidRPr="00E351AE" w:rsidRDefault="00126917" w:rsidP="00B14DF7">
            <w:pPr>
              <w:pStyle w:val="cuadroCabe"/>
              <w:jc w:val="center"/>
              <w:rPr>
                <w:rFonts w:cs="Arial"/>
              </w:rPr>
            </w:pPr>
            <w:r w:rsidRPr="00E351AE">
              <w:rPr>
                <w:rFonts w:cs="Arial"/>
              </w:rPr>
              <w:t>Costes estimados</w:t>
            </w:r>
            <w:r w:rsidR="00A92B93">
              <w:rPr>
                <w:rFonts w:cs="Arial"/>
              </w:rPr>
              <w:t xml:space="preserve"> (*)</w:t>
            </w:r>
          </w:p>
        </w:tc>
      </w:tr>
      <w:tr w:rsidR="00126917" w:rsidRPr="00EE43A1" w:rsidTr="002832C2">
        <w:trPr>
          <w:trHeight w:hRule="exact" w:val="260"/>
        </w:trPr>
        <w:tc>
          <w:tcPr>
            <w:tcW w:w="3135" w:type="dxa"/>
            <w:tcBorders>
              <w:top w:val="single" w:sz="4"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left"/>
              <w:rPr>
                <w:rFonts w:cs="Arial"/>
              </w:rPr>
            </w:pPr>
            <w:r w:rsidRPr="00E351AE">
              <w:rPr>
                <w:rFonts w:cs="Arial"/>
              </w:rPr>
              <w:t>Vía, electrificación e instalaciones</w:t>
            </w:r>
          </w:p>
        </w:tc>
        <w:tc>
          <w:tcPr>
            <w:tcW w:w="960" w:type="dxa"/>
            <w:vMerge/>
            <w:tcBorders>
              <w:bottom w:val="single" w:sz="2" w:space="0" w:color="auto"/>
            </w:tcBorders>
            <w:shd w:val="clear" w:color="auto" w:fill="A8CBEE" w:themeFill="accent2" w:themeFillTint="66"/>
            <w:noWrap/>
            <w:vAlign w:val="center"/>
          </w:tcPr>
          <w:p w:rsidR="00126917" w:rsidRPr="00E351AE" w:rsidRDefault="00126917" w:rsidP="0066543A">
            <w:pPr>
              <w:pStyle w:val="cuadroCabe"/>
              <w:jc w:val="left"/>
              <w:rPr>
                <w:rFonts w:cs="Arial"/>
              </w:rPr>
            </w:pPr>
          </w:p>
        </w:tc>
        <w:tc>
          <w:tcPr>
            <w:tcW w:w="1225"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sidRPr="00E351AE">
              <w:rPr>
                <w:rFonts w:cs="Arial"/>
              </w:rPr>
              <w:t>Total tramo</w:t>
            </w:r>
          </w:p>
        </w:tc>
        <w:tc>
          <w:tcPr>
            <w:tcW w:w="689"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Pr>
                <w:rFonts w:cs="Arial"/>
              </w:rPr>
              <w:t>2</w:t>
            </w:r>
            <w:r w:rsidRPr="00E351AE">
              <w:rPr>
                <w:rFonts w:cs="Arial"/>
              </w:rPr>
              <w:t>011</w:t>
            </w:r>
          </w:p>
        </w:tc>
        <w:tc>
          <w:tcPr>
            <w:tcW w:w="689"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Pr>
                <w:rFonts w:cs="Arial"/>
              </w:rPr>
              <w:t>2</w:t>
            </w:r>
            <w:r w:rsidRPr="00E351AE">
              <w:rPr>
                <w:rFonts w:cs="Arial"/>
              </w:rPr>
              <w:t>012</w:t>
            </w:r>
          </w:p>
        </w:tc>
        <w:tc>
          <w:tcPr>
            <w:tcW w:w="700"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Pr>
                <w:rFonts w:cs="Arial"/>
              </w:rPr>
              <w:t>2</w:t>
            </w:r>
            <w:r w:rsidRPr="00E351AE">
              <w:rPr>
                <w:rFonts w:cs="Arial"/>
              </w:rPr>
              <w:t>013</w:t>
            </w:r>
          </w:p>
        </w:tc>
        <w:tc>
          <w:tcPr>
            <w:tcW w:w="737"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Pr>
                <w:rFonts w:cs="Arial"/>
              </w:rPr>
              <w:t>2</w:t>
            </w:r>
            <w:r w:rsidRPr="00E351AE">
              <w:rPr>
                <w:rFonts w:cs="Arial"/>
              </w:rPr>
              <w:t>014</w:t>
            </w:r>
          </w:p>
        </w:tc>
        <w:tc>
          <w:tcPr>
            <w:tcW w:w="739" w:type="dxa"/>
            <w:tcBorders>
              <w:top w:val="single" w:sz="2" w:space="0" w:color="auto"/>
              <w:bottom w:val="single" w:sz="2" w:space="0" w:color="auto"/>
            </w:tcBorders>
            <w:shd w:val="clear" w:color="auto" w:fill="A8CBEE" w:themeFill="accent2" w:themeFillTint="66"/>
            <w:noWrap/>
            <w:vAlign w:val="center"/>
          </w:tcPr>
          <w:p w:rsidR="00126917" w:rsidRPr="00E351AE" w:rsidRDefault="00126917" w:rsidP="0066543A">
            <w:pPr>
              <w:pStyle w:val="cuadroCabe"/>
              <w:jc w:val="right"/>
              <w:rPr>
                <w:rFonts w:cs="Arial"/>
              </w:rPr>
            </w:pPr>
            <w:r>
              <w:rPr>
                <w:rFonts w:cs="Arial"/>
              </w:rPr>
              <w:t>2</w:t>
            </w:r>
            <w:r w:rsidRPr="00E351AE">
              <w:rPr>
                <w:rFonts w:cs="Arial"/>
              </w:rPr>
              <w:t>015</w:t>
            </w:r>
          </w:p>
        </w:tc>
      </w:tr>
      <w:tr w:rsidR="00126917" w:rsidRPr="00EE43A1" w:rsidTr="00797BCF">
        <w:trPr>
          <w:trHeight w:hRule="exact" w:val="509"/>
        </w:trPr>
        <w:tc>
          <w:tcPr>
            <w:tcW w:w="3135" w:type="dxa"/>
            <w:tcBorders>
              <w:top w:val="single" w:sz="2" w:space="0" w:color="auto"/>
              <w:bottom w:val="single" w:sz="4" w:space="0" w:color="auto"/>
            </w:tcBorders>
            <w:noWrap/>
            <w:vAlign w:val="center"/>
          </w:tcPr>
          <w:p w:rsidR="00126917" w:rsidRPr="00E351AE" w:rsidRDefault="00126917" w:rsidP="0066543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Castejón-Esquí</w:t>
            </w:r>
            <w:r w:rsidRPr="00E351AE">
              <w:rPr>
                <w:rFonts w:ascii="Arial Narrow" w:hAnsi="Arial Narrow" w:cs="Arial"/>
                <w:sz w:val="18"/>
                <w:szCs w:val="18"/>
                <w:lang w:val="es-ES" w:eastAsia="es-ES"/>
              </w:rPr>
              <w:t>roz</w:t>
            </w:r>
          </w:p>
        </w:tc>
        <w:tc>
          <w:tcPr>
            <w:tcW w:w="960"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69,89</w:t>
            </w:r>
          </w:p>
        </w:tc>
        <w:tc>
          <w:tcPr>
            <w:tcW w:w="1225"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287,35</w:t>
            </w:r>
          </w:p>
        </w:tc>
        <w:tc>
          <w:tcPr>
            <w:tcW w:w="689"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689"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 </w:t>
            </w:r>
          </w:p>
        </w:tc>
        <w:tc>
          <w:tcPr>
            <w:tcW w:w="700"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10</w:t>
            </w:r>
            <w:r>
              <w:rPr>
                <w:rFonts w:ascii="Arial Narrow" w:hAnsi="Arial Narrow" w:cs="Arial"/>
                <w:sz w:val="18"/>
                <w:szCs w:val="18"/>
                <w:lang w:val="es-ES" w:eastAsia="es-ES"/>
              </w:rPr>
              <w:t>,00</w:t>
            </w:r>
          </w:p>
        </w:tc>
        <w:tc>
          <w:tcPr>
            <w:tcW w:w="737"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120</w:t>
            </w:r>
            <w:r>
              <w:rPr>
                <w:rFonts w:ascii="Arial Narrow" w:hAnsi="Arial Narrow" w:cs="Arial"/>
                <w:sz w:val="18"/>
                <w:szCs w:val="18"/>
                <w:lang w:val="es-ES" w:eastAsia="es-ES"/>
              </w:rPr>
              <w:t>,00</w:t>
            </w:r>
          </w:p>
        </w:tc>
        <w:tc>
          <w:tcPr>
            <w:tcW w:w="739" w:type="dxa"/>
            <w:tcBorders>
              <w:top w:val="single" w:sz="2" w:space="0" w:color="auto"/>
              <w:bottom w:val="single" w:sz="4" w:space="0" w:color="auto"/>
            </w:tcBorders>
            <w:noWrap/>
            <w:vAlign w:val="center"/>
          </w:tcPr>
          <w:p w:rsidR="00126917" w:rsidRPr="00E351AE" w:rsidRDefault="00126917" w:rsidP="0066543A">
            <w:pPr>
              <w:spacing w:after="0"/>
              <w:ind w:firstLine="0"/>
              <w:jc w:val="right"/>
              <w:rPr>
                <w:rFonts w:ascii="Arial Narrow" w:hAnsi="Arial Narrow" w:cs="Arial"/>
                <w:sz w:val="18"/>
                <w:szCs w:val="18"/>
                <w:lang w:val="es-ES" w:eastAsia="es-ES"/>
              </w:rPr>
            </w:pPr>
            <w:r w:rsidRPr="00E351AE">
              <w:rPr>
                <w:rFonts w:ascii="Arial Narrow" w:hAnsi="Arial Narrow" w:cs="Arial"/>
                <w:sz w:val="18"/>
                <w:szCs w:val="18"/>
                <w:lang w:val="es-ES" w:eastAsia="es-ES"/>
              </w:rPr>
              <w:t>157</w:t>
            </w:r>
            <w:r>
              <w:rPr>
                <w:rFonts w:ascii="Arial Narrow" w:hAnsi="Arial Narrow" w:cs="Arial"/>
                <w:sz w:val="18"/>
                <w:szCs w:val="18"/>
                <w:lang w:val="es-ES" w:eastAsia="es-ES"/>
              </w:rPr>
              <w:t>,35</w:t>
            </w:r>
          </w:p>
        </w:tc>
      </w:tr>
      <w:tr w:rsidR="00126917" w:rsidRPr="00EE43A1" w:rsidTr="00797BCF">
        <w:trPr>
          <w:trHeight w:hRule="exact" w:val="260"/>
        </w:trPr>
        <w:tc>
          <w:tcPr>
            <w:tcW w:w="3135"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rPr>
                <w:lang w:val="es-ES" w:eastAsia="es-ES"/>
              </w:rPr>
            </w:pPr>
            <w:r w:rsidRPr="00DE1075">
              <w:rPr>
                <w:lang w:val="es-ES" w:eastAsia="es-ES"/>
              </w:rPr>
              <w:t>Total</w:t>
            </w:r>
            <w:r w:rsidR="00DE1075">
              <w:rPr>
                <w:lang w:val="es-ES" w:eastAsia="es-ES"/>
              </w:rPr>
              <w:t xml:space="preserve"> ADIF</w:t>
            </w:r>
          </w:p>
        </w:tc>
        <w:tc>
          <w:tcPr>
            <w:tcW w:w="960"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r w:rsidRPr="00DE1075">
              <w:rPr>
                <w:lang w:val="es-ES" w:eastAsia="es-ES"/>
              </w:rPr>
              <w:t>69,89</w:t>
            </w:r>
          </w:p>
        </w:tc>
        <w:tc>
          <w:tcPr>
            <w:tcW w:w="1225"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r w:rsidRPr="00DE1075">
              <w:rPr>
                <w:lang w:val="es-ES" w:eastAsia="es-ES"/>
              </w:rPr>
              <w:t>287,35</w:t>
            </w:r>
          </w:p>
        </w:tc>
        <w:tc>
          <w:tcPr>
            <w:tcW w:w="689"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p>
        </w:tc>
        <w:tc>
          <w:tcPr>
            <w:tcW w:w="689"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p>
        </w:tc>
        <w:tc>
          <w:tcPr>
            <w:tcW w:w="700"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r w:rsidRPr="00DE1075">
              <w:rPr>
                <w:lang w:val="es-ES" w:eastAsia="es-ES"/>
              </w:rPr>
              <w:t>10,00</w:t>
            </w:r>
          </w:p>
        </w:tc>
        <w:tc>
          <w:tcPr>
            <w:tcW w:w="737"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r w:rsidRPr="00DE1075">
              <w:rPr>
                <w:lang w:val="es-ES" w:eastAsia="es-ES"/>
              </w:rPr>
              <w:t>120,00</w:t>
            </w:r>
          </w:p>
        </w:tc>
        <w:tc>
          <w:tcPr>
            <w:tcW w:w="739" w:type="dxa"/>
            <w:tcBorders>
              <w:top w:val="single" w:sz="4" w:space="0" w:color="auto"/>
              <w:bottom w:val="single" w:sz="4" w:space="0" w:color="auto"/>
            </w:tcBorders>
            <w:shd w:val="clear" w:color="auto" w:fill="A8CBEE" w:themeFill="accent2" w:themeFillTint="66"/>
            <w:noWrap/>
            <w:vAlign w:val="center"/>
          </w:tcPr>
          <w:p w:rsidR="00126917" w:rsidRPr="00DE1075" w:rsidRDefault="00126917" w:rsidP="00DE1075">
            <w:pPr>
              <w:pStyle w:val="cuadroCabe"/>
              <w:jc w:val="right"/>
              <w:rPr>
                <w:lang w:val="es-ES" w:eastAsia="es-ES"/>
              </w:rPr>
            </w:pPr>
            <w:r w:rsidRPr="00DE1075">
              <w:rPr>
                <w:lang w:val="es-ES" w:eastAsia="es-ES"/>
              </w:rPr>
              <w:t>157,35</w:t>
            </w:r>
          </w:p>
        </w:tc>
      </w:tr>
    </w:tbl>
    <w:p w:rsidR="00A92B93" w:rsidRDefault="00A92B93" w:rsidP="00797BCF">
      <w:pPr>
        <w:spacing w:before="60" w:after="0"/>
        <w:ind w:firstLine="0"/>
        <w:jc w:val="left"/>
        <w:rPr>
          <w:rFonts w:ascii="Arial Narrow" w:hAnsi="Arial Narrow" w:cs="Arial"/>
          <w:sz w:val="18"/>
          <w:szCs w:val="18"/>
          <w:lang w:val="es-ES" w:eastAsia="es-ES"/>
        </w:rPr>
      </w:pPr>
      <w:r w:rsidRPr="00126917">
        <w:rPr>
          <w:rFonts w:ascii="Arial Narrow" w:hAnsi="Arial Narrow" w:cs="Arial"/>
          <w:sz w:val="18"/>
          <w:szCs w:val="18"/>
          <w:lang w:val="es-ES" w:eastAsia="es-ES"/>
        </w:rPr>
        <w:t>(*) Presupuesto base de licitación, IVA incluido.</w:t>
      </w:r>
    </w:p>
    <w:p w:rsidR="007A4B43" w:rsidRDefault="007A4B43" w:rsidP="00797BCF">
      <w:pPr>
        <w:spacing w:after="0" w:line="276" w:lineRule="auto"/>
        <w:ind w:firstLine="0"/>
        <w:rPr>
          <w:rFonts w:ascii="Arial" w:hAnsi="Arial" w:cs="Arial"/>
        </w:rPr>
      </w:pPr>
    </w:p>
    <w:p w:rsidR="004F43C7" w:rsidRPr="009729B8" w:rsidRDefault="004F43C7" w:rsidP="00A92B9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Conviene precisar que el conjunto de los importes anteriores, tanto de</w:t>
      </w:r>
      <w:r w:rsidR="00091C26">
        <w:rPr>
          <w:szCs w:val="26"/>
          <w:lang w:val="es-ES"/>
        </w:rPr>
        <w:t xml:space="preserve"> </w:t>
      </w:r>
      <w:r w:rsidRPr="00A0407B">
        <w:rPr>
          <w:szCs w:val="26"/>
          <w:lang w:val="es-ES"/>
        </w:rPr>
        <w:t>l</w:t>
      </w:r>
      <w:r w:rsidR="00091C26">
        <w:rPr>
          <w:szCs w:val="26"/>
          <w:lang w:val="es-ES"/>
        </w:rPr>
        <w:t>as actuaciones del</w:t>
      </w:r>
      <w:r w:rsidRPr="00A0407B">
        <w:rPr>
          <w:szCs w:val="26"/>
          <w:lang w:val="es-ES"/>
        </w:rPr>
        <w:t xml:space="preserve"> Gobierno de Navarra como de ADIF, son estimaciones de gasto ya que </w:t>
      </w:r>
      <w:r w:rsidR="00091C26">
        <w:rPr>
          <w:szCs w:val="26"/>
          <w:lang w:val="es-ES"/>
        </w:rPr>
        <w:t>fueron</w:t>
      </w:r>
      <w:r w:rsidRPr="00A0407B">
        <w:rPr>
          <w:szCs w:val="26"/>
          <w:lang w:val="es-ES"/>
        </w:rPr>
        <w:t xml:space="preserve"> calculados con anterioridad a la redacción de los correspondie</w:t>
      </w:r>
      <w:r w:rsidRPr="00A0407B">
        <w:rPr>
          <w:szCs w:val="26"/>
          <w:lang w:val="es-ES"/>
        </w:rPr>
        <w:t>n</w:t>
      </w:r>
      <w:r w:rsidRPr="00A0407B">
        <w:rPr>
          <w:szCs w:val="26"/>
          <w:lang w:val="es-ES"/>
        </w:rPr>
        <w:t>tes proyectos técnicos</w:t>
      </w:r>
      <w:r w:rsidRPr="009729B8">
        <w:rPr>
          <w:szCs w:val="26"/>
          <w:lang w:val="es-ES"/>
        </w:rPr>
        <w:t>.</w:t>
      </w:r>
      <w:r w:rsidR="00D73229" w:rsidRPr="009729B8">
        <w:rPr>
          <w:szCs w:val="26"/>
          <w:lang w:val="es-ES"/>
        </w:rPr>
        <w:t xml:space="preserve"> </w:t>
      </w:r>
      <w:r w:rsidR="00571D68" w:rsidRPr="009729B8">
        <w:rPr>
          <w:szCs w:val="26"/>
          <w:lang w:val="es-ES"/>
        </w:rPr>
        <w:t>Igualmente</w:t>
      </w:r>
      <w:r w:rsidR="00297E21" w:rsidRPr="009729B8">
        <w:rPr>
          <w:szCs w:val="26"/>
          <w:lang w:val="es-ES"/>
        </w:rPr>
        <w:t>,</w:t>
      </w:r>
      <w:r w:rsidR="003945A7" w:rsidRPr="009729B8">
        <w:rPr>
          <w:szCs w:val="26"/>
          <w:lang w:val="es-ES"/>
        </w:rPr>
        <w:t xml:space="preserve"> en tales estimaciones</w:t>
      </w:r>
      <w:r w:rsidR="00571D68" w:rsidRPr="009729B8">
        <w:rPr>
          <w:szCs w:val="26"/>
          <w:lang w:val="es-ES"/>
        </w:rPr>
        <w:t>,</w:t>
      </w:r>
      <w:r w:rsidR="003945A7" w:rsidRPr="009729B8">
        <w:rPr>
          <w:szCs w:val="26"/>
          <w:lang w:val="es-ES"/>
        </w:rPr>
        <w:t xml:space="preserve"> </w:t>
      </w:r>
      <w:r w:rsidR="00571D68" w:rsidRPr="009729B8">
        <w:rPr>
          <w:szCs w:val="26"/>
          <w:lang w:val="es-ES"/>
        </w:rPr>
        <w:t>no se contemplaba</w:t>
      </w:r>
      <w:r w:rsidR="003945A7" w:rsidRPr="009729B8">
        <w:rPr>
          <w:szCs w:val="26"/>
          <w:lang w:val="es-ES"/>
        </w:rPr>
        <w:t xml:space="preserve"> el diseño para tráfico de mercancías</w:t>
      </w:r>
      <w:r w:rsidR="00782D09">
        <w:rPr>
          <w:szCs w:val="26"/>
          <w:lang w:val="es-ES"/>
        </w:rPr>
        <w:t xml:space="preserve"> y no se han actualizado al menos con los cambios del tipo de IVA aplicables</w:t>
      </w:r>
      <w:r w:rsidR="00CD1069">
        <w:rPr>
          <w:szCs w:val="26"/>
          <w:lang w:val="es-ES"/>
        </w:rPr>
        <w:t>.</w:t>
      </w:r>
    </w:p>
    <w:p w:rsidR="007A4B43" w:rsidRPr="00A0407B" w:rsidRDefault="007A4B43" w:rsidP="00A92B9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 xml:space="preserve">Según </w:t>
      </w:r>
      <w:r w:rsidR="00A92B93" w:rsidRPr="00A0407B">
        <w:rPr>
          <w:szCs w:val="26"/>
          <w:lang w:val="es-ES"/>
        </w:rPr>
        <w:t>las programaciones anteriores</w:t>
      </w:r>
      <w:r w:rsidRPr="00A0407B">
        <w:rPr>
          <w:szCs w:val="26"/>
          <w:lang w:val="es-ES"/>
        </w:rPr>
        <w:t xml:space="preserve">, </w:t>
      </w:r>
      <w:r w:rsidR="00A92B93" w:rsidRPr="00A0407B">
        <w:rPr>
          <w:szCs w:val="26"/>
          <w:lang w:val="es-ES"/>
        </w:rPr>
        <w:t xml:space="preserve">en definitiva, </w:t>
      </w:r>
      <w:r w:rsidRPr="00A0407B">
        <w:rPr>
          <w:szCs w:val="26"/>
          <w:lang w:val="es-ES"/>
        </w:rPr>
        <w:t>est</w:t>
      </w:r>
      <w:r w:rsidR="00A92B93" w:rsidRPr="00A0407B">
        <w:rPr>
          <w:szCs w:val="26"/>
          <w:lang w:val="es-ES"/>
        </w:rPr>
        <w:t>aba</w:t>
      </w:r>
      <w:r w:rsidRPr="00A0407B">
        <w:rPr>
          <w:szCs w:val="26"/>
          <w:lang w:val="es-ES"/>
        </w:rPr>
        <w:t xml:space="preserve"> previsto que el G</w:t>
      </w:r>
      <w:r w:rsidR="00A92B93" w:rsidRPr="00A0407B">
        <w:rPr>
          <w:szCs w:val="26"/>
          <w:lang w:val="es-ES"/>
        </w:rPr>
        <w:t>obierno de Navarra</w:t>
      </w:r>
      <w:r w:rsidRPr="00A0407B">
        <w:rPr>
          <w:szCs w:val="26"/>
          <w:lang w:val="es-ES"/>
        </w:rPr>
        <w:t xml:space="preserve"> inici</w:t>
      </w:r>
      <w:r w:rsidR="00A92B93" w:rsidRPr="00A0407B">
        <w:rPr>
          <w:szCs w:val="26"/>
          <w:lang w:val="es-ES"/>
        </w:rPr>
        <w:t>ara</w:t>
      </w:r>
      <w:r w:rsidRPr="00A0407B">
        <w:rPr>
          <w:szCs w:val="26"/>
          <w:lang w:val="es-ES"/>
        </w:rPr>
        <w:t xml:space="preserve"> las obras de la plataforma en 2011 y</w:t>
      </w:r>
      <w:r w:rsidR="00A92B93" w:rsidRPr="00A0407B">
        <w:rPr>
          <w:szCs w:val="26"/>
          <w:lang w:val="es-ES"/>
        </w:rPr>
        <w:t xml:space="preserve"> las</w:t>
      </w:r>
      <w:r w:rsidRPr="00A0407B">
        <w:rPr>
          <w:szCs w:val="26"/>
          <w:lang w:val="es-ES"/>
        </w:rPr>
        <w:t xml:space="preserve"> finali</w:t>
      </w:r>
      <w:r w:rsidR="00A92B93" w:rsidRPr="00A0407B">
        <w:rPr>
          <w:szCs w:val="26"/>
          <w:lang w:val="es-ES"/>
        </w:rPr>
        <w:t>zara</w:t>
      </w:r>
      <w:r w:rsidRPr="00A0407B">
        <w:rPr>
          <w:szCs w:val="26"/>
          <w:lang w:val="es-ES"/>
        </w:rPr>
        <w:t xml:space="preserve"> en 2014, mientras que las obras de superestructura se iniciar</w:t>
      </w:r>
      <w:r w:rsidR="00A92B93" w:rsidRPr="00A0407B">
        <w:rPr>
          <w:szCs w:val="26"/>
          <w:lang w:val="es-ES"/>
        </w:rPr>
        <w:t>ían</w:t>
      </w:r>
      <w:r w:rsidRPr="00A0407B">
        <w:rPr>
          <w:szCs w:val="26"/>
          <w:lang w:val="es-ES"/>
        </w:rPr>
        <w:t xml:space="preserve"> por ADIF en 2013 y </w:t>
      </w:r>
      <w:r w:rsidR="00A92B93" w:rsidRPr="00A0407B">
        <w:rPr>
          <w:szCs w:val="26"/>
          <w:lang w:val="es-ES"/>
        </w:rPr>
        <w:t xml:space="preserve">se </w:t>
      </w:r>
      <w:r w:rsidRPr="00A0407B">
        <w:rPr>
          <w:szCs w:val="26"/>
          <w:lang w:val="es-ES"/>
        </w:rPr>
        <w:t>finalizar</w:t>
      </w:r>
      <w:r w:rsidR="00A92B93" w:rsidRPr="00A0407B">
        <w:rPr>
          <w:szCs w:val="26"/>
          <w:lang w:val="es-ES"/>
        </w:rPr>
        <w:t>ían</w:t>
      </w:r>
      <w:r w:rsidRPr="00A0407B">
        <w:rPr>
          <w:szCs w:val="26"/>
          <w:lang w:val="es-ES"/>
        </w:rPr>
        <w:t xml:space="preserve"> en 2015</w:t>
      </w:r>
      <w:r w:rsidR="00A92B93" w:rsidRPr="00A0407B">
        <w:rPr>
          <w:szCs w:val="26"/>
          <w:lang w:val="es-ES"/>
        </w:rPr>
        <w:t>. En definitiva</w:t>
      </w:r>
      <w:r w:rsidR="00E82B46">
        <w:rPr>
          <w:szCs w:val="26"/>
          <w:lang w:val="es-ES"/>
        </w:rPr>
        <w:t>,</w:t>
      </w:r>
      <w:r w:rsidR="00A92B93" w:rsidRPr="00A0407B">
        <w:rPr>
          <w:szCs w:val="26"/>
          <w:lang w:val="es-ES"/>
        </w:rPr>
        <w:t xml:space="preserve"> todos los </w:t>
      </w:r>
      <w:r w:rsidRPr="00A0407B">
        <w:rPr>
          <w:szCs w:val="26"/>
          <w:lang w:val="es-ES"/>
        </w:rPr>
        <w:t>tramos estarían final</w:t>
      </w:r>
      <w:r w:rsidRPr="00A0407B">
        <w:rPr>
          <w:szCs w:val="26"/>
          <w:lang w:val="es-ES"/>
        </w:rPr>
        <w:t>i</w:t>
      </w:r>
      <w:r w:rsidRPr="00A0407B">
        <w:rPr>
          <w:szCs w:val="26"/>
          <w:lang w:val="es-ES"/>
        </w:rPr>
        <w:t xml:space="preserve">zados para el año 2015. </w:t>
      </w:r>
    </w:p>
    <w:p w:rsidR="007A4B43" w:rsidRPr="00A0407B" w:rsidRDefault="007A4B43" w:rsidP="00A92B9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En cuanto a la financiación de los costes de las actuaciones, las anualid</w:t>
      </w:r>
      <w:r w:rsidRPr="00A0407B">
        <w:rPr>
          <w:szCs w:val="26"/>
          <w:lang w:val="es-ES"/>
        </w:rPr>
        <w:t>a</w:t>
      </w:r>
      <w:r w:rsidRPr="00A0407B">
        <w:rPr>
          <w:szCs w:val="26"/>
          <w:lang w:val="es-ES"/>
        </w:rPr>
        <w:t>des previstas son los compromisos financieros que como máximo asumirá el Estado. En caso de superarse los costes de la plataforma, deberá firmarse una adenda al Convenio, previa la tramitación administrativa correspondiente.</w:t>
      </w:r>
    </w:p>
    <w:p w:rsidR="007A4B43" w:rsidRPr="00A0407B" w:rsidRDefault="007A4B43" w:rsidP="00A92B93">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No se incluyen en la financiación los costes relativos a la apertura y mant</w:t>
      </w:r>
      <w:r w:rsidRPr="00A0407B">
        <w:rPr>
          <w:szCs w:val="26"/>
          <w:lang w:val="es-ES"/>
        </w:rPr>
        <w:t>e</w:t>
      </w:r>
      <w:r w:rsidRPr="00A0407B">
        <w:rPr>
          <w:szCs w:val="26"/>
          <w:lang w:val="es-ES"/>
        </w:rPr>
        <w:t>nimiento de la oficina de gestión expropiatoria citada, que serán por cuenta de la administración de la Comunidad Foral, así como los posibles costes financi</w:t>
      </w:r>
      <w:r w:rsidRPr="00A0407B">
        <w:rPr>
          <w:szCs w:val="26"/>
          <w:lang w:val="es-ES"/>
        </w:rPr>
        <w:t>e</w:t>
      </w:r>
      <w:r w:rsidRPr="00A0407B">
        <w:rPr>
          <w:szCs w:val="26"/>
          <w:lang w:val="es-ES"/>
        </w:rPr>
        <w:t>ros que pudieran producirse como consecuencia de la forma de pago prevista.</w:t>
      </w:r>
    </w:p>
    <w:p w:rsidR="007A4B43" w:rsidRPr="00A0407B" w:rsidRDefault="007A4B43" w:rsidP="00A92B9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Así mismo se establece que, de conformidad con los criterios del SEC, los gastos de inversión realizados por la Comunidad Foral de Navarra por cuenta del ADIF en virtud de la encomienda de gestión, serán gastos atribuidos al ADIF, por lo que el déficit de contabilidad nacional de la Comuni</w:t>
      </w:r>
      <w:r w:rsidR="00A92B93" w:rsidRPr="00A0407B">
        <w:rPr>
          <w:szCs w:val="26"/>
          <w:lang w:val="es-ES"/>
        </w:rPr>
        <w:t>d</w:t>
      </w:r>
      <w:r w:rsidRPr="00A0407B">
        <w:rPr>
          <w:szCs w:val="26"/>
          <w:lang w:val="es-ES"/>
        </w:rPr>
        <w:t>ad Foral no se verá afectado por dichos gastos.</w:t>
      </w:r>
    </w:p>
    <w:p w:rsidR="007A4B43" w:rsidRPr="00A0407B" w:rsidRDefault="007A4B43" w:rsidP="00A92B9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Se prevé la creación de una Comisión de Seguimiento y Coordinación, compuesta por cuatro representantes de cada administración, para velar por el cumplimiento del convenio, impulsar su ejecución, así como resolver las dudas que surjan. Así mismo, se crea una Subcomisión Técnica integrada por seis r</w:t>
      </w:r>
      <w:r w:rsidRPr="00A0407B">
        <w:rPr>
          <w:szCs w:val="26"/>
          <w:lang w:val="es-ES"/>
        </w:rPr>
        <w:t>e</w:t>
      </w:r>
      <w:r w:rsidRPr="00A0407B">
        <w:rPr>
          <w:szCs w:val="26"/>
          <w:lang w:val="es-ES"/>
        </w:rPr>
        <w:t xml:space="preserve">presentantes, con las funciones de coordinación de los proyectos constructivos, de la construcción de las obras y de los procesos expropiatorios, así como de certificar la conformidad de las obras ejecutadas con los proyectos aprobados, a efectos, entre otros, del abono de estas a la </w:t>
      </w:r>
      <w:r w:rsidR="006A5B1A" w:rsidRPr="00A0407B">
        <w:rPr>
          <w:szCs w:val="26"/>
          <w:lang w:val="es-ES"/>
        </w:rPr>
        <w:t>Administración Foral</w:t>
      </w:r>
      <w:r w:rsidRPr="00A0407B">
        <w:rPr>
          <w:szCs w:val="26"/>
          <w:lang w:val="es-ES"/>
        </w:rPr>
        <w:t>.</w:t>
      </w:r>
    </w:p>
    <w:p w:rsidR="005A1B1F" w:rsidRPr="00A0407B" w:rsidRDefault="005A1B1F" w:rsidP="005A1B1F">
      <w:pPr>
        <w:pStyle w:val="texto"/>
        <w:tabs>
          <w:tab w:val="clear" w:pos="2835"/>
          <w:tab w:val="clear" w:pos="3969"/>
          <w:tab w:val="clear" w:pos="5103"/>
          <w:tab w:val="clear" w:pos="6237"/>
          <w:tab w:val="clear" w:pos="7371"/>
          <w:tab w:val="num" w:pos="300"/>
        </w:tabs>
        <w:rPr>
          <w:szCs w:val="26"/>
          <w:lang w:val="es-ES"/>
        </w:rPr>
      </w:pPr>
      <w:r w:rsidRPr="00A0407B">
        <w:rPr>
          <w:szCs w:val="26"/>
          <w:lang w:val="es-ES"/>
        </w:rPr>
        <w:lastRenderedPageBreak/>
        <w:t xml:space="preserve">En </w:t>
      </w:r>
      <w:r w:rsidRPr="00A0407B">
        <w:rPr>
          <w:b/>
          <w:szCs w:val="26"/>
          <w:lang w:val="es-ES"/>
        </w:rPr>
        <w:t>conclusión</w:t>
      </w:r>
      <w:r w:rsidRPr="00A0407B">
        <w:rPr>
          <w:szCs w:val="26"/>
          <w:lang w:val="es-ES"/>
        </w:rPr>
        <w:t xml:space="preserve"> la distribución de competencias entre las administraciones se resumen en:</w:t>
      </w:r>
    </w:p>
    <w:p w:rsidR="005A1B1F" w:rsidRPr="00A0407B" w:rsidRDefault="00132DCA" w:rsidP="005A1B1F">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a)</w:t>
      </w:r>
      <w:r w:rsidR="005A1B1F" w:rsidRPr="00A0407B">
        <w:rPr>
          <w:szCs w:val="26"/>
          <w:lang w:val="es-ES"/>
        </w:rPr>
        <w:t xml:space="preserve"> </w:t>
      </w:r>
      <w:r w:rsidR="005A1B1F" w:rsidRPr="00A0407B">
        <w:rPr>
          <w:b/>
          <w:szCs w:val="26"/>
          <w:lang w:val="es-ES"/>
        </w:rPr>
        <w:t>Proyectos</w:t>
      </w:r>
      <w:r w:rsidR="005A1B1F" w:rsidRPr="00A0407B">
        <w:rPr>
          <w:szCs w:val="26"/>
          <w:lang w:val="es-ES"/>
        </w:rPr>
        <w:t>. La Comunidad Fora</w:t>
      </w:r>
      <w:r w:rsidR="00E55C3E" w:rsidRPr="00A0407B">
        <w:rPr>
          <w:szCs w:val="26"/>
          <w:lang w:val="es-ES"/>
        </w:rPr>
        <w:t xml:space="preserve">l </w:t>
      </w:r>
      <w:r w:rsidR="00DD0C58" w:rsidRPr="00A0407B">
        <w:rPr>
          <w:szCs w:val="26"/>
          <w:lang w:val="es-ES"/>
        </w:rPr>
        <w:t xml:space="preserve">asume y </w:t>
      </w:r>
      <w:r w:rsidR="00FC7FA4" w:rsidRPr="00A0407B">
        <w:rPr>
          <w:szCs w:val="26"/>
          <w:lang w:val="es-ES"/>
        </w:rPr>
        <w:t>adelanta el gasto por</w:t>
      </w:r>
      <w:r w:rsidR="005A1B1F" w:rsidRPr="00A0407B">
        <w:rPr>
          <w:szCs w:val="26"/>
          <w:lang w:val="es-ES"/>
        </w:rPr>
        <w:t xml:space="preserve"> la reda</w:t>
      </w:r>
      <w:r w:rsidR="005A1B1F" w:rsidRPr="00A0407B">
        <w:rPr>
          <w:szCs w:val="26"/>
          <w:lang w:val="es-ES"/>
        </w:rPr>
        <w:t>c</w:t>
      </w:r>
      <w:r w:rsidR="005A1B1F" w:rsidRPr="00A0407B">
        <w:rPr>
          <w:szCs w:val="26"/>
          <w:lang w:val="es-ES"/>
        </w:rPr>
        <w:t>ción de los proyectos de la plataforma, actuando como órgano de contratación. Estos proyectos son aprobados por ADIF y supervisados por el Ministerio de Fomento.</w:t>
      </w:r>
    </w:p>
    <w:p w:rsidR="005A1B1F" w:rsidRPr="00A0407B" w:rsidRDefault="005A1B1F" w:rsidP="005A1B1F">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Los proyectos de la superestructura corresponden íntegramente a ADIF.</w:t>
      </w:r>
    </w:p>
    <w:p w:rsidR="005A1B1F" w:rsidRPr="00A0407B" w:rsidRDefault="003315E6" w:rsidP="003315E6">
      <w:pPr>
        <w:pStyle w:val="texto"/>
        <w:tabs>
          <w:tab w:val="clear" w:pos="2835"/>
          <w:tab w:val="clear" w:pos="3969"/>
          <w:tab w:val="clear" w:pos="5103"/>
          <w:tab w:val="clear" w:pos="6237"/>
          <w:tab w:val="clear" w:pos="7371"/>
        </w:tabs>
        <w:rPr>
          <w:szCs w:val="26"/>
          <w:lang w:val="es-ES"/>
        </w:rPr>
      </w:pPr>
      <w:r w:rsidRPr="00A0407B">
        <w:rPr>
          <w:szCs w:val="26"/>
          <w:lang w:val="es-ES"/>
        </w:rPr>
        <w:t xml:space="preserve">b) </w:t>
      </w:r>
      <w:r w:rsidR="005A1B1F" w:rsidRPr="00A0407B">
        <w:rPr>
          <w:b/>
          <w:szCs w:val="26"/>
          <w:lang w:val="es-ES"/>
        </w:rPr>
        <w:t>Ejecuci</w:t>
      </w:r>
      <w:r w:rsidRPr="00A0407B">
        <w:rPr>
          <w:b/>
          <w:szCs w:val="26"/>
          <w:lang w:val="es-ES"/>
        </w:rPr>
        <w:t>ón d</w:t>
      </w:r>
      <w:r w:rsidR="005A1B1F" w:rsidRPr="00A0407B">
        <w:rPr>
          <w:b/>
          <w:szCs w:val="26"/>
          <w:lang w:val="es-ES"/>
        </w:rPr>
        <w:t>e</w:t>
      </w:r>
      <w:r w:rsidRPr="00A0407B">
        <w:rPr>
          <w:b/>
          <w:szCs w:val="26"/>
          <w:lang w:val="es-ES"/>
        </w:rPr>
        <w:t xml:space="preserve"> </w:t>
      </w:r>
      <w:r w:rsidR="005A1B1F" w:rsidRPr="00A0407B">
        <w:rPr>
          <w:b/>
          <w:szCs w:val="26"/>
          <w:lang w:val="es-ES"/>
        </w:rPr>
        <w:t>las obras</w:t>
      </w:r>
      <w:r w:rsidRPr="00A0407B">
        <w:rPr>
          <w:szCs w:val="26"/>
          <w:lang w:val="es-ES"/>
        </w:rPr>
        <w:t xml:space="preserve">. </w:t>
      </w:r>
      <w:r w:rsidR="00FC7FA4" w:rsidRPr="00A0407B">
        <w:rPr>
          <w:szCs w:val="26"/>
          <w:lang w:val="es-ES"/>
        </w:rPr>
        <w:t>El Gobierno de Navarra</w:t>
      </w:r>
      <w:r w:rsidR="00DD0C58" w:rsidRPr="00A0407B">
        <w:rPr>
          <w:szCs w:val="26"/>
          <w:lang w:val="es-ES"/>
        </w:rPr>
        <w:t xml:space="preserve"> actúa como órgano de contratación sobre las obras y dirección facultativa</w:t>
      </w:r>
      <w:r w:rsidR="006A5B1A" w:rsidRPr="00A0407B">
        <w:rPr>
          <w:szCs w:val="26"/>
          <w:lang w:val="es-ES"/>
        </w:rPr>
        <w:t xml:space="preserve"> de la plataforma</w:t>
      </w:r>
      <w:r w:rsidR="00DD0C58" w:rsidRPr="00A0407B">
        <w:rPr>
          <w:szCs w:val="26"/>
          <w:lang w:val="es-ES"/>
        </w:rPr>
        <w:t xml:space="preserve"> y </w:t>
      </w:r>
      <w:r w:rsidR="00FC7FA4" w:rsidRPr="00A0407B">
        <w:rPr>
          <w:szCs w:val="26"/>
          <w:lang w:val="es-ES"/>
        </w:rPr>
        <w:t xml:space="preserve">adelanta el gasto de </w:t>
      </w:r>
      <w:r w:rsidR="00DD0C58" w:rsidRPr="00A0407B">
        <w:rPr>
          <w:szCs w:val="26"/>
          <w:lang w:val="es-ES"/>
        </w:rPr>
        <w:t>su ejecución.</w:t>
      </w:r>
      <w:r w:rsidRPr="00A0407B">
        <w:rPr>
          <w:szCs w:val="26"/>
          <w:lang w:val="es-ES"/>
        </w:rPr>
        <w:t xml:space="preserve"> ADIF supervisa tales obras y es el titular de la citada infraestructura siendo recepcionadas por el Ministerio de Fomento.</w:t>
      </w:r>
    </w:p>
    <w:p w:rsidR="003315E6" w:rsidRPr="00A0407B" w:rsidRDefault="003315E6" w:rsidP="003315E6">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La ejecución de las obras de la superestructura corresponde íntegramente a ADIF.</w:t>
      </w:r>
    </w:p>
    <w:p w:rsidR="003315E6" w:rsidRPr="00A0407B" w:rsidRDefault="003315E6" w:rsidP="003315E6">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 xml:space="preserve">c) </w:t>
      </w:r>
      <w:r w:rsidRPr="00A0407B">
        <w:rPr>
          <w:b/>
          <w:szCs w:val="26"/>
          <w:lang w:val="es-ES"/>
        </w:rPr>
        <w:t>Expropiaciones</w:t>
      </w:r>
      <w:r w:rsidRPr="00A0407B">
        <w:rPr>
          <w:szCs w:val="26"/>
          <w:lang w:val="es-ES"/>
        </w:rPr>
        <w:t xml:space="preserve">. La Comunidad Foral es la encargada de la tramitación de </w:t>
      </w:r>
      <w:r w:rsidR="00D17A92" w:rsidRPr="00A0407B">
        <w:rPr>
          <w:szCs w:val="26"/>
          <w:lang w:val="es-ES"/>
        </w:rPr>
        <w:t>los expedientes expropiatorios, adelantando su</w:t>
      </w:r>
      <w:r w:rsidRPr="00A0407B">
        <w:rPr>
          <w:szCs w:val="26"/>
          <w:lang w:val="es-ES"/>
        </w:rPr>
        <w:t xml:space="preserve"> abono. Además sufragará</w:t>
      </w:r>
      <w:r w:rsidR="00F953C9" w:rsidRPr="00A0407B">
        <w:rPr>
          <w:szCs w:val="26"/>
          <w:lang w:val="es-ES"/>
        </w:rPr>
        <w:t xml:space="preserve"> a su costa</w:t>
      </w:r>
      <w:r w:rsidRPr="00A0407B">
        <w:rPr>
          <w:szCs w:val="26"/>
          <w:lang w:val="es-ES"/>
        </w:rPr>
        <w:t xml:space="preserve"> la apertura de una oficina de gestión del proceso expropiatorio.</w:t>
      </w:r>
    </w:p>
    <w:p w:rsidR="003315E6" w:rsidRPr="00A0407B" w:rsidRDefault="003315E6" w:rsidP="003315E6">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 xml:space="preserve">La AGE es la administración expropiante, siendo ADIF </w:t>
      </w:r>
      <w:r w:rsidR="00F953C9" w:rsidRPr="00A0407B">
        <w:rPr>
          <w:szCs w:val="26"/>
          <w:lang w:val="es-ES"/>
        </w:rPr>
        <w:t>la</w:t>
      </w:r>
      <w:r w:rsidRPr="00A0407B">
        <w:rPr>
          <w:szCs w:val="26"/>
          <w:lang w:val="es-ES"/>
        </w:rPr>
        <w:t xml:space="preserve"> ben</w:t>
      </w:r>
      <w:r w:rsidR="00F953C9" w:rsidRPr="00A0407B">
        <w:rPr>
          <w:szCs w:val="26"/>
          <w:lang w:val="es-ES"/>
        </w:rPr>
        <w:t>e</w:t>
      </w:r>
      <w:r w:rsidRPr="00A0407B">
        <w:rPr>
          <w:szCs w:val="26"/>
          <w:lang w:val="es-ES"/>
        </w:rPr>
        <w:t>ficiari</w:t>
      </w:r>
      <w:r w:rsidR="00F953C9" w:rsidRPr="00A0407B">
        <w:rPr>
          <w:szCs w:val="26"/>
          <w:lang w:val="es-ES"/>
        </w:rPr>
        <w:t>a</w:t>
      </w:r>
      <w:r w:rsidRPr="00A0407B">
        <w:rPr>
          <w:szCs w:val="26"/>
          <w:lang w:val="es-ES"/>
        </w:rPr>
        <w:t xml:space="preserve"> de las mismas.</w:t>
      </w:r>
    </w:p>
    <w:p w:rsidR="003315E6" w:rsidRPr="00A0407B" w:rsidRDefault="003315E6" w:rsidP="003315E6">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 xml:space="preserve">d) </w:t>
      </w:r>
      <w:r w:rsidRPr="00A0407B">
        <w:rPr>
          <w:b/>
          <w:szCs w:val="26"/>
          <w:lang w:val="es-ES"/>
        </w:rPr>
        <w:t>Financiación</w:t>
      </w:r>
      <w:r w:rsidRPr="00A0407B">
        <w:rPr>
          <w:szCs w:val="26"/>
          <w:lang w:val="es-ES"/>
        </w:rPr>
        <w:t xml:space="preserve">. </w:t>
      </w:r>
      <w:r w:rsidR="000B770E" w:rsidRPr="00A0407B">
        <w:rPr>
          <w:szCs w:val="26"/>
          <w:lang w:val="es-ES"/>
        </w:rPr>
        <w:t>El Gobierno de Navarra adelantará los gastos derivados de la obra de la plataforma así como de las expropiaciones y de los contratos de servicios y asistencia técnica que posteriormente serán reintegrados por el E</w:t>
      </w:r>
      <w:r w:rsidR="000B770E" w:rsidRPr="00A0407B">
        <w:rPr>
          <w:szCs w:val="26"/>
          <w:lang w:val="es-ES"/>
        </w:rPr>
        <w:t>s</w:t>
      </w:r>
      <w:r w:rsidR="000B770E" w:rsidRPr="00A0407B">
        <w:rPr>
          <w:szCs w:val="26"/>
          <w:lang w:val="es-ES"/>
        </w:rPr>
        <w:t>tado,</w:t>
      </w:r>
      <w:r w:rsidRPr="00A0407B">
        <w:rPr>
          <w:szCs w:val="26"/>
          <w:lang w:val="es-ES"/>
        </w:rPr>
        <w:t xml:space="preserve"> de acuerdo con el calendario de reintegros aprobado.</w:t>
      </w:r>
      <w:r w:rsidR="00800E04" w:rsidRPr="00A0407B">
        <w:rPr>
          <w:szCs w:val="26"/>
          <w:lang w:val="es-ES"/>
        </w:rPr>
        <w:t xml:space="preserve"> </w:t>
      </w:r>
      <w:r w:rsidR="0050206D" w:rsidRPr="00A0407B">
        <w:rPr>
          <w:szCs w:val="26"/>
          <w:lang w:val="es-ES"/>
        </w:rPr>
        <w:t xml:space="preserve">Por otra parte, </w:t>
      </w:r>
      <w:r w:rsidR="00800E04" w:rsidRPr="00A0407B">
        <w:rPr>
          <w:szCs w:val="26"/>
          <w:lang w:val="es-ES"/>
        </w:rPr>
        <w:t>el Gobierno</w:t>
      </w:r>
      <w:r w:rsidR="00B76666" w:rsidRPr="00A0407B">
        <w:rPr>
          <w:szCs w:val="26"/>
          <w:lang w:val="es-ES"/>
        </w:rPr>
        <w:t xml:space="preserve"> de Navarra</w:t>
      </w:r>
      <w:r w:rsidR="00800E04" w:rsidRPr="00A0407B">
        <w:rPr>
          <w:szCs w:val="26"/>
          <w:lang w:val="es-ES"/>
        </w:rPr>
        <w:t xml:space="preserve"> asumirá, en su caso, los gastos financieros derivados del endeudamiento concertado para la financiación de las obras de su competencia.</w:t>
      </w:r>
    </w:p>
    <w:p w:rsidR="005A1B1F" w:rsidRPr="00A0407B" w:rsidRDefault="003315E6" w:rsidP="005B19F3">
      <w:pPr>
        <w:pStyle w:val="texto"/>
        <w:tabs>
          <w:tab w:val="clear" w:pos="2835"/>
          <w:tab w:val="clear" w:pos="3969"/>
          <w:tab w:val="clear" w:pos="5103"/>
          <w:tab w:val="clear" w:pos="6237"/>
          <w:tab w:val="clear" w:pos="7371"/>
          <w:tab w:val="num" w:pos="300"/>
        </w:tabs>
        <w:spacing w:after="240"/>
        <w:rPr>
          <w:szCs w:val="26"/>
          <w:lang w:val="es-ES"/>
        </w:rPr>
      </w:pPr>
      <w:r w:rsidRPr="00A0407B">
        <w:rPr>
          <w:szCs w:val="26"/>
          <w:lang w:val="es-ES"/>
        </w:rPr>
        <w:t xml:space="preserve">f) </w:t>
      </w:r>
      <w:r w:rsidRPr="00A0407B">
        <w:rPr>
          <w:b/>
          <w:szCs w:val="26"/>
          <w:lang w:val="es-ES"/>
        </w:rPr>
        <w:t>Subcomisión Técnica</w:t>
      </w:r>
      <w:r w:rsidRPr="00A0407B">
        <w:rPr>
          <w:szCs w:val="26"/>
          <w:lang w:val="es-ES"/>
        </w:rPr>
        <w:t>. Corresponde a la misma certificar la conformidad de las obras realizadas con los proyectos aprobados.</w:t>
      </w:r>
    </w:p>
    <w:p w:rsidR="007A4B43" w:rsidRPr="00A0407B" w:rsidRDefault="001D4273" w:rsidP="000F0638">
      <w:pPr>
        <w:pStyle w:val="atitulo2"/>
      </w:pPr>
      <w:bookmarkStart w:id="13" w:name="_Toc467480851"/>
      <w:r>
        <w:t xml:space="preserve">III.2. </w:t>
      </w:r>
      <w:r w:rsidR="00A92B93" w:rsidRPr="00A0407B">
        <w:t>Comarca de Pamplona</w:t>
      </w:r>
      <w:bookmarkEnd w:id="13"/>
      <w:r w:rsidR="00A92B93" w:rsidRPr="00A0407B">
        <w:t xml:space="preserve"> </w:t>
      </w:r>
    </w:p>
    <w:p w:rsidR="007A4B43" w:rsidRPr="00A0407B" w:rsidRDefault="007A4B43" w:rsidP="0066543A">
      <w:pPr>
        <w:pStyle w:val="texto"/>
        <w:tabs>
          <w:tab w:val="clear" w:pos="2835"/>
          <w:tab w:val="clear" w:pos="3969"/>
          <w:tab w:val="clear" w:pos="5103"/>
          <w:tab w:val="clear" w:pos="6237"/>
          <w:tab w:val="clear" w:pos="7371"/>
          <w:tab w:val="num" w:pos="300"/>
        </w:tabs>
        <w:rPr>
          <w:szCs w:val="26"/>
          <w:lang w:val="es-ES"/>
        </w:rPr>
      </w:pPr>
      <w:r w:rsidRPr="00A0407B">
        <w:rPr>
          <w:szCs w:val="26"/>
          <w:lang w:val="es-ES"/>
        </w:rPr>
        <w:t>En la comarca de Pamplona, las actuaciones relativas a la nueva Línea de A</w:t>
      </w:r>
      <w:r w:rsidRPr="00A0407B">
        <w:rPr>
          <w:szCs w:val="26"/>
          <w:lang w:val="es-ES"/>
        </w:rPr>
        <w:t>l</w:t>
      </w:r>
      <w:r w:rsidRPr="00A0407B">
        <w:rPr>
          <w:szCs w:val="26"/>
          <w:lang w:val="es-ES"/>
        </w:rPr>
        <w:t>ta Velocidad se llevarán a c</w:t>
      </w:r>
      <w:bookmarkStart w:id="14" w:name="tm_385746011"/>
      <w:bookmarkStart w:id="15" w:name="tm_385745907"/>
      <w:bookmarkStart w:id="16" w:name="tm_385745906"/>
      <w:r w:rsidR="0066543A" w:rsidRPr="00A0407B">
        <w:rPr>
          <w:szCs w:val="26"/>
          <w:lang w:val="es-ES"/>
        </w:rPr>
        <w:t>abo de forma coordinada según el Protocolo Gen</w:t>
      </w:r>
      <w:r w:rsidR="0066543A" w:rsidRPr="00A0407B">
        <w:rPr>
          <w:szCs w:val="26"/>
          <w:lang w:val="es-ES"/>
        </w:rPr>
        <w:t>e</w:t>
      </w:r>
      <w:r w:rsidR="0066543A" w:rsidRPr="00A0407B">
        <w:rPr>
          <w:szCs w:val="26"/>
          <w:lang w:val="es-ES"/>
        </w:rPr>
        <w:t>ral firmado en 2009 entre el Ministerio de Fomento, ADIF, la Administración de la Comunidad Foral de Navarra y el Consorcio “Alta Velocidad–Comarca de Pamplona”</w:t>
      </w:r>
      <w:r w:rsidR="00CD4139" w:rsidRPr="00A0407B">
        <w:rPr>
          <w:szCs w:val="26"/>
          <w:lang w:val="es-ES"/>
        </w:rPr>
        <w:t>.</w:t>
      </w:r>
      <w:r w:rsidRPr="00A0407B">
        <w:rPr>
          <w:szCs w:val="26"/>
          <w:lang w:val="es-ES"/>
        </w:rPr>
        <w:t xml:space="preserve"> </w:t>
      </w:r>
      <w:bookmarkEnd w:id="14"/>
      <w:bookmarkEnd w:id="15"/>
      <w:bookmarkEnd w:id="16"/>
    </w:p>
    <w:p w:rsidR="007F74CE" w:rsidRPr="00A0407B" w:rsidRDefault="007F74CE" w:rsidP="007F74CE">
      <w:pPr>
        <w:pStyle w:val="texto"/>
        <w:tabs>
          <w:tab w:val="clear" w:pos="2835"/>
          <w:tab w:val="clear" w:pos="3969"/>
          <w:tab w:val="clear" w:pos="5103"/>
          <w:tab w:val="clear" w:pos="6237"/>
          <w:tab w:val="clear" w:pos="7371"/>
        </w:tabs>
        <w:rPr>
          <w:szCs w:val="26"/>
          <w:lang w:val="es-ES"/>
        </w:rPr>
      </w:pPr>
      <w:r w:rsidRPr="00A0407B">
        <w:rPr>
          <w:szCs w:val="26"/>
          <w:lang w:val="es-ES"/>
        </w:rPr>
        <w:t xml:space="preserve">Destacamos que este Protocolo no se ha desarrollado mediante los convenios correspondientes firmados entre las Administraciones implicadas. </w:t>
      </w:r>
    </w:p>
    <w:p w:rsidR="002B4431" w:rsidRDefault="002B4431" w:rsidP="00A92B93">
      <w:pPr>
        <w:pStyle w:val="texto"/>
        <w:tabs>
          <w:tab w:val="clear" w:pos="2835"/>
          <w:tab w:val="clear" w:pos="3969"/>
          <w:tab w:val="clear" w:pos="5103"/>
          <w:tab w:val="clear" w:pos="6237"/>
          <w:tab w:val="clear" w:pos="7371"/>
        </w:tabs>
        <w:rPr>
          <w:szCs w:val="26"/>
          <w:lang w:val="es-ES"/>
        </w:rPr>
      </w:pPr>
    </w:p>
    <w:p w:rsidR="00C619A6" w:rsidRPr="00A0407B" w:rsidRDefault="00C619A6" w:rsidP="00A92B93">
      <w:pPr>
        <w:pStyle w:val="texto"/>
        <w:tabs>
          <w:tab w:val="clear" w:pos="2835"/>
          <w:tab w:val="clear" w:pos="3969"/>
          <w:tab w:val="clear" w:pos="5103"/>
          <w:tab w:val="clear" w:pos="6237"/>
          <w:tab w:val="clear" w:pos="7371"/>
        </w:tabs>
        <w:rPr>
          <w:szCs w:val="26"/>
          <w:lang w:val="es-ES"/>
        </w:rPr>
      </w:pPr>
      <w:r w:rsidRPr="00A0407B">
        <w:rPr>
          <w:szCs w:val="26"/>
          <w:lang w:val="es-ES"/>
        </w:rPr>
        <w:lastRenderedPageBreak/>
        <w:t>En cuanto a su definición técnica y funcional, el Estudio Informativo corre</w:t>
      </w:r>
      <w:r w:rsidRPr="00A0407B">
        <w:rPr>
          <w:szCs w:val="26"/>
          <w:lang w:val="es-ES"/>
        </w:rPr>
        <w:t>s</w:t>
      </w:r>
      <w:r w:rsidRPr="00A0407B">
        <w:rPr>
          <w:szCs w:val="26"/>
          <w:lang w:val="es-ES"/>
        </w:rPr>
        <w:t>pondiente a la Comarca de Pamplona fue aprobado por el Ministerio de Fome</w:t>
      </w:r>
      <w:r w:rsidRPr="00A0407B">
        <w:rPr>
          <w:szCs w:val="26"/>
          <w:lang w:val="es-ES"/>
        </w:rPr>
        <w:t>n</w:t>
      </w:r>
      <w:r w:rsidRPr="00A0407B">
        <w:rPr>
          <w:szCs w:val="26"/>
          <w:lang w:val="es-ES"/>
        </w:rPr>
        <w:t>to mediante Resolución de 7 de julio de 2004</w:t>
      </w:r>
      <w:r w:rsidR="00CD4139" w:rsidRPr="00A0407B">
        <w:rPr>
          <w:szCs w:val="26"/>
          <w:lang w:val="es-ES"/>
        </w:rPr>
        <w:t>.</w:t>
      </w:r>
    </w:p>
    <w:p w:rsidR="007A4B43" w:rsidRPr="00A0407B" w:rsidRDefault="007A4B43" w:rsidP="00A92B93">
      <w:pPr>
        <w:pStyle w:val="texto"/>
        <w:tabs>
          <w:tab w:val="clear" w:pos="2835"/>
          <w:tab w:val="clear" w:pos="3969"/>
          <w:tab w:val="clear" w:pos="5103"/>
          <w:tab w:val="clear" w:pos="6237"/>
          <w:tab w:val="clear" w:pos="7371"/>
        </w:tabs>
        <w:rPr>
          <w:szCs w:val="26"/>
        </w:rPr>
      </w:pPr>
      <w:r w:rsidRPr="00A0407B">
        <w:rPr>
          <w:szCs w:val="26"/>
        </w:rPr>
        <w:t xml:space="preserve">Las obras de la </w:t>
      </w:r>
      <w:r w:rsidR="002A3C6A" w:rsidRPr="00A0407B">
        <w:rPr>
          <w:szCs w:val="26"/>
        </w:rPr>
        <w:t>n</w:t>
      </w:r>
      <w:r w:rsidRPr="00A0407B">
        <w:rPr>
          <w:szCs w:val="26"/>
        </w:rPr>
        <w:t xml:space="preserve">ueva </w:t>
      </w:r>
      <w:r w:rsidR="002A3C6A" w:rsidRPr="00A0407B">
        <w:rPr>
          <w:szCs w:val="26"/>
        </w:rPr>
        <w:t>v</w:t>
      </w:r>
      <w:r w:rsidR="005E0312" w:rsidRPr="00A0407B">
        <w:rPr>
          <w:szCs w:val="26"/>
        </w:rPr>
        <w:t xml:space="preserve">ariante </w:t>
      </w:r>
      <w:r w:rsidR="002A3C6A" w:rsidRPr="00A0407B">
        <w:rPr>
          <w:szCs w:val="26"/>
        </w:rPr>
        <w:t>f</w:t>
      </w:r>
      <w:r w:rsidRPr="00A0407B">
        <w:rPr>
          <w:szCs w:val="26"/>
        </w:rPr>
        <w:t xml:space="preserve">erroviaria en la comarca de Pamplona y de la </w:t>
      </w:r>
      <w:r w:rsidR="002A3C6A" w:rsidRPr="00A0407B">
        <w:rPr>
          <w:szCs w:val="26"/>
        </w:rPr>
        <w:t>n</w:t>
      </w:r>
      <w:r w:rsidRPr="00A0407B">
        <w:rPr>
          <w:szCs w:val="26"/>
        </w:rPr>
        <w:t xml:space="preserve">ueva </w:t>
      </w:r>
      <w:r w:rsidR="002A3C6A" w:rsidRPr="00A0407B">
        <w:rPr>
          <w:szCs w:val="26"/>
        </w:rPr>
        <w:t>e</w:t>
      </w:r>
      <w:r w:rsidRPr="00A0407B">
        <w:rPr>
          <w:szCs w:val="26"/>
        </w:rPr>
        <w:t>stación serán ejecutadas por ADIF</w:t>
      </w:r>
      <w:r w:rsidR="005E0312" w:rsidRPr="00A0407B">
        <w:rPr>
          <w:szCs w:val="26"/>
        </w:rPr>
        <w:t>, quien realizará los proyectos y ej</w:t>
      </w:r>
      <w:r w:rsidR="005E0312" w:rsidRPr="00A0407B">
        <w:rPr>
          <w:szCs w:val="26"/>
        </w:rPr>
        <w:t>e</w:t>
      </w:r>
      <w:r w:rsidR="005E0312" w:rsidRPr="00A0407B">
        <w:rPr>
          <w:szCs w:val="26"/>
        </w:rPr>
        <w:t>cutará la obra ferroviaria de la plataforma, superestructura y el edificio de la nueva estación</w:t>
      </w:r>
      <w:r w:rsidRPr="00A0407B">
        <w:rPr>
          <w:szCs w:val="26"/>
        </w:rPr>
        <w:t>.</w:t>
      </w:r>
    </w:p>
    <w:p w:rsidR="007A4B43" w:rsidRPr="00A0407B" w:rsidRDefault="007A4B43" w:rsidP="005B19F3">
      <w:pPr>
        <w:pStyle w:val="texto"/>
        <w:tabs>
          <w:tab w:val="clear" w:pos="2835"/>
          <w:tab w:val="clear" w:pos="3969"/>
          <w:tab w:val="clear" w:pos="5103"/>
          <w:tab w:val="clear" w:pos="6237"/>
          <w:tab w:val="clear" w:pos="7371"/>
        </w:tabs>
        <w:spacing w:after="0"/>
        <w:rPr>
          <w:szCs w:val="26"/>
        </w:rPr>
      </w:pPr>
      <w:r w:rsidRPr="00A0407B">
        <w:rPr>
          <w:szCs w:val="26"/>
        </w:rPr>
        <w:t>Los costes previstos por el sistema ferroviario ascienden a un total de 110 millones, con el siguiente desglose</w:t>
      </w:r>
      <w:r w:rsidR="0066543A" w:rsidRPr="00A0407B">
        <w:rPr>
          <w:szCs w:val="26"/>
        </w:rPr>
        <w:t xml:space="preserve"> y actuaciones</w:t>
      </w:r>
      <w:r w:rsidRPr="00A0407B">
        <w:rPr>
          <w:szCs w:val="26"/>
        </w:rPr>
        <w:t>:</w:t>
      </w:r>
    </w:p>
    <w:p w:rsidR="0066543A" w:rsidRPr="00E05116" w:rsidRDefault="0066543A" w:rsidP="0066543A">
      <w:pPr>
        <w:pStyle w:val="texto"/>
        <w:spacing w:after="80"/>
        <w:jc w:val="right"/>
        <w:rPr>
          <w:rFonts w:ascii="Arial" w:hAnsi="Arial" w:cs="Arial"/>
          <w:sz w:val="16"/>
          <w:szCs w:val="16"/>
          <w:lang w:val="es-ES" w:eastAsia="es-ES"/>
        </w:rPr>
      </w:pPr>
      <w:r w:rsidRPr="00E05116">
        <w:rPr>
          <w:rFonts w:ascii="Arial" w:hAnsi="Arial" w:cs="Arial"/>
          <w:sz w:val="16"/>
          <w:szCs w:val="16"/>
          <w:lang w:val="es-ES" w:eastAsia="es-ES"/>
        </w:rPr>
        <w:t>(</w:t>
      </w:r>
      <w:r w:rsidR="00B14DF7">
        <w:rPr>
          <w:rFonts w:ascii="Arial" w:hAnsi="Arial" w:cs="Arial"/>
          <w:sz w:val="16"/>
          <w:szCs w:val="16"/>
          <w:lang w:val="es-ES" w:eastAsia="es-ES"/>
        </w:rPr>
        <w:t>M</w:t>
      </w:r>
      <w:r w:rsidRPr="00E05116">
        <w:rPr>
          <w:rFonts w:ascii="Arial" w:hAnsi="Arial" w:cs="Arial"/>
          <w:sz w:val="16"/>
          <w:szCs w:val="16"/>
          <w:lang w:val="es-ES" w:eastAsia="es-ES"/>
        </w:rPr>
        <w:t>illones</w:t>
      </w:r>
      <w:r w:rsidR="00B14DF7">
        <w:rPr>
          <w:rFonts w:ascii="Arial" w:hAnsi="Arial" w:cs="Arial"/>
          <w:sz w:val="16"/>
          <w:szCs w:val="16"/>
          <w:lang w:val="es-ES" w:eastAsia="es-ES"/>
        </w:rPr>
        <w:t xml:space="preserve"> de euros</w:t>
      </w:r>
      <w:r w:rsidRPr="00E05116">
        <w:rPr>
          <w:rFonts w:ascii="Arial" w:hAnsi="Arial" w:cs="Arial"/>
          <w:sz w:val="16"/>
          <w:szCs w:val="16"/>
          <w:lang w:val="es-ES" w:eastAsia="es-ES"/>
        </w:rPr>
        <w:t>)</w:t>
      </w:r>
    </w:p>
    <w:tbl>
      <w:tblPr>
        <w:tblW w:w="881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880"/>
        <w:gridCol w:w="2934"/>
      </w:tblGrid>
      <w:tr w:rsidR="0066543A" w:rsidRPr="000B3FA6" w:rsidTr="00797BCF">
        <w:trPr>
          <w:trHeight w:val="284"/>
          <w:jc w:val="center"/>
        </w:trPr>
        <w:tc>
          <w:tcPr>
            <w:tcW w:w="5880" w:type="dxa"/>
            <w:tcBorders>
              <w:top w:val="single" w:sz="4" w:space="0" w:color="auto"/>
              <w:left w:val="nil"/>
              <w:bottom w:val="single" w:sz="4" w:space="0" w:color="auto"/>
              <w:right w:val="nil"/>
            </w:tcBorders>
            <w:shd w:val="clear" w:color="auto" w:fill="A8CBEE" w:themeFill="accent2" w:themeFillTint="66"/>
            <w:noWrap/>
            <w:vAlign w:val="center"/>
          </w:tcPr>
          <w:p w:rsidR="0066543A" w:rsidRPr="000E740F" w:rsidRDefault="0066543A" w:rsidP="0066543A">
            <w:pPr>
              <w:pStyle w:val="cuadroCabe"/>
              <w:jc w:val="left"/>
            </w:pPr>
            <w:r>
              <w:t>Red ferroviaria Comarca Pamplona</w:t>
            </w:r>
          </w:p>
        </w:tc>
        <w:tc>
          <w:tcPr>
            <w:tcW w:w="2934" w:type="dxa"/>
            <w:tcBorders>
              <w:top w:val="single" w:sz="4" w:space="0" w:color="auto"/>
              <w:left w:val="nil"/>
              <w:bottom w:val="single" w:sz="4" w:space="0" w:color="auto"/>
              <w:right w:val="nil"/>
            </w:tcBorders>
            <w:shd w:val="clear" w:color="auto" w:fill="A8CBEE" w:themeFill="accent2" w:themeFillTint="66"/>
            <w:noWrap/>
            <w:vAlign w:val="center"/>
          </w:tcPr>
          <w:p w:rsidR="0066543A" w:rsidRPr="000E740F" w:rsidRDefault="0066543A" w:rsidP="0066543A">
            <w:pPr>
              <w:pStyle w:val="cuadroCabe"/>
              <w:jc w:val="right"/>
            </w:pPr>
            <w:r>
              <w:t>Coste previsto</w:t>
            </w:r>
          </w:p>
        </w:tc>
      </w:tr>
      <w:tr w:rsidR="0066543A" w:rsidRPr="000E740F" w:rsidTr="00797BCF">
        <w:trPr>
          <w:trHeight w:val="284"/>
          <w:jc w:val="center"/>
        </w:trPr>
        <w:tc>
          <w:tcPr>
            <w:tcW w:w="5880" w:type="dxa"/>
            <w:tcBorders>
              <w:top w:val="single" w:sz="4" w:space="0" w:color="auto"/>
              <w:left w:val="nil"/>
              <w:bottom w:val="single" w:sz="2" w:space="0" w:color="auto"/>
              <w:right w:val="nil"/>
            </w:tcBorders>
            <w:noWrap/>
            <w:vAlign w:val="center"/>
          </w:tcPr>
          <w:p w:rsidR="0066543A" w:rsidRPr="000E740F" w:rsidRDefault="0066543A" w:rsidP="0066543A">
            <w:pPr>
              <w:pStyle w:val="cuatexto"/>
              <w:jc w:val="left"/>
              <w:rPr>
                <w:szCs w:val="20"/>
              </w:rPr>
            </w:pPr>
            <w:r>
              <w:rPr>
                <w:szCs w:val="20"/>
              </w:rPr>
              <w:t>P</w:t>
            </w:r>
            <w:r w:rsidRPr="000E740F">
              <w:rPr>
                <w:szCs w:val="20"/>
              </w:rPr>
              <w:t>lataforma nueva red ferroviaria</w:t>
            </w:r>
          </w:p>
        </w:tc>
        <w:tc>
          <w:tcPr>
            <w:tcW w:w="2934" w:type="dxa"/>
            <w:tcBorders>
              <w:top w:val="single" w:sz="4" w:space="0" w:color="auto"/>
              <w:left w:val="nil"/>
              <w:bottom w:val="single" w:sz="2" w:space="0" w:color="auto"/>
              <w:right w:val="nil"/>
            </w:tcBorders>
            <w:noWrap/>
            <w:vAlign w:val="center"/>
          </w:tcPr>
          <w:p w:rsidR="0066543A" w:rsidRPr="000E740F" w:rsidRDefault="0066543A" w:rsidP="0066543A">
            <w:pPr>
              <w:pStyle w:val="cuatexto"/>
              <w:jc w:val="right"/>
              <w:rPr>
                <w:szCs w:val="20"/>
              </w:rPr>
            </w:pPr>
            <w:r w:rsidRPr="000E740F">
              <w:rPr>
                <w:szCs w:val="20"/>
              </w:rPr>
              <w:t>52,40</w:t>
            </w:r>
          </w:p>
        </w:tc>
      </w:tr>
      <w:tr w:rsidR="0066543A" w:rsidRPr="000E740F" w:rsidTr="00797BCF">
        <w:trPr>
          <w:trHeight w:val="284"/>
          <w:jc w:val="center"/>
        </w:trPr>
        <w:tc>
          <w:tcPr>
            <w:tcW w:w="5880"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left"/>
              <w:rPr>
                <w:szCs w:val="20"/>
              </w:rPr>
            </w:pPr>
            <w:r w:rsidRPr="000E740F">
              <w:rPr>
                <w:szCs w:val="20"/>
              </w:rPr>
              <w:t>Superestructura ferroviaria</w:t>
            </w:r>
          </w:p>
        </w:tc>
        <w:tc>
          <w:tcPr>
            <w:tcW w:w="2934"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right"/>
              <w:rPr>
                <w:szCs w:val="20"/>
              </w:rPr>
            </w:pPr>
            <w:r w:rsidRPr="000E740F">
              <w:rPr>
                <w:szCs w:val="20"/>
              </w:rPr>
              <w:t>20,20</w:t>
            </w:r>
          </w:p>
        </w:tc>
      </w:tr>
      <w:tr w:rsidR="0066543A" w:rsidRPr="000E740F" w:rsidTr="00797BCF">
        <w:trPr>
          <w:trHeight w:val="284"/>
          <w:jc w:val="center"/>
        </w:trPr>
        <w:tc>
          <w:tcPr>
            <w:tcW w:w="5880"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left"/>
              <w:rPr>
                <w:szCs w:val="20"/>
              </w:rPr>
            </w:pPr>
            <w:r w:rsidRPr="000E740F">
              <w:rPr>
                <w:szCs w:val="20"/>
              </w:rPr>
              <w:t>Nueva estación</w:t>
            </w:r>
          </w:p>
        </w:tc>
        <w:tc>
          <w:tcPr>
            <w:tcW w:w="2934"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right"/>
              <w:rPr>
                <w:szCs w:val="20"/>
              </w:rPr>
            </w:pPr>
            <w:r w:rsidRPr="000E740F">
              <w:rPr>
                <w:szCs w:val="20"/>
              </w:rPr>
              <w:t>26,00</w:t>
            </w:r>
          </w:p>
        </w:tc>
      </w:tr>
      <w:tr w:rsidR="0066543A" w:rsidRPr="000E740F" w:rsidTr="00797BCF">
        <w:trPr>
          <w:trHeight w:val="284"/>
          <w:jc w:val="center"/>
        </w:trPr>
        <w:tc>
          <w:tcPr>
            <w:tcW w:w="5880"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left"/>
              <w:rPr>
                <w:szCs w:val="20"/>
              </w:rPr>
            </w:pPr>
            <w:r w:rsidRPr="000E740F">
              <w:rPr>
                <w:szCs w:val="20"/>
              </w:rPr>
              <w:t>Reposición de servicios afectados</w:t>
            </w:r>
          </w:p>
        </w:tc>
        <w:tc>
          <w:tcPr>
            <w:tcW w:w="2934"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right"/>
              <w:rPr>
                <w:szCs w:val="20"/>
              </w:rPr>
            </w:pPr>
            <w:r w:rsidRPr="000E740F">
              <w:rPr>
                <w:szCs w:val="20"/>
              </w:rPr>
              <w:t>3,90</w:t>
            </w:r>
          </w:p>
        </w:tc>
      </w:tr>
      <w:tr w:rsidR="0066543A" w:rsidRPr="000E740F" w:rsidTr="00797BCF">
        <w:trPr>
          <w:trHeight w:val="284"/>
          <w:jc w:val="center"/>
        </w:trPr>
        <w:tc>
          <w:tcPr>
            <w:tcW w:w="5880"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left"/>
              <w:rPr>
                <w:szCs w:val="20"/>
              </w:rPr>
            </w:pPr>
            <w:r w:rsidRPr="000E740F">
              <w:rPr>
                <w:szCs w:val="20"/>
              </w:rPr>
              <w:t>Control calidad y asistencia técnica</w:t>
            </w:r>
          </w:p>
        </w:tc>
        <w:tc>
          <w:tcPr>
            <w:tcW w:w="2934" w:type="dxa"/>
            <w:tcBorders>
              <w:top w:val="single" w:sz="2" w:space="0" w:color="auto"/>
              <w:left w:val="nil"/>
              <w:bottom w:val="single" w:sz="2" w:space="0" w:color="auto"/>
              <w:right w:val="nil"/>
            </w:tcBorders>
            <w:noWrap/>
            <w:vAlign w:val="center"/>
          </w:tcPr>
          <w:p w:rsidR="0066543A" w:rsidRPr="000E740F" w:rsidRDefault="0066543A" w:rsidP="0066543A">
            <w:pPr>
              <w:pStyle w:val="cuatexto"/>
              <w:jc w:val="right"/>
              <w:rPr>
                <w:szCs w:val="20"/>
              </w:rPr>
            </w:pPr>
            <w:r w:rsidRPr="000E740F">
              <w:rPr>
                <w:szCs w:val="20"/>
              </w:rPr>
              <w:t>2,50</w:t>
            </w:r>
          </w:p>
        </w:tc>
      </w:tr>
      <w:tr w:rsidR="0066543A" w:rsidRPr="000E740F" w:rsidTr="00797BCF">
        <w:trPr>
          <w:trHeight w:val="284"/>
          <w:jc w:val="center"/>
        </w:trPr>
        <w:tc>
          <w:tcPr>
            <w:tcW w:w="5880" w:type="dxa"/>
            <w:tcBorders>
              <w:top w:val="single" w:sz="2" w:space="0" w:color="auto"/>
              <w:left w:val="nil"/>
              <w:bottom w:val="single" w:sz="4" w:space="0" w:color="auto"/>
              <w:right w:val="nil"/>
            </w:tcBorders>
            <w:noWrap/>
            <w:vAlign w:val="center"/>
          </w:tcPr>
          <w:p w:rsidR="0066543A" w:rsidRPr="000E740F" w:rsidRDefault="0066543A" w:rsidP="0066543A">
            <w:pPr>
              <w:pStyle w:val="cuatexto"/>
              <w:jc w:val="left"/>
              <w:rPr>
                <w:szCs w:val="20"/>
              </w:rPr>
            </w:pPr>
            <w:r w:rsidRPr="000E740F">
              <w:rPr>
                <w:szCs w:val="20"/>
              </w:rPr>
              <w:t>Terrenos</w:t>
            </w:r>
          </w:p>
        </w:tc>
        <w:tc>
          <w:tcPr>
            <w:tcW w:w="2934" w:type="dxa"/>
            <w:tcBorders>
              <w:top w:val="single" w:sz="2" w:space="0" w:color="auto"/>
              <w:left w:val="nil"/>
              <w:bottom w:val="single" w:sz="4" w:space="0" w:color="auto"/>
              <w:right w:val="nil"/>
            </w:tcBorders>
            <w:noWrap/>
            <w:vAlign w:val="center"/>
          </w:tcPr>
          <w:p w:rsidR="0066543A" w:rsidRPr="000E740F" w:rsidRDefault="0066543A" w:rsidP="0066543A">
            <w:pPr>
              <w:pStyle w:val="cuatexto"/>
              <w:jc w:val="right"/>
              <w:rPr>
                <w:szCs w:val="20"/>
              </w:rPr>
            </w:pPr>
            <w:r w:rsidRPr="000E740F">
              <w:rPr>
                <w:szCs w:val="20"/>
              </w:rPr>
              <w:t>5,00</w:t>
            </w:r>
          </w:p>
        </w:tc>
      </w:tr>
      <w:tr w:rsidR="0066543A" w:rsidRPr="000B3FA6" w:rsidTr="00797BCF">
        <w:trPr>
          <w:trHeight w:val="284"/>
          <w:jc w:val="center"/>
        </w:trPr>
        <w:tc>
          <w:tcPr>
            <w:tcW w:w="5880" w:type="dxa"/>
            <w:tcBorders>
              <w:top w:val="single" w:sz="4" w:space="0" w:color="auto"/>
              <w:left w:val="nil"/>
              <w:bottom w:val="single" w:sz="4" w:space="0" w:color="auto"/>
              <w:right w:val="nil"/>
            </w:tcBorders>
            <w:shd w:val="clear" w:color="auto" w:fill="A8CBEE" w:themeFill="accent2" w:themeFillTint="66"/>
            <w:noWrap/>
            <w:vAlign w:val="center"/>
          </w:tcPr>
          <w:p w:rsidR="0066543A" w:rsidRPr="000E740F" w:rsidRDefault="0066543A" w:rsidP="0066543A">
            <w:pPr>
              <w:pStyle w:val="cuadroCabe"/>
              <w:jc w:val="left"/>
            </w:pPr>
            <w:r w:rsidRPr="000E740F">
              <w:t>Total coste previsto</w:t>
            </w:r>
          </w:p>
        </w:tc>
        <w:tc>
          <w:tcPr>
            <w:tcW w:w="2934" w:type="dxa"/>
            <w:tcBorders>
              <w:top w:val="single" w:sz="4" w:space="0" w:color="auto"/>
              <w:left w:val="nil"/>
              <w:bottom w:val="single" w:sz="4" w:space="0" w:color="auto"/>
              <w:right w:val="nil"/>
            </w:tcBorders>
            <w:shd w:val="clear" w:color="auto" w:fill="A8CBEE" w:themeFill="accent2" w:themeFillTint="66"/>
            <w:noWrap/>
            <w:vAlign w:val="center"/>
          </w:tcPr>
          <w:p w:rsidR="0066543A" w:rsidRPr="000E740F" w:rsidRDefault="0066543A" w:rsidP="0066543A">
            <w:pPr>
              <w:pStyle w:val="cuadroCabe"/>
              <w:jc w:val="right"/>
            </w:pPr>
            <w:r w:rsidRPr="000E740F">
              <w:fldChar w:fldCharType="begin"/>
            </w:r>
            <w:r w:rsidRPr="000E740F">
              <w:instrText xml:space="preserve"> =SUM(ABOVE) </w:instrText>
            </w:r>
            <w:r w:rsidRPr="000E740F">
              <w:fldChar w:fldCharType="separate"/>
            </w:r>
            <w:r w:rsidRPr="000E740F">
              <w:t>110</w:t>
            </w:r>
            <w:r w:rsidRPr="000E740F">
              <w:fldChar w:fldCharType="end"/>
            </w:r>
            <w:r w:rsidR="007F74CE">
              <w:t>,00</w:t>
            </w:r>
          </w:p>
        </w:tc>
      </w:tr>
    </w:tbl>
    <w:p w:rsidR="007A4B43" w:rsidRPr="00A0407B" w:rsidRDefault="007A4B43" w:rsidP="00797BCF">
      <w:pPr>
        <w:pStyle w:val="texto"/>
        <w:tabs>
          <w:tab w:val="clear" w:pos="2835"/>
          <w:tab w:val="clear" w:pos="3969"/>
          <w:tab w:val="clear" w:pos="5103"/>
          <w:tab w:val="clear" w:pos="6237"/>
          <w:tab w:val="clear" w:pos="7371"/>
        </w:tabs>
        <w:spacing w:before="240"/>
        <w:rPr>
          <w:szCs w:val="26"/>
          <w:lang w:val="es-ES"/>
        </w:rPr>
      </w:pPr>
      <w:r w:rsidRPr="00A0407B">
        <w:rPr>
          <w:szCs w:val="26"/>
          <w:lang w:val="es-ES"/>
        </w:rPr>
        <w:t>La financiación de estos costes se realizará de la siguiente manera:</w:t>
      </w:r>
    </w:p>
    <w:p w:rsidR="007A4B43" w:rsidRPr="00A0407B" w:rsidRDefault="007A4B43" w:rsidP="0066543A">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El Consorcio dispondrá de los suelos, aprovechamientos y derechos i</w:t>
      </w:r>
      <w:r w:rsidRPr="00A0407B">
        <w:rPr>
          <w:szCs w:val="26"/>
          <w:lang w:val="es-ES"/>
        </w:rPr>
        <w:t>n</w:t>
      </w:r>
      <w:r w:rsidRPr="00A0407B">
        <w:rPr>
          <w:szCs w:val="26"/>
          <w:lang w:val="es-ES"/>
        </w:rPr>
        <w:t>demnizatorios de los terrenos ferroviarios, que serán transmitidos por ADIF e incluidos en el ámbito del correspondiente Plan Sectorial de Incidencia Supr</w:t>
      </w:r>
      <w:r w:rsidRPr="00A0407B">
        <w:rPr>
          <w:szCs w:val="26"/>
          <w:lang w:val="es-ES"/>
        </w:rPr>
        <w:t>a</w:t>
      </w:r>
      <w:r w:rsidRPr="00A0407B">
        <w:rPr>
          <w:szCs w:val="26"/>
          <w:lang w:val="es-ES"/>
        </w:rPr>
        <w:t>municipal (PSIS). Como contraprestación, el Consorcio abonará a ADIF los costes de la infraestructura ferroviaria hasta un montante de 105 millones. Esta última previsión será revisada de común acuerdo entre las partes en el caso de que se produjese una modificación del PSIS que alterase los aprovechamientos actuales.</w:t>
      </w:r>
      <w:r w:rsidR="005E0312" w:rsidRPr="00A0407B">
        <w:rPr>
          <w:szCs w:val="26"/>
          <w:lang w:val="es-ES"/>
        </w:rPr>
        <w:t xml:space="preserve"> La gestión económica de los aprovechamientos será realizada por el Consorcio una vez que ADIF efectúe la cesión de los terrenos, sin necesidad de esperar </w:t>
      </w:r>
      <w:r w:rsidR="003945A7">
        <w:rPr>
          <w:szCs w:val="26"/>
          <w:lang w:val="es-ES"/>
        </w:rPr>
        <w:t>a</w:t>
      </w:r>
      <w:r w:rsidR="005E0312" w:rsidRPr="00A0407B">
        <w:rPr>
          <w:szCs w:val="26"/>
          <w:lang w:val="es-ES"/>
        </w:rPr>
        <w:t>l inicio de la construcción las viviendas contempladas en el PSIS.</w:t>
      </w:r>
    </w:p>
    <w:p w:rsidR="007A4B43" w:rsidRPr="00A0407B" w:rsidRDefault="00DD0B22" w:rsidP="0066543A">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lang w:val="es-ES"/>
        </w:rPr>
      </w:pPr>
      <w:r w:rsidRPr="00A0407B">
        <w:rPr>
          <w:szCs w:val="26"/>
          <w:lang w:val="es-ES"/>
        </w:rPr>
        <w:t>L</w:t>
      </w:r>
      <w:r w:rsidR="007A4B43" w:rsidRPr="00A0407B">
        <w:rPr>
          <w:szCs w:val="26"/>
          <w:lang w:val="es-ES"/>
        </w:rPr>
        <w:t>a Administración de la Comunidad Foral transmitirá gratuitamente a ADIF los terrenos necesarios para la construcción de las obras y las nuevas in</w:t>
      </w:r>
      <w:r w:rsidR="007A4B43" w:rsidRPr="00A0407B">
        <w:rPr>
          <w:szCs w:val="26"/>
          <w:lang w:val="es-ES"/>
        </w:rPr>
        <w:t>s</w:t>
      </w:r>
      <w:r w:rsidR="007A4B43" w:rsidRPr="00A0407B">
        <w:rPr>
          <w:szCs w:val="26"/>
          <w:lang w:val="es-ES"/>
        </w:rPr>
        <w:t>talaciones ferroviarias</w:t>
      </w:r>
      <w:r w:rsidRPr="00A0407B">
        <w:rPr>
          <w:szCs w:val="26"/>
          <w:lang w:val="es-ES"/>
        </w:rPr>
        <w:t>, con un coste estimado de cinco millones. Igualmente se compromete</w:t>
      </w:r>
      <w:r w:rsidRPr="00A0407B">
        <w:rPr>
          <w:szCs w:val="26"/>
        </w:rPr>
        <w:t xml:space="preserve"> a aprobar el planeamiento urbanístico correspondiente.</w:t>
      </w:r>
    </w:p>
    <w:p w:rsidR="005E0312" w:rsidRPr="00A0407B" w:rsidRDefault="005E0312" w:rsidP="005B19F3">
      <w:pPr>
        <w:pStyle w:val="texto"/>
        <w:tabs>
          <w:tab w:val="clear" w:pos="2835"/>
          <w:tab w:val="clear" w:pos="3969"/>
          <w:tab w:val="clear" w:pos="5103"/>
          <w:tab w:val="clear" w:pos="6237"/>
          <w:tab w:val="clear" w:pos="7371"/>
        </w:tabs>
        <w:spacing w:after="240"/>
        <w:rPr>
          <w:szCs w:val="26"/>
        </w:rPr>
      </w:pPr>
      <w:r w:rsidRPr="00A0407B">
        <w:rPr>
          <w:szCs w:val="26"/>
        </w:rPr>
        <w:t xml:space="preserve">No se establece ningún calendario para efectuar de forma preestablecida los desembolsos precisos para esta actuación. </w:t>
      </w:r>
    </w:p>
    <w:p w:rsidR="002B4431" w:rsidRDefault="002B4431">
      <w:pPr>
        <w:spacing w:after="0"/>
        <w:ind w:firstLine="0"/>
        <w:jc w:val="left"/>
        <w:rPr>
          <w:rFonts w:ascii="Arial" w:hAnsi="Arial"/>
          <w:bCs/>
          <w:iCs/>
          <w:color w:val="000000"/>
          <w:spacing w:val="10"/>
          <w:kern w:val="28"/>
          <w:sz w:val="25"/>
          <w:szCs w:val="26"/>
        </w:rPr>
      </w:pPr>
      <w:r>
        <w:br w:type="page"/>
      </w:r>
    </w:p>
    <w:p w:rsidR="00E337B6" w:rsidRPr="00A0407B" w:rsidRDefault="001D4273" w:rsidP="000F0638">
      <w:pPr>
        <w:pStyle w:val="atitulo2"/>
      </w:pPr>
      <w:bookmarkStart w:id="17" w:name="_Toc467480852"/>
      <w:r>
        <w:lastRenderedPageBreak/>
        <w:t xml:space="preserve">III.3. </w:t>
      </w:r>
      <w:r w:rsidR="00E337B6" w:rsidRPr="00A0407B">
        <w:t>Tramo Pamplona</w:t>
      </w:r>
      <w:r w:rsidR="00B52FDF" w:rsidRPr="00A0407B">
        <w:t xml:space="preserve"> </w:t>
      </w:r>
      <w:r w:rsidR="002B7F63" w:rsidRPr="00A0407B">
        <w:t>(Zuasti)</w:t>
      </w:r>
      <w:r w:rsidR="00E337B6" w:rsidRPr="00A0407B">
        <w:t xml:space="preserve">-Enlace con </w:t>
      </w:r>
      <w:r w:rsidR="00C47334" w:rsidRPr="00A0407B">
        <w:t>la Y vasca</w:t>
      </w:r>
      <w:bookmarkEnd w:id="17"/>
    </w:p>
    <w:p w:rsidR="007A4B43" w:rsidRPr="00F65C0B" w:rsidRDefault="002665CC" w:rsidP="004C2263">
      <w:pPr>
        <w:pStyle w:val="texto"/>
        <w:tabs>
          <w:tab w:val="clear" w:pos="2835"/>
          <w:tab w:val="clear" w:pos="3969"/>
          <w:tab w:val="clear" w:pos="5103"/>
          <w:tab w:val="clear" w:pos="6237"/>
          <w:tab w:val="clear" w:pos="7371"/>
        </w:tabs>
        <w:rPr>
          <w:szCs w:val="26"/>
          <w:lang w:val="es-ES"/>
        </w:rPr>
      </w:pPr>
      <w:r w:rsidRPr="00F65C0B">
        <w:rPr>
          <w:szCs w:val="26"/>
          <w:lang w:val="es-ES"/>
        </w:rPr>
        <w:t>E</w:t>
      </w:r>
      <w:r w:rsidR="004C2263" w:rsidRPr="00F65C0B">
        <w:rPr>
          <w:szCs w:val="26"/>
          <w:lang w:val="es-ES"/>
        </w:rPr>
        <w:t>n el Protocolo General de colaboración entre la Administración General del Estado (AGE) y la Administración de la Comunidad Foral para la construcción de la Línea de A</w:t>
      </w:r>
      <w:r w:rsidRPr="00F65C0B">
        <w:rPr>
          <w:szCs w:val="26"/>
          <w:lang w:val="es-ES"/>
        </w:rPr>
        <w:t>lta Velocidad Zaragoza-Pamplona</w:t>
      </w:r>
      <w:r w:rsidR="004C2263" w:rsidRPr="00F65C0B">
        <w:rPr>
          <w:szCs w:val="26"/>
          <w:lang w:val="es-ES"/>
        </w:rPr>
        <w:t xml:space="preserve"> en Navarra,</w:t>
      </w:r>
      <w:r w:rsidRPr="00F65C0B">
        <w:rPr>
          <w:szCs w:val="26"/>
          <w:lang w:val="es-ES"/>
        </w:rPr>
        <w:t xml:space="preserve"> consta</w:t>
      </w:r>
      <w:r w:rsidR="00C00DA3" w:rsidRPr="00F65C0B">
        <w:rPr>
          <w:szCs w:val="26"/>
          <w:lang w:val="es-ES"/>
        </w:rPr>
        <w:t xml:space="preserve"> expres</w:t>
      </w:r>
      <w:r w:rsidR="00C00DA3" w:rsidRPr="00F65C0B">
        <w:rPr>
          <w:szCs w:val="26"/>
          <w:lang w:val="es-ES"/>
        </w:rPr>
        <w:t>a</w:t>
      </w:r>
      <w:r w:rsidR="00C00DA3" w:rsidRPr="00F65C0B">
        <w:rPr>
          <w:szCs w:val="26"/>
          <w:lang w:val="es-ES"/>
        </w:rPr>
        <w:t>mente</w:t>
      </w:r>
      <w:r w:rsidR="004C2263" w:rsidRPr="00F65C0B">
        <w:rPr>
          <w:szCs w:val="26"/>
          <w:lang w:val="es-ES"/>
        </w:rPr>
        <w:t xml:space="preserve"> que el Gobierno de Navarra manifiesta su voluntad de implicarse en la segunda fase de la línea de Alta Velocidad correspond</w:t>
      </w:r>
      <w:r w:rsidR="0004325C" w:rsidRPr="00F65C0B">
        <w:rPr>
          <w:szCs w:val="26"/>
          <w:lang w:val="es-ES"/>
        </w:rPr>
        <w:t>i</w:t>
      </w:r>
      <w:r w:rsidR="004C2263" w:rsidRPr="00F65C0B">
        <w:rPr>
          <w:szCs w:val="26"/>
          <w:lang w:val="es-ES"/>
        </w:rPr>
        <w:t>ente al enlace con el P</w:t>
      </w:r>
      <w:r w:rsidR="0004325C" w:rsidRPr="00F65C0B">
        <w:rPr>
          <w:szCs w:val="26"/>
          <w:lang w:val="es-ES"/>
        </w:rPr>
        <w:t>aís</w:t>
      </w:r>
      <w:r w:rsidR="004C2263" w:rsidRPr="00F65C0B">
        <w:rPr>
          <w:szCs w:val="26"/>
          <w:lang w:val="es-ES"/>
        </w:rPr>
        <w:t xml:space="preserve"> Vasco, en los términos que se especifiquen en un posterior convenio a su</w:t>
      </w:r>
      <w:r w:rsidR="004C2263" w:rsidRPr="00F65C0B">
        <w:rPr>
          <w:szCs w:val="26"/>
          <w:lang w:val="es-ES"/>
        </w:rPr>
        <w:t>s</w:t>
      </w:r>
      <w:r w:rsidR="004C2263" w:rsidRPr="00F65C0B">
        <w:rPr>
          <w:szCs w:val="26"/>
          <w:lang w:val="es-ES"/>
        </w:rPr>
        <w:t>cribir entre las adm</w:t>
      </w:r>
      <w:r w:rsidR="0004325C" w:rsidRPr="00F65C0B">
        <w:rPr>
          <w:szCs w:val="26"/>
          <w:lang w:val="es-ES"/>
        </w:rPr>
        <w:t>i</w:t>
      </w:r>
      <w:r w:rsidR="004C2263" w:rsidRPr="00F65C0B">
        <w:rPr>
          <w:szCs w:val="26"/>
          <w:lang w:val="es-ES"/>
        </w:rPr>
        <w:t>nistraciones interesadas.</w:t>
      </w:r>
    </w:p>
    <w:p w:rsidR="002665CC" w:rsidRPr="00A0407B" w:rsidRDefault="002665CC" w:rsidP="002665CC">
      <w:pPr>
        <w:pStyle w:val="texto"/>
        <w:tabs>
          <w:tab w:val="clear" w:pos="2835"/>
          <w:tab w:val="clear" w:pos="3969"/>
          <w:tab w:val="clear" w:pos="5103"/>
          <w:tab w:val="clear" w:pos="6237"/>
          <w:tab w:val="clear" w:pos="7371"/>
        </w:tabs>
        <w:rPr>
          <w:szCs w:val="26"/>
          <w:lang w:val="es-ES"/>
        </w:rPr>
      </w:pPr>
      <w:r w:rsidRPr="00A0407B">
        <w:rPr>
          <w:szCs w:val="26"/>
          <w:lang w:val="es-ES"/>
        </w:rPr>
        <w:t>Igualmente</w:t>
      </w:r>
      <w:r w:rsidR="00C00DA3" w:rsidRPr="00A0407B">
        <w:rPr>
          <w:szCs w:val="26"/>
          <w:lang w:val="es-ES"/>
        </w:rPr>
        <w:t>,</w:t>
      </w:r>
      <w:r w:rsidRPr="00A0407B">
        <w:rPr>
          <w:szCs w:val="26"/>
          <w:lang w:val="es-ES"/>
        </w:rPr>
        <w:t xml:space="preserve"> en el Convenio para la construcción del tramo Castejón-Comarca de Pamplona se indica que el alcance del mismo podrá extenderse, mediante la oportuna adenda, a la plataforma del tramo comprendido entre la nueva estación y Zuasti, en función de los estudios que, en su momento se realicen, para completar el Corredor en la Comunidad Foral.</w:t>
      </w:r>
    </w:p>
    <w:p w:rsidR="002F595C" w:rsidRPr="00A0407B" w:rsidRDefault="002F595C" w:rsidP="002F595C">
      <w:pPr>
        <w:pStyle w:val="texto"/>
        <w:tabs>
          <w:tab w:val="clear" w:pos="2835"/>
          <w:tab w:val="clear" w:pos="3969"/>
          <w:tab w:val="clear" w:pos="5103"/>
          <w:tab w:val="clear" w:pos="6237"/>
          <w:tab w:val="clear" w:pos="7371"/>
        </w:tabs>
        <w:rPr>
          <w:szCs w:val="26"/>
          <w:lang w:val="es-ES"/>
        </w:rPr>
      </w:pPr>
      <w:r w:rsidRPr="00A0407B">
        <w:rPr>
          <w:szCs w:val="26"/>
          <w:lang w:val="es-ES"/>
        </w:rPr>
        <w:t>En 2010, el Estado adjudica la realización del estudio informativo sobre este tramo. El objeto del mismo es analizar los posibles trazados para esta conexión mediante una línea de nueva implantación con doble vía en ancho internacional y con pendientes aptas para el tráfico mixto.</w:t>
      </w:r>
    </w:p>
    <w:p w:rsidR="00B06268" w:rsidRPr="00A0407B" w:rsidRDefault="00B06268" w:rsidP="00B06268">
      <w:pPr>
        <w:pStyle w:val="texto"/>
        <w:tabs>
          <w:tab w:val="clear" w:pos="2835"/>
          <w:tab w:val="clear" w:pos="3969"/>
          <w:tab w:val="clear" w:pos="5103"/>
          <w:tab w:val="clear" w:pos="6237"/>
          <w:tab w:val="clear" w:pos="7371"/>
        </w:tabs>
        <w:rPr>
          <w:szCs w:val="26"/>
        </w:rPr>
      </w:pPr>
      <w:r w:rsidRPr="00A0407B">
        <w:rPr>
          <w:szCs w:val="26"/>
        </w:rPr>
        <w:t>En febrero de 2011, el Gobierno de Navarra aprueba el Protocolo General de colaboración con el Ministerio de Fomento y la Comunidad Autónoma Vasca para la codirección del estudio informativo del tramo Pamplona – Conexión Y Vasca, del corredor ferroviario Cantábrico–Mediterráneo. El objetivo de este protocolo es la colaboración entre las tres administraciones para alcanzar una solución integrada en el territorio y compatible con los diversos condicionantes que sean competencia directa de cada una de ellas.</w:t>
      </w:r>
    </w:p>
    <w:p w:rsidR="00B06268" w:rsidRPr="00A0407B" w:rsidRDefault="00B06268" w:rsidP="00B06268">
      <w:pPr>
        <w:pStyle w:val="texto"/>
        <w:tabs>
          <w:tab w:val="clear" w:pos="2835"/>
          <w:tab w:val="clear" w:pos="3969"/>
          <w:tab w:val="clear" w:pos="5103"/>
          <w:tab w:val="clear" w:pos="6237"/>
          <w:tab w:val="clear" w:pos="7371"/>
        </w:tabs>
        <w:rPr>
          <w:szCs w:val="26"/>
        </w:rPr>
      </w:pPr>
      <w:r w:rsidRPr="00A0407B">
        <w:rPr>
          <w:szCs w:val="26"/>
        </w:rPr>
        <w:t>Tal y como se recoge en el texto, el Ministerio de Fomento se encargará de redactar y contratar los servicios necesario para la elaboración del estudio i</w:t>
      </w:r>
      <w:r w:rsidRPr="00A0407B">
        <w:rPr>
          <w:szCs w:val="26"/>
        </w:rPr>
        <w:t>n</w:t>
      </w:r>
      <w:r w:rsidRPr="00A0407B">
        <w:rPr>
          <w:szCs w:val="26"/>
        </w:rPr>
        <w:t>formativo, designado el resto de las administraciones un coordinador de los trabajos. Así mismo el Ministerio será quien se encargue de la evaluación de impacto ambiental, que se desarrollará en paralelo a la redacción del estudio informativo.</w:t>
      </w:r>
    </w:p>
    <w:p w:rsidR="00B06268" w:rsidRPr="00A0407B" w:rsidRDefault="00B06268" w:rsidP="00797BCF">
      <w:pPr>
        <w:pStyle w:val="texto"/>
        <w:tabs>
          <w:tab w:val="clear" w:pos="2835"/>
          <w:tab w:val="clear" w:pos="3969"/>
          <w:tab w:val="clear" w:pos="5103"/>
          <w:tab w:val="clear" w:pos="6237"/>
          <w:tab w:val="clear" w:pos="7371"/>
        </w:tabs>
        <w:rPr>
          <w:szCs w:val="26"/>
        </w:rPr>
      </w:pPr>
      <w:r w:rsidRPr="00A0407B">
        <w:rPr>
          <w:szCs w:val="26"/>
        </w:rPr>
        <w:t>Además, las Administraciones de la Comunidad Foral de Navarra y de la Comunidad Autónoma Vasca colaborarán activamente durante la redacción del estudio en la recopilación de informes y actuarán de mediadores ante otras e</w:t>
      </w:r>
      <w:r w:rsidRPr="00A0407B">
        <w:rPr>
          <w:szCs w:val="26"/>
        </w:rPr>
        <w:t>n</w:t>
      </w:r>
      <w:r w:rsidRPr="00A0407B">
        <w:rPr>
          <w:szCs w:val="26"/>
        </w:rPr>
        <w:t>tidades y administraciones con competencias territoriales.</w:t>
      </w:r>
    </w:p>
    <w:p w:rsidR="00B06268" w:rsidRPr="00A0407B" w:rsidRDefault="00B06268" w:rsidP="005B19F3">
      <w:pPr>
        <w:pStyle w:val="texto"/>
        <w:tabs>
          <w:tab w:val="clear" w:pos="2835"/>
          <w:tab w:val="clear" w:pos="3969"/>
          <w:tab w:val="clear" w:pos="5103"/>
          <w:tab w:val="clear" w:pos="6237"/>
          <w:tab w:val="clear" w:pos="7371"/>
        </w:tabs>
        <w:spacing w:after="240"/>
        <w:rPr>
          <w:spacing w:val="-4"/>
          <w:szCs w:val="26"/>
        </w:rPr>
      </w:pPr>
      <w:r w:rsidRPr="00A0407B">
        <w:rPr>
          <w:spacing w:val="-4"/>
          <w:szCs w:val="26"/>
        </w:rPr>
        <w:t>Según el texto del Protocolo aprobado, el coste del contrato de servicios para la r</w:t>
      </w:r>
      <w:r w:rsidRPr="00A0407B">
        <w:rPr>
          <w:spacing w:val="-4"/>
          <w:szCs w:val="26"/>
        </w:rPr>
        <w:t>e</w:t>
      </w:r>
      <w:r w:rsidRPr="00A0407B">
        <w:rPr>
          <w:spacing w:val="-4"/>
          <w:szCs w:val="26"/>
        </w:rPr>
        <w:t>dacción del estudio correrá a cargo del Ministerio de Fomento, si bien la Comunidad Foral de Navarra y la Comunidad Autónoma Vasca podrían soportar los gastos deriv</w:t>
      </w:r>
      <w:r w:rsidRPr="00A0407B">
        <w:rPr>
          <w:spacing w:val="-4"/>
          <w:szCs w:val="26"/>
        </w:rPr>
        <w:t>a</w:t>
      </w:r>
      <w:r w:rsidRPr="00A0407B">
        <w:rPr>
          <w:spacing w:val="-4"/>
          <w:szCs w:val="26"/>
        </w:rPr>
        <w:t>dos de la recopilación de informes o de la realización de trabajos complementarios no previstos inicialmente.</w:t>
      </w:r>
    </w:p>
    <w:p w:rsidR="00541BD3" w:rsidRPr="00A0407B" w:rsidRDefault="001D4273" w:rsidP="000F0638">
      <w:pPr>
        <w:pStyle w:val="atitulo2"/>
      </w:pPr>
      <w:bookmarkStart w:id="18" w:name="_Toc467480853"/>
      <w:r>
        <w:lastRenderedPageBreak/>
        <w:t xml:space="preserve">III.4. </w:t>
      </w:r>
      <w:r w:rsidR="00541BD3" w:rsidRPr="00A0407B">
        <w:t xml:space="preserve">Tramo </w:t>
      </w:r>
      <w:r w:rsidR="002A3C6A" w:rsidRPr="00A0407B">
        <w:t>Zaragoza (</w:t>
      </w:r>
      <w:r w:rsidR="00541BD3" w:rsidRPr="00A0407B">
        <w:t>Plasencia de Jalón</w:t>
      </w:r>
      <w:r w:rsidR="002A3C6A" w:rsidRPr="00A0407B">
        <w:t>)</w:t>
      </w:r>
      <w:r w:rsidR="00541BD3" w:rsidRPr="00A0407B">
        <w:t>-Castejón</w:t>
      </w:r>
      <w:bookmarkEnd w:id="18"/>
    </w:p>
    <w:p w:rsidR="00107E28" w:rsidRPr="00A0407B" w:rsidRDefault="00107E28" w:rsidP="00107E28">
      <w:pPr>
        <w:pStyle w:val="texto"/>
        <w:tabs>
          <w:tab w:val="clear" w:pos="2835"/>
          <w:tab w:val="clear" w:pos="3969"/>
          <w:tab w:val="clear" w:pos="5103"/>
          <w:tab w:val="clear" w:pos="6237"/>
          <w:tab w:val="clear" w:pos="7371"/>
          <w:tab w:val="num" w:pos="300"/>
        </w:tabs>
        <w:rPr>
          <w:szCs w:val="26"/>
        </w:rPr>
      </w:pPr>
      <w:r>
        <w:rPr>
          <w:szCs w:val="26"/>
        </w:rPr>
        <w:t>E</w:t>
      </w:r>
      <w:r w:rsidRPr="00A0407B">
        <w:rPr>
          <w:szCs w:val="26"/>
        </w:rPr>
        <w:t>l Estudio Informativo del tramo Zaragoza-Castejón, subtramo Plasencia de Jalón–Tudela, fue aprobado por el Ministerio de Fomento mediante Resolución de 28 de noviembre de 2007</w:t>
      </w:r>
      <w:r w:rsidR="00316AB9">
        <w:rPr>
          <w:szCs w:val="26"/>
        </w:rPr>
        <w:t>; p</w:t>
      </w:r>
      <w:r w:rsidR="00010D54">
        <w:rPr>
          <w:szCs w:val="26"/>
        </w:rPr>
        <w:t>ara el subtramo</w:t>
      </w:r>
      <w:r w:rsidRPr="00A0407B">
        <w:rPr>
          <w:szCs w:val="26"/>
        </w:rPr>
        <w:t xml:space="preserve"> Tudela-Castejón, el Ministerio de Fomento </w:t>
      </w:r>
      <w:r w:rsidR="00010D54">
        <w:rPr>
          <w:szCs w:val="26"/>
        </w:rPr>
        <w:t>adjudica en 2009 el</w:t>
      </w:r>
      <w:r w:rsidRPr="00A0407B">
        <w:rPr>
          <w:szCs w:val="26"/>
        </w:rPr>
        <w:t xml:space="preserve"> Estudio Informativo</w:t>
      </w:r>
      <w:r w:rsidR="00316AB9">
        <w:rPr>
          <w:szCs w:val="26"/>
        </w:rPr>
        <w:t>. Así</w:t>
      </w:r>
      <w:r w:rsidRPr="00A0407B">
        <w:rPr>
          <w:szCs w:val="26"/>
        </w:rPr>
        <w:t xml:space="preserve"> mismo, se deja para un posterior acuerdo entre las administraciones implicadas la redacción de pr</w:t>
      </w:r>
      <w:r w:rsidRPr="00A0407B">
        <w:rPr>
          <w:szCs w:val="26"/>
        </w:rPr>
        <w:t>o</w:t>
      </w:r>
      <w:r w:rsidRPr="00A0407B">
        <w:rPr>
          <w:szCs w:val="26"/>
        </w:rPr>
        <w:t>yectos relativos al paso por Tudela, una vez concretada la alternativa de trazado más adecuada.</w:t>
      </w:r>
    </w:p>
    <w:p w:rsidR="00472ACF" w:rsidRPr="00A0407B" w:rsidRDefault="00472ACF" w:rsidP="00472ACF">
      <w:pPr>
        <w:pStyle w:val="texto"/>
        <w:tabs>
          <w:tab w:val="clear" w:pos="2835"/>
          <w:tab w:val="clear" w:pos="3969"/>
          <w:tab w:val="clear" w:pos="5103"/>
          <w:tab w:val="clear" w:pos="6237"/>
          <w:tab w:val="clear" w:pos="7371"/>
        </w:tabs>
        <w:rPr>
          <w:szCs w:val="26"/>
        </w:rPr>
      </w:pPr>
      <w:r w:rsidRPr="00A0407B">
        <w:rPr>
          <w:szCs w:val="26"/>
        </w:rPr>
        <w:t>Esta conexión es competencia exclusiva de ADIF y está pendiente de def</w:t>
      </w:r>
      <w:r w:rsidRPr="00A0407B">
        <w:rPr>
          <w:szCs w:val="26"/>
        </w:rPr>
        <w:t>i</w:t>
      </w:r>
      <w:r w:rsidRPr="00A0407B">
        <w:rPr>
          <w:szCs w:val="26"/>
        </w:rPr>
        <w:t xml:space="preserve">nirse y resolverse, </w:t>
      </w:r>
      <w:r w:rsidR="00316AB9">
        <w:rPr>
          <w:szCs w:val="26"/>
        </w:rPr>
        <w:t xml:space="preserve">por tanto, </w:t>
      </w:r>
      <w:r w:rsidRPr="00A0407B">
        <w:rPr>
          <w:szCs w:val="26"/>
        </w:rPr>
        <w:t>además de las propias obras de construcción de la línea, el trazado tanto a su paso por Tudela como del viaducto para cruzar el río Ebro a la altura de Castejón.</w:t>
      </w:r>
    </w:p>
    <w:p w:rsidR="00541BD3" w:rsidRDefault="00541BD3" w:rsidP="00541BD3">
      <w:pPr>
        <w:pStyle w:val="texto"/>
        <w:tabs>
          <w:tab w:val="clear" w:pos="2835"/>
          <w:tab w:val="clear" w:pos="3969"/>
          <w:tab w:val="clear" w:pos="5103"/>
          <w:tab w:val="clear" w:pos="6237"/>
          <w:tab w:val="clear" w:pos="7371"/>
        </w:tabs>
        <w:rPr>
          <w:szCs w:val="26"/>
        </w:rPr>
      </w:pPr>
      <w:r w:rsidRPr="00A0407B">
        <w:rPr>
          <w:szCs w:val="26"/>
        </w:rPr>
        <w:t>Al igual que en la conexión con la Y vasca, no están desarrollados ni las d</w:t>
      </w:r>
      <w:r w:rsidRPr="00A0407B">
        <w:rPr>
          <w:szCs w:val="26"/>
        </w:rPr>
        <w:t>o</w:t>
      </w:r>
      <w:r w:rsidRPr="00A0407B">
        <w:rPr>
          <w:szCs w:val="26"/>
        </w:rPr>
        <w:t>taciones económicas precisas, ni los plazos y garantías de ejecución.</w:t>
      </w:r>
    </w:p>
    <w:p w:rsidR="00A0407B" w:rsidRPr="00A0407B" w:rsidRDefault="00A0407B" w:rsidP="003945A7">
      <w:pPr>
        <w:pStyle w:val="texto"/>
        <w:tabs>
          <w:tab w:val="clear" w:pos="2835"/>
          <w:tab w:val="clear" w:pos="3969"/>
          <w:tab w:val="clear" w:pos="5103"/>
          <w:tab w:val="clear" w:pos="6237"/>
          <w:tab w:val="clear" w:pos="7371"/>
        </w:tabs>
        <w:ind w:firstLine="0"/>
        <w:rPr>
          <w:szCs w:val="26"/>
        </w:rPr>
      </w:pPr>
    </w:p>
    <w:p w:rsidR="002B4431" w:rsidRDefault="002B4431">
      <w:pPr>
        <w:spacing w:after="0"/>
        <w:ind w:firstLine="0"/>
        <w:jc w:val="left"/>
        <w:rPr>
          <w:rFonts w:ascii="Arial" w:hAnsi="Arial"/>
          <w:b/>
          <w:color w:val="000000"/>
          <w:kern w:val="28"/>
          <w:sz w:val="25"/>
          <w:szCs w:val="26"/>
        </w:rPr>
      </w:pPr>
      <w:r>
        <w:br w:type="page"/>
      </w:r>
    </w:p>
    <w:p w:rsidR="000F0638" w:rsidRDefault="000F0638" w:rsidP="000F0638">
      <w:pPr>
        <w:pStyle w:val="atitulo1"/>
      </w:pPr>
      <w:bookmarkStart w:id="19" w:name="_Toc467480854"/>
      <w:r>
        <w:lastRenderedPageBreak/>
        <w:t>IV. Conclusiones</w:t>
      </w:r>
      <w:bookmarkEnd w:id="19"/>
    </w:p>
    <w:p w:rsidR="009729B8" w:rsidRPr="009729B8" w:rsidRDefault="009729B8" w:rsidP="009729B8">
      <w:pPr>
        <w:pStyle w:val="texto"/>
        <w:tabs>
          <w:tab w:val="clear" w:pos="2835"/>
          <w:tab w:val="clear" w:pos="3969"/>
          <w:tab w:val="clear" w:pos="5103"/>
          <w:tab w:val="clear" w:pos="6237"/>
          <w:tab w:val="clear" w:pos="7371"/>
        </w:tabs>
        <w:spacing w:after="240"/>
        <w:rPr>
          <w:szCs w:val="26"/>
          <w:lang w:val="es-ES"/>
        </w:rPr>
      </w:pPr>
      <w:r w:rsidRPr="009729B8">
        <w:rPr>
          <w:szCs w:val="26"/>
          <w:lang w:val="es-ES"/>
        </w:rPr>
        <w:t>De acuerdo con el trabajo realizado y teniendo en cuenta los comentarios a</w:t>
      </w:r>
      <w:r w:rsidRPr="009729B8">
        <w:rPr>
          <w:szCs w:val="26"/>
          <w:lang w:val="es-ES"/>
        </w:rPr>
        <w:t>n</w:t>
      </w:r>
      <w:r w:rsidRPr="009729B8">
        <w:rPr>
          <w:szCs w:val="26"/>
          <w:lang w:val="es-ES"/>
        </w:rPr>
        <w:t xml:space="preserve">teriores, destacamos las siguientes conclusiones: </w:t>
      </w:r>
    </w:p>
    <w:p w:rsidR="00BB4DA3" w:rsidRDefault="000F0638" w:rsidP="000F0638">
      <w:pPr>
        <w:pStyle w:val="atitulo2"/>
      </w:pPr>
      <w:bookmarkStart w:id="20" w:name="_Toc467480855"/>
      <w:r>
        <w:t xml:space="preserve">IV.1. </w:t>
      </w:r>
      <w:r w:rsidR="00AF76EA">
        <w:t xml:space="preserve">Ejecución </w:t>
      </w:r>
      <w:r w:rsidR="00781716">
        <w:t xml:space="preserve">y estado </w:t>
      </w:r>
      <w:r w:rsidR="00BB4DA3">
        <w:t>de las obras a 31 de diciembre de 2015</w:t>
      </w:r>
      <w:bookmarkEnd w:id="20"/>
    </w:p>
    <w:p w:rsidR="00AF76EA" w:rsidRPr="00A0407B" w:rsidRDefault="00BB4DA3" w:rsidP="00325074">
      <w:pPr>
        <w:pStyle w:val="atitulo3"/>
      </w:pPr>
      <w:r w:rsidRPr="00A0407B">
        <w:t>T</w:t>
      </w:r>
      <w:r w:rsidR="00AF76EA" w:rsidRPr="00A0407B">
        <w:t>ramo Castejón-Comarca de Pamplona</w:t>
      </w:r>
      <w:r w:rsidR="00870E9D" w:rsidRPr="00A0407B">
        <w:t xml:space="preserve"> </w:t>
      </w:r>
      <w:r w:rsidR="002A3C6A" w:rsidRPr="00A0407B">
        <w:t>(Esqu</w:t>
      </w:r>
      <w:r w:rsidR="00E82B46">
        <w:t>í</w:t>
      </w:r>
      <w:r w:rsidR="002A3C6A" w:rsidRPr="00A0407B">
        <w:t>roz)</w:t>
      </w:r>
    </w:p>
    <w:p w:rsidR="00CD1069" w:rsidRDefault="00782D09" w:rsidP="00172692">
      <w:pPr>
        <w:pStyle w:val="texto"/>
        <w:tabs>
          <w:tab w:val="clear" w:pos="2835"/>
          <w:tab w:val="clear" w:pos="3969"/>
          <w:tab w:val="clear" w:pos="5103"/>
          <w:tab w:val="clear" w:pos="6237"/>
          <w:tab w:val="clear" w:pos="7371"/>
        </w:tabs>
        <w:spacing w:before="240" w:after="0"/>
        <w:rPr>
          <w:szCs w:val="26"/>
        </w:rPr>
      </w:pPr>
      <w:r w:rsidRPr="00782D09">
        <w:rPr>
          <w:szCs w:val="26"/>
        </w:rPr>
        <w:t>Con carácter previo, conviene precisar que los importes y plazos contempl</w:t>
      </w:r>
      <w:r w:rsidRPr="00782D09">
        <w:rPr>
          <w:szCs w:val="26"/>
        </w:rPr>
        <w:t>a</w:t>
      </w:r>
      <w:r w:rsidRPr="00782D09">
        <w:rPr>
          <w:szCs w:val="26"/>
        </w:rPr>
        <w:t>dos en el Convenio correspondiente a este tramo están totalmente desfasados.</w:t>
      </w:r>
      <w:r w:rsidR="00CD1069">
        <w:rPr>
          <w:szCs w:val="26"/>
        </w:rPr>
        <w:t xml:space="preserve"> Así,</w:t>
      </w:r>
      <w:r w:rsidRPr="00782D09">
        <w:rPr>
          <w:szCs w:val="26"/>
        </w:rPr>
        <w:t xml:space="preserve"> dichas estimaciones</w:t>
      </w:r>
      <w:r w:rsidR="00CD1069">
        <w:rPr>
          <w:szCs w:val="26"/>
        </w:rPr>
        <w:t xml:space="preserve"> de coste</w:t>
      </w:r>
      <w:r w:rsidRPr="00782D09">
        <w:rPr>
          <w:szCs w:val="26"/>
        </w:rPr>
        <w:t xml:space="preserve"> se efectuaron antes de redactar los corre</w:t>
      </w:r>
      <w:r w:rsidRPr="00782D09">
        <w:rPr>
          <w:szCs w:val="26"/>
        </w:rPr>
        <w:t>s</w:t>
      </w:r>
      <w:r w:rsidRPr="00782D09">
        <w:rPr>
          <w:szCs w:val="26"/>
        </w:rPr>
        <w:t>pondientes proyectos</w:t>
      </w:r>
      <w:r w:rsidR="00CD1069">
        <w:rPr>
          <w:szCs w:val="26"/>
        </w:rPr>
        <w:t>, no contemplaban el diseño para el tráfico de mercancías</w:t>
      </w:r>
      <w:r w:rsidRPr="00782D09">
        <w:rPr>
          <w:szCs w:val="26"/>
        </w:rPr>
        <w:t xml:space="preserve"> y </w:t>
      </w:r>
      <w:r w:rsidR="00CD1069">
        <w:rPr>
          <w:szCs w:val="26"/>
        </w:rPr>
        <w:t>se calcularon con</w:t>
      </w:r>
      <w:r w:rsidRPr="00782D09">
        <w:rPr>
          <w:szCs w:val="26"/>
        </w:rPr>
        <w:t xml:space="preserve"> un tipo de IVA del 16 por ciento, impuesto que ha exper</w:t>
      </w:r>
      <w:r w:rsidRPr="00782D09">
        <w:rPr>
          <w:szCs w:val="26"/>
        </w:rPr>
        <w:t>i</w:t>
      </w:r>
      <w:r w:rsidRPr="00782D09">
        <w:rPr>
          <w:szCs w:val="26"/>
        </w:rPr>
        <w:t>mentado desde ese momento, dos subidas, al 18 y al 21 por ciento; en cuanto a plazos, en 2015 estaba previsto la finalización de toda la obra</w:t>
      </w:r>
      <w:r w:rsidR="00CD1069">
        <w:rPr>
          <w:szCs w:val="26"/>
        </w:rPr>
        <w:t xml:space="preserve">. </w:t>
      </w:r>
    </w:p>
    <w:p w:rsidR="00172692" w:rsidRDefault="009525C8" w:rsidP="00FF4C8C">
      <w:pPr>
        <w:pStyle w:val="texto"/>
        <w:tabs>
          <w:tab w:val="clear" w:pos="2835"/>
          <w:tab w:val="clear" w:pos="3969"/>
          <w:tab w:val="clear" w:pos="5103"/>
          <w:tab w:val="clear" w:pos="6237"/>
          <w:tab w:val="clear" w:pos="7371"/>
        </w:tabs>
        <w:spacing w:before="240" w:after="240"/>
        <w:rPr>
          <w:szCs w:val="26"/>
        </w:rPr>
      </w:pPr>
      <w:r w:rsidRPr="00782D09">
        <w:rPr>
          <w:szCs w:val="26"/>
        </w:rPr>
        <w:t>A 31 de diciembre de 2015, l</w:t>
      </w:r>
      <w:r w:rsidR="000B770E" w:rsidRPr="00782D09">
        <w:rPr>
          <w:szCs w:val="26"/>
        </w:rPr>
        <w:t xml:space="preserve">a </w:t>
      </w:r>
      <w:r w:rsidR="000B770E" w:rsidRPr="00172692">
        <w:rPr>
          <w:b/>
          <w:szCs w:val="26"/>
        </w:rPr>
        <w:t xml:space="preserve">situación de los distintos </w:t>
      </w:r>
      <w:r w:rsidRPr="00172692">
        <w:rPr>
          <w:b/>
          <w:szCs w:val="26"/>
        </w:rPr>
        <w:t>tramos</w:t>
      </w:r>
      <w:r w:rsidRPr="00782D09">
        <w:rPr>
          <w:szCs w:val="26"/>
        </w:rPr>
        <w:t xml:space="preserve"> en que se divide </w:t>
      </w:r>
      <w:r w:rsidR="00E54B92" w:rsidRPr="00782D09">
        <w:rPr>
          <w:szCs w:val="26"/>
        </w:rPr>
        <w:t>esta</w:t>
      </w:r>
      <w:r w:rsidRPr="00782D09">
        <w:rPr>
          <w:szCs w:val="26"/>
        </w:rPr>
        <w:t xml:space="preserve"> obra es la siguiente:</w:t>
      </w:r>
    </w:p>
    <w:tbl>
      <w:tblPr>
        <w:tblW w:w="8896" w:type="dxa"/>
        <w:jc w:val="center"/>
        <w:tblInd w:w="108"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462"/>
        <w:gridCol w:w="5434"/>
      </w:tblGrid>
      <w:tr w:rsidR="0082064C" w:rsidRPr="00E351AE" w:rsidTr="00FF4C8C">
        <w:trPr>
          <w:trHeight w:val="284"/>
          <w:jc w:val="center"/>
        </w:trPr>
        <w:tc>
          <w:tcPr>
            <w:tcW w:w="3462" w:type="dxa"/>
            <w:tcBorders>
              <w:top w:val="single" w:sz="4" w:space="0" w:color="auto"/>
            </w:tcBorders>
            <w:shd w:val="clear" w:color="auto" w:fill="A8CBEE" w:themeFill="accent2" w:themeFillTint="66"/>
            <w:noWrap/>
            <w:vAlign w:val="center"/>
          </w:tcPr>
          <w:p w:rsidR="0082064C" w:rsidRPr="00E351AE" w:rsidRDefault="0082064C" w:rsidP="00BE7C1E">
            <w:pPr>
              <w:pStyle w:val="cuadroCabe"/>
              <w:jc w:val="left"/>
              <w:rPr>
                <w:rFonts w:cs="Arial"/>
              </w:rPr>
            </w:pPr>
            <w:r>
              <w:rPr>
                <w:rFonts w:cs="Arial"/>
              </w:rPr>
              <w:t>Tramo Castejón–Esquíroz</w:t>
            </w:r>
          </w:p>
        </w:tc>
        <w:tc>
          <w:tcPr>
            <w:tcW w:w="5434" w:type="dxa"/>
            <w:tcBorders>
              <w:top w:val="single" w:sz="4" w:space="0" w:color="auto"/>
            </w:tcBorders>
            <w:shd w:val="clear" w:color="auto" w:fill="A8CBEE" w:themeFill="accent2" w:themeFillTint="66"/>
            <w:noWrap/>
            <w:vAlign w:val="center"/>
          </w:tcPr>
          <w:p w:rsidR="0082064C" w:rsidRPr="00E351AE" w:rsidRDefault="0082064C" w:rsidP="00797BCF">
            <w:pPr>
              <w:pStyle w:val="cuadroCabe"/>
              <w:ind w:left="185"/>
              <w:jc w:val="left"/>
              <w:rPr>
                <w:rFonts w:cs="Arial"/>
              </w:rPr>
            </w:pPr>
            <w:r>
              <w:rPr>
                <w:rFonts w:cs="Arial"/>
              </w:rPr>
              <w:t>Situación a 31 de diciembre de 2015</w:t>
            </w:r>
          </w:p>
        </w:tc>
      </w:tr>
      <w:tr w:rsidR="0082064C" w:rsidRPr="002B028F" w:rsidTr="00FF4C8C">
        <w:trPr>
          <w:trHeight w:val="284"/>
          <w:jc w:val="center"/>
        </w:trPr>
        <w:tc>
          <w:tcPr>
            <w:tcW w:w="3462" w:type="dxa"/>
            <w:tcBorders>
              <w:top w:val="single" w:sz="4" w:space="0" w:color="auto"/>
              <w:bottom w:val="single" w:sz="2" w:space="0" w:color="auto"/>
            </w:tcBorders>
            <w:noWrap/>
            <w:vAlign w:val="center"/>
          </w:tcPr>
          <w:p w:rsidR="0082064C" w:rsidRPr="002B028F" w:rsidRDefault="0082064C" w:rsidP="00BE7C1E">
            <w:pPr>
              <w:spacing w:after="0"/>
              <w:ind w:firstLine="0"/>
              <w:jc w:val="left"/>
              <w:rPr>
                <w:rFonts w:ascii="Arial Narrow" w:hAnsi="Arial Narrow" w:cs="Arial"/>
                <w:lang w:val="es-ES" w:eastAsia="es-ES"/>
              </w:rPr>
            </w:pPr>
            <w:r w:rsidRPr="002B028F">
              <w:rPr>
                <w:rFonts w:ascii="Arial Narrow" w:hAnsi="Arial Narrow" w:cs="Arial"/>
                <w:lang w:val="es-ES" w:eastAsia="es-ES"/>
              </w:rPr>
              <w:t>1. Castejón-Villafranca</w:t>
            </w:r>
          </w:p>
        </w:tc>
        <w:tc>
          <w:tcPr>
            <w:tcW w:w="5434" w:type="dxa"/>
            <w:tcBorders>
              <w:top w:val="single" w:sz="4" w:space="0" w:color="auto"/>
              <w:bottom w:val="single" w:sz="2" w:space="0" w:color="auto"/>
            </w:tcBorders>
            <w:noWrap/>
            <w:vAlign w:val="center"/>
          </w:tcPr>
          <w:p w:rsidR="0082064C" w:rsidRPr="002B028F" w:rsidRDefault="0082064C" w:rsidP="00BE7C1E">
            <w:pPr>
              <w:spacing w:after="0"/>
              <w:ind w:left="185" w:firstLine="0"/>
              <w:jc w:val="left"/>
              <w:rPr>
                <w:rFonts w:ascii="Arial Narrow" w:hAnsi="Arial Narrow" w:cs="Arial"/>
                <w:lang w:val="es-ES" w:eastAsia="es-ES"/>
              </w:rPr>
            </w:pPr>
            <w:r>
              <w:rPr>
                <w:rFonts w:ascii="Arial Narrow" w:hAnsi="Arial Narrow" w:cs="Arial"/>
                <w:lang w:val="es-ES" w:eastAsia="es-ES"/>
              </w:rPr>
              <w:t>Obra terminada y recibida por ADIF</w:t>
            </w:r>
            <w:r w:rsidRPr="002B028F">
              <w:rPr>
                <w:rFonts w:ascii="Arial Narrow" w:hAnsi="Arial Narrow" w:cs="Arial"/>
                <w:lang w:val="es-ES" w:eastAsia="es-ES"/>
              </w:rPr>
              <w:t xml:space="preserve"> </w:t>
            </w:r>
          </w:p>
        </w:tc>
      </w:tr>
      <w:tr w:rsidR="000E2F4C" w:rsidRPr="002B028F" w:rsidTr="00FF4C8C">
        <w:trPr>
          <w:trHeight w:val="284"/>
          <w:jc w:val="center"/>
        </w:trPr>
        <w:tc>
          <w:tcPr>
            <w:tcW w:w="3462" w:type="dxa"/>
            <w:tcBorders>
              <w:top w:val="single" w:sz="2" w:space="0" w:color="auto"/>
              <w:bottom w:val="single" w:sz="2" w:space="0" w:color="auto"/>
            </w:tcBorders>
            <w:noWrap/>
            <w:vAlign w:val="center"/>
          </w:tcPr>
          <w:p w:rsidR="000E2F4C" w:rsidRPr="002B028F" w:rsidRDefault="000E2F4C" w:rsidP="00BE7C1E">
            <w:pPr>
              <w:spacing w:after="0"/>
              <w:ind w:firstLine="0"/>
              <w:jc w:val="left"/>
              <w:rPr>
                <w:rFonts w:ascii="Arial Narrow" w:hAnsi="Arial Narrow" w:cs="Arial"/>
                <w:lang w:val="es-ES" w:eastAsia="es-ES"/>
              </w:rPr>
            </w:pPr>
            <w:r>
              <w:rPr>
                <w:rFonts w:ascii="Arial Narrow" w:hAnsi="Arial Narrow" w:cs="Arial"/>
                <w:lang w:val="es-ES" w:eastAsia="es-ES"/>
              </w:rPr>
              <w:t xml:space="preserve">     Subtramo Castejón-Cadreita</w:t>
            </w:r>
          </w:p>
        </w:tc>
        <w:tc>
          <w:tcPr>
            <w:tcW w:w="5434" w:type="dxa"/>
            <w:tcBorders>
              <w:top w:val="single" w:sz="2" w:space="0" w:color="auto"/>
              <w:bottom w:val="single" w:sz="2" w:space="0" w:color="auto"/>
            </w:tcBorders>
            <w:noWrap/>
            <w:vAlign w:val="center"/>
          </w:tcPr>
          <w:p w:rsidR="000E2F4C" w:rsidRDefault="000E2F4C" w:rsidP="000E2F4C">
            <w:pPr>
              <w:spacing w:after="0"/>
              <w:ind w:left="185" w:firstLine="0"/>
              <w:jc w:val="right"/>
              <w:rPr>
                <w:rFonts w:ascii="Arial Narrow" w:hAnsi="Arial Narrow" w:cs="Arial"/>
                <w:lang w:val="es-ES" w:eastAsia="es-ES"/>
              </w:rPr>
            </w:pPr>
            <w:r>
              <w:rPr>
                <w:rFonts w:ascii="Arial Narrow" w:hAnsi="Arial Narrow" w:cs="Arial"/>
                <w:lang w:val="es-ES" w:eastAsia="es-ES"/>
              </w:rPr>
              <w:t xml:space="preserve">    Obra finalizada en 2015</w:t>
            </w:r>
          </w:p>
        </w:tc>
      </w:tr>
      <w:tr w:rsidR="000E2F4C" w:rsidRPr="002B028F" w:rsidTr="00FF4C8C">
        <w:trPr>
          <w:trHeight w:val="284"/>
          <w:jc w:val="center"/>
        </w:trPr>
        <w:tc>
          <w:tcPr>
            <w:tcW w:w="3462" w:type="dxa"/>
            <w:tcBorders>
              <w:top w:val="single" w:sz="2" w:space="0" w:color="auto"/>
              <w:bottom w:val="single" w:sz="2" w:space="0" w:color="auto"/>
            </w:tcBorders>
            <w:noWrap/>
            <w:vAlign w:val="center"/>
          </w:tcPr>
          <w:p w:rsidR="000E2F4C" w:rsidRPr="002B028F" w:rsidRDefault="000E2F4C" w:rsidP="00BE7C1E">
            <w:pPr>
              <w:spacing w:after="0"/>
              <w:ind w:firstLine="0"/>
              <w:jc w:val="left"/>
              <w:rPr>
                <w:rFonts w:ascii="Arial Narrow" w:hAnsi="Arial Narrow" w:cs="Arial"/>
                <w:lang w:val="es-ES" w:eastAsia="es-ES"/>
              </w:rPr>
            </w:pPr>
            <w:r>
              <w:rPr>
                <w:rFonts w:ascii="Arial Narrow" w:hAnsi="Arial Narrow" w:cs="Arial"/>
                <w:lang w:val="es-ES" w:eastAsia="es-ES"/>
              </w:rPr>
              <w:t xml:space="preserve">     Subtramo Cadreita-Villafranca</w:t>
            </w:r>
          </w:p>
        </w:tc>
        <w:tc>
          <w:tcPr>
            <w:tcW w:w="5434" w:type="dxa"/>
            <w:tcBorders>
              <w:top w:val="single" w:sz="2" w:space="0" w:color="auto"/>
              <w:bottom w:val="single" w:sz="2" w:space="0" w:color="auto"/>
            </w:tcBorders>
            <w:noWrap/>
            <w:vAlign w:val="center"/>
          </w:tcPr>
          <w:p w:rsidR="000E2F4C" w:rsidRDefault="000E2F4C" w:rsidP="000E2F4C">
            <w:pPr>
              <w:spacing w:after="0"/>
              <w:ind w:left="185" w:firstLine="0"/>
              <w:jc w:val="right"/>
              <w:rPr>
                <w:rFonts w:ascii="Arial Narrow" w:hAnsi="Arial Narrow" w:cs="Arial"/>
                <w:lang w:val="es-ES" w:eastAsia="es-ES"/>
              </w:rPr>
            </w:pPr>
            <w:r>
              <w:rPr>
                <w:rFonts w:ascii="Arial Narrow" w:hAnsi="Arial Narrow" w:cs="Arial"/>
                <w:lang w:val="es-ES" w:eastAsia="es-ES"/>
              </w:rPr>
              <w:t>Obra finalizada en 2014</w:t>
            </w:r>
          </w:p>
        </w:tc>
      </w:tr>
      <w:tr w:rsidR="0082064C" w:rsidRPr="002B028F" w:rsidTr="00FF4C8C">
        <w:trPr>
          <w:trHeight w:val="284"/>
          <w:jc w:val="center"/>
        </w:trPr>
        <w:tc>
          <w:tcPr>
            <w:tcW w:w="3462" w:type="dxa"/>
            <w:tcBorders>
              <w:top w:val="single" w:sz="2" w:space="0" w:color="auto"/>
              <w:bottom w:val="single" w:sz="2" w:space="0" w:color="auto"/>
            </w:tcBorders>
            <w:noWrap/>
            <w:vAlign w:val="center"/>
          </w:tcPr>
          <w:p w:rsidR="0082064C" w:rsidRPr="002B028F" w:rsidRDefault="0082064C" w:rsidP="00BE7C1E">
            <w:pPr>
              <w:spacing w:after="0"/>
              <w:ind w:firstLine="0"/>
              <w:jc w:val="left"/>
              <w:rPr>
                <w:rFonts w:ascii="Arial Narrow" w:hAnsi="Arial Narrow" w:cs="Arial"/>
                <w:lang w:val="es-ES" w:eastAsia="es-ES"/>
              </w:rPr>
            </w:pPr>
            <w:r w:rsidRPr="002B028F">
              <w:rPr>
                <w:rFonts w:ascii="Arial Narrow" w:hAnsi="Arial Narrow" w:cs="Arial"/>
                <w:lang w:val="es-ES" w:eastAsia="es-ES"/>
              </w:rPr>
              <w:t>2. Villafranca-Olite</w:t>
            </w:r>
          </w:p>
        </w:tc>
        <w:tc>
          <w:tcPr>
            <w:tcW w:w="5434" w:type="dxa"/>
            <w:tcBorders>
              <w:top w:val="single" w:sz="2" w:space="0" w:color="auto"/>
              <w:bottom w:val="single" w:sz="2" w:space="0" w:color="auto"/>
            </w:tcBorders>
            <w:noWrap/>
            <w:vAlign w:val="center"/>
          </w:tcPr>
          <w:p w:rsidR="0082064C" w:rsidRPr="002B028F" w:rsidRDefault="0082064C" w:rsidP="0082064C">
            <w:pPr>
              <w:spacing w:after="0"/>
              <w:ind w:left="185" w:firstLine="0"/>
              <w:jc w:val="left"/>
              <w:rPr>
                <w:rFonts w:ascii="Arial Narrow" w:hAnsi="Arial Narrow" w:cs="Arial"/>
                <w:lang w:val="es-ES" w:eastAsia="es-ES"/>
              </w:rPr>
            </w:pPr>
            <w:r w:rsidRPr="002B028F">
              <w:rPr>
                <w:rFonts w:ascii="Arial Narrow" w:hAnsi="Arial Narrow" w:cs="Arial"/>
                <w:lang w:val="es-ES" w:eastAsia="es-ES"/>
              </w:rPr>
              <w:t xml:space="preserve">Aprobado </w:t>
            </w:r>
            <w:r>
              <w:rPr>
                <w:rFonts w:ascii="Arial Narrow" w:hAnsi="Arial Narrow" w:cs="Arial"/>
                <w:lang w:val="es-ES" w:eastAsia="es-ES"/>
              </w:rPr>
              <w:t xml:space="preserve">provisionalmente </w:t>
            </w:r>
            <w:r w:rsidRPr="002B028F">
              <w:rPr>
                <w:rFonts w:ascii="Arial Narrow" w:hAnsi="Arial Narrow" w:cs="Arial"/>
                <w:lang w:val="es-ES" w:eastAsia="es-ES"/>
              </w:rPr>
              <w:t>el proyecto básico por ADIF</w:t>
            </w:r>
          </w:p>
        </w:tc>
      </w:tr>
      <w:tr w:rsidR="0082064C" w:rsidRPr="002B028F" w:rsidTr="00FF4C8C">
        <w:trPr>
          <w:trHeight w:val="284"/>
          <w:jc w:val="center"/>
        </w:trPr>
        <w:tc>
          <w:tcPr>
            <w:tcW w:w="3462" w:type="dxa"/>
            <w:tcBorders>
              <w:top w:val="single" w:sz="2" w:space="0" w:color="auto"/>
              <w:bottom w:val="single" w:sz="2" w:space="0" w:color="auto"/>
            </w:tcBorders>
            <w:noWrap/>
            <w:vAlign w:val="center"/>
          </w:tcPr>
          <w:p w:rsidR="0082064C" w:rsidRPr="002B028F" w:rsidRDefault="0082064C" w:rsidP="00BE7C1E">
            <w:pPr>
              <w:spacing w:after="0"/>
              <w:ind w:firstLine="0"/>
              <w:jc w:val="left"/>
              <w:rPr>
                <w:rFonts w:ascii="Arial Narrow" w:hAnsi="Arial Narrow" w:cs="Arial"/>
                <w:lang w:val="es-ES" w:eastAsia="es-ES"/>
              </w:rPr>
            </w:pPr>
            <w:r w:rsidRPr="002B028F">
              <w:rPr>
                <w:rFonts w:ascii="Arial Narrow" w:hAnsi="Arial Narrow" w:cs="Arial"/>
                <w:lang w:val="es-ES" w:eastAsia="es-ES"/>
              </w:rPr>
              <w:t>3. Olite-Tafalla</w:t>
            </w:r>
          </w:p>
        </w:tc>
        <w:tc>
          <w:tcPr>
            <w:tcW w:w="5434" w:type="dxa"/>
            <w:tcBorders>
              <w:top w:val="single" w:sz="2" w:space="0" w:color="auto"/>
              <w:bottom w:val="single" w:sz="2" w:space="0" w:color="auto"/>
            </w:tcBorders>
            <w:noWrap/>
            <w:vAlign w:val="center"/>
          </w:tcPr>
          <w:p w:rsidR="0082064C" w:rsidRPr="002B028F" w:rsidRDefault="0082064C" w:rsidP="00BE7C1E">
            <w:pPr>
              <w:spacing w:after="0"/>
              <w:ind w:left="185" w:firstLine="0"/>
              <w:jc w:val="left"/>
              <w:rPr>
                <w:rFonts w:ascii="Arial Narrow" w:hAnsi="Arial Narrow" w:cs="Arial"/>
                <w:lang w:val="es-ES" w:eastAsia="es-ES"/>
              </w:rPr>
            </w:pPr>
            <w:r w:rsidRPr="002B028F">
              <w:rPr>
                <w:rFonts w:ascii="Arial Narrow" w:hAnsi="Arial Narrow" w:cs="Arial"/>
                <w:lang w:val="es-ES" w:eastAsia="es-ES"/>
              </w:rPr>
              <w:t xml:space="preserve">Aprobado </w:t>
            </w:r>
            <w:r>
              <w:rPr>
                <w:rFonts w:ascii="Arial Narrow" w:hAnsi="Arial Narrow" w:cs="Arial"/>
                <w:lang w:val="es-ES" w:eastAsia="es-ES"/>
              </w:rPr>
              <w:t xml:space="preserve">provisionalmente </w:t>
            </w:r>
            <w:r w:rsidRPr="002B028F">
              <w:rPr>
                <w:rFonts w:ascii="Arial Narrow" w:hAnsi="Arial Narrow" w:cs="Arial"/>
                <w:lang w:val="es-ES" w:eastAsia="es-ES"/>
              </w:rPr>
              <w:t>el proyecto básico por ADIF</w:t>
            </w:r>
          </w:p>
        </w:tc>
      </w:tr>
      <w:tr w:rsidR="0082064C" w:rsidRPr="002B028F" w:rsidTr="00FF4C8C">
        <w:trPr>
          <w:trHeight w:val="284"/>
          <w:jc w:val="center"/>
        </w:trPr>
        <w:tc>
          <w:tcPr>
            <w:tcW w:w="3462" w:type="dxa"/>
            <w:tcBorders>
              <w:top w:val="single" w:sz="2" w:space="0" w:color="auto"/>
              <w:bottom w:val="single" w:sz="2" w:space="0" w:color="auto"/>
            </w:tcBorders>
            <w:noWrap/>
            <w:vAlign w:val="center"/>
          </w:tcPr>
          <w:p w:rsidR="0082064C" w:rsidRPr="002B028F" w:rsidRDefault="0082064C" w:rsidP="00BE7C1E">
            <w:pPr>
              <w:spacing w:after="0"/>
              <w:ind w:firstLine="0"/>
              <w:jc w:val="left"/>
              <w:rPr>
                <w:rFonts w:ascii="Arial Narrow" w:hAnsi="Arial Narrow" w:cs="Arial"/>
                <w:lang w:val="es-ES" w:eastAsia="es-ES"/>
              </w:rPr>
            </w:pPr>
            <w:r w:rsidRPr="002B028F">
              <w:rPr>
                <w:rFonts w:ascii="Arial Narrow" w:hAnsi="Arial Narrow" w:cs="Arial"/>
                <w:lang w:val="es-ES" w:eastAsia="es-ES"/>
              </w:rPr>
              <w:t>4. Tafalla-Campanas</w:t>
            </w:r>
          </w:p>
        </w:tc>
        <w:tc>
          <w:tcPr>
            <w:tcW w:w="5434" w:type="dxa"/>
            <w:tcBorders>
              <w:top w:val="single" w:sz="2" w:space="0" w:color="auto"/>
              <w:bottom w:val="single" w:sz="2" w:space="0" w:color="auto"/>
            </w:tcBorders>
            <w:noWrap/>
            <w:vAlign w:val="center"/>
          </w:tcPr>
          <w:p w:rsidR="0082064C" w:rsidRPr="002B028F" w:rsidRDefault="0082064C" w:rsidP="00BE7C1E">
            <w:pPr>
              <w:spacing w:after="0"/>
              <w:ind w:left="185" w:firstLine="0"/>
              <w:jc w:val="left"/>
              <w:rPr>
                <w:rFonts w:ascii="Arial Narrow" w:hAnsi="Arial Narrow" w:cs="Arial"/>
                <w:lang w:val="es-ES" w:eastAsia="es-ES"/>
              </w:rPr>
            </w:pPr>
            <w:r w:rsidRPr="002B028F">
              <w:rPr>
                <w:rFonts w:ascii="Arial Narrow" w:hAnsi="Arial Narrow" w:cs="Arial"/>
                <w:lang w:val="es-ES" w:eastAsia="es-ES"/>
              </w:rPr>
              <w:t>Pendiente de aprobar el proyecto básico por ADIF</w:t>
            </w:r>
          </w:p>
        </w:tc>
      </w:tr>
      <w:tr w:rsidR="0082064C" w:rsidRPr="002B028F" w:rsidTr="00FF4C8C">
        <w:trPr>
          <w:trHeight w:val="284"/>
          <w:jc w:val="center"/>
        </w:trPr>
        <w:tc>
          <w:tcPr>
            <w:tcW w:w="3462" w:type="dxa"/>
            <w:tcBorders>
              <w:top w:val="single" w:sz="2" w:space="0" w:color="auto"/>
              <w:bottom w:val="single" w:sz="4" w:space="0" w:color="auto"/>
            </w:tcBorders>
            <w:noWrap/>
            <w:vAlign w:val="center"/>
          </w:tcPr>
          <w:p w:rsidR="0082064C" w:rsidRPr="002B028F" w:rsidRDefault="0082064C" w:rsidP="00BE7C1E">
            <w:pPr>
              <w:spacing w:after="0"/>
              <w:ind w:firstLine="0"/>
              <w:jc w:val="left"/>
              <w:rPr>
                <w:rFonts w:ascii="Arial Narrow" w:hAnsi="Arial Narrow" w:cs="Arial"/>
                <w:lang w:val="es-ES" w:eastAsia="es-ES"/>
              </w:rPr>
            </w:pPr>
            <w:r w:rsidRPr="002B028F">
              <w:rPr>
                <w:rFonts w:ascii="Arial Narrow" w:hAnsi="Arial Narrow" w:cs="Arial"/>
                <w:lang w:val="es-ES" w:eastAsia="es-ES"/>
              </w:rPr>
              <w:t>5. Campanas-Esquíroz</w:t>
            </w:r>
          </w:p>
        </w:tc>
        <w:tc>
          <w:tcPr>
            <w:tcW w:w="5434" w:type="dxa"/>
            <w:tcBorders>
              <w:top w:val="single" w:sz="2" w:space="0" w:color="auto"/>
              <w:bottom w:val="single" w:sz="4" w:space="0" w:color="auto"/>
            </w:tcBorders>
            <w:noWrap/>
            <w:vAlign w:val="center"/>
          </w:tcPr>
          <w:p w:rsidR="0082064C" w:rsidRPr="002B028F" w:rsidRDefault="0082064C" w:rsidP="00BE7C1E">
            <w:pPr>
              <w:spacing w:after="0"/>
              <w:ind w:left="185" w:firstLine="0"/>
              <w:jc w:val="left"/>
              <w:rPr>
                <w:rFonts w:ascii="Arial Narrow" w:hAnsi="Arial Narrow" w:cs="Arial"/>
                <w:lang w:val="es-ES" w:eastAsia="es-ES"/>
              </w:rPr>
            </w:pPr>
            <w:r w:rsidRPr="002B028F">
              <w:rPr>
                <w:rFonts w:ascii="Arial Narrow" w:hAnsi="Arial Narrow" w:cs="Arial"/>
                <w:lang w:val="es-ES" w:eastAsia="es-ES"/>
              </w:rPr>
              <w:t>Pendiente de aprobar el proyecto básico por ADIF</w:t>
            </w:r>
          </w:p>
        </w:tc>
      </w:tr>
    </w:tbl>
    <w:p w:rsidR="0082064C" w:rsidRPr="00A0407B" w:rsidRDefault="0082064C" w:rsidP="00797BCF">
      <w:pPr>
        <w:pStyle w:val="texto"/>
        <w:tabs>
          <w:tab w:val="clear" w:pos="2835"/>
          <w:tab w:val="clear" w:pos="3969"/>
          <w:tab w:val="clear" w:pos="5103"/>
          <w:tab w:val="clear" w:pos="6237"/>
          <w:tab w:val="clear" w:pos="7371"/>
        </w:tabs>
        <w:spacing w:before="240"/>
        <w:rPr>
          <w:szCs w:val="26"/>
        </w:rPr>
      </w:pPr>
      <w:r w:rsidRPr="00A0407B">
        <w:rPr>
          <w:szCs w:val="26"/>
        </w:rPr>
        <w:t xml:space="preserve">Es decir, solo las obras de la plataforma del tramo 1 han sido concluidas y entregadas a ADIF. </w:t>
      </w:r>
      <w:r w:rsidR="00E82B46">
        <w:rPr>
          <w:szCs w:val="26"/>
        </w:rPr>
        <w:t>En cuanto a lo</w:t>
      </w:r>
      <w:r w:rsidRPr="00A0407B">
        <w:rPr>
          <w:szCs w:val="26"/>
        </w:rPr>
        <w:t>s tramos 2 y 3</w:t>
      </w:r>
      <w:r w:rsidR="00E82B46">
        <w:rPr>
          <w:szCs w:val="26"/>
        </w:rPr>
        <w:t>,</w:t>
      </w:r>
      <w:r w:rsidRPr="00A0407B">
        <w:rPr>
          <w:szCs w:val="26"/>
        </w:rPr>
        <w:t xml:space="preserve"> se está a la espera de la apr</w:t>
      </w:r>
      <w:r w:rsidRPr="00A0407B">
        <w:rPr>
          <w:szCs w:val="26"/>
        </w:rPr>
        <w:t>o</w:t>
      </w:r>
      <w:r w:rsidRPr="00A0407B">
        <w:rPr>
          <w:szCs w:val="26"/>
        </w:rPr>
        <w:t>bación definitiva por ADIF del proyecto básico, que se estima p</w:t>
      </w:r>
      <w:r w:rsidR="00D7031C">
        <w:rPr>
          <w:szCs w:val="26"/>
        </w:rPr>
        <w:t>odría</w:t>
      </w:r>
      <w:r w:rsidRPr="00A0407B">
        <w:rPr>
          <w:szCs w:val="26"/>
        </w:rPr>
        <w:t xml:space="preserve"> efectuarse en el segundo semestre de 2016, si bien ya se está trabajando en los proyectos constructivos; de cumplirse la anterior previsión, en el primer semestre de 2017 podrían aprobarse tales proyectos constructivos y licitarse, en su caso, las obras a finales de 2017 o inicios de 2018.</w:t>
      </w:r>
    </w:p>
    <w:p w:rsidR="00FF4C8C" w:rsidRDefault="006F644E" w:rsidP="009525C8">
      <w:pPr>
        <w:pStyle w:val="texto"/>
        <w:tabs>
          <w:tab w:val="clear" w:pos="2835"/>
          <w:tab w:val="clear" w:pos="3969"/>
          <w:tab w:val="clear" w:pos="5103"/>
          <w:tab w:val="clear" w:pos="6237"/>
          <w:tab w:val="clear" w:pos="7371"/>
        </w:tabs>
        <w:rPr>
          <w:szCs w:val="26"/>
        </w:rPr>
      </w:pPr>
      <w:r w:rsidRPr="00A0407B">
        <w:rPr>
          <w:szCs w:val="26"/>
        </w:rPr>
        <w:t>En los tramos 4 y 5, no se ha aprobado aún el proyecto básico y en el tramo 5 está</w:t>
      </w:r>
      <w:r>
        <w:rPr>
          <w:szCs w:val="26"/>
        </w:rPr>
        <w:t>n</w:t>
      </w:r>
      <w:r w:rsidRPr="00A0407B">
        <w:rPr>
          <w:szCs w:val="26"/>
        </w:rPr>
        <w:t xml:space="preserve"> en estudio </w:t>
      </w:r>
      <w:r>
        <w:rPr>
          <w:szCs w:val="26"/>
        </w:rPr>
        <w:t xml:space="preserve">diversas alternativas, entre ellas, </w:t>
      </w:r>
      <w:r w:rsidRPr="00A0407B">
        <w:rPr>
          <w:szCs w:val="26"/>
        </w:rPr>
        <w:t>cambiar la solución prevista inicialmente por el tercer carril.</w:t>
      </w:r>
    </w:p>
    <w:p w:rsidR="00FF4C8C" w:rsidRDefault="00FF4C8C">
      <w:pPr>
        <w:spacing w:after="0"/>
        <w:ind w:firstLine="0"/>
        <w:jc w:val="left"/>
        <w:rPr>
          <w:spacing w:val="6"/>
          <w:sz w:val="26"/>
          <w:szCs w:val="26"/>
        </w:rPr>
      </w:pPr>
      <w:r>
        <w:rPr>
          <w:szCs w:val="26"/>
        </w:rPr>
        <w:br w:type="page"/>
      </w:r>
    </w:p>
    <w:p w:rsidR="005B19F3" w:rsidRDefault="002E2DAA" w:rsidP="009525C8">
      <w:pPr>
        <w:pStyle w:val="texto"/>
        <w:tabs>
          <w:tab w:val="clear" w:pos="2835"/>
          <w:tab w:val="clear" w:pos="3969"/>
          <w:tab w:val="clear" w:pos="5103"/>
          <w:tab w:val="clear" w:pos="6237"/>
          <w:tab w:val="clear" w:pos="7371"/>
        </w:tabs>
        <w:rPr>
          <w:szCs w:val="26"/>
        </w:rPr>
      </w:pPr>
      <w:r w:rsidRPr="00A0407B">
        <w:rPr>
          <w:szCs w:val="26"/>
        </w:rPr>
        <w:lastRenderedPageBreak/>
        <w:t xml:space="preserve">En el </w:t>
      </w:r>
      <w:r w:rsidRPr="00A0407B">
        <w:rPr>
          <w:b/>
          <w:szCs w:val="26"/>
        </w:rPr>
        <w:t>presupuesto de 2015</w:t>
      </w:r>
      <w:r w:rsidRPr="00A0407B">
        <w:rPr>
          <w:szCs w:val="26"/>
        </w:rPr>
        <w:t xml:space="preserve"> del Gobierno de Navarra estaban contemplados unos créditos iniciales para las obras del TAV de 47,98 millones. Estos créditos se ven modificados a la baja en 37,77</w:t>
      </w:r>
      <w:r w:rsidR="00B76666" w:rsidRPr="00A0407B">
        <w:rPr>
          <w:szCs w:val="26"/>
        </w:rPr>
        <w:t xml:space="preserve"> millones</w:t>
      </w:r>
      <w:r w:rsidRPr="00A0407B">
        <w:rPr>
          <w:szCs w:val="26"/>
        </w:rPr>
        <w:t xml:space="preserve">, presentando unas obligaciones reconocidas de 8,63 millones, de acuerdo con el siguiente detalle: </w:t>
      </w:r>
    </w:p>
    <w:p w:rsidR="002E2DAA" w:rsidRPr="005B19F3" w:rsidRDefault="005B19F3" w:rsidP="005B19F3">
      <w:pPr>
        <w:pStyle w:val="texto"/>
        <w:tabs>
          <w:tab w:val="clear" w:pos="2835"/>
          <w:tab w:val="clear" w:pos="3969"/>
          <w:tab w:val="clear" w:pos="5103"/>
          <w:tab w:val="clear" w:pos="6237"/>
          <w:tab w:val="clear" w:pos="7371"/>
        </w:tabs>
        <w:spacing w:after="40"/>
        <w:jc w:val="right"/>
        <w:rPr>
          <w:rFonts w:ascii="Arial Narrow" w:hAnsi="Arial Narrow"/>
          <w:sz w:val="20"/>
          <w:szCs w:val="20"/>
        </w:rPr>
      </w:pPr>
      <w:r w:rsidRPr="005B19F3">
        <w:rPr>
          <w:rFonts w:ascii="Arial Narrow" w:hAnsi="Arial Narrow"/>
          <w:sz w:val="20"/>
          <w:szCs w:val="20"/>
        </w:rPr>
        <w:t>(</w:t>
      </w:r>
      <w:r w:rsidR="00B14DF7" w:rsidRPr="005B19F3">
        <w:rPr>
          <w:rFonts w:ascii="Arial Narrow" w:hAnsi="Arial Narrow"/>
          <w:sz w:val="20"/>
          <w:szCs w:val="20"/>
        </w:rPr>
        <w:t>Miles</w:t>
      </w:r>
      <w:r w:rsidRPr="005B19F3">
        <w:rPr>
          <w:rFonts w:ascii="Arial Narrow" w:hAnsi="Arial Narrow"/>
          <w:sz w:val="20"/>
          <w:szCs w:val="20"/>
        </w:rPr>
        <w:t xml:space="preserve"> </w:t>
      </w:r>
      <w:r w:rsidR="002E2DAA" w:rsidRPr="005B19F3">
        <w:rPr>
          <w:rFonts w:ascii="Arial Narrow" w:hAnsi="Arial Narrow"/>
          <w:sz w:val="20"/>
          <w:szCs w:val="20"/>
        </w:rPr>
        <w:t>de euros)</w:t>
      </w:r>
    </w:p>
    <w:tbl>
      <w:tblPr>
        <w:tblW w:w="8891"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3703"/>
        <w:gridCol w:w="1313"/>
        <w:gridCol w:w="1415"/>
        <w:gridCol w:w="1207"/>
        <w:gridCol w:w="1253"/>
      </w:tblGrid>
      <w:tr w:rsidR="00B95740" w:rsidTr="00797BCF">
        <w:trPr>
          <w:trHeight w:val="284"/>
          <w:jc w:val="center"/>
        </w:trPr>
        <w:tc>
          <w:tcPr>
            <w:tcW w:w="3703" w:type="dxa"/>
            <w:tcBorders>
              <w:top w:val="single" w:sz="4" w:space="0" w:color="auto"/>
              <w:bottom w:val="single" w:sz="4" w:space="0" w:color="auto"/>
            </w:tcBorders>
            <w:shd w:val="clear" w:color="auto" w:fill="A8CBEE" w:themeFill="accent2" w:themeFillTint="66"/>
            <w:vAlign w:val="center"/>
            <w:hideMark/>
          </w:tcPr>
          <w:p w:rsidR="00B95740" w:rsidRPr="00B95740" w:rsidRDefault="00B95740" w:rsidP="00797BCF">
            <w:pPr>
              <w:pStyle w:val="cuadroCabe"/>
              <w:jc w:val="left"/>
              <w:rPr>
                <w:rFonts w:cs="Arial"/>
              </w:rPr>
            </w:pPr>
            <w:r w:rsidRPr="00B95740">
              <w:rPr>
                <w:rFonts w:cs="Arial"/>
              </w:rPr>
              <w:t>Partida</w:t>
            </w:r>
            <w:r w:rsidR="00031B45">
              <w:rPr>
                <w:rFonts w:cs="Arial"/>
              </w:rPr>
              <w:t xml:space="preserve"> Presupuesto 2015</w:t>
            </w:r>
          </w:p>
        </w:tc>
        <w:tc>
          <w:tcPr>
            <w:tcW w:w="1313"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Crédito</w:t>
            </w:r>
            <w:r w:rsidR="00797BCF">
              <w:rPr>
                <w:rFonts w:cs="Arial"/>
              </w:rPr>
              <w:t xml:space="preserve"> inicial</w:t>
            </w:r>
          </w:p>
        </w:tc>
        <w:tc>
          <w:tcPr>
            <w:tcW w:w="1415"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Modificaciones</w:t>
            </w:r>
          </w:p>
        </w:tc>
        <w:tc>
          <w:tcPr>
            <w:tcW w:w="1207"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Consolidado</w:t>
            </w:r>
          </w:p>
        </w:tc>
        <w:tc>
          <w:tcPr>
            <w:tcW w:w="1253"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Obligaci</w:t>
            </w:r>
            <w:r>
              <w:rPr>
                <w:rFonts w:cs="Arial"/>
              </w:rPr>
              <w:t>ones</w:t>
            </w:r>
          </w:p>
        </w:tc>
      </w:tr>
      <w:tr w:rsidR="00B95740" w:rsidTr="00797BCF">
        <w:trPr>
          <w:trHeight w:val="284"/>
          <w:jc w:val="center"/>
        </w:trPr>
        <w:tc>
          <w:tcPr>
            <w:tcW w:w="3703" w:type="dxa"/>
            <w:tcBorders>
              <w:top w:val="single" w:sz="4" w:space="0" w:color="auto"/>
            </w:tcBorders>
            <w:noWrap/>
            <w:vAlign w:val="center"/>
            <w:hideMark/>
          </w:tcPr>
          <w:p w:rsidR="00B95740" w:rsidRPr="00B95740" w:rsidRDefault="00B95740" w:rsidP="00797BCF">
            <w:pPr>
              <w:spacing w:after="0"/>
              <w:ind w:firstLine="0"/>
              <w:jc w:val="left"/>
              <w:rPr>
                <w:rFonts w:ascii="Arial Narrow" w:hAnsi="Arial Narrow" w:cs="Arial"/>
                <w:lang w:val="es-ES" w:eastAsia="es-ES"/>
              </w:rPr>
            </w:pPr>
            <w:r w:rsidRPr="00B95740">
              <w:rPr>
                <w:rFonts w:ascii="Arial Narrow" w:hAnsi="Arial Narrow" w:cs="Arial"/>
                <w:lang w:val="es-ES" w:eastAsia="es-ES"/>
              </w:rPr>
              <w:t>Construcción del corredor navarro TAV</w:t>
            </w:r>
          </w:p>
        </w:tc>
        <w:tc>
          <w:tcPr>
            <w:tcW w:w="1313" w:type="dxa"/>
            <w:tcBorders>
              <w:top w:val="single" w:sz="4" w:space="0" w:color="auto"/>
            </w:tcBorders>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37.658</w:t>
            </w:r>
          </w:p>
        </w:tc>
        <w:tc>
          <w:tcPr>
            <w:tcW w:w="1415" w:type="dxa"/>
            <w:tcBorders>
              <w:top w:val="single" w:sz="4" w:space="0" w:color="auto"/>
            </w:tcBorders>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-29.003</w:t>
            </w:r>
          </w:p>
        </w:tc>
        <w:tc>
          <w:tcPr>
            <w:tcW w:w="1207" w:type="dxa"/>
            <w:tcBorders>
              <w:top w:val="single" w:sz="4" w:space="0" w:color="auto"/>
            </w:tcBorders>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8.655</w:t>
            </w:r>
          </w:p>
        </w:tc>
        <w:tc>
          <w:tcPr>
            <w:tcW w:w="1253" w:type="dxa"/>
            <w:tcBorders>
              <w:top w:val="single" w:sz="4" w:space="0" w:color="auto"/>
            </w:tcBorders>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8.175</w:t>
            </w:r>
          </w:p>
        </w:tc>
      </w:tr>
      <w:tr w:rsidR="00B95740" w:rsidTr="00797BCF">
        <w:trPr>
          <w:trHeight w:val="284"/>
          <w:jc w:val="center"/>
        </w:trPr>
        <w:tc>
          <w:tcPr>
            <w:tcW w:w="3703" w:type="dxa"/>
            <w:noWrap/>
            <w:vAlign w:val="center"/>
            <w:hideMark/>
          </w:tcPr>
          <w:p w:rsidR="00B95740" w:rsidRPr="00B95740" w:rsidRDefault="00B95740" w:rsidP="00797BCF">
            <w:pPr>
              <w:spacing w:after="0"/>
              <w:ind w:firstLine="0"/>
              <w:jc w:val="left"/>
              <w:rPr>
                <w:rFonts w:ascii="Arial Narrow" w:hAnsi="Arial Narrow" w:cs="Arial"/>
                <w:lang w:val="es-ES" w:eastAsia="es-ES"/>
              </w:rPr>
            </w:pPr>
            <w:r w:rsidRPr="00B95740">
              <w:rPr>
                <w:rFonts w:ascii="Arial Narrow" w:hAnsi="Arial Narrow" w:cs="Arial"/>
                <w:lang w:val="es-ES" w:eastAsia="es-ES"/>
              </w:rPr>
              <w:t xml:space="preserve">Expropiaciones de terrenos </w:t>
            </w:r>
          </w:p>
        </w:tc>
        <w:tc>
          <w:tcPr>
            <w:tcW w:w="131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7.250</w:t>
            </w:r>
          </w:p>
        </w:tc>
        <w:tc>
          <w:tcPr>
            <w:tcW w:w="1415"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-7.230</w:t>
            </w:r>
          </w:p>
        </w:tc>
        <w:tc>
          <w:tcPr>
            <w:tcW w:w="1207"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20</w:t>
            </w:r>
          </w:p>
        </w:tc>
        <w:tc>
          <w:tcPr>
            <w:tcW w:w="125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20</w:t>
            </w:r>
          </w:p>
        </w:tc>
      </w:tr>
      <w:tr w:rsidR="00B95740" w:rsidTr="00797BCF">
        <w:trPr>
          <w:trHeight w:val="284"/>
          <w:jc w:val="center"/>
        </w:trPr>
        <w:tc>
          <w:tcPr>
            <w:tcW w:w="3703" w:type="dxa"/>
            <w:noWrap/>
            <w:vAlign w:val="center"/>
            <w:hideMark/>
          </w:tcPr>
          <w:p w:rsidR="00B95740" w:rsidRPr="00B95740" w:rsidRDefault="00B95740" w:rsidP="00797BCF">
            <w:pPr>
              <w:spacing w:after="0"/>
              <w:ind w:firstLine="0"/>
              <w:jc w:val="left"/>
              <w:rPr>
                <w:rFonts w:ascii="Arial Narrow" w:hAnsi="Arial Narrow" w:cs="Arial"/>
                <w:lang w:val="es-ES" w:eastAsia="es-ES"/>
              </w:rPr>
            </w:pPr>
            <w:r w:rsidRPr="00B95740">
              <w:rPr>
                <w:rFonts w:ascii="Arial Narrow" w:hAnsi="Arial Narrow" w:cs="Arial"/>
                <w:lang w:val="es-ES" w:eastAsia="es-ES"/>
              </w:rPr>
              <w:t>Encargo a TRACASA. Expropiac</w:t>
            </w:r>
            <w:r w:rsidR="002D1ECE">
              <w:rPr>
                <w:rFonts w:ascii="Arial Narrow" w:hAnsi="Arial Narrow" w:cs="Arial"/>
                <w:lang w:val="es-ES" w:eastAsia="es-ES"/>
              </w:rPr>
              <w:t>ión</w:t>
            </w:r>
            <w:r w:rsidRPr="00B95740">
              <w:rPr>
                <w:rFonts w:ascii="Arial Narrow" w:hAnsi="Arial Narrow" w:cs="Arial"/>
                <w:lang w:val="es-ES" w:eastAsia="es-ES"/>
              </w:rPr>
              <w:t xml:space="preserve"> de terrenos</w:t>
            </w:r>
          </w:p>
        </w:tc>
        <w:tc>
          <w:tcPr>
            <w:tcW w:w="131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w:t>
            </w:r>
          </w:p>
        </w:tc>
        <w:tc>
          <w:tcPr>
            <w:tcW w:w="1415"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108</w:t>
            </w:r>
          </w:p>
        </w:tc>
        <w:tc>
          <w:tcPr>
            <w:tcW w:w="1207"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108</w:t>
            </w:r>
          </w:p>
        </w:tc>
        <w:tc>
          <w:tcPr>
            <w:tcW w:w="125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108</w:t>
            </w:r>
          </w:p>
        </w:tc>
      </w:tr>
      <w:tr w:rsidR="00B95740" w:rsidTr="00797BCF">
        <w:trPr>
          <w:trHeight w:val="284"/>
          <w:jc w:val="center"/>
        </w:trPr>
        <w:tc>
          <w:tcPr>
            <w:tcW w:w="3703" w:type="dxa"/>
            <w:noWrap/>
            <w:vAlign w:val="center"/>
            <w:hideMark/>
          </w:tcPr>
          <w:p w:rsidR="00B95740" w:rsidRPr="00B95740" w:rsidRDefault="00B95740" w:rsidP="00797BCF">
            <w:pPr>
              <w:spacing w:after="0"/>
              <w:ind w:firstLine="0"/>
              <w:jc w:val="left"/>
              <w:rPr>
                <w:rFonts w:ascii="Arial Narrow" w:hAnsi="Arial Narrow" w:cs="Arial"/>
                <w:lang w:val="es-ES" w:eastAsia="es-ES"/>
              </w:rPr>
            </w:pPr>
            <w:r w:rsidRPr="00B95740">
              <w:rPr>
                <w:rFonts w:ascii="Arial Narrow" w:hAnsi="Arial Narrow" w:cs="Arial"/>
                <w:lang w:val="es-ES" w:eastAsia="es-ES"/>
              </w:rPr>
              <w:t>Proyecto y dirección de obra de obra</w:t>
            </w:r>
          </w:p>
        </w:tc>
        <w:tc>
          <w:tcPr>
            <w:tcW w:w="131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3.000</w:t>
            </w:r>
          </w:p>
        </w:tc>
        <w:tc>
          <w:tcPr>
            <w:tcW w:w="1415"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-1.608</w:t>
            </w:r>
          </w:p>
        </w:tc>
        <w:tc>
          <w:tcPr>
            <w:tcW w:w="1207"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1.392</w:t>
            </w:r>
          </w:p>
        </w:tc>
        <w:tc>
          <w:tcPr>
            <w:tcW w:w="125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250</w:t>
            </w:r>
          </w:p>
        </w:tc>
      </w:tr>
      <w:tr w:rsidR="00B95740" w:rsidTr="00797BCF">
        <w:trPr>
          <w:trHeight w:val="284"/>
          <w:jc w:val="center"/>
        </w:trPr>
        <w:tc>
          <w:tcPr>
            <w:tcW w:w="3703" w:type="dxa"/>
            <w:noWrap/>
            <w:vAlign w:val="center"/>
            <w:hideMark/>
          </w:tcPr>
          <w:p w:rsidR="00B95740" w:rsidRPr="00B95740" w:rsidRDefault="00B95740" w:rsidP="00797BCF">
            <w:pPr>
              <w:spacing w:after="0"/>
              <w:ind w:firstLine="0"/>
              <w:jc w:val="left"/>
              <w:rPr>
                <w:rFonts w:ascii="Arial Narrow" w:hAnsi="Arial Narrow" w:cs="Arial"/>
                <w:lang w:val="es-ES" w:eastAsia="es-ES"/>
              </w:rPr>
            </w:pPr>
            <w:r w:rsidRPr="00B95740">
              <w:rPr>
                <w:rFonts w:ascii="Arial Narrow" w:hAnsi="Arial Narrow" w:cs="Arial"/>
                <w:lang w:val="es-ES" w:eastAsia="es-ES"/>
              </w:rPr>
              <w:t>Encargo a GAN. Proyecto y D.O. del TAV</w:t>
            </w:r>
          </w:p>
        </w:tc>
        <w:tc>
          <w:tcPr>
            <w:tcW w:w="131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72</w:t>
            </w:r>
          </w:p>
        </w:tc>
        <w:tc>
          <w:tcPr>
            <w:tcW w:w="1415"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-43</w:t>
            </w:r>
          </w:p>
        </w:tc>
        <w:tc>
          <w:tcPr>
            <w:tcW w:w="1207"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29</w:t>
            </w:r>
          </w:p>
        </w:tc>
        <w:tc>
          <w:tcPr>
            <w:tcW w:w="1253" w:type="dxa"/>
            <w:noWrap/>
            <w:vAlign w:val="center"/>
            <w:hideMark/>
          </w:tcPr>
          <w:p w:rsidR="00B95740" w:rsidRPr="00B95740" w:rsidRDefault="00B95740"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29</w:t>
            </w:r>
          </w:p>
        </w:tc>
      </w:tr>
      <w:tr w:rsidR="00B95740" w:rsidRPr="00797BCF" w:rsidTr="00797BCF">
        <w:trPr>
          <w:trHeight w:val="284"/>
          <w:jc w:val="center"/>
        </w:trPr>
        <w:tc>
          <w:tcPr>
            <w:tcW w:w="3703" w:type="dxa"/>
            <w:vAlign w:val="center"/>
            <w:hideMark/>
          </w:tcPr>
          <w:p w:rsidR="00B95740" w:rsidRPr="00797BCF" w:rsidRDefault="00B95740" w:rsidP="00797BCF">
            <w:pPr>
              <w:spacing w:after="0"/>
              <w:ind w:firstLine="0"/>
              <w:jc w:val="left"/>
              <w:rPr>
                <w:rFonts w:ascii="Arial Narrow" w:hAnsi="Arial Narrow" w:cs="Arial"/>
                <w:b/>
                <w:lang w:val="es-ES" w:eastAsia="es-ES"/>
              </w:rPr>
            </w:pPr>
            <w:r w:rsidRPr="00797BCF">
              <w:rPr>
                <w:rFonts w:ascii="Arial Narrow" w:hAnsi="Arial Narrow" w:cs="Arial"/>
                <w:b/>
                <w:lang w:val="es-ES" w:eastAsia="es-ES"/>
              </w:rPr>
              <w:t>Total partidas presupuestarias TAV</w:t>
            </w:r>
          </w:p>
        </w:tc>
        <w:tc>
          <w:tcPr>
            <w:tcW w:w="1313" w:type="dxa"/>
            <w:noWrap/>
            <w:vAlign w:val="center"/>
            <w:hideMark/>
          </w:tcPr>
          <w:p w:rsidR="00B95740" w:rsidRPr="00797BCF" w:rsidRDefault="00B95740" w:rsidP="00797BCF">
            <w:pPr>
              <w:spacing w:after="0"/>
              <w:ind w:firstLine="0"/>
              <w:jc w:val="right"/>
              <w:rPr>
                <w:rFonts w:ascii="Arial Narrow" w:hAnsi="Arial Narrow" w:cs="Arial"/>
                <w:b/>
                <w:sz w:val="18"/>
                <w:szCs w:val="18"/>
                <w:lang w:val="es-ES" w:eastAsia="es-ES"/>
              </w:rPr>
            </w:pPr>
            <w:r w:rsidRPr="00797BCF">
              <w:rPr>
                <w:rFonts w:ascii="Arial Narrow" w:hAnsi="Arial Narrow" w:cs="Arial"/>
                <w:b/>
                <w:sz w:val="18"/>
                <w:szCs w:val="18"/>
                <w:lang w:val="es-ES" w:eastAsia="es-ES"/>
              </w:rPr>
              <w:t>47.980</w:t>
            </w:r>
          </w:p>
        </w:tc>
        <w:tc>
          <w:tcPr>
            <w:tcW w:w="1415" w:type="dxa"/>
            <w:noWrap/>
            <w:vAlign w:val="center"/>
            <w:hideMark/>
          </w:tcPr>
          <w:p w:rsidR="00B95740" w:rsidRPr="00797BCF" w:rsidRDefault="00B95740" w:rsidP="00797BCF">
            <w:pPr>
              <w:spacing w:after="0"/>
              <w:ind w:firstLine="0"/>
              <w:jc w:val="right"/>
              <w:rPr>
                <w:rFonts w:ascii="Arial Narrow" w:hAnsi="Arial Narrow" w:cs="Arial"/>
                <w:b/>
                <w:sz w:val="18"/>
                <w:szCs w:val="18"/>
                <w:lang w:val="es-ES" w:eastAsia="es-ES"/>
              </w:rPr>
            </w:pPr>
            <w:r w:rsidRPr="00797BCF">
              <w:rPr>
                <w:rFonts w:ascii="Arial Narrow" w:hAnsi="Arial Narrow" w:cs="Arial"/>
                <w:b/>
                <w:sz w:val="18"/>
                <w:szCs w:val="18"/>
                <w:lang w:val="es-ES" w:eastAsia="es-ES"/>
              </w:rPr>
              <w:t>-37.776</w:t>
            </w:r>
          </w:p>
        </w:tc>
        <w:tc>
          <w:tcPr>
            <w:tcW w:w="1207" w:type="dxa"/>
            <w:noWrap/>
            <w:vAlign w:val="center"/>
            <w:hideMark/>
          </w:tcPr>
          <w:p w:rsidR="00B95740" w:rsidRPr="00797BCF" w:rsidRDefault="00B95740" w:rsidP="00797BCF">
            <w:pPr>
              <w:spacing w:after="0"/>
              <w:ind w:firstLine="0"/>
              <w:jc w:val="right"/>
              <w:rPr>
                <w:rFonts w:ascii="Arial Narrow" w:hAnsi="Arial Narrow" w:cs="Arial"/>
                <w:b/>
                <w:sz w:val="18"/>
                <w:szCs w:val="18"/>
                <w:lang w:val="es-ES" w:eastAsia="es-ES"/>
              </w:rPr>
            </w:pPr>
            <w:r w:rsidRPr="00797BCF">
              <w:rPr>
                <w:rFonts w:ascii="Arial Narrow" w:hAnsi="Arial Narrow" w:cs="Arial"/>
                <w:b/>
                <w:sz w:val="18"/>
                <w:szCs w:val="18"/>
                <w:lang w:val="es-ES" w:eastAsia="es-ES"/>
              </w:rPr>
              <w:t>10.204</w:t>
            </w:r>
          </w:p>
        </w:tc>
        <w:tc>
          <w:tcPr>
            <w:tcW w:w="1253" w:type="dxa"/>
            <w:noWrap/>
            <w:vAlign w:val="center"/>
            <w:hideMark/>
          </w:tcPr>
          <w:p w:rsidR="00B95740" w:rsidRPr="00797BCF" w:rsidRDefault="00B95740" w:rsidP="00797BCF">
            <w:pPr>
              <w:spacing w:after="0"/>
              <w:ind w:firstLine="0"/>
              <w:jc w:val="right"/>
              <w:rPr>
                <w:rFonts w:ascii="Arial Narrow" w:hAnsi="Arial Narrow" w:cs="Arial"/>
                <w:b/>
                <w:sz w:val="18"/>
                <w:szCs w:val="18"/>
                <w:lang w:val="es-ES" w:eastAsia="es-ES"/>
              </w:rPr>
            </w:pPr>
            <w:r w:rsidRPr="00797BCF">
              <w:rPr>
                <w:rFonts w:ascii="Arial Narrow" w:hAnsi="Arial Narrow" w:cs="Arial"/>
                <w:b/>
                <w:sz w:val="18"/>
                <w:szCs w:val="18"/>
                <w:lang w:val="es-ES" w:eastAsia="es-ES"/>
              </w:rPr>
              <w:t>8.582</w:t>
            </w:r>
          </w:p>
        </w:tc>
      </w:tr>
      <w:tr w:rsidR="00797BCF" w:rsidTr="00797BCF">
        <w:trPr>
          <w:trHeight w:val="284"/>
          <w:jc w:val="center"/>
        </w:trPr>
        <w:tc>
          <w:tcPr>
            <w:tcW w:w="5016" w:type="dxa"/>
            <w:gridSpan w:val="2"/>
            <w:tcBorders>
              <w:bottom w:val="single" w:sz="4" w:space="0" w:color="auto"/>
            </w:tcBorders>
            <w:noWrap/>
            <w:vAlign w:val="center"/>
            <w:hideMark/>
          </w:tcPr>
          <w:p w:rsidR="00797BCF" w:rsidRPr="00B95740" w:rsidRDefault="00797BCF" w:rsidP="00797BCF">
            <w:pPr>
              <w:spacing w:after="0"/>
              <w:ind w:firstLine="0"/>
              <w:jc w:val="left"/>
              <w:rPr>
                <w:rFonts w:ascii="Arial Narrow" w:hAnsi="Arial Narrow" w:cs="Arial"/>
                <w:sz w:val="18"/>
                <w:szCs w:val="18"/>
                <w:lang w:val="es-ES" w:eastAsia="es-ES"/>
              </w:rPr>
            </w:pPr>
            <w:r w:rsidRPr="00B95740">
              <w:rPr>
                <w:rFonts w:ascii="Arial Narrow" w:hAnsi="Arial Narrow" w:cs="Arial"/>
                <w:lang w:val="es-ES" w:eastAsia="es-ES"/>
              </w:rPr>
              <w:t>Gastos A.T. en materia de Seg</w:t>
            </w:r>
            <w:r>
              <w:rPr>
                <w:rFonts w:ascii="Arial Narrow" w:hAnsi="Arial Narrow" w:cs="Arial"/>
                <w:lang w:val="es-ES" w:eastAsia="es-ES"/>
              </w:rPr>
              <w:t xml:space="preserve">. </w:t>
            </w:r>
            <w:r w:rsidRPr="00B95740">
              <w:rPr>
                <w:rFonts w:ascii="Arial Narrow" w:hAnsi="Arial Narrow" w:cs="Arial"/>
                <w:lang w:val="es-ES" w:eastAsia="es-ES"/>
              </w:rPr>
              <w:t>y Salud Laboral (sólo TAV)</w:t>
            </w:r>
            <w:r w:rsidRPr="00B95740">
              <w:rPr>
                <w:rFonts w:ascii="Arial Narrow" w:hAnsi="Arial Narrow" w:cs="Arial"/>
                <w:sz w:val="18"/>
                <w:szCs w:val="18"/>
                <w:lang w:val="es-ES" w:eastAsia="es-ES"/>
              </w:rPr>
              <w:t> </w:t>
            </w:r>
          </w:p>
        </w:tc>
        <w:tc>
          <w:tcPr>
            <w:tcW w:w="1415" w:type="dxa"/>
            <w:tcBorders>
              <w:bottom w:val="single" w:sz="4" w:space="0" w:color="auto"/>
            </w:tcBorders>
            <w:noWrap/>
            <w:vAlign w:val="center"/>
            <w:hideMark/>
          </w:tcPr>
          <w:p w:rsidR="00797BCF" w:rsidRPr="00B95740" w:rsidRDefault="00797BCF"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 </w:t>
            </w:r>
          </w:p>
        </w:tc>
        <w:tc>
          <w:tcPr>
            <w:tcW w:w="1207" w:type="dxa"/>
            <w:tcBorders>
              <w:bottom w:val="single" w:sz="4" w:space="0" w:color="auto"/>
            </w:tcBorders>
            <w:noWrap/>
            <w:vAlign w:val="center"/>
            <w:hideMark/>
          </w:tcPr>
          <w:p w:rsidR="00797BCF" w:rsidRPr="00B95740" w:rsidRDefault="00797BCF"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 </w:t>
            </w:r>
          </w:p>
        </w:tc>
        <w:tc>
          <w:tcPr>
            <w:tcW w:w="1253" w:type="dxa"/>
            <w:tcBorders>
              <w:bottom w:val="single" w:sz="4" w:space="0" w:color="auto"/>
            </w:tcBorders>
            <w:noWrap/>
            <w:vAlign w:val="center"/>
            <w:hideMark/>
          </w:tcPr>
          <w:p w:rsidR="00797BCF" w:rsidRPr="00B95740" w:rsidRDefault="00797BCF" w:rsidP="00797BCF">
            <w:pPr>
              <w:spacing w:after="0"/>
              <w:ind w:firstLine="0"/>
              <w:jc w:val="right"/>
              <w:rPr>
                <w:rFonts w:ascii="Arial Narrow" w:hAnsi="Arial Narrow" w:cs="Arial"/>
                <w:sz w:val="18"/>
                <w:szCs w:val="18"/>
                <w:lang w:val="es-ES" w:eastAsia="es-ES"/>
              </w:rPr>
            </w:pPr>
            <w:r w:rsidRPr="00B95740">
              <w:rPr>
                <w:rFonts w:ascii="Arial Narrow" w:hAnsi="Arial Narrow" w:cs="Arial"/>
                <w:sz w:val="18"/>
                <w:szCs w:val="18"/>
                <w:lang w:val="es-ES" w:eastAsia="es-ES"/>
              </w:rPr>
              <w:t>45</w:t>
            </w:r>
          </w:p>
        </w:tc>
      </w:tr>
      <w:tr w:rsidR="00B95740" w:rsidTr="00797BCF">
        <w:trPr>
          <w:trHeight w:val="284"/>
          <w:jc w:val="center"/>
        </w:trPr>
        <w:tc>
          <w:tcPr>
            <w:tcW w:w="3703"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left"/>
              <w:rPr>
                <w:rFonts w:cs="Arial"/>
              </w:rPr>
            </w:pPr>
            <w:r w:rsidRPr="00B95740">
              <w:rPr>
                <w:rFonts w:cs="Arial"/>
              </w:rPr>
              <w:t>Total gasto TAV 2015</w:t>
            </w:r>
          </w:p>
        </w:tc>
        <w:tc>
          <w:tcPr>
            <w:tcW w:w="1313"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 </w:t>
            </w:r>
          </w:p>
        </w:tc>
        <w:tc>
          <w:tcPr>
            <w:tcW w:w="1415"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 </w:t>
            </w:r>
          </w:p>
        </w:tc>
        <w:tc>
          <w:tcPr>
            <w:tcW w:w="1207"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 </w:t>
            </w:r>
          </w:p>
        </w:tc>
        <w:tc>
          <w:tcPr>
            <w:tcW w:w="1253" w:type="dxa"/>
            <w:tcBorders>
              <w:top w:val="single" w:sz="4" w:space="0" w:color="auto"/>
              <w:bottom w:val="single" w:sz="4" w:space="0" w:color="auto"/>
            </w:tcBorders>
            <w:shd w:val="clear" w:color="auto" w:fill="A8CBEE" w:themeFill="accent2" w:themeFillTint="66"/>
            <w:noWrap/>
            <w:vAlign w:val="center"/>
            <w:hideMark/>
          </w:tcPr>
          <w:p w:rsidR="00B95740" w:rsidRPr="00B95740" w:rsidRDefault="00B95740" w:rsidP="00797BCF">
            <w:pPr>
              <w:pStyle w:val="cuadroCabe"/>
              <w:jc w:val="right"/>
              <w:rPr>
                <w:rFonts w:cs="Arial"/>
              </w:rPr>
            </w:pPr>
            <w:r w:rsidRPr="00B95740">
              <w:rPr>
                <w:rFonts w:cs="Arial"/>
              </w:rPr>
              <w:t>8.627</w:t>
            </w:r>
          </w:p>
        </w:tc>
      </w:tr>
    </w:tbl>
    <w:p w:rsidR="002E2DAA" w:rsidRDefault="002E2DAA" w:rsidP="00B20EE6">
      <w:pPr>
        <w:pStyle w:val="texto"/>
        <w:tabs>
          <w:tab w:val="clear" w:pos="2835"/>
          <w:tab w:val="clear" w:pos="3969"/>
          <w:tab w:val="clear" w:pos="5103"/>
          <w:tab w:val="clear" w:pos="6237"/>
          <w:tab w:val="clear" w:pos="7371"/>
        </w:tabs>
        <w:ind w:firstLine="0"/>
        <w:rPr>
          <w:sz w:val="24"/>
        </w:rPr>
      </w:pPr>
    </w:p>
    <w:p w:rsidR="00E3534E" w:rsidRDefault="00B95740" w:rsidP="00F92DC5">
      <w:pPr>
        <w:pStyle w:val="texto"/>
        <w:tabs>
          <w:tab w:val="clear" w:pos="2835"/>
          <w:tab w:val="clear" w:pos="3969"/>
          <w:tab w:val="clear" w:pos="5103"/>
          <w:tab w:val="clear" w:pos="6237"/>
          <w:tab w:val="clear" w:pos="7371"/>
        </w:tabs>
        <w:rPr>
          <w:szCs w:val="26"/>
        </w:rPr>
      </w:pPr>
      <w:r w:rsidRPr="00A0407B">
        <w:rPr>
          <w:szCs w:val="26"/>
        </w:rPr>
        <w:t>El gasto del ejercicio corresponde, en cuanto a las obras, a las certificaciones mensuales</w:t>
      </w:r>
      <w:r w:rsidR="0024711E">
        <w:rPr>
          <w:szCs w:val="26"/>
        </w:rPr>
        <w:t xml:space="preserve"> número</w:t>
      </w:r>
      <w:r w:rsidRPr="00A0407B">
        <w:rPr>
          <w:szCs w:val="26"/>
        </w:rPr>
        <w:t xml:space="preserve"> 29ª</w:t>
      </w:r>
      <w:r w:rsidR="0024711E">
        <w:rPr>
          <w:szCs w:val="26"/>
        </w:rPr>
        <w:t xml:space="preserve"> a </w:t>
      </w:r>
      <w:r w:rsidRPr="00A0407B">
        <w:rPr>
          <w:szCs w:val="26"/>
        </w:rPr>
        <w:t>35ª y certificación final de la obra del subtramo Cast</w:t>
      </w:r>
      <w:r w:rsidRPr="00A0407B">
        <w:rPr>
          <w:szCs w:val="26"/>
        </w:rPr>
        <w:t>e</w:t>
      </w:r>
      <w:r w:rsidRPr="00A0407B">
        <w:rPr>
          <w:szCs w:val="26"/>
        </w:rPr>
        <w:t>jón-Cadreita</w:t>
      </w:r>
      <w:r w:rsidR="000E2F4C" w:rsidRPr="00A0407B">
        <w:rPr>
          <w:szCs w:val="26"/>
        </w:rPr>
        <w:t xml:space="preserve"> del tramo Castejón- Villafranca</w:t>
      </w:r>
      <w:r w:rsidRPr="00A0407B">
        <w:rPr>
          <w:szCs w:val="26"/>
        </w:rPr>
        <w:t>, por importe de 8,17 millones</w:t>
      </w:r>
      <w:bookmarkStart w:id="21" w:name="tm_385746144"/>
      <w:r w:rsidR="00750975" w:rsidRPr="00A0407B">
        <w:rPr>
          <w:szCs w:val="26"/>
        </w:rPr>
        <w:t>, siendo la única obra con ejecución en este ejercicio</w:t>
      </w:r>
      <w:r w:rsidRPr="00A0407B">
        <w:rPr>
          <w:szCs w:val="26"/>
        </w:rPr>
        <w:t xml:space="preserve">. </w:t>
      </w:r>
      <w:bookmarkEnd w:id="21"/>
    </w:p>
    <w:p w:rsidR="00B95740" w:rsidRPr="00A0407B" w:rsidRDefault="00D17A92" w:rsidP="00F92DC5">
      <w:pPr>
        <w:pStyle w:val="texto"/>
        <w:tabs>
          <w:tab w:val="clear" w:pos="2835"/>
          <w:tab w:val="clear" w:pos="3969"/>
          <w:tab w:val="clear" w:pos="5103"/>
          <w:tab w:val="clear" w:pos="6237"/>
          <w:tab w:val="clear" w:pos="7371"/>
        </w:tabs>
        <w:rPr>
          <w:szCs w:val="26"/>
        </w:rPr>
      </w:pPr>
      <w:r w:rsidRPr="00A0407B">
        <w:rPr>
          <w:szCs w:val="26"/>
        </w:rPr>
        <w:t>H</w:t>
      </w:r>
      <w:r w:rsidR="00B95740" w:rsidRPr="00A0407B">
        <w:rPr>
          <w:szCs w:val="26"/>
        </w:rPr>
        <w:t>emos comprobado la certificación final concluyendo que se ha tramitado de acuerdo con la normativa vigente.</w:t>
      </w:r>
      <w:r w:rsidR="00CF72E0" w:rsidRPr="00A0407B">
        <w:rPr>
          <w:szCs w:val="26"/>
        </w:rPr>
        <w:t xml:space="preserve"> El gasto final (IVA incluido) ha ascendido a 28,90 millones, presentando una desvia</w:t>
      </w:r>
      <w:r w:rsidRPr="00A0407B">
        <w:rPr>
          <w:szCs w:val="26"/>
        </w:rPr>
        <w:t xml:space="preserve">ción </w:t>
      </w:r>
      <w:r w:rsidR="00CF72E0" w:rsidRPr="00A0407B">
        <w:rPr>
          <w:szCs w:val="26"/>
        </w:rPr>
        <w:t xml:space="preserve">respecto al importe de adjudicación del -0,98 por ciento. </w:t>
      </w:r>
      <w:r w:rsidRPr="00A0407B">
        <w:rPr>
          <w:szCs w:val="26"/>
        </w:rPr>
        <w:t xml:space="preserve">Ese gasto final incluye </w:t>
      </w:r>
      <w:r w:rsidR="00CF72E0" w:rsidRPr="00A0407B">
        <w:rPr>
          <w:szCs w:val="26"/>
        </w:rPr>
        <w:t xml:space="preserve">la revisión de precios </w:t>
      </w:r>
      <w:r w:rsidRPr="00A0407B">
        <w:rPr>
          <w:szCs w:val="26"/>
        </w:rPr>
        <w:t>cuyo importe ha sido negativo por</w:t>
      </w:r>
      <w:r w:rsidR="00CF72E0" w:rsidRPr="00A0407B">
        <w:rPr>
          <w:szCs w:val="26"/>
        </w:rPr>
        <w:t xml:space="preserve"> 1,17 millones.</w:t>
      </w:r>
    </w:p>
    <w:p w:rsidR="00F92DC5" w:rsidRPr="00A0407B" w:rsidRDefault="00B95740" w:rsidP="00F92DC5">
      <w:pPr>
        <w:pStyle w:val="texto"/>
        <w:tabs>
          <w:tab w:val="clear" w:pos="2835"/>
          <w:tab w:val="clear" w:pos="3969"/>
          <w:tab w:val="clear" w:pos="5103"/>
          <w:tab w:val="clear" w:pos="6237"/>
          <w:tab w:val="clear" w:pos="7371"/>
        </w:tabs>
        <w:rPr>
          <w:szCs w:val="26"/>
        </w:rPr>
      </w:pPr>
      <w:r w:rsidRPr="00A0407B">
        <w:rPr>
          <w:szCs w:val="26"/>
        </w:rPr>
        <w:t xml:space="preserve">En cuanto a la </w:t>
      </w:r>
      <w:r w:rsidR="002A3C6A" w:rsidRPr="00A0407B">
        <w:rPr>
          <w:szCs w:val="26"/>
        </w:rPr>
        <w:t>a</w:t>
      </w:r>
      <w:r w:rsidRPr="00A0407B">
        <w:rPr>
          <w:szCs w:val="26"/>
        </w:rPr>
        <w:t xml:space="preserve">sistencia </w:t>
      </w:r>
      <w:r w:rsidR="002A3C6A" w:rsidRPr="00A0407B">
        <w:rPr>
          <w:szCs w:val="26"/>
        </w:rPr>
        <w:t>t</w:t>
      </w:r>
      <w:r w:rsidRPr="00A0407B">
        <w:rPr>
          <w:szCs w:val="26"/>
        </w:rPr>
        <w:t xml:space="preserve">écnica de </w:t>
      </w:r>
      <w:r w:rsidR="002A3C6A" w:rsidRPr="00A0407B">
        <w:rPr>
          <w:szCs w:val="26"/>
        </w:rPr>
        <w:t>p</w:t>
      </w:r>
      <w:r w:rsidRPr="00A0407B">
        <w:rPr>
          <w:szCs w:val="26"/>
        </w:rPr>
        <w:t xml:space="preserve">royectos y </w:t>
      </w:r>
      <w:r w:rsidR="002A3C6A" w:rsidRPr="00A0407B">
        <w:rPr>
          <w:szCs w:val="26"/>
        </w:rPr>
        <w:t>d</w:t>
      </w:r>
      <w:r w:rsidRPr="00A0407B">
        <w:rPr>
          <w:szCs w:val="26"/>
        </w:rPr>
        <w:t xml:space="preserve">irección de obra, la mayor parte corresponde a la </w:t>
      </w:r>
      <w:r w:rsidR="002A3C6A" w:rsidRPr="00A0407B">
        <w:rPr>
          <w:szCs w:val="26"/>
        </w:rPr>
        <w:t>d</w:t>
      </w:r>
      <w:r w:rsidRPr="00A0407B">
        <w:rPr>
          <w:szCs w:val="26"/>
        </w:rPr>
        <w:t>irección de las obras del subtramo Castejón-Cadreita, de forma paralela a la construcción.</w:t>
      </w:r>
      <w:bookmarkStart w:id="22" w:name="tm_385745649"/>
      <w:bookmarkEnd w:id="22"/>
      <w:r w:rsidRPr="00A0407B">
        <w:rPr>
          <w:szCs w:val="26"/>
        </w:rPr>
        <w:t xml:space="preserve"> </w:t>
      </w:r>
    </w:p>
    <w:p w:rsidR="00B95740" w:rsidRPr="00A0407B" w:rsidRDefault="00B95740" w:rsidP="00F92DC5">
      <w:pPr>
        <w:pStyle w:val="texto"/>
        <w:tabs>
          <w:tab w:val="clear" w:pos="2835"/>
          <w:tab w:val="clear" w:pos="3969"/>
          <w:tab w:val="clear" w:pos="5103"/>
          <w:tab w:val="clear" w:pos="6237"/>
          <w:tab w:val="clear" w:pos="7371"/>
        </w:tabs>
        <w:rPr>
          <w:szCs w:val="26"/>
        </w:rPr>
      </w:pPr>
      <w:r w:rsidRPr="00A0407B">
        <w:rPr>
          <w:szCs w:val="26"/>
        </w:rPr>
        <w:t xml:space="preserve">Los gastos de la </w:t>
      </w:r>
      <w:r w:rsidR="00F92DC5" w:rsidRPr="00A0407B">
        <w:rPr>
          <w:szCs w:val="26"/>
        </w:rPr>
        <w:t>asistencia técnica</w:t>
      </w:r>
      <w:r w:rsidRPr="00A0407B">
        <w:rPr>
          <w:szCs w:val="26"/>
        </w:rPr>
        <w:t xml:space="preserve"> en materia de Seguridad y Salud</w:t>
      </w:r>
      <w:r w:rsidR="00F92DC5" w:rsidRPr="00A0407B">
        <w:rPr>
          <w:szCs w:val="26"/>
        </w:rPr>
        <w:t xml:space="preserve"> Laboral</w:t>
      </w:r>
      <w:r w:rsidRPr="00A0407B">
        <w:rPr>
          <w:szCs w:val="26"/>
        </w:rPr>
        <w:t xml:space="preserve"> corresponden a un contrato único para tod</w:t>
      </w:r>
      <w:r w:rsidR="00D17A92" w:rsidRPr="00A0407B">
        <w:rPr>
          <w:szCs w:val="26"/>
        </w:rPr>
        <w:t>a</w:t>
      </w:r>
      <w:r w:rsidRPr="00A0407B">
        <w:rPr>
          <w:szCs w:val="26"/>
        </w:rPr>
        <w:t xml:space="preserve"> </w:t>
      </w:r>
      <w:r w:rsidR="00D17A92" w:rsidRPr="00A0407B">
        <w:rPr>
          <w:szCs w:val="26"/>
        </w:rPr>
        <w:t>la Dirección General de Obras P</w:t>
      </w:r>
      <w:r w:rsidR="00D17A92" w:rsidRPr="00A0407B">
        <w:rPr>
          <w:szCs w:val="26"/>
        </w:rPr>
        <w:t>ú</w:t>
      </w:r>
      <w:r w:rsidR="00D17A92" w:rsidRPr="00A0407B">
        <w:rPr>
          <w:szCs w:val="26"/>
        </w:rPr>
        <w:t>blicas y el gasto que corresponde</w:t>
      </w:r>
      <w:r w:rsidRPr="00A0407B">
        <w:rPr>
          <w:szCs w:val="26"/>
        </w:rPr>
        <w:t xml:space="preserve"> a las obras del TAV ascienden en 2015 a 44.567</w:t>
      </w:r>
      <w:r w:rsidR="00F92DC5" w:rsidRPr="00A0407B">
        <w:rPr>
          <w:szCs w:val="26"/>
        </w:rPr>
        <w:t xml:space="preserve"> </w:t>
      </w:r>
      <w:r w:rsidRPr="00A0407B">
        <w:rPr>
          <w:szCs w:val="26"/>
        </w:rPr>
        <w:t>euros</w:t>
      </w:r>
      <w:r w:rsidR="00F92DC5" w:rsidRPr="00A0407B">
        <w:rPr>
          <w:szCs w:val="26"/>
        </w:rPr>
        <w:t>.</w:t>
      </w:r>
      <w:r w:rsidRPr="00A0407B">
        <w:rPr>
          <w:szCs w:val="26"/>
        </w:rPr>
        <w:t xml:space="preserve"> </w:t>
      </w:r>
      <w:bookmarkStart w:id="23" w:name="tm_385746155"/>
      <w:r w:rsidRPr="00A0407B">
        <w:rPr>
          <w:szCs w:val="26"/>
        </w:rPr>
        <w:t xml:space="preserve">  </w:t>
      </w:r>
      <w:bookmarkEnd w:id="23"/>
    </w:p>
    <w:p w:rsidR="002B4431" w:rsidRPr="009729B8" w:rsidRDefault="002E2DAA" w:rsidP="00297E21">
      <w:pPr>
        <w:pStyle w:val="texto"/>
        <w:tabs>
          <w:tab w:val="clear" w:pos="2835"/>
          <w:tab w:val="clear" w:pos="3969"/>
          <w:tab w:val="clear" w:pos="5103"/>
          <w:tab w:val="clear" w:pos="6237"/>
          <w:tab w:val="clear" w:pos="7371"/>
        </w:tabs>
        <w:spacing w:after="240"/>
        <w:rPr>
          <w:szCs w:val="26"/>
        </w:rPr>
      </w:pPr>
      <w:r w:rsidRPr="00A0407B">
        <w:rPr>
          <w:b/>
          <w:szCs w:val="26"/>
        </w:rPr>
        <w:t xml:space="preserve">Hasta </w:t>
      </w:r>
      <w:r w:rsidR="004935A7" w:rsidRPr="00A0407B">
        <w:rPr>
          <w:b/>
          <w:szCs w:val="26"/>
        </w:rPr>
        <w:t>31 de diciembre</w:t>
      </w:r>
      <w:r w:rsidRPr="00A0407B">
        <w:rPr>
          <w:b/>
          <w:szCs w:val="26"/>
        </w:rPr>
        <w:t xml:space="preserve"> de 2015</w:t>
      </w:r>
      <w:r w:rsidR="004935A7" w:rsidRPr="00A0407B">
        <w:rPr>
          <w:szCs w:val="26"/>
        </w:rPr>
        <w:t>, el Gobierno de Navarra ha gastado en estas obras un total de 81,10 millones, el 21 por ciento del importe convenido</w:t>
      </w:r>
      <w:r w:rsidR="00541B11" w:rsidRPr="00A0407B">
        <w:rPr>
          <w:szCs w:val="26"/>
        </w:rPr>
        <w:t xml:space="preserve">; por su parte, </w:t>
      </w:r>
      <w:r w:rsidR="00F505AE" w:rsidRPr="009729B8">
        <w:rPr>
          <w:szCs w:val="26"/>
        </w:rPr>
        <w:t xml:space="preserve">la entidad </w:t>
      </w:r>
      <w:r w:rsidR="00541B11" w:rsidRPr="009729B8">
        <w:rPr>
          <w:szCs w:val="26"/>
        </w:rPr>
        <w:t>ADIF no</w:t>
      </w:r>
      <w:r w:rsidR="00F505AE" w:rsidRPr="009729B8">
        <w:rPr>
          <w:szCs w:val="26"/>
        </w:rPr>
        <w:t xml:space="preserve"> nos ha informado de la cuantía de la inversión que, en su caso, ha</w:t>
      </w:r>
      <w:r w:rsidR="00297E21" w:rsidRPr="009729B8">
        <w:rPr>
          <w:szCs w:val="26"/>
        </w:rPr>
        <w:t>ya podido realizar</w:t>
      </w:r>
      <w:r w:rsidR="00F505AE" w:rsidRPr="009729B8">
        <w:rPr>
          <w:szCs w:val="26"/>
        </w:rPr>
        <w:t xml:space="preserve"> en este tramo.</w:t>
      </w:r>
      <w:r w:rsidR="00541B11" w:rsidRPr="009729B8">
        <w:rPr>
          <w:szCs w:val="26"/>
        </w:rPr>
        <w:t xml:space="preserve"> </w:t>
      </w:r>
    </w:p>
    <w:p w:rsidR="00FF4C8C" w:rsidRDefault="00FF4C8C">
      <w:pPr>
        <w:spacing w:after="0"/>
        <w:ind w:firstLine="0"/>
        <w:jc w:val="left"/>
        <w:rPr>
          <w:spacing w:val="4"/>
          <w:sz w:val="26"/>
          <w:szCs w:val="26"/>
        </w:rPr>
      </w:pPr>
      <w:r>
        <w:rPr>
          <w:spacing w:val="4"/>
          <w:szCs w:val="26"/>
        </w:rPr>
        <w:br w:type="page"/>
      </w:r>
    </w:p>
    <w:p w:rsidR="000C6EE2" w:rsidRPr="002B4431" w:rsidRDefault="00541B11" w:rsidP="00797BCF">
      <w:pPr>
        <w:pStyle w:val="texto"/>
        <w:tabs>
          <w:tab w:val="clear" w:pos="2835"/>
          <w:tab w:val="clear" w:pos="3969"/>
          <w:tab w:val="clear" w:pos="5103"/>
          <w:tab w:val="clear" w:pos="6237"/>
          <w:tab w:val="clear" w:pos="7371"/>
        </w:tabs>
        <w:spacing w:after="240"/>
        <w:rPr>
          <w:spacing w:val="4"/>
          <w:szCs w:val="26"/>
        </w:rPr>
      </w:pPr>
      <w:r w:rsidRPr="002B4431">
        <w:rPr>
          <w:spacing w:val="4"/>
          <w:szCs w:val="26"/>
        </w:rPr>
        <w:lastRenderedPageBreak/>
        <w:t>En el cuadro siguiente se detalla los importes anteriores en millones</w:t>
      </w:r>
      <w:r w:rsidR="002B4431" w:rsidRPr="002B4431">
        <w:rPr>
          <w:spacing w:val="4"/>
          <w:szCs w:val="26"/>
        </w:rPr>
        <w:t xml:space="preserve"> de euros.</w:t>
      </w:r>
    </w:p>
    <w:tbl>
      <w:tblPr>
        <w:tblW w:w="8859" w:type="dxa"/>
        <w:jc w:val="right"/>
        <w:tblInd w:w="-212"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4412"/>
        <w:gridCol w:w="1408"/>
        <w:gridCol w:w="1421"/>
        <w:gridCol w:w="1618"/>
      </w:tblGrid>
      <w:tr w:rsidR="008124D7" w:rsidRPr="00E351AE" w:rsidTr="002B4431">
        <w:trPr>
          <w:trHeight w:val="284"/>
          <w:jc w:val="right"/>
        </w:trPr>
        <w:tc>
          <w:tcPr>
            <w:tcW w:w="4412" w:type="dxa"/>
            <w:tcBorders>
              <w:top w:val="single" w:sz="4" w:space="0" w:color="auto"/>
            </w:tcBorders>
            <w:shd w:val="clear" w:color="auto" w:fill="A8CBEE" w:themeFill="accent2" w:themeFillTint="66"/>
            <w:noWrap/>
            <w:vAlign w:val="center"/>
          </w:tcPr>
          <w:p w:rsidR="008124D7" w:rsidRPr="00E351AE" w:rsidRDefault="008124D7" w:rsidP="00797BCF">
            <w:pPr>
              <w:pStyle w:val="cuadroCabe"/>
              <w:tabs>
                <w:tab w:val="clear" w:pos="2835"/>
              </w:tabs>
              <w:rPr>
                <w:rFonts w:cs="Arial"/>
              </w:rPr>
            </w:pPr>
            <w:r>
              <w:rPr>
                <w:rFonts w:cs="Arial"/>
              </w:rPr>
              <w:t>Tramo Castejón–Esquíroz</w:t>
            </w:r>
            <w:r w:rsidR="00797BCF">
              <w:rPr>
                <w:rFonts w:cs="Arial"/>
              </w:rPr>
              <w:t xml:space="preserve"> </w:t>
            </w:r>
            <w:r w:rsidRPr="00E351AE">
              <w:rPr>
                <w:rFonts w:cs="Arial"/>
              </w:rPr>
              <w:t>Plataforma</w:t>
            </w:r>
          </w:p>
        </w:tc>
        <w:tc>
          <w:tcPr>
            <w:tcW w:w="1408" w:type="dxa"/>
            <w:tcBorders>
              <w:top w:val="single" w:sz="4" w:space="0" w:color="auto"/>
            </w:tcBorders>
            <w:shd w:val="clear" w:color="auto" w:fill="A8CBEE" w:themeFill="accent2" w:themeFillTint="66"/>
            <w:noWrap/>
            <w:vAlign w:val="center"/>
          </w:tcPr>
          <w:p w:rsidR="008124D7" w:rsidRPr="00E351AE" w:rsidRDefault="008124D7" w:rsidP="00797BCF">
            <w:pPr>
              <w:pStyle w:val="cuadroCabe"/>
              <w:jc w:val="right"/>
              <w:rPr>
                <w:rFonts w:cs="Arial"/>
              </w:rPr>
            </w:pPr>
            <w:r w:rsidRPr="00FF4C8C">
              <w:rPr>
                <w:rFonts w:cs="Arial"/>
                <w:szCs w:val="18"/>
              </w:rPr>
              <w:t>Longitud</w:t>
            </w:r>
            <w:r w:rsidR="00797BCF">
              <w:rPr>
                <w:rFonts w:cs="Arial"/>
                <w:sz w:val="16"/>
                <w:szCs w:val="16"/>
              </w:rPr>
              <w:t xml:space="preserve"> </w:t>
            </w:r>
            <w:r w:rsidRPr="00E351AE">
              <w:rPr>
                <w:rFonts w:cs="Arial"/>
              </w:rPr>
              <w:t>(Km)</w:t>
            </w:r>
          </w:p>
        </w:tc>
        <w:tc>
          <w:tcPr>
            <w:tcW w:w="1421" w:type="dxa"/>
            <w:tcBorders>
              <w:top w:val="single" w:sz="4" w:space="0" w:color="auto"/>
            </w:tcBorders>
            <w:shd w:val="clear" w:color="auto" w:fill="A8CBEE" w:themeFill="accent2" w:themeFillTint="66"/>
            <w:noWrap/>
            <w:vAlign w:val="center"/>
          </w:tcPr>
          <w:p w:rsidR="008124D7" w:rsidRPr="00E351AE" w:rsidRDefault="008124D7" w:rsidP="00797BCF">
            <w:pPr>
              <w:pStyle w:val="cuadroCabe"/>
              <w:jc w:val="right"/>
              <w:rPr>
                <w:rFonts w:cs="Arial"/>
              </w:rPr>
            </w:pPr>
            <w:r>
              <w:rPr>
                <w:rFonts w:cs="Arial"/>
              </w:rPr>
              <w:t xml:space="preserve">Coste previsto </w:t>
            </w:r>
          </w:p>
        </w:tc>
        <w:tc>
          <w:tcPr>
            <w:tcW w:w="1618" w:type="dxa"/>
            <w:tcBorders>
              <w:top w:val="single" w:sz="4" w:space="0" w:color="auto"/>
            </w:tcBorders>
            <w:shd w:val="clear" w:color="auto" w:fill="A8CBEE" w:themeFill="accent2" w:themeFillTint="66"/>
            <w:vAlign w:val="center"/>
          </w:tcPr>
          <w:p w:rsidR="008124D7" w:rsidRDefault="008124D7" w:rsidP="00797BCF">
            <w:pPr>
              <w:pStyle w:val="cuadroCabe"/>
              <w:jc w:val="right"/>
              <w:rPr>
                <w:rFonts w:cs="Arial"/>
              </w:rPr>
            </w:pPr>
            <w:r>
              <w:rPr>
                <w:rFonts w:cs="Arial"/>
              </w:rPr>
              <w:t>Gasto ejecutado a 31/XII/2015</w:t>
            </w:r>
          </w:p>
        </w:tc>
      </w:tr>
      <w:tr w:rsidR="008124D7" w:rsidRPr="00FF4C8C" w:rsidTr="002B4431">
        <w:trPr>
          <w:trHeight w:val="284"/>
          <w:jc w:val="right"/>
        </w:trPr>
        <w:tc>
          <w:tcPr>
            <w:tcW w:w="4412" w:type="dxa"/>
            <w:tcBorders>
              <w:top w:val="single" w:sz="4" w:space="0" w:color="auto"/>
              <w:bottom w:val="single" w:sz="2" w:space="0" w:color="auto"/>
            </w:tcBorders>
            <w:noWrap/>
            <w:vAlign w:val="center"/>
          </w:tcPr>
          <w:p w:rsidR="008124D7" w:rsidRPr="00FF4C8C" w:rsidRDefault="008124D7" w:rsidP="00797BCF">
            <w:pPr>
              <w:spacing w:after="0"/>
              <w:ind w:firstLine="0"/>
              <w:rPr>
                <w:rFonts w:ascii="Arial Narrow" w:hAnsi="Arial Narrow" w:cs="Arial"/>
                <w:lang w:val="es-ES" w:eastAsia="es-ES"/>
              </w:rPr>
            </w:pPr>
            <w:r w:rsidRPr="00FF4C8C">
              <w:rPr>
                <w:rFonts w:ascii="Arial Narrow" w:hAnsi="Arial Narrow" w:cs="Arial"/>
                <w:lang w:val="es-ES" w:eastAsia="es-ES"/>
              </w:rPr>
              <w:t>1. Castejón-Villafranca</w:t>
            </w:r>
          </w:p>
        </w:tc>
        <w:tc>
          <w:tcPr>
            <w:tcW w:w="1408" w:type="dxa"/>
            <w:tcBorders>
              <w:top w:val="single" w:sz="4"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14,50</w:t>
            </w:r>
          </w:p>
        </w:tc>
        <w:tc>
          <w:tcPr>
            <w:tcW w:w="1421" w:type="dxa"/>
            <w:tcBorders>
              <w:top w:val="single" w:sz="4"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71,10</w:t>
            </w:r>
          </w:p>
        </w:tc>
        <w:tc>
          <w:tcPr>
            <w:tcW w:w="1618" w:type="dxa"/>
            <w:tcBorders>
              <w:top w:val="single" w:sz="4" w:space="0" w:color="auto"/>
              <w:bottom w:val="single" w:sz="2" w:space="0" w:color="auto"/>
            </w:tcBorders>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60,76</w:t>
            </w:r>
          </w:p>
        </w:tc>
      </w:tr>
      <w:tr w:rsidR="008124D7" w:rsidRPr="00FF4C8C" w:rsidTr="002B4431">
        <w:trPr>
          <w:trHeight w:val="284"/>
          <w:jc w:val="right"/>
        </w:trPr>
        <w:tc>
          <w:tcPr>
            <w:tcW w:w="4412" w:type="dxa"/>
            <w:tcBorders>
              <w:top w:val="single" w:sz="2" w:space="0" w:color="auto"/>
              <w:bottom w:val="single" w:sz="2" w:space="0" w:color="auto"/>
            </w:tcBorders>
            <w:noWrap/>
            <w:vAlign w:val="center"/>
          </w:tcPr>
          <w:p w:rsidR="008124D7" w:rsidRPr="00FF4C8C" w:rsidRDefault="008124D7" w:rsidP="00797BCF">
            <w:pPr>
              <w:spacing w:after="0"/>
              <w:ind w:firstLine="0"/>
              <w:rPr>
                <w:rFonts w:ascii="Arial Narrow" w:hAnsi="Arial Narrow" w:cs="Arial"/>
                <w:lang w:val="es-ES" w:eastAsia="es-ES"/>
              </w:rPr>
            </w:pPr>
            <w:r w:rsidRPr="00FF4C8C">
              <w:rPr>
                <w:rFonts w:ascii="Arial Narrow" w:hAnsi="Arial Narrow" w:cs="Arial"/>
                <w:lang w:val="es-ES" w:eastAsia="es-ES"/>
              </w:rPr>
              <w:t>2. Villafranca-Olite</w:t>
            </w:r>
          </w:p>
        </w:tc>
        <w:tc>
          <w:tcPr>
            <w:tcW w:w="1408"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15,00</w:t>
            </w:r>
          </w:p>
        </w:tc>
        <w:tc>
          <w:tcPr>
            <w:tcW w:w="1421"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77,55</w:t>
            </w:r>
          </w:p>
        </w:tc>
        <w:tc>
          <w:tcPr>
            <w:tcW w:w="1618" w:type="dxa"/>
            <w:tcBorders>
              <w:top w:val="single" w:sz="2" w:space="0" w:color="auto"/>
              <w:bottom w:val="single" w:sz="2" w:space="0" w:color="auto"/>
            </w:tcBorders>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r>
      <w:tr w:rsidR="008124D7" w:rsidRPr="00FF4C8C" w:rsidTr="002B4431">
        <w:trPr>
          <w:trHeight w:val="284"/>
          <w:jc w:val="right"/>
        </w:trPr>
        <w:tc>
          <w:tcPr>
            <w:tcW w:w="4412" w:type="dxa"/>
            <w:tcBorders>
              <w:top w:val="single" w:sz="2" w:space="0" w:color="auto"/>
              <w:bottom w:val="single" w:sz="2" w:space="0" w:color="auto"/>
            </w:tcBorders>
            <w:noWrap/>
            <w:vAlign w:val="center"/>
          </w:tcPr>
          <w:p w:rsidR="008124D7" w:rsidRPr="00FF4C8C" w:rsidRDefault="008124D7" w:rsidP="00797BCF">
            <w:pPr>
              <w:spacing w:after="0"/>
              <w:ind w:firstLine="0"/>
              <w:rPr>
                <w:rFonts w:ascii="Arial Narrow" w:hAnsi="Arial Narrow" w:cs="Arial"/>
                <w:lang w:val="es-ES" w:eastAsia="es-ES"/>
              </w:rPr>
            </w:pPr>
            <w:r w:rsidRPr="00FF4C8C">
              <w:rPr>
                <w:rFonts w:ascii="Arial Narrow" w:hAnsi="Arial Narrow" w:cs="Arial"/>
                <w:lang w:val="es-ES" w:eastAsia="es-ES"/>
              </w:rPr>
              <w:t>3. Olite-Tafalla</w:t>
            </w:r>
          </w:p>
        </w:tc>
        <w:tc>
          <w:tcPr>
            <w:tcW w:w="1408"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15,00</w:t>
            </w:r>
          </w:p>
        </w:tc>
        <w:tc>
          <w:tcPr>
            <w:tcW w:w="1421"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76,00</w:t>
            </w:r>
          </w:p>
        </w:tc>
        <w:tc>
          <w:tcPr>
            <w:tcW w:w="1618" w:type="dxa"/>
            <w:tcBorders>
              <w:top w:val="single" w:sz="2" w:space="0" w:color="auto"/>
              <w:bottom w:val="single" w:sz="2" w:space="0" w:color="auto"/>
            </w:tcBorders>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r>
      <w:tr w:rsidR="008124D7" w:rsidRPr="00FF4C8C" w:rsidTr="002B4431">
        <w:trPr>
          <w:trHeight w:val="284"/>
          <w:jc w:val="right"/>
        </w:trPr>
        <w:tc>
          <w:tcPr>
            <w:tcW w:w="4412" w:type="dxa"/>
            <w:tcBorders>
              <w:top w:val="single" w:sz="2" w:space="0" w:color="auto"/>
              <w:bottom w:val="single" w:sz="2" w:space="0" w:color="auto"/>
            </w:tcBorders>
            <w:noWrap/>
            <w:vAlign w:val="center"/>
          </w:tcPr>
          <w:p w:rsidR="008124D7" w:rsidRPr="00FF4C8C" w:rsidRDefault="008124D7" w:rsidP="00797BCF">
            <w:pPr>
              <w:spacing w:after="0"/>
              <w:ind w:firstLine="0"/>
              <w:rPr>
                <w:rFonts w:ascii="Arial Narrow" w:hAnsi="Arial Narrow" w:cs="Arial"/>
                <w:lang w:val="es-ES" w:eastAsia="es-ES"/>
              </w:rPr>
            </w:pPr>
            <w:r w:rsidRPr="00FF4C8C">
              <w:rPr>
                <w:rFonts w:ascii="Arial Narrow" w:hAnsi="Arial Narrow" w:cs="Arial"/>
                <w:lang w:val="es-ES" w:eastAsia="es-ES"/>
              </w:rPr>
              <w:t>4. Tafalla-Campanas</w:t>
            </w:r>
          </w:p>
        </w:tc>
        <w:tc>
          <w:tcPr>
            <w:tcW w:w="1408"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15,19</w:t>
            </w:r>
          </w:p>
        </w:tc>
        <w:tc>
          <w:tcPr>
            <w:tcW w:w="1421"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78,00</w:t>
            </w:r>
          </w:p>
        </w:tc>
        <w:tc>
          <w:tcPr>
            <w:tcW w:w="1618" w:type="dxa"/>
            <w:tcBorders>
              <w:top w:val="single" w:sz="2" w:space="0" w:color="auto"/>
              <w:bottom w:val="single" w:sz="2" w:space="0" w:color="auto"/>
            </w:tcBorders>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r>
      <w:tr w:rsidR="008124D7" w:rsidRPr="00FF4C8C" w:rsidTr="002B4431">
        <w:trPr>
          <w:trHeight w:val="284"/>
          <w:jc w:val="right"/>
        </w:trPr>
        <w:tc>
          <w:tcPr>
            <w:tcW w:w="4412" w:type="dxa"/>
            <w:tcBorders>
              <w:top w:val="single" w:sz="2" w:space="0" w:color="auto"/>
              <w:bottom w:val="single" w:sz="2" w:space="0" w:color="auto"/>
            </w:tcBorders>
            <w:noWrap/>
            <w:vAlign w:val="center"/>
          </w:tcPr>
          <w:p w:rsidR="008124D7" w:rsidRPr="00FF4C8C" w:rsidRDefault="008124D7" w:rsidP="00797BCF">
            <w:pPr>
              <w:spacing w:after="0"/>
              <w:ind w:firstLine="0"/>
              <w:rPr>
                <w:rFonts w:ascii="Arial Narrow" w:hAnsi="Arial Narrow" w:cs="Arial"/>
                <w:lang w:val="es-ES" w:eastAsia="es-ES"/>
              </w:rPr>
            </w:pPr>
            <w:r w:rsidRPr="00FF4C8C">
              <w:rPr>
                <w:rFonts w:ascii="Arial Narrow" w:hAnsi="Arial Narrow" w:cs="Arial"/>
                <w:lang w:val="es-ES" w:eastAsia="es-ES"/>
              </w:rPr>
              <w:t>5. Campanas-Esquíroz</w:t>
            </w:r>
          </w:p>
        </w:tc>
        <w:tc>
          <w:tcPr>
            <w:tcW w:w="1408"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10,20</w:t>
            </w:r>
          </w:p>
        </w:tc>
        <w:tc>
          <w:tcPr>
            <w:tcW w:w="1421" w:type="dxa"/>
            <w:tcBorders>
              <w:top w:val="single" w:sz="2" w:space="0" w:color="auto"/>
              <w:bottom w:val="single" w:sz="2" w:space="0" w:color="auto"/>
            </w:tcBorders>
            <w:noWrap/>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60,00</w:t>
            </w:r>
          </w:p>
        </w:tc>
        <w:tc>
          <w:tcPr>
            <w:tcW w:w="1618" w:type="dxa"/>
            <w:tcBorders>
              <w:top w:val="single" w:sz="2" w:space="0" w:color="auto"/>
              <w:bottom w:val="single" w:sz="2" w:space="0" w:color="auto"/>
            </w:tcBorders>
            <w:vAlign w:val="center"/>
          </w:tcPr>
          <w:p w:rsidR="008124D7" w:rsidRPr="00FF4C8C" w:rsidRDefault="008124D7"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r>
      <w:tr w:rsidR="00654026" w:rsidRPr="00FF4C8C" w:rsidTr="002B4431">
        <w:trPr>
          <w:trHeight w:val="284"/>
          <w:jc w:val="right"/>
        </w:trPr>
        <w:tc>
          <w:tcPr>
            <w:tcW w:w="4412" w:type="dxa"/>
            <w:tcBorders>
              <w:top w:val="single" w:sz="2" w:space="0" w:color="auto"/>
              <w:bottom w:val="single" w:sz="2" w:space="0" w:color="auto"/>
            </w:tcBorders>
            <w:noWrap/>
            <w:vAlign w:val="center"/>
          </w:tcPr>
          <w:p w:rsidR="00654026" w:rsidRPr="00FF4C8C" w:rsidRDefault="00654026" w:rsidP="00797BCF">
            <w:pPr>
              <w:spacing w:after="0"/>
              <w:ind w:firstLine="0"/>
              <w:rPr>
                <w:rFonts w:ascii="Arial Narrow" w:hAnsi="Arial Narrow" w:cs="Arial"/>
                <w:lang w:val="es-ES" w:eastAsia="es-ES"/>
              </w:rPr>
            </w:pPr>
            <w:r w:rsidRPr="00FF4C8C">
              <w:rPr>
                <w:rFonts w:ascii="Arial Narrow" w:hAnsi="Arial Narrow" w:cs="Arial"/>
                <w:lang w:val="es-ES" w:eastAsia="es-ES"/>
              </w:rPr>
              <w:t>Reposición líneas REE</w:t>
            </w:r>
          </w:p>
        </w:tc>
        <w:tc>
          <w:tcPr>
            <w:tcW w:w="1408"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p>
        </w:tc>
        <w:tc>
          <w:tcPr>
            <w:tcW w:w="1421"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c>
          <w:tcPr>
            <w:tcW w:w="1618" w:type="dxa"/>
            <w:tcBorders>
              <w:top w:val="single" w:sz="2" w:space="0" w:color="auto"/>
              <w:bottom w:val="single" w:sz="2" w:space="0" w:color="auto"/>
            </w:tcBorders>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3,40</w:t>
            </w:r>
          </w:p>
        </w:tc>
      </w:tr>
      <w:tr w:rsidR="00654026" w:rsidRPr="00FF4C8C" w:rsidTr="002B4431">
        <w:trPr>
          <w:trHeight w:val="284"/>
          <w:jc w:val="right"/>
        </w:trPr>
        <w:tc>
          <w:tcPr>
            <w:tcW w:w="4412" w:type="dxa"/>
            <w:tcBorders>
              <w:top w:val="single" w:sz="2" w:space="0" w:color="auto"/>
              <w:bottom w:val="single" w:sz="2" w:space="0" w:color="auto"/>
            </w:tcBorders>
            <w:noWrap/>
            <w:vAlign w:val="center"/>
          </w:tcPr>
          <w:p w:rsidR="00654026" w:rsidRPr="00FF4C8C" w:rsidRDefault="00654026" w:rsidP="00797BCF">
            <w:pPr>
              <w:spacing w:after="0"/>
              <w:ind w:firstLine="0"/>
              <w:rPr>
                <w:rFonts w:ascii="Arial Narrow" w:hAnsi="Arial Narrow" w:cs="Arial"/>
                <w:b/>
                <w:lang w:val="es-ES" w:eastAsia="es-ES"/>
              </w:rPr>
            </w:pPr>
            <w:r w:rsidRPr="00FF4C8C">
              <w:rPr>
                <w:rFonts w:ascii="Arial Narrow" w:hAnsi="Arial Narrow" w:cs="Arial"/>
                <w:b/>
                <w:lang w:val="es-ES" w:eastAsia="es-ES"/>
              </w:rPr>
              <w:t>Total construcción</w:t>
            </w:r>
          </w:p>
        </w:tc>
        <w:tc>
          <w:tcPr>
            <w:tcW w:w="1408"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b/>
                <w:lang w:val="es-ES" w:eastAsia="es-ES"/>
              </w:rPr>
            </w:pPr>
          </w:p>
        </w:tc>
        <w:tc>
          <w:tcPr>
            <w:tcW w:w="1421"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b/>
                <w:lang w:val="es-ES" w:eastAsia="es-ES"/>
              </w:rPr>
            </w:pPr>
            <w:r w:rsidRPr="00FF4C8C">
              <w:rPr>
                <w:rFonts w:ascii="Arial Narrow" w:hAnsi="Arial Narrow" w:cs="Arial"/>
                <w:b/>
                <w:lang w:val="es-ES" w:eastAsia="es-ES"/>
              </w:rPr>
              <w:t>362,65</w:t>
            </w:r>
          </w:p>
        </w:tc>
        <w:tc>
          <w:tcPr>
            <w:tcW w:w="1618" w:type="dxa"/>
            <w:tcBorders>
              <w:top w:val="single" w:sz="2" w:space="0" w:color="auto"/>
              <w:bottom w:val="single" w:sz="2" w:space="0" w:color="auto"/>
            </w:tcBorders>
            <w:vAlign w:val="center"/>
          </w:tcPr>
          <w:p w:rsidR="00654026" w:rsidRPr="00FF4C8C" w:rsidRDefault="00654026" w:rsidP="00797BCF">
            <w:pPr>
              <w:spacing w:after="0"/>
              <w:ind w:firstLine="0"/>
              <w:jc w:val="right"/>
              <w:rPr>
                <w:rFonts w:ascii="Arial Narrow" w:hAnsi="Arial Narrow" w:cs="Arial"/>
                <w:b/>
                <w:lang w:val="es-ES" w:eastAsia="es-ES"/>
              </w:rPr>
            </w:pPr>
            <w:r w:rsidRPr="00FF4C8C">
              <w:rPr>
                <w:rFonts w:ascii="Arial Narrow" w:hAnsi="Arial Narrow" w:cs="Arial"/>
                <w:b/>
                <w:lang w:val="es-ES" w:eastAsia="es-ES"/>
              </w:rPr>
              <w:t>64,16</w:t>
            </w:r>
          </w:p>
        </w:tc>
      </w:tr>
      <w:tr w:rsidR="00654026" w:rsidRPr="00FF4C8C" w:rsidTr="002B4431">
        <w:trPr>
          <w:trHeight w:val="284"/>
          <w:jc w:val="right"/>
        </w:trPr>
        <w:tc>
          <w:tcPr>
            <w:tcW w:w="4412" w:type="dxa"/>
            <w:tcBorders>
              <w:top w:val="single" w:sz="2" w:space="0" w:color="auto"/>
              <w:bottom w:val="single" w:sz="2" w:space="0" w:color="auto"/>
            </w:tcBorders>
            <w:noWrap/>
            <w:vAlign w:val="center"/>
          </w:tcPr>
          <w:p w:rsidR="00654026" w:rsidRPr="00FF4C8C" w:rsidRDefault="00654026" w:rsidP="00797BCF">
            <w:pPr>
              <w:spacing w:after="0"/>
              <w:ind w:firstLine="0"/>
              <w:rPr>
                <w:rFonts w:ascii="Arial Narrow" w:hAnsi="Arial Narrow" w:cs="Arial"/>
                <w:lang w:val="es-ES" w:eastAsia="es-ES"/>
              </w:rPr>
            </w:pPr>
            <w:r w:rsidRPr="00FF4C8C">
              <w:rPr>
                <w:rFonts w:ascii="Arial Narrow" w:hAnsi="Arial Narrow" w:cs="Arial"/>
                <w:lang w:val="es-ES" w:eastAsia="es-ES"/>
              </w:rPr>
              <w:t>Expropiaciones</w:t>
            </w:r>
          </w:p>
        </w:tc>
        <w:tc>
          <w:tcPr>
            <w:tcW w:w="1408"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 </w:t>
            </w:r>
          </w:p>
        </w:tc>
        <w:tc>
          <w:tcPr>
            <w:tcW w:w="1421" w:type="dxa"/>
            <w:tcBorders>
              <w:top w:val="single" w:sz="2" w:space="0" w:color="auto"/>
              <w:bottom w:val="single" w:sz="2"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10,00</w:t>
            </w:r>
          </w:p>
        </w:tc>
        <w:tc>
          <w:tcPr>
            <w:tcW w:w="1618" w:type="dxa"/>
            <w:tcBorders>
              <w:top w:val="single" w:sz="2" w:space="0" w:color="auto"/>
              <w:bottom w:val="single" w:sz="2" w:space="0" w:color="auto"/>
            </w:tcBorders>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7,96</w:t>
            </w:r>
          </w:p>
        </w:tc>
      </w:tr>
      <w:tr w:rsidR="00654026" w:rsidRPr="00FF4C8C" w:rsidTr="002B4431">
        <w:trPr>
          <w:trHeight w:val="284"/>
          <w:jc w:val="right"/>
        </w:trPr>
        <w:tc>
          <w:tcPr>
            <w:tcW w:w="4412" w:type="dxa"/>
            <w:tcBorders>
              <w:top w:val="single" w:sz="2" w:space="0" w:color="auto"/>
              <w:bottom w:val="single" w:sz="4" w:space="0" w:color="auto"/>
            </w:tcBorders>
            <w:noWrap/>
            <w:vAlign w:val="center"/>
          </w:tcPr>
          <w:p w:rsidR="00654026" w:rsidRPr="00FF4C8C" w:rsidRDefault="00654026" w:rsidP="00797BCF">
            <w:pPr>
              <w:spacing w:after="0"/>
              <w:ind w:firstLine="0"/>
              <w:rPr>
                <w:rFonts w:ascii="Arial Narrow" w:hAnsi="Arial Narrow" w:cs="Arial"/>
                <w:lang w:val="es-ES" w:eastAsia="es-ES"/>
              </w:rPr>
            </w:pPr>
            <w:r w:rsidRPr="00FF4C8C">
              <w:rPr>
                <w:rFonts w:ascii="Arial Narrow" w:hAnsi="Arial Narrow" w:cs="Arial"/>
                <w:lang w:val="es-ES" w:eastAsia="es-ES"/>
              </w:rPr>
              <w:t>Redac. Proytos, Supervisión y DO</w:t>
            </w:r>
          </w:p>
        </w:tc>
        <w:tc>
          <w:tcPr>
            <w:tcW w:w="1408" w:type="dxa"/>
            <w:tcBorders>
              <w:top w:val="single" w:sz="2" w:space="0" w:color="auto"/>
              <w:bottom w:val="single" w:sz="4"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 </w:t>
            </w:r>
          </w:p>
        </w:tc>
        <w:tc>
          <w:tcPr>
            <w:tcW w:w="1421" w:type="dxa"/>
            <w:tcBorders>
              <w:top w:val="single" w:sz="2" w:space="0" w:color="auto"/>
              <w:bottom w:val="single" w:sz="4" w:space="0" w:color="auto"/>
            </w:tcBorders>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15,00</w:t>
            </w:r>
          </w:p>
        </w:tc>
        <w:tc>
          <w:tcPr>
            <w:tcW w:w="1618" w:type="dxa"/>
            <w:tcBorders>
              <w:top w:val="single" w:sz="2" w:space="0" w:color="auto"/>
              <w:bottom w:val="single" w:sz="4" w:space="0" w:color="auto"/>
            </w:tcBorders>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8,97</w:t>
            </w:r>
          </w:p>
        </w:tc>
      </w:tr>
      <w:tr w:rsidR="00654026" w:rsidRPr="00FF4C8C" w:rsidTr="002B4431">
        <w:trPr>
          <w:trHeight w:val="284"/>
          <w:jc w:val="right"/>
        </w:trPr>
        <w:tc>
          <w:tcPr>
            <w:tcW w:w="4412"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rPr>
                <w:rFonts w:cs="Arial"/>
              </w:rPr>
            </w:pPr>
            <w:r w:rsidRPr="00FF4C8C">
              <w:rPr>
                <w:rFonts w:cs="Arial"/>
              </w:rPr>
              <w:t>Total Gobierno de Navarra</w:t>
            </w:r>
          </w:p>
        </w:tc>
        <w:tc>
          <w:tcPr>
            <w:tcW w:w="1408"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jc w:val="right"/>
              <w:rPr>
                <w:rFonts w:cs="Arial"/>
              </w:rPr>
            </w:pPr>
            <w:r w:rsidRPr="00FF4C8C">
              <w:rPr>
                <w:rFonts w:cs="Arial"/>
              </w:rPr>
              <w:t>69,89</w:t>
            </w:r>
          </w:p>
        </w:tc>
        <w:tc>
          <w:tcPr>
            <w:tcW w:w="1421"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jc w:val="right"/>
              <w:rPr>
                <w:rFonts w:cs="Arial"/>
              </w:rPr>
            </w:pPr>
            <w:r w:rsidRPr="00FF4C8C">
              <w:rPr>
                <w:rFonts w:cs="Arial"/>
              </w:rPr>
              <w:t>387,65</w:t>
            </w:r>
          </w:p>
        </w:tc>
        <w:tc>
          <w:tcPr>
            <w:tcW w:w="1618" w:type="dxa"/>
            <w:tcBorders>
              <w:top w:val="single" w:sz="4" w:space="0" w:color="auto"/>
              <w:bottom w:val="single" w:sz="4" w:space="0" w:color="auto"/>
            </w:tcBorders>
            <w:shd w:val="clear" w:color="auto" w:fill="A8CBEE" w:themeFill="accent2" w:themeFillTint="66"/>
            <w:vAlign w:val="center"/>
          </w:tcPr>
          <w:p w:rsidR="00654026" w:rsidRPr="00FF4C8C" w:rsidRDefault="00654026" w:rsidP="00FF4C8C">
            <w:pPr>
              <w:pStyle w:val="cuadroCabe"/>
              <w:tabs>
                <w:tab w:val="clear" w:pos="2835"/>
              </w:tabs>
              <w:jc w:val="right"/>
              <w:rPr>
                <w:rFonts w:cs="Arial"/>
              </w:rPr>
            </w:pPr>
            <w:r w:rsidRPr="00FF4C8C">
              <w:rPr>
                <w:rFonts w:cs="Arial"/>
              </w:rPr>
              <w:t>81,09</w:t>
            </w:r>
          </w:p>
        </w:tc>
      </w:tr>
      <w:tr w:rsidR="002B4431" w:rsidRPr="00FF4C8C" w:rsidTr="002B4431">
        <w:trPr>
          <w:trHeight w:val="284"/>
          <w:jc w:val="right"/>
        </w:trPr>
        <w:tc>
          <w:tcPr>
            <w:tcW w:w="4412" w:type="dxa"/>
            <w:tcBorders>
              <w:top w:val="single" w:sz="4" w:space="0" w:color="auto"/>
              <w:bottom w:val="single" w:sz="4" w:space="0" w:color="auto"/>
            </w:tcBorders>
            <w:shd w:val="clear" w:color="auto" w:fill="auto"/>
            <w:noWrap/>
            <w:vAlign w:val="center"/>
          </w:tcPr>
          <w:p w:rsidR="00654026" w:rsidRPr="00FF4C8C" w:rsidRDefault="00654026" w:rsidP="00797BCF">
            <w:pPr>
              <w:spacing w:after="0"/>
              <w:ind w:firstLine="0"/>
              <w:rPr>
                <w:rFonts w:ascii="Arial Narrow" w:hAnsi="Arial Narrow" w:cs="Arial"/>
                <w:lang w:val="es-ES" w:eastAsia="es-ES"/>
              </w:rPr>
            </w:pPr>
            <w:r w:rsidRPr="00FF4C8C">
              <w:rPr>
                <w:rFonts w:ascii="Arial Narrow" w:hAnsi="Arial Narrow" w:cs="Arial"/>
                <w:lang w:val="es-ES" w:eastAsia="es-ES"/>
              </w:rPr>
              <w:t>Superestructura</w:t>
            </w:r>
          </w:p>
        </w:tc>
        <w:tc>
          <w:tcPr>
            <w:tcW w:w="1408" w:type="dxa"/>
            <w:tcBorders>
              <w:top w:val="single" w:sz="4" w:space="0" w:color="auto"/>
              <w:bottom w:val="single" w:sz="4" w:space="0" w:color="auto"/>
            </w:tcBorders>
            <w:shd w:val="clear" w:color="auto" w:fill="auto"/>
            <w:noWrap/>
            <w:vAlign w:val="center"/>
          </w:tcPr>
          <w:p w:rsidR="00654026" w:rsidRPr="00FF4C8C" w:rsidRDefault="00654026" w:rsidP="00797BCF">
            <w:pPr>
              <w:spacing w:after="0"/>
              <w:ind w:firstLine="0"/>
              <w:jc w:val="right"/>
              <w:rPr>
                <w:rFonts w:ascii="Arial Narrow" w:hAnsi="Arial Narrow" w:cs="Arial"/>
                <w:lang w:val="es-ES" w:eastAsia="es-ES"/>
              </w:rPr>
            </w:pPr>
          </w:p>
        </w:tc>
        <w:tc>
          <w:tcPr>
            <w:tcW w:w="1421" w:type="dxa"/>
            <w:tcBorders>
              <w:top w:val="single" w:sz="4" w:space="0" w:color="auto"/>
              <w:bottom w:val="single" w:sz="4" w:space="0" w:color="auto"/>
            </w:tcBorders>
            <w:shd w:val="clear" w:color="auto" w:fill="auto"/>
            <w:noWrap/>
            <w:vAlign w:val="center"/>
          </w:tcPr>
          <w:p w:rsidR="00654026" w:rsidRPr="00FF4C8C" w:rsidRDefault="00654026"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287,35</w:t>
            </w:r>
          </w:p>
        </w:tc>
        <w:tc>
          <w:tcPr>
            <w:tcW w:w="1618" w:type="dxa"/>
            <w:tcBorders>
              <w:top w:val="single" w:sz="4" w:space="0" w:color="auto"/>
              <w:bottom w:val="single" w:sz="4" w:space="0" w:color="auto"/>
            </w:tcBorders>
            <w:shd w:val="clear" w:color="auto" w:fill="auto"/>
            <w:vAlign w:val="center"/>
          </w:tcPr>
          <w:p w:rsidR="00654026" w:rsidRPr="00FF4C8C" w:rsidRDefault="007A1E5B" w:rsidP="00797BCF">
            <w:pPr>
              <w:spacing w:after="0"/>
              <w:ind w:firstLine="0"/>
              <w:jc w:val="right"/>
              <w:rPr>
                <w:rFonts w:ascii="Arial Narrow" w:hAnsi="Arial Narrow" w:cs="Arial"/>
                <w:lang w:val="es-ES" w:eastAsia="es-ES"/>
              </w:rPr>
            </w:pPr>
            <w:r w:rsidRPr="00FF4C8C">
              <w:rPr>
                <w:rFonts w:ascii="Arial Narrow" w:hAnsi="Arial Narrow" w:cs="Arial"/>
                <w:lang w:val="es-ES" w:eastAsia="es-ES"/>
              </w:rPr>
              <w:t>n/d</w:t>
            </w:r>
          </w:p>
        </w:tc>
      </w:tr>
      <w:tr w:rsidR="002B4431" w:rsidRPr="00FF4C8C" w:rsidTr="002B4431">
        <w:trPr>
          <w:trHeight w:val="284"/>
          <w:jc w:val="right"/>
        </w:trPr>
        <w:tc>
          <w:tcPr>
            <w:tcW w:w="4412"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rPr>
                <w:rFonts w:cs="Arial"/>
              </w:rPr>
            </w:pPr>
            <w:r w:rsidRPr="00FF4C8C">
              <w:rPr>
                <w:rFonts w:cs="Arial"/>
              </w:rPr>
              <w:t>Total ADIF</w:t>
            </w:r>
          </w:p>
        </w:tc>
        <w:tc>
          <w:tcPr>
            <w:tcW w:w="1408"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rPr>
                <w:rFonts w:cs="Arial"/>
              </w:rPr>
            </w:pPr>
          </w:p>
        </w:tc>
        <w:tc>
          <w:tcPr>
            <w:tcW w:w="1421" w:type="dxa"/>
            <w:tcBorders>
              <w:top w:val="single" w:sz="4" w:space="0" w:color="auto"/>
              <w:bottom w:val="single" w:sz="4" w:space="0" w:color="auto"/>
            </w:tcBorders>
            <w:shd w:val="clear" w:color="auto" w:fill="A8CBEE" w:themeFill="accent2" w:themeFillTint="66"/>
            <w:noWrap/>
            <w:vAlign w:val="center"/>
          </w:tcPr>
          <w:p w:rsidR="00654026" w:rsidRPr="00FF4C8C" w:rsidRDefault="00654026" w:rsidP="00FF4C8C">
            <w:pPr>
              <w:pStyle w:val="cuadroCabe"/>
              <w:tabs>
                <w:tab w:val="clear" w:pos="2835"/>
              </w:tabs>
              <w:jc w:val="right"/>
              <w:rPr>
                <w:rFonts w:cs="Arial"/>
              </w:rPr>
            </w:pPr>
            <w:r w:rsidRPr="00FF4C8C">
              <w:rPr>
                <w:rFonts w:cs="Arial"/>
              </w:rPr>
              <w:t>287,35</w:t>
            </w:r>
          </w:p>
        </w:tc>
        <w:tc>
          <w:tcPr>
            <w:tcW w:w="1618" w:type="dxa"/>
            <w:tcBorders>
              <w:top w:val="single" w:sz="4" w:space="0" w:color="auto"/>
              <w:bottom w:val="single" w:sz="4" w:space="0" w:color="auto"/>
            </w:tcBorders>
            <w:shd w:val="clear" w:color="auto" w:fill="A8CBEE" w:themeFill="accent2" w:themeFillTint="66"/>
            <w:vAlign w:val="center"/>
          </w:tcPr>
          <w:p w:rsidR="00654026" w:rsidRPr="00FF4C8C" w:rsidRDefault="007A1E5B" w:rsidP="00FF4C8C">
            <w:pPr>
              <w:pStyle w:val="cuadroCabe"/>
              <w:tabs>
                <w:tab w:val="clear" w:pos="2835"/>
              </w:tabs>
              <w:jc w:val="right"/>
              <w:rPr>
                <w:rFonts w:cs="Arial"/>
              </w:rPr>
            </w:pPr>
            <w:r w:rsidRPr="00FF4C8C">
              <w:rPr>
                <w:rFonts w:cs="Arial"/>
              </w:rPr>
              <w:t>n/d</w:t>
            </w:r>
          </w:p>
        </w:tc>
      </w:tr>
    </w:tbl>
    <w:p w:rsidR="0024711E" w:rsidRPr="00881334" w:rsidRDefault="0024711E" w:rsidP="00881334">
      <w:pPr>
        <w:spacing w:before="60" w:after="0"/>
        <w:ind w:firstLine="0"/>
        <w:jc w:val="left"/>
        <w:rPr>
          <w:rFonts w:ascii="Arial Narrow" w:hAnsi="Arial Narrow" w:cs="Arial"/>
          <w:sz w:val="28"/>
          <w:szCs w:val="28"/>
          <w:vertAlign w:val="superscript"/>
          <w:lang w:val="es-ES" w:eastAsia="es-ES"/>
        </w:rPr>
      </w:pPr>
      <w:r w:rsidRPr="0024711E">
        <w:rPr>
          <w:rFonts w:ascii="Arial Narrow" w:hAnsi="Arial Narrow" w:cs="Arial"/>
          <w:sz w:val="28"/>
          <w:szCs w:val="28"/>
          <w:vertAlign w:val="superscript"/>
          <w:lang w:val="es-ES" w:eastAsia="es-ES"/>
        </w:rPr>
        <w:t>n/d: no disponible</w:t>
      </w:r>
    </w:p>
    <w:p w:rsidR="00EC653F" w:rsidRPr="00A0407B" w:rsidRDefault="00EC653F" w:rsidP="008124D7">
      <w:pPr>
        <w:pStyle w:val="texto"/>
        <w:tabs>
          <w:tab w:val="clear" w:pos="2835"/>
          <w:tab w:val="clear" w:pos="3969"/>
          <w:tab w:val="clear" w:pos="5103"/>
          <w:tab w:val="clear" w:pos="6237"/>
          <w:tab w:val="clear" w:pos="7371"/>
        </w:tabs>
        <w:rPr>
          <w:szCs w:val="26"/>
        </w:rPr>
      </w:pPr>
      <w:r w:rsidRPr="00A0407B">
        <w:rPr>
          <w:szCs w:val="26"/>
        </w:rPr>
        <w:t>Como se observa, en el único tramo terminado, Castejón-Villafranca, el ga</w:t>
      </w:r>
      <w:r w:rsidRPr="00A0407B">
        <w:rPr>
          <w:szCs w:val="26"/>
        </w:rPr>
        <w:t>s</w:t>
      </w:r>
      <w:r w:rsidRPr="00A0407B">
        <w:rPr>
          <w:szCs w:val="26"/>
        </w:rPr>
        <w:t>to final ha sido prácticamente un 15 por ciento inferior al previsto, que se e</w:t>
      </w:r>
      <w:r w:rsidRPr="00A0407B">
        <w:rPr>
          <w:szCs w:val="26"/>
        </w:rPr>
        <w:t>x</w:t>
      </w:r>
      <w:r w:rsidRPr="00A0407B">
        <w:rPr>
          <w:szCs w:val="26"/>
        </w:rPr>
        <w:t>plica fundamentalmente por la baja del 30 por ciento acontecida en la adjudic</w:t>
      </w:r>
      <w:r w:rsidRPr="00A0407B">
        <w:rPr>
          <w:szCs w:val="26"/>
        </w:rPr>
        <w:t>a</w:t>
      </w:r>
      <w:r w:rsidRPr="00A0407B">
        <w:rPr>
          <w:szCs w:val="26"/>
        </w:rPr>
        <w:t>ción de las obras de los dos subtramos en que se subdividió el mismo.</w:t>
      </w:r>
    </w:p>
    <w:p w:rsidR="00BF7627" w:rsidRPr="00A0407B" w:rsidRDefault="00DF0ADF" w:rsidP="003945A7">
      <w:pPr>
        <w:pStyle w:val="texto"/>
        <w:tabs>
          <w:tab w:val="clear" w:pos="2835"/>
          <w:tab w:val="clear" w:pos="3969"/>
          <w:tab w:val="clear" w:pos="5103"/>
          <w:tab w:val="clear" w:pos="6237"/>
          <w:tab w:val="clear" w:pos="7371"/>
        </w:tabs>
        <w:rPr>
          <w:szCs w:val="26"/>
        </w:rPr>
      </w:pPr>
      <w:r w:rsidRPr="00A0407B">
        <w:rPr>
          <w:szCs w:val="26"/>
        </w:rPr>
        <w:t>En la plataforma solo se ha ejecutado el 18 por ciento de lo previsto. Porce</w:t>
      </w:r>
      <w:r w:rsidRPr="00A0407B">
        <w:rPr>
          <w:szCs w:val="26"/>
        </w:rPr>
        <w:t>n</w:t>
      </w:r>
      <w:r w:rsidRPr="00A0407B">
        <w:rPr>
          <w:szCs w:val="26"/>
        </w:rPr>
        <w:t>taje que es superado ampliamente por el resto de conceptos, que presentan un mayor grado de cumplimiento.</w:t>
      </w:r>
    </w:p>
    <w:p w:rsidR="00BE7C1E" w:rsidRPr="00A0407B" w:rsidRDefault="00E54B92" w:rsidP="00DF0ADF">
      <w:pPr>
        <w:pStyle w:val="texto"/>
        <w:tabs>
          <w:tab w:val="clear" w:pos="2835"/>
          <w:tab w:val="clear" w:pos="3969"/>
          <w:tab w:val="clear" w:pos="5103"/>
          <w:tab w:val="clear" w:pos="6237"/>
          <w:tab w:val="clear" w:pos="7371"/>
        </w:tabs>
        <w:rPr>
          <w:szCs w:val="26"/>
        </w:rPr>
      </w:pPr>
      <w:r w:rsidRPr="00A0407B">
        <w:rPr>
          <w:szCs w:val="26"/>
        </w:rPr>
        <w:t>Sobre las</w:t>
      </w:r>
      <w:r w:rsidR="008124D7" w:rsidRPr="00A0407B">
        <w:rPr>
          <w:szCs w:val="26"/>
        </w:rPr>
        <w:t xml:space="preserve"> obras de superestructura</w:t>
      </w:r>
      <w:r w:rsidRPr="00A0407B">
        <w:rPr>
          <w:szCs w:val="26"/>
        </w:rPr>
        <w:t>,</w:t>
      </w:r>
      <w:r w:rsidR="008124D7" w:rsidRPr="00A0407B">
        <w:rPr>
          <w:szCs w:val="26"/>
        </w:rPr>
        <w:t xml:space="preserve"> </w:t>
      </w:r>
      <w:r w:rsidR="00D17A92" w:rsidRPr="00A0407B">
        <w:rPr>
          <w:szCs w:val="26"/>
        </w:rPr>
        <w:t>el criterio de</w:t>
      </w:r>
      <w:r w:rsidR="008124D7" w:rsidRPr="00A0407B">
        <w:rPr>
          <w:szCs w:val="26"/>
        </w:rPr>
        <w:t xml:space="preserve"> </w:t>
      </w:r>
      <w:r w:rsidRPr="00A0407B">
        <w:rPr>
          <w:szCs w:val="26"/>
        </w:rPr>
        <w:t>ADIF</w:t>
      </w:r>
      <w:r w:rsidR="00D17A92" w:rsidRPr="00A0407B">
        <w:rPr>
          <w:szCs w:val="26"/>
        </w:rPr>
        <w:t xml:space="preserve"> es que solo</w:t>
      </w:r>
      <w:r w:rsidR="008124D7" w:rsidRPr="00A0407B">
        <w:rPr>
          <w:szCs w:val="26"/>
        </w:rPr>
        <w:t xml:space="preserve"> inicia </w:t>
      </w:r>
      <w:r w:rsidRPr="00A0407B">
        <w:rPr>
          <w:szCs w:val="26"/>
        </w:rPr>
        <w:t xml:space="preserve">las actuaciones </w:t>
      </w:r>
      <w:r w:rsidR="008124D7" w:rsidRPr="00A0407B">
        <w:rPr>
          <w:szCs w:val="26"/>
        </w:rPr>
        <w:t>si hay previamente una longitud importante de plataforma (</w:t>
      </w:r>
      <w:r w:rsidRPr="00A0407B">
        <w:rPr>
          <w:szCs w:val="26"/>
        </w:rPr>
        <w:t>en torno a los 60 Km,</w:t>
      </w:r>
      <w:r w:rsidR="008124D7" w:rsidRPr="00A0407B">
        <w:rPr>
          <w:szCs w:val="26"/>
        </w:rPr>
        <w:t xml:space="preserve"> es decir, casi la totalidad del Tramo Castejón-Pamplona). En este caso únicamente se han realizado las obras del Tramo 1, con apro</w:t>
      </w:r>
      <w:r w:rsidRPr="00A0407B">
        <w:rPr>
          <w:szCs w:val="26"/>
        </w:rPr>
        <w:t>ximadamente 15 km</w:t>
      </w:r>
      <w:r w:rsidR="008124D7" w:rsidRPr="00A0407B">
        <w:rPr>
          <w:szCs w:val="26"/>
        </w:rPr>
        <w:t>.</w:t>
      </w:r>
    </w:p>
    <w:p w:rsidR="00BE7C1E" w:rsidRPr="00FF4C8C" w:rsidRDefault="00BE7C1E" w:rsidP="00B14DF7">
      <w:pPr>
        <w:pStyle w:val="texto"/>
        <w:tabs>
          <w:tab w:val="clear" w:pos="2835"/>
          <w:tab w:val="clear" w:pos="3969"/>
          <w:tab w:val="clear" w:pos="5103"/>
          <w:tab w:val="clear" w:pos="6237"/>
          <w:tab w:val="clear" w:pos="7371"/>
        </w:tabs>
        <w:rPr>
          <w:spacing w:val="2"/>
          <w:szCs w:val="26"/>
        </w:rPr>
      </w:pPr>
      <w:r w:rsidRPr="00FF4C8C">
        <w:rPr>
          <w:spacing w:val="2"/>
          <w:szCs w:val="26"/>
        </w:rPr>
        <w:t xml:space="preserve">En el siguiente </w:t>
      </w:r>
      <w:r w:rsidR="00D17A92" w:rsidRPr="00FF4C8C">
        <w:rPr>
          <w:spacing w:val="2"/>
          <w:szCs w:val="26"/>
        </w:rPr>
        <w:t>cuadro</w:t>
      </w:r>
      <w:r w:rsidRPr="00FF4C8C">
        <w:rPr>
          <w:spacing w:val="2"/>
          <w:szCs w:val="26"/>
        </w:rPr>
        <w:t>, compa</w:t>
      </w:r>
      <w:r w:rsidR="00D17A92" w:rsidRPr="00FF4C8C">
        <w:rPr>
          <w:spacing w:val="2"/>
          <w:szCs w:val="26"/>
        </w:rPr>
        <w:t xml:space="preserve">ramos </w:t>
      </w:r>
      <w:r w:rsidRPr="00FF4C8C">
        <w:rPr>
          <w:spacing w:val="2"/>
          <w:szCs w:val="26"/>
        </w:rPr>
        <w:t>el importe de inversión previsto en el co</w:t>
      </w:r>
      <w:r w:rsidRPr="00FF4C8C">
        <w:rPr>
          <w:spacing w:val="2"/>
          <w:szCs w:val="26"/>
        </w:rPr>
        <w:t>n</w:t>
      </w:r>
      <w:r w:rsidRPr="00FF4C8C">
        <w:rPr>
          <w:spacing w:val="2"/>
          <w:szCs w:val="26"/>
        </w:rPr>
        <w:t xml:space="preserve">venio </w:t>
      </w:r>
      <w:r w:rsidR="00750975" w:rsidRPr="00FF4C8C">
        <w:rPr>
          <w:spacing w:val="2"/>
          <w:szCs w:val="26"/>
        </w:rPr>
        <w:t xml:space="preserve">en cada ejercicio </w:t>
      </w:r>
      <w:r w:rsidRPr="00FF4C8C">
        <w:rPr>
          <w:spacing w:val="2"/>
          <w:szCs w:val="26"/>
        </w:rPr>
        <w:t>con el realmente ejecutado</w:t>
      </w:r>
      <w:r w:rsidR="00B17B0C" w:rsidRPr="00FF4C8C">
        <w:rPr>
          <w:spacing w:val="2"/>
          <w:szCs w:val="26"/>
        </w:rPr>
        <w:t xml:space="preserve"> por el Gobierno de Navarra</w:t>
      </w:r>
      <w:r w:rsidRPr="00FF4C8C">
        <w:rPr>
          <w:spacing w:val="2"/>
          <w:szCs w:val="26"/>
        </w:rPr>
        <w:t>:</w:t>
      </w:r>
    </w:p>
    <w:p w:rsidR="00B14DF7" w:rsidRPr="00B14DF7" w:rsidRDefault="00B14DF7" w:rsidP="00B14DF7">
      <w:pPr>
        <w:tabs>
          <w:tab w:val="left" w:pos="480"/>
          <w:tab w:val="num" w:pos="4920"/>
        </w:tabs>
        <w:spacing w:after="40"/>
        <w:ind w:firstLine="284"/>
        <w:jc w:val="right"/>
        <w:rPr>
          <w:rFonts w:ascii="Arial Narrow" w:hAnsi="Arial Narrow"/>
          <w:spacing w:val="6"/>
          <w:sz w:val="18"/>
          <w:szCs w:val="18"/>
          <w:lang w:val="es-ES"/>
        </w:rPr>
      </w:pPr>
      <w:r w:rsidRPr="00B14DF7">
        <w:rPr>
          <w:rFonts w:ascii="Arial Narrow" w:hAnsi="Arial Narrow"/>
          <w:spacing w:val="6"/>
          <w:sz w:val="18"/>
          <w:szCs w:val="18"/>
          <w:lang w:val="es-ES"/>
        </w:rPr>
        <w:t>(Millones de euros)</w:t>
      </w:r>
    </w:p>
    <w:tbl>
      <w:tblPr>
        <w:tblW w:w="8804" w:type="dxa"/>
        <w:tblInd w:w="5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000"/>
        <w:gridCol w:w="795"/>
        <w:gridCol w:w="993"/>
        <w:gridCol w:w="850"/>
        <w:gridCol w:w="851"/>
        <w:gridCol w:w="735"/>
        <w:gridCol w:w="824"/>
        <w:gridCol w:w="622"/>
        <w:gridCol w:w="1134"/>
      </w:tblGrid>
      <w:tr w:rsidR="00BE7C1E" w:rsidRPr="00E351AE" w:rsidTr="00BC5F41">
        <w:trPr>
          <w:trHeight w:val="284"/>
        </w:trPr>
        <w:tc>
          <w:tcPr>
            <w:tcW w:w="2000" w:type="dxa"/>
            <w:tcBorders>
              <w:top w:val="single" w:sz="4" w:space="0" w:color="auto"/>
              <w:bottom w:val="single" w:sz="4" w:space="0" w:color="auto"/>
            </w:tcBorders>
            <w:shd w:val="clear" w:color="auto" w:fill="A8CBEE" w:themeFill="accent2" w:themeFillTint="66"/>
            <w:noWrap/>
            <w:vAlign w:val="center"/>
          </w:tcPr>
          <w:p w:rsidR="00BE7C1E" w:rsidRPr="00E351AE" w:rsidRDefault="00BE7C1E" w:rsidP="00BE7C1E">
            <w:pPr>
              <w:pStyle w:val="cuadroCabe"/>
              <w:jc w:val="left"/>
              <w:rPr>
                <w:rFonts w:cs="Arial"/>
              </w:rPr>
            </w:pPr>
            <w:r>
              <w:rPr>
                <w:rFonts w:cs="Arial"/>
              </w:rPr>
              <w:t>Castejón-Comarca Pamplona</w:t>
            </w:r>
            <w:r w:rsidR="00B17B0C">
              <w:rPr>
                <w:rFonts w:cs="Arial"/>
              </w:rPr>
              <w:t>/Gobierno de Navarra</w:t>
            </w:r>
          </w:p>
        </w:tc>
        <w:tc>
          <w:tcPr>
            <w:tcW w:w="795" w:type="dxa"/>
            <w:tcBorders>
              <w:top w:val="single" w:sz="4" w:space="0" w:color="auto"/>
              <w:bottom w:val="single" w:sz="4" w:space="0" w:color="auto"/>
            </w:tcBorders>
            <w:shd w:val="clear" w:color="auto" w:fill="A8CBEE" w:themeFill="accent2" w:themeFillTint="66"/>
            <w:noWrap/>
            <w:vAlign w:val="center"/>
          </w:tcPr>
          <w:p w:rsidR="00BE7C1E" w:rsidRPr="00E351AE" w:rsidRDefault="00BE7C1E" w:rsidP="00BE7C1E">
            <w:pPr>
              <w:pStyle w:val="cuadroCabe"/>
              <w:jc w:val="right"/>
              <w:rPr>
                <w:rFonts w:cs="Arial"/>
              </w:rPr>
            </w:pPr>
            <w:r>
              <w:rPr>
                <w:rFonts w:cs="Arial"/>
              </w:rPr>
              <w:t>2009</w:t>
            </w:r>
          </w:p>
        </w:tc>
        <w:tc>
          <w:tcPr>
            <w:tcW w:w="993" w:type="dxa"/>
            <w:tcBorders>
              <w:top w:val="single" w:sz="4" w:space="0" w:color="auto"/>
              <w:bottom w:val="single" w:sz="4" w:space="0" w:color="auto"/>
            </w:tcBorders>
            <w:shd w:val="clear" w:color="auto" w:fill="A8CBEE" w:themeFill="accent2" w:themeFillTint="66"/>
            <w:noWrap/>
            <w:vAlign w:val="center"/>
          </w:tcPr>
          <w:p w:rsidR="00BE7C1E" w:rsidRPr="00E351AE" w:rsidRDefault="00BE7C1E" w:rsidP="00BE7C1E">
            <w:pPr>
              <w:pStyle w:val="cuadroCabe"/>
              <w:jc w:val="right"/>
              <w:rPr>
                <w:rFonts w:cs="Arial"/>
              </w:rPr>
            </w:pPr>
            <w:r>
              <w:rPr>
                <w:rFonts w:cs="Arial"/>
              </w:rPr>
              <w:t>2010</w:t>
            </w:r>
          </w:p>
        </w:tc>
        <w:tc>
          <w:tcPr>
            <w:tcW w:w="850" w:type="dxa"/>
            <w:tcBorders>
              <w:top w:val="single" w:sz="4" w:space="0" w:color="auto"/>
              <w:bottom w:val="single" w:sz="4" w:space="0" w:color="auto"/>
            </w:tcBorders>
            <w:shd w:val="clear" w:color="auto" w:fill="A8CBEE" w:themeFill="accent2" w:themeFillTint="66"/>
            <w:noWrap/>
            <w:vAlign w:val="center"/>
          </w:tcPr>
          <w:p w:rsidR="00BE7C1E" w:rsidRPr="00E351AE" w:rsidRDefault="00BE7C1E" w:rsidP="00BE7C1E">
            <w:pPr>
              <w:pStyle w:val="cuadroCabe"/>
              <w:jc w:val="right"/>
              <w:rPr>
                <w:rFonts w:cs="Arial"/>
              </w:rPr>
            </w:pPr>
            <w:r>
              <w:rPr>
                <w:rFonts w:cs="Arial"/>
              </w:rPr>
              <w:t>2011</w:t>
            </w:r>
          </w:p>
        </w:tc>
        <w:tc>
          <w:tcPr>
            <w:tcW w:w="851" w:type="dxa"/>
            <w:tcBorders>
              <w:top w:val="single" w:sz="4" w:space="0" w:color="auto"/>
              <w:bottom w:val="single" w:sz="4" w:space="0" w:color="auto"/>
            </w:tcBorders>
            <w:shd w:val="clear" w:color="auto" w:fill="A8CBEE" w:themeFill="accent2" w:themeFillTint="66"/>
            <w:vAlign w:val="center"/>
          </w:tcPr>
          <w:p w:rsidR="00BE7C1E" w:rsidRDefault="00BE7C1E" w:rsidP="00BE7C1E">
            <w:pPr>
              <w:pStyle w:val="cuadroCabe"/>
              <w:jc w:val="right"/>
              <w:rPr>
                <w:rFonts w:cs="Arial"/>
              </w:rPr>
            </w:pPr>
            <w:r>
              <w:rPr>
                <w:rFonts w:cs="Arial"/>
              </w:rPr>
              <w:t>2012</w:t>
            </w:r>
          </w:p>
        </w:tc>
        <w:tc>
          <w:tcPr>
            <w:tcW w:w="735" w:type="dxa"/>
            <w:tcBorders>
              <w:top w:val="single" w:sz="4" w:space="0" w:color="auto"/>
              <w:bottom w:val="single" w:sz="4" w:space="0" w:color="auto"/>
            </w:tcBorders>
            <w:shd w:val="clear" w:color="auto" w:fill="A8CBEE" w:themeFill="accent2" w:themeFillTint="66"/>
            <w:vAlign w:val="center"/>
          </w:tcPr>
          <w:p w:rsidR="00BE7C1E" w:rsidRDefault="00BE7C1E" w:rsidP="00BE7C1E">
            <w:pPr>
              <w:pStyle w:val="cuadroCabe"/>
              <w:jc w:val="right"/>
              <w:rPr>
                <w:rFonts w:cs="Arial"/>
              </w:rPr>
            </w:pPr>
            <w:r>
              <w:rPr>
                <w:rFonts w:cs="Arial"/>
              </w:rPr>
              <w:t>2013</w:t>
            </w:r>
          </w:p>
        </w:tc>
        <w:tc>
          <w:tcPr>
            <w:tcW w:w="824" w:type="dxa"/>
            <w:tcBorders>
              <w:top w:val="single" w:sz="4" w:space="0" w:color="auto"/>
              <w:bottom w:val="single" w:sz="4" w:space="0" w:color="auto"/>
            </w:tcBorders>
            <w:shd w:val="clear" w:color="auto" w:fill="A8CBEE" w:themeFill="accent2" w:themeFillTint="66"/>
            <w:vAlign w:val="center"/>
          </w:tcPr>
          <w:p w:rsidR="00BE7C1E" w:rsidRDefault="00BE7C1E" w:rsidP="00BE7C1E">
            <w:pPr>
              <w:pStyle w:val="cuadroCabe"/>
              <w:jc w:val="right"/>
              <w:rPr>
                <w:rFonts w:cs="Arial"/>
              </w:rPr>
            </w:pPr>
            <w:r>
              <w:rPr>
                <w:rFonts w:cs="Arial"/>
              </w:rPr>
              <w:t>2014</w:t>
            </w:r>
          </w:p>
        </w:tc>
        <w:tc>
          <w:tcPr>
            <w:tcW w:w="622" w:type="dxa"/>
            <w:tcBorders>
              <w:top w:val="single" w:sz="4" w:space="0" w:color="auto"/>
              <w:bottom w:val="single" w:sz="4" w:space="0" w:color="auto"/>
            </w:tcBorders>
            <w:shd w:val="clear" w:color="auto" w:fill="A8CBEE" w:themeFill="accent2" w:themeFillTint="66"/>
            <w:vAlign w:val="center"/>
          </w:tcPr>
          <w:p w:rsidR="00BE7C1E" w:rsidRDefault="00BE7C1E" w:rsidP="00BE7C1E">
            <w:pPr>
              <w:pStyle w:val="cuadroCabe"/>
              <w:jc w:val="right"/>
              <w:rPr>
                <w:rFonts w:cs="Arial"/>
              </w:rPr>
            </w:pPr>
            <w:r>
              <w:rPr>
                <w:rFonts w:cs="Arial"/>
              </w:rPr>
              <w:t>2015</w:t>
            </w:r>
          </w:p>
        </w:tc>
        <w:tc>
          <w:tcPr>
            <w:tcW w:w="1134" w:type="dxa"/>
            <w:tcBorders>
              <w:top w:val="single" w:sz="4" w:space="0" w:color="auto"/>
              <w:bottom w:val="single" w:sz="4" w:space="0" w:color="auto"/>
            </w:tcBorders>
            <w:shd w:val="clear" w:color="auto" w:fill="A8CBEE" w:themeFill="accent2" w:themeFillTint="66"/>
            <w:vAlign w:val="center"/>
          </w:tcPr>
          <w:p w:rsidR="00BE7C1E" w:rsidRDefault="00BE7C1E" w:rsidP="00BE7C1E">
            <w:pPr>
              <w:pStyle w:val="cuadroCabe"/>
              <w:jc w:val="right"/>
              <w:rPr>
                <w:rFonts w:cs="Arial"/>
              </w:rPr>
            </w:pPr>
            <w:r>
              <w:rPr>
                <w:rFonts w:cs="Arial"/>
              </w:rPr>
              <w:t>Acumulado</w:t>
            </w:r>
          </w:p>
        </w:tc>
      </w:tr>
      <w:tr w:rsidR="00BE7C1E" w:rsidRPr="00BF7627" w:rsidTr="00BC5F41">
        <w:trPr>
          <w:trHeight w:val="284"/>
        </w:trPr>
        <w:tc>
          <w:tcPr>
            <w:tcW w:w="2000" w:type="dxa"/>
            <w:tcBorders>
              <w:top w:val="single" w:sz="4" w:space="0" w:color="auto"/>
              <w:bottom w:val="single" w:sz="2" w:space="0" w:color="auto"/>
            </w:tcBorders>
            <w:noWrap/>
            <w:vAlign w:val="center"/>
          </w:tcPr>
          <w:p w:rsidR="00BE7C1E" w:rsidRPr="00BF7627" w:rsidRDefault="00BE7C1E" w:rsidP="00BE7C1E">
            <w:pPr>
              <w:spacing w:after="0"/>
              <w:ind w:firstLine="0"/>
              <w:jc w:val="left"/>
              <w:rPr>
                <w:rFonts w:ascii="Arial Narrow" w:hAnsi="Arial Narrow" w:cs="Arial"/>
                <w:lang w:val="es-ES" w:eastAsia="es-ES"/>
              </w:rPr>
            </w:pPr>
            <w:r w:rsidRPr="00BF7627">
              <w:rPr>
                <w:rFonts w:ascii="Arial Narrow" w:hAnsi="Arial Narrow" w:cs="Arial"/>
                <w:lang w:val="es-ES" w:eastAsia="es-ES"/>
              </w:rPr>
              <w:t>Gasto previsto convenio</w:t>
            </w:r>
          </w:p>
        </w:tc>
        <w:tc>
          <w:tcPr>
            <w:tcW w:w="795" w:type="dxa"/>
            <w:tcBorders>
              <w:top w:val="single" w:sz="4" w:space="0" w:color="auto"/>
              <w:bottom w:val="single" w:sz="2"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0</w:t>
            </w:r>
          </w:p>
        </w:tc>
        <w:tc>
          <w:tcPr>
            <w:tcW w:w="993" w:type="dxa"/>
            <w:tcBorders>
              <w:top w:val="single" w:sz="4" w:space="0" w:color="auto"/>
              <w:bottom w:val="single" w:sz="2"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0</w:t>
            </w:r>
          </w:p>
        </w:tc>
        <w:tc>
          <w:tcPr>
            <w:tcW w:w="850" w:type="dxa"/>
            <w:tcBorders>
              <w:top w:val="single" w:sz="4" w:space="0" w:color="auto"/>
              <w:bottom w:val="single" w:sz="2"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43.25</w:t>
            </w:r>
          </w:p>
        </w:tc>
        <w:tc>
          <w:tcPr>
            <w:tcW w:w="851" w:type="dxa"/>
            <w:tcBorders>
              <w:top w:val="single" w:sz="4" w:space="0" w:color="auto"/>
              <w:bottom w:val="single" w:sz="2"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134,00</w:t>
            </w:r>
          </w:p>
        </w:tc>
        <w:tc>
          <w:tcPr>
            <w:tcW w:w="735" w:type="dxa"/>
            <w:tcBorders>
              <w:top w:val="single" w:sz="4" w:space="0" w:color="auto"/>
              <w:bottom w:val="single" w:sz="2"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139,05</w:t>
            </w:r>
          </w:p>
        </w:tc>
        <w:tc>
          <w:tcPr>
            <w:tcW w:w="824" w:type="dxa"/>
            <w:tcBorders>
              <w:top w:val="single" w:sz="4" w:space="0" w:color="auto"/>
              <w:bottom w:val="single" w:sz="2"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71,35</w:t>
            </w:r>
          </w:p>
        </w:tc>
        <w:tc>
          <w:tcPr>
            <w:tcW w:w="622" w:type="dxa"/>
            <w:tcBorders>
              <w:top w:val="single" w:sz="4" w:space="0" w:color="auto"/>
              <w:bottom w:val="single" w:sz="2"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0</w:t>
            </w:r>
          </w:p>
        </w:tc>
        <w:tc>
          <w:tcPr>
            <w:tcW w:w="1134" w:type="dxa"/>
            <w:tcBorders>
              <w:top w:val="single" w:sz="4" w:space="0" w:color="auto"/>
              <w:bottom w:val="single" w:sz="2"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387,65</w:t>
            </w:r>
          </w:p>
        </w:tc>
      </w:tr>
      <w:tr w:rsidR="00BE7C1E" w:rsidRPr="00BF7627" w:rsidTr="00BC5F41">
        <w:trPr>
          <w:trHeight w:val="284"/>
        </w:trPr>
        <w:tc>
          <w:tcPr>
            <w:tcW w:w="2000" w:type="dxa"/>
            <w:tcBorders>
              <w:top w:val="single" w:sz="2" w:space="0" w:color="auto"/>
              <w:bottom w:val="single" w:sz="4" w:space="0" w:color="auto"/>
            </w:tcBorders>
            <w:noWrap/>
            <w:vAlign w:val="center"/>
          </w:tcPr>
          <w:p w:rsidR="00BE7C1E" w:rsidRPr="00BF7627" w:rsidRDefault="00BE7C1E" w:rsidP="00BE7C1E">
            <w:pPr>
              <w:spacing w:after="0"/>
              <w:ind w:firstLine="0"/>
              <w:jc w:val="left"/>
              <w:rPr>
                <w:rFonts w:ascii="Arial Narrow" w:hAnsi="Arial Narrow" w:cs="Arial"/>
                <w:lang w:val="es-ES" w:eastAsia="es-ES"/>
              </w:rPr>
            </w:pPr>
            <w:r w:rsidRPr="00BF7627">
              <w:rPr>
                <w:rFonts w:ascii="Arial Narrow" w:hAnsi="Arial Narrow" w:cs="Arial"/>
                <w:lang w:val="es-ES" w:eastAsia="es-ES"/>
              </w:rPr>
              <w:t>Gasto real</w:t>
            </w:r>
          </w:p>
        </w:tc>
        <w:tc>
          <w:tcPr>
            <w:tcW w:w="795" w:type="dxa"/>
            <w:tcBorders>
              <w:top w:val="single" w:sz="2" w:space="0" w:color="auto"/>
              <w:bottom w:val="single" w:sz="4"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0,23</w:t>
            </w:r>
          </w:p>
        </w:tc>
        <w:tc>
          <w:tcPr>
            <w:tcW w:w="993" w:type="dxa"/>
            <w:tcBorders>
              <w:top w:val="single" w:sz="2" w:space="0" w:color="auto"/>
              <w:bottom w:val="single" w:sz="4"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5,05</w:t>
            </w:r>
          </w:p>
        </w:tc>
        <w:tc>
          <w:tcPr>
            <w:tcW w:w="850" w:type="dxa"/>
            <w:tcBorders>
              <w:top w:val="single" w:sz="2" w:space="0" w:color="auto"/>
              <w:bottom w:val="single" w:sz="4" w:space="0" w:color="auto"/>
            </w:tcBorders>
            <w:noWrap/>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1,36</w:t>
            </w:r>
          </w:p>
        </w:tc>
        <w:tc>
          <w:tcPr>
            <w:tcW w:w="851" w:type="dxa"/>
            <w:tcBorders>
              <w:top w:val="single" w:sz="2" w:space="0" w:color="auto"/>
              <w:bottom w:val="single" w:sz="4"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17,29</w:t>
            </w:r>
          </w:p>
        </w:tc>
        <w:tc>
          <w:tcPr>
            <w:tcW w:w="735" w:type="dxa"/>
            <w:tcBorders>
              <w:top w:val="single" w:sz="2" w:space="0" w:color="auto"/>
              <w:bottom w:val="single" w:sz="4"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29,32</w:t>
            </w:r>
          </w:p>
        </w:tc>
        <w:tc>
          <w:tcPr>
            <w:tcW w:w="824" w:type="dxa"/>
            <w:tcBorders>
              <w:top w:val="single" w:sz="2" w:space="0" w:color="auto"/>
              <w:bottom w:val="single" w:sz="4"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19,22</w:t>
            </w:r>
          </w:p>
        </w:tc>
        <w:tc>
          <w:tcPr>
            <w:tcW w:w="622" w:type="dxa"/>
            <w:tcBorders>
              <w:top w:val="single" w:sz="2" w:space="0" w:color="auto"/>
              <w:bottom w:val="single" w:sz="4"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8,63</w:t>
            </w:r>
          </w:p>
        </w:tc>
        <w:tc>
          <w:tcPr>
            <w:tcW w:w="1134" w:type="dxa"/>
            <w:tcBorders>
              <w:top w:val="single" w:sz="2" w:space="0" w:color="auto"/>
              <w:bottom w:val="single" w:sz="4" w:space="0" w:color="auto"/>
            </w:tcBorders>
            <w:vAlign w:val="center"/>
          </w:tcPr>
          <w:p w:rsidR="00BE7C1E" w:rsidRPr="00BF7627" w:rsidRDefault="00BE7C1E" w:rsidP="00BE7C1E">
            <w:pPr>
              <w:spacing w:after="0"/>
              <w:ind w:firstLine="0"/>
              <w:jc w:val="right"/>
              <w:rPr>
                <w:rFonts w:ascii="Arial Narrow" w:hAnsi="Arial Narrow" w:cs="Arial"/>
                <w:lang w:val="es-ES" w:eastAsia="es-ES"/>
              </w:rPr>
            </w:pPr>
            <w:r w:rsidRPr="00BF7627">
              <w:rPr>
                <w:rFonts w:ascii="Arial Narrow" w:hAnsi="Arial Narrow" w:cs="Arial"/>
                <w:lang w:val="es-ES" w:eastAsia="es-ES"/>
              </w:rPr>
              <w:t>81,09</w:t>
            </w:r>
          </w:p>
        </w:tc>
      </w:tr>
      <w:tr w:rsidR="00BE7C1E" w:rsidRPr="00E351AE" w:rsidTr="00BC5F41">
        <w:trPr>
          <w:trHeight w:val="284"/>
        </w:trPr>
        <w:tc>
          <w:tcPr>
            <w:tcW w:w="2000" w:type="dxa"/>
            <w:tcBorders>
              <w:top w:val="single" w:sz="4" w:space="0" w:color="auto"/>
              <w:bottom w:val="single" w:sz="4" w:space="0" w:color="auto"/>
            </w:tcBorders>
            <w:shd w:val="clear" w:color="auto" w:fill="A8CBEE" w:themeFill="accent2" w:themeFillTint="66"/>
            <w:noWrap/>
            <w:vAlign w:val="center"/>
          </w:tcPr>
          <w:p w:rsidR="00BF7627" w:rsidRDefault="00BE7C1E" w:rsidP="00C7170C">
            <w:pPr>
              <w:pStyle w:val="cuadroCabe"/>
              <w:jc w:val="left"/>
              <w:rPr>
                <w:rFonts w:cs="Arial"/>
              </w:rPr>
            </w:pPr>
            <w:r w:rsidRPr="00C7170C">
              <w:rPr>
                <w:rFonts w:cs="Arial"/>
              </w:rPr>
              <w:t xml:space="preserve">Diferencia </w:t>
            </w:r>
          </w:p>
          <w:p w:rsidR="00BE7C1E" w:rsidRPr="00C7170C" w:rsidRDefault="00BE7C1E" w:rsidP="00C7170C">
            <w:pPr>
              <w:pStyle w:val="cuadroCabe"/>
              <w:jc w:val="left"/>
              <w:rPr>
                <w:rFonts w:cs="Arial"/>
              </w:rPr>
            </w:pPr>
            <w:r w:rsidRPr="00C7170C">
              <w:rPr>
                <w:rFonts w:cs="Arial"/>
              </w:rPr>
              <w:t>previsto</w:t>
            </w:r>
            <w:r w:rsidR="00C7170C" w:rsidRPr="00C7170C">
              <w:rPr>
                <w:rFonts w:cs="Arial"/>
              </w:rPr>
              <w:t>-ejecutado</w:t>
            </w:r>
          </w:p>
        </w:tc>
        <w:tc>
          <w:tcPr>
            <w:tcW w:w="795" w:type="dxa"/>
            <w:tcBorders>
              <w:top w:val="single" w:sz="4" w:space="0" w:color="auto"/>
              <w:bottom w:val="single" w:sz="4" w:space="0" w:color="auto"/>
            </w:tcBorders>
            <w:shd w:val="clear" w:color="auto" w:fill="A8CBEE" w:themeFill="accent2" w:themeFillTint="66"/>
            <w:noWrap/>
            <w:vAlign w:val="center"/>
          </w:tcPr>
          <w:p w:rsidR="00BE7C1E" w:rsidRPr="00C7170C" w:rsidRDefault="00C7170C" w:rsidP="00C7170C">
            <w:pPr>
              <w:pStyle w:val="cuadroCabe"/>
              <w:jc w:val="right"/>
              <w:rPr>
                <w:rFonts w:cs="Arial"/>
              </w:rPr>
            </w:pPr>
            <w:r>
              <w:rPr>
                <w:rFonts w:cs="Arial"/>
              </w:rPr>
              <w:t>-0,23</w:t>
            </w:r>
          </w:p>
        </w:tc>
        <w:tc>
          <w:tcPr>
            <w:tcW w:w="993" w:type="dxa"/>
            <w:tcBorders>
              <w:top w:val="single" w:sz="4" w:space="0" w:color="auto"/>
              <w:bottom w:val="single" w:sz="4" w:space="0" w:color="auto"/>
            </w:tcBorders>
            <w:shd w:val="clear" w:color="auto" w:fill="A8CBEE" w:themeFill="accent2" w:themeFillTint="66"/>
            <w:noWrap/>
            <w:vAlign w:val="center"/>
          </w:tcPr>
          <w:p w:rsidR="00BE7C1E" w:rsidRPr="00C7170C" w:rsidRDefault="00C7170C" w:rsidP="00C7170C">
            <w:pPr>
              <w:pStyle w:val="cuadroCabe"/>
              <w:jc w:val="right"/>
              <w:rPr>
                <w:rFonts w:cs="Arial"/>
              </w:rPr>
            </w:pPr>
            <w:r>
              <w:rPr>
                <w:rFonts w:cs="Arial"/>
              </w:rPr>
              <w:t>-5,05</w:t>
            </w:r>
          </w:p>
        </w:tc>
        <w:tc>
          <w:tcPr>
            <w:tcW w:w="850" w:type="dxa"/>
            <w:tcBorders>
              <w:top w:val="single" w:sz="4" w:space="0" w:color="auto"/>
              <w:bottom w:val="single" w:sz="4" w:space="0" w:color="auto"/>
            </w:tcBorders>
            <w:shd w:val="clear" w:color="auto" w:fill="A8CBEE" w:themeFill="accent2" w:themeFillTint="66"/>
            <w:noWrap/>
            <w:vAlign w:val="center"/>
          </w:tcPr>
          <w:p w:rsidR="00BE7C1E" w:rsidRPr="00C7170C" w:rsidRDefault="00C7170C" w:rsidP="00C7170C">
            <w:pPr>
              <w:pStyle w:val="cuadroCabe"/>
              <w:jc w:val="right"/>
              <w:rPr>
                <w:rFonts w:cs="Arial"/>
              </w:rPr>
            </w:pPr>
            <w:r>
              <w:rPr>
                <w:rFonts w:cs="Arial"/>
              </w:rPr>
              <w:t>41,89</w:t>
            </w:r>
          </w:p>
        </w:tc>
        <w:tc>
          <w:tcPr>
            <w:tcW w:w="851" w:type="dxa"/>
            <w:tcBorders>
              <w:top w:val="single" w:sz="4" w:space="0" w:color="auto"/>
              <w:bottom w:val="single" w:sz="4" w:space="0" w:color="auto"/>
            </w:tcBorders>
            <w:shd w:val="clear" w:color="auto" w:fill="A8CBEE" w:themeFill="accent2" w:themeFillTint="66"/>
            <w:vAlign w:val="center"/>
          </w:tcPr>
          <w:p w:rsidR="00BE7C1E" w:rsidRPr="00C7170C" w:rsidRDefault="00C7170C" w:rsidP="00C7170C">
            <w:pPr>
              <w:pStyle w:val="cuadroCabe"/>
              <w:jc w:val="right"/>
              <w:rPr>
                <w:rFonts w:cs="Arial"/>
              </w:rPr>
            </w:pPr>
            <w:r>
              <w:rPr>
                <w:rFonts w:cs="Arial"/>
              </w:rPr>
              <w:t>116,71</w:t>
            </w:r>
          </w:p>
        </w:tc>
        <w:tc>
          <w:tcPr>
            <w:tcW w:w="735" w:type="dxa"/>
            <w:tcBorders>
              <w:top w:val="single" w:sz="4" w:space="0" w:color="auto"/>
              <w:bottom w:val="single" w:sz="4" w:space="0" w:color="auto"/>
            </w:tcBorders>
            <w:shd w:val="clear" w:color="auto" w:fill="A8CBEE" w:themeFill="accent2" w:themeFillTint="66"/>
            <w:vAlign w:val="center"/>
          </w:tcPr>
          <w:p w:rsidR="00BE7C1E" w:rsidRPr="00C7170C" w:rsidRDefault="00C7170C" w:rsidP="00C7170C">
            <w:pPr>
              <w:pStyle w:val="cuadroCabe"/>
              <w:jc w:val="right"/>
              <w:rPr>
                <w:rFonts w:cs="Arial"/>
              </w:rPr>
            </w:pPr>
            <w:r>
              <w:rPr>
                <w:rFonts w:cs="Arial"/>
              </w:rPr>
              <w:t>109,73</w:t>
            </w:r>
          </w:p>
        </w:tc>
        <w:tc>
          <w:tcPr>
            <w:tcW w:w="824" w:type="dxa"/>
            <w:tcBorders>
              <w:top w:val="single" w:sz="4" w:space="0" w:color="auto"/>
              <w:bottom w:val="single" w:sz="4" w:space="0" w:color="auto"/>
            </w:tcBorders>
            <w:shd w:val="clear" w:color="auto" w:fill="A8CBEE" w:themeFill="accent2" w:themeFillTint="66"/>
            <w:vAlign w:val="center"/>
          </w:tcPr>
          <w:p w:rsidR="00BE7C1E" w:rsidRPr="00C7170C" w:rsidRDefault="00C7170C" w:rsidP="00C7170C">
            <w:pPr>
              <w:pStyle w:val="cuadroCabe"/>
              <w:jc w:val="right"/>
              <w:rPr>
                <w:rFonts w:cs="Arial"/>
              </w:rPr>
            </w:pPr>
            <w:r>
              <w:rPr>
                <w:rFonts w:cs="Arial"/>
              </w:rPr>
              <w:t>52,13</w:t>
            </w:r>
          </w:p>
        </w:tc>
        <w:tc>
          <w:tcPr>
            <w:tcW w:w="622" w:type="dxa"/>
            <w:tcBorders>
              <w:top w:val="single" w:sz="4" w:space="0" w:color="auto"/>
              <w:bottom w:val="single" w:sz="4" w:space="0" w:color="auto"/>
            </w:tcBorders>
            <w:shd w:val="clear" w:color="auto" w:fill="A8CBEE" w:themeFill="accent2" w:themeFillTint="66"/>
            <w:vAlign w:val="center"/>
          </w:tcPr>
          <w:p w:rsidR="00BE7C1E" w:rsidRPr="00C7170C" w:rsidRDefault="00C7170C" w:rsidP="00C7170C">
            <w:pPr>
              <w:pStyle w:val="cuadroCabe"/>
              <w:jc w:val="right"/>
              <w:rPr>
                <w:rFonts w:cs="Arial"/>
              </w:rPr>
            </w:pPr>
            <w:r>
              <w:rPr>
                <w:rFonts w:cs="Arial"/>
              </w:rPr>
              <w:t>-8,63</w:t>
            </w:r>
          </w:p>
        </w:tc>
        <w:tc>
          <w:tcPr>
            <w:tcW w:w="1134" w:type="dxa"/>
            <w:tcBorders>
              <w:top w:val="single" w:sz="4" w:space="0" w:color="auto"/>
              <w:bottom w:val="single" w:sz="4" w:space="0" w:color="auto"/>
            </w:tcBorders>
            <w:shd w:val="clear" w:color="auto" w:fill="A8CBEE" w:themeFill="accent2" w:themeFillTint="66"/>
            <w:vAlign w:val="center"/>
          </w:tcPr>
          <w:p w:rsidR="00BE7C1E" w:rsidRPr="00C7170C" w:rsidRDefault="00C7170C" w:rsidP="00C7170C">
            <w:pPr>
              <w:pStyle w:val="cuadroCabe"/>
              <w:jc w:val="right"/>
              <w:rPr>
                <w:rFonts w:cs="Arial"/>
              </w:rPr>
            </w:pPr>
            <w:r>
              <w:rPr>
                <w:rFonts w:cs="Arial"/>
              </w:rPr>
              <w:t>306,56</w:t>
            </w:r>
          </w:p>
        </w:tc>
      </w:tr>
    </w:tbl>
    <w:p w:rsidR="00C6131E" w:rsidRPr="00A0407B" w:rsidRDefault="00C7170C" w:rsidP="00BF7627">
      <w:pPr>
        <w:pStyle w:val="texto"/>
        <w:tabs>
          <w:tab w:val="clear" w:pos="2835"/>
          <w:tab w:val="clear" w:pos="3969"/>
          <w:tab w:val="clear" w:pos="5103"/>
          <w:tab w:val="clear" w:pos="6237"/>
          <w:tab w:val="clear" w:pos="7371"/>
        </w:tabs>
        <w:spacing w:before="240"/>
        <w:rPr>
          <w:szCs w:val="26"/>
        </w:rPr>
      </w:pPr>
      <w:r w:rsidRPr="00A0407B">
        <w:rPr>
          <w:szCs w:val="26"/>
        </w:rPr>
        <w:t>Como se observa, no se ha</w:t>
      </w:r>
      <w:r w:rsidR="003945A7">
        <w:rPr>
          <w:szCs w:val="26"/>
        </w:rPr>
        <w:t>n</w:t>
      </w:r>
      <w:r w:rsidRPr="00A0407B">
        <w:rPr>
          <w:szCs w:val="26"/>
        </w:rPr>
        <w:t xml:space="preserve"> </w:t>
      </w:r>
      <w:r w:rsidR="00A2437A">
        <w:rPr>
          <w:szCs w:val="26"/>
        </w:rPr>
        <w:t>cumplido</w:t>
      </w:r>
      <w:r w:rsidRPr="00A0407B">
        <w:rPr>
          <w:szCs w:val="26"/>
        </w:rPr>
        <w:t xml:space="preserve"> las previsiones de gasto contempladas en el convenio en cuanto al ritmo de ejecución de las obras.</w:t>
      </w:r>
    </w:p>
    <w:p w:rsidR="00C323D0" w:rsidRPr="009729B8" w:rsidRDefault="00C323D0" w:rsidP="00B76666">
      <w:pPr>
        <w:pStyle w:val="texto"/>
        <w:tabs>
          <w:tab w:val="clear" w:pos="2835"/>
          <w:tab w:val="clear" w:pos="3969"/>
          <w:tab w:val="clear" w:pos="5103"/>
          <w:tab w:val="clear" w:pos="6237"/>
          <w:tab w:val="clear" w:pos="7371"/>
        </w:tabs>
        <w:rPr>
          <w:szCs w:val="26"/>
        </w:rPr>
      </w:pPr>
      <w:r w:rsidRPr="00A0407B">
        <w:rPr>
          <w:szCs w:val="26"/>
        </w:rPr>
        <w:t>Por último</w:t>
      </w:r>
      <w:r w:rsidR="008D49F7" w:rsidRPr="00A0407B">
        <w:rPr>
          <w:szCs w:val="26"/>
        </w:rPr>
        <w:t>, conviene precisar la cuestión del mantenimiento de las obras f</w:t>
      </w:r>
      <w:r w:rsidR="008D49F7" w:rsidRPr="00A0407B">
        <w:rPr>
          <w:szCs w:val="26"/>
        </w:rPr>
        <w:t>i</w:t>
      </w:r>
      <w:r w:rsidR="008D49F7" w:rsidRPr="00A0407B">
        <w:rPr>
          <w:szCs w:val="26"/>
        </w:rPr>
        <w:t xml:space="preserve">nalizadas, en concreto, del tramo 1. </w:t>
      </w:r>
      <w:r w:rsidR="00750975" w:rsidRPr="00A0407B">
        <w:rPr>
          <w:szCs w:val="26"/>
        </w:rPr>
        <w:t>Así, a</w:t>
      </w:r>
      <w:r w:rsidRPr="00A0407B">
        <w:rPr>
          <w:szCs w:val="26"/>
        </w:rPr>
        <w:t xml:space="preserve">l finalizar </w:t>
      </w:r>
      <w:r w:rsidR="007B7480" w:rsidRPr="00A0407B">
        <w:rPr>
          <w:szCs w:val="26"/>
        </w:rPr>
        <w:t>las citadas obras</w:t>
      </w:r>
      <w:r w:rsidRPr="00A0407B">
        <w:rPr>
          <w:szCs w:val="26"/>
        </w:rPr>
        <w:t xml:space="preserve">, </w:t>
      </w:r>
      <w:r w:rsidR="007B7480" w:rsidRPr="00A0407B">
        <w:rPr>
          <w:szCs w:val="26"/>
        </w:rPr>
        <w:t>é</w:t>
      </w:r>
      <w:r w:rsidRPr="00A0407B">
        <w:rPr>
          <w:szCs w:val="26"/>
        </w:rPr>
        <w:t xml:space="preserve">stas se </w:t>
      </w:r>
      <w:r w:rsidR="00D17A92" w:rsidRPr="00A0407B">
        <w:rPr>
          <w:szCs w:val="26"/>
        </w:rPr>
        <w:lastRenderedPageBreak/>
        <w:t>recepcionan por</w:t>
      </w:r>
      <w:r w:rsidR="007B7480" w:rsidRPr="00A0407B">
        <w:rPr>
          <w:szCs w:val="26"/>
        </w:rPr>
        <w:t xml:space="preserve"> </w:t>
      </w:r>
      <w:r w:rsidR="0074157C">
        <w:rPr>
          <w:szCs w:val="26"/>
        </w:rPr>
        <w:t xml:space="preserve">el </w:t>
      </w:r>
      <w:r w:rsidR="0074157C" w:rsidRPr="009729B8">
        <w:rPr>
          <w:szCs w:val="26"/>
        </w:rPr>
        <w:t>Ministerio</w:t>
      </w:r>
      <w:r w:rsidR="009030D3" w:rsidRPr="009729B8">
        <w:rPr>
          <w:szCs w:val="26"/>
        </w:rPr>
        <w:t xml:space="preserve"> de Fomento</w:t>
      </w:r>
      <w:r w:rsidRPr="009729B8">
        <w:rPr>
          <w:szCs w:val="26"/>
        </w:rPr>
        <w:t>, como propietario de la infraestruct</w:t>
      </w:r>
      <w:r w:rsidRPr="009729B8">
        <w:rPr>
          <w:szCs w:val="26"/>
        </w:rPr>
        <w:t>u</w:t>
      </w:r>
      <w:r w:rsidRPr="009729B8">
        <w:rPr>
          <w:szCs w:val="26"/>
        </w:rPr>
        <w:t>ra</w:t>
      </w:r>
      <w:r w:rsidR="007B7480" w:rsidRPr="009729B8">
        <w:rPr>
          <w:szCs w:val="26"/>
        </w:rPr>
        <w:t>; por tanto el responsable de su mantenimiento hasta su puesta en funcion</w:t>
      </w:r>
      <w:r w:rsidR="007B7480" w:rsidRPr="009729B8">
        <w:rPr>
          <w:szCs w:val="26"/>
        </w:rPr>
        <w:t>a</w:t>
      </w:r>
      <w:r w:rsidR="007B7480" w:rsidRPr="009729B8">
        <w:rPr>
          <w:szCs w:val="26"/>
        </w:rPr>
        <w:t xml:space="preserve">miento es </w:t>
      </w:r>
      <w:r w:rsidR="0074157C" w:rsidRPr="009729B8">
        <w:rPr>
          <w:szCs w:val="26"/>
        </w:rPr>
        <w:t xml:space="preserve">el </w:t>
      </w:r>
      <w:r w:rsidR="009030D3" w:rsidRPr="009729B8">
        <w:rPr>
          <w:szCs w:val="26"/>
        </w:rPr>
        <w:t xml:space="preserve">citado </w:t>
      </w:r>
      <w:r w:rsidR="00D579FA">
        <w:rPr>
          <w:szCs w:val="26"/>
        </w:rPr>
        <w:t>Ministerio, el cual ha delegado expresamente esta respons</w:t>
      </w:r>
      <w:r w:rsidR="00D579FA">
        <w:rPr>
          <w:szCs w:val="26"/>
        </w:rPr>
        <w:t>a</w:t>
      </w:r>
      <w:r w:rsidR="00D579FA">
        <w:rPr>
          <w:szCs w:val="26"/>
        </w:rPr>
        <w:t xml:space="preserve">bilidad en ADI-Alta Velocidad como beneficiario de tal infraestructura </w:t>
      </w:r>
      <w:r w:rsidR="00A06B5D">
        <w:rPr>
          <w:rStyle w:val="Refdenotaalpie"/>
          <w:szCs w:val="26"/>
        </w:rPr>
        <w:footnoteReference w:id="4"/>
      </w:r>
      <w:r w:rsidR="00082869">
        <w:rPr>
          <w:szCs w:val="26"/>
        </w:rPr>
        <w:t>.</w:t>
      </w:r>
    </w:p>
    <w:p w:rsidR="007B7480" w:rsidRPr="00A0407B" w:rsidRDefault="007B7480" w:rsidP="008D49F7">
      <w:pPr>
        <w:pStyle w:val="texto"/>
        <w:tabs>
          <w:tab w:val="clear" w:pos="2835"/>
          <w:tab w:val="clear" w:pos="3969"/>
          <w:tab w:val="clear" w:pos="5103"/>
          <w:tab w:val="clear" w:pos="6237"/>
          <w:tab w:val="clear" w:pos="7371"/>
        </w:tabs>
        <w:rPr>
          <w:szCs w:val="26"/>
        </w:rPr>
      </w:pPr>
      <w:r w:rsidRPr="00A0407B">
        <w:rPr>
          <w:szCs w:val="26"/>
        </w:rPr>
        <w:t>Ahora bien, el Gobierno de Navarra, como órgano de contratación de dichas obras, es responsable de exigir a las empresas adjudicatarias que respondan de los defectos y desperfectos imputables a su ejecución, dentro del plazo de g</w:t>
      </w:r>
      <w:r w:rsidRPr="00A0407B">
        <w:rPr>
          <w:szCs w:val="26"/>
        </w:rPr>
        <w:t>a</w:t>
      </w:r>
      <w:r w:rsidRPr="00A0407B">
        <w:rPr>
          <w:szCs w:val="26"/>
        </w:rPr>
        <w:t>rantía ofertado (</w:t>
      </w:r>
      <w:r w:rsidR="00750975" w:rsidRPr="00A0407B">
        <w:rPr>
          <w:szCs w:val="26"/>
        </w:rPr>
        <w:t xml:space="preserve">que en las obras del tramo 1 es de </w:t>
      </w:r>
      <w:r w:rsidRPr="00A0407B">
        <w:rPr>
          <w:szCs w:val="26"/>
        </w:rPr>
        <w:t>siete años)</w:t>
      </w:r>
    </w:p>
    <w:p w:rsidR="00C323D0" w:rsidRPr="00A0407B" w:rsidRDefault="00F24D4A" w:rsidP="002B4431">
      <w:pPr>
        <w:pStyle w:val="texto"/>
        <w:tabs>
          <w:tab w:val="clear" w:pos="2835"/>
          <w:tab w:val="clear" w:pos="3969"/>
          <w:tab w:val="clear" w:pos="5103"/>
          <w:tab w:val="clear" w:pos="6237"/>
          <w:tab w:val="clear" w:pos="7371"/>
        </w:tabs>
        <w:spacing w:after="240"/>
        <w:rPr>
          <w:szCs w:val="26"/>
        </w:rPr>
      </w:pPr>
      <w:r w:rsidRPr="00A0407B">
        <w:rPr>
          <w:szCs w:val="26"/>
        </w:rPr>
        <w:t xml:space="preserve">Desde </w:t>
      </w:r>
      <w:r w:rsidR="00750975" w:rsidRPr="00A0407B">
        <w:rPr>
          <w:szCs w:val="26"/>
        </w:rPr>
        <w:t xml:space="preserve">la Dirección General de Obras Públicas </w:t>
      </w:r>
      <w:r w:rsidRPr="00A0407B">
        <w:rPr>
          <w:szCs w:val="26"/>
        </w:rPr>
        <w:t xml:space="preserve">nos informan que ADIF no </w:t>
      </w:r>
      <w:r w:rsidR="00C323D0" w:rsidRPr="00A0407B">
        <w:rPr>
          <w:szCs w:val="26"/>
        </w:rPr>
        <w:t xml:space="preserve">ejecuta ninguna actuación de mantenimiento </w:t>
      </w:r>
      <w:r w:rsidRPr="00A0407B">
        <w:rPr>
          <w:szCs w:val="26"/>
        </w:rPr>
        <w:t>en</w:t>
      </w:r>
      <w:r w:rsidR="00C323D0" w:rsidRPr="00A0407B">
        <w:rPr>
          <w:szCs w:val="26"/>
        </w:rPr>
        <w:t xml:space="preserve"> las obras entregadas de </w:t>
      </w:r>
      <w:r w:rsidRPr="00A0407B">
        <w:rPr>
          <w:szCs w:val="26"/>
        </w:rPr>
        <w:t>p</w:t>
      </w:r>
      <w:r w:rsidR="00C323D0" w:rsidRPr="00A0407B">
        <w:rPr>
          <w:szCs w:val="26"/>
        </w:rPr>
        <w:t>lat</w:t>
      </w:r>
      <w:r w:rsidR="00C323D0" w:rsidRPr="00A0407B">
        <w:rPr>
          <w:szCs w:val="26"/>
        </w:rPr>
        <w:t>a</w:t>
      </w:r>
      <w:r w:rsidR="00C323D0" w:rsidRPr="00A0407B">
        <w:rPr>
          <w:szCs w:val="26"/>
        </w:rPr>
        <w:t xml:space="preserve">forma. </w:t>
      </w:r>
      <w:r w:rsidRPr="00A0407B">
        <w:rPr>
          <w:szCs w:val="26"/>
        </w:rPr>
        <w:t xml:space="preserve">Como </w:t>
      </w:r>
      <w:r w:rsidR="00750975" w:rsidRPr="00A0407B">
        <w:rPr>
          <w:szCs w:val="26"/>
        </w:rPr>
        <w:t>criterio</w:t>
      </w:r>
      <w:r w:rsidRPr="00A0407B">
        <w:rPr>
          <w:szCs w:val="26"/>
        </w:rPr>
        <w:t>, ADIF,</w:t>
      </w:r>
      <w:r w:rsidR="00C323D0" w:rsidRPr="00A0407B">
        <w:rPr>
          <w:szCs w:val="26"/>
        </w:rPr>
        <w:t xml:space="preserve"> antes del inicio de las actuaciones de superestru</w:t>
      </w:r>
      <w:r w:rsidR="00C323D0" w:rsidRPr="00A0407B">
        <w:rPr>
          <w:szCs w:val="26"/>
        </w:rPr>
        <w:t>c</w:t>
      </w:r>
      <w:r w:rsidR="00C323D0" w:rsidRPr="00A0407B">
        <w:rPr>
          <w:szCs w:val="26"/>
        </w:rPr>
        <w:t>tura</w:t>
      </w:r>
      <w:r w:rsidRPr="00A0407B">
        <w:rPr>
          <w:szCs w:val="26"/>
        </w:rPr>
        <w:t>,</w:t>
      </w:r>
      <w:r w:rsidR="00C323D0" w:rsidRPr="00A0407B">
        <w:rPr>
          <w:szCs w:val="26"/>
        </w:rPr>
        <w:t xml:space="preserve"> revisa toda la plataforma para detectar incidencias o reparaciones neces</w:t>
      </w:r>
      <w:r w:rsidR="00C323D0" w:rsidRPr="00A0407B">
        <w:rPr>
          <w:szCs w:val="26"/>
        </w:rPr>
        <w:t>a</w:t>
      </w:r>
      <w:r w:rsidR="00C323D0" w:rsidRPr="00A0407B">
        <w:rPr>
          <w:szCs w:val="26"/>
        </w:rPr>
        <w:t xml:space="preserve">rias, </w:t>
      </w:r>
      <w:r w:rsidRPr="00A0407B">
        <w:rPr>
          <w:szCs w:val="26"/>
        </w:rPr>
        <w:t>para incluirlas posteriormente en el proyecto de obra correspondiente.</w:t>
      </w:r>
    </w:p>
    <w:p w:rsidR="00C6131E" w:rsidRPr="00A0407B" w:rsidRDefault="00C6131E" w:rsidP="00325074">
      <w:pPr>
        <w:pStyle w:val="atitulo3"/>
      </w:pPr>
      <w:r w:rsidRPr="00A0407B">
        <w:t>Resto de actuaciones</w:t>
      </w:r>
    </w:p>
    <w:p w:rsidR="00C6131E" w:rsidRPr="00A0407B" w:rsidRDefault="00781716" w:rsidP="00176B0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Sobre las actua</w:t>
      </w:r>
      <w:r w:rsidR="00E54B92" w:rsidRPr="00A0407B">
        <w:rPr>
          <w:szCs w:val="26"/>
        </w:rPr>
        <w:t>ci</w:t>
      </w:r>
      <w:r w:rsidR="00E44735" w:rsidRPr="00A0407B">
        <w:rPr>
          <w:szCs w:val="26"/>
        </w:rPr>
        <w:t>ones</w:t>
      </w:r>
      <w:r w:rsidR="00E54B92" w:rsidRPr="00A0407B">
        <w:rPr>
          <w:szCs w:val="26"/>
        </w:rPr>
        <w:t xml:space="preserve"> en la Comarca de Pamplona, </w:t>
      </w:r>
      <w:r w:rsidR="00E44735" w:rsidRPr="00A0407B">
        <w:rPr>
          <w:szCs w:val="26"/>
        </w:rPr>
        <w:t>e</w:t>
      </w:r>
      <w:r w:rsidR="00C6131E" w:rsidRPr="00A0407B">
        <w:rPr>
          <w:szCs w:val="26"/>
        </w:rPr>
        <w:t>n el año 2004</w:t>
      </w:r>
      <w:r w:rsidR="00E44735" w:rsidRPr="00A0407B">
        <w:rPr>
          <w:szCs w:val="26"/>
        </w:rPr>
        <w:t>,</w:t>
      </w:r>
      <w:r w:rsidR="00C6131E" w:rsidRPr="00A0407B">
        <w:rPr>
          <w:szCs w:val="26"/>
        </w:rPr>
        <w:t xml:space="preserve"> se </w:t>
      </w:r>
      <w:r w:rsidR="00750975" w:rsidRPr="00A0407B">
        <w:rPr>
          <w:szCs w:val="26"/>
        </w:rPr>
        <w:t>apr</w:t>
      </w:r>
      <w:r w:rsidR="00E82B46">
        <w:rPr>
          <w:szCs w:val="26"/>
        </w:rPr>
        <w:t>obó</w:t>
      </w:r>
      <w:r w:rsidR="00750975" w:rsidRPr="00A0407B">
        <w:rPr>
          <w:szCs w:val="26"/>
        </w:rPr>
        <w:t xml:space="preserve"> definitivamente el Estudio Informativo</w:t>
      </w:r>
      <w:r w:rsidR="00085687" w:rsidRPr="00A0407B">
        <w:rPr>
          <w:szCs w:val="26"/>
        </w:rPr>
        <w:t xml:space="preserve"> de la</w:t>
      </w:r>
      <w:r w:rsidR="00C6131E" w:rsidRPr="00A0407B">
        <w:rPr>
          <w:szCs w:val="26"/>
        </w:rPr>
        <w:t xml:space="preserve"> </w:t>
      </w:r>
      <w:r w:rsidR="00085687" w:rsidRPr="00A0407B">
        <w:rPr>
          <w:szCs w:val="26"/>
        </w:rPr>
        <w:t>n</w:t>
      </w:r>
      <w:r w:rsidR="00C6131E" w:rsidRPr="00A0407B">
        <w:rPr>
          <w:szCs w:val="26"/>
        </w:rPr>
        <w:t xml:space="preserve">ueva red ferroviaria en la Comarca de Pamplona: eliminación del bucle ferroviario y </w:t>
      </w:r>
      <w:r w:rsidR="00085687" w:rsidRPr="00A0407B">
        <w:rPr>
          <w:szCs w:val="26"/>
        </w:rPr>
        <w:t>plataforma</w:t>
      </w:r>
      <w:r w:rsidR="00750975" w:rsidRPr="00A0407B">
        <w:rPr>
          <w:szCs w:val="26"/>
        </w:rPr>
        <w:t>.</w:t>
      </w:r>
    </w:p>
    <w:p w:rsidR="00E44735" w:rsidRPr="00A0407B" w:rsidRDefault="00085687" w:rsidP="00E44735">
      <w:pPr>
        <w:pStyle w:val="texto"/>
        <w:tabs>
          <w:tab w:val="clear" w:pos="2835"/>
          <w:tab w:val="clear" w:pos="3969"/>
          <w:tab w:val="clear" w:pos="5103"/>
          <w:tab w:val="clear" w:pos="6237"/>
          <w:tab w:val="clear" w:pos="7371"/>
        </w:tabs>
        <w:rPr>
          <w:szCs w:val="26"/>
        </w:rPr>
      </w:pPr>
      <w:r w:rsidRPr="00A0407B">
        <w:rPr>
          <w:szCs w:val="26"/>
        </w:rPr>
        <w:t>E</w:t>
      </w:r>
      <w:r w:rsidR="00E44735" w:rsidRPr="00A0407B">
        <w:rPr>
          <w:szCs w:val="26"/>
        </w:rPr>
        <w:t>l proyecto de eliminación del actual bucle ferroviario</w:t>
      </w:r>
      <w:r w:rsidRPr="00A0407B">
        <w:rPr>
          <w:szCs w:val="26"/>
        </w:rPr>
        <w:t xml:space="preserve"> se redact</w:t>
      </w:r>
      <w:r w:rsidR="00E82B46">
        <w:rPr>
          <w:szCs w:val="26"/>
        </w:rPr>
        <w:t>ó</w:t>
      </w:r>
      <w:r w:rsidRPr="00A0407B">
        <w:rPr>
          <w:szCs w:val="26"/>
        </w:rPr>
        <w:t xml:space="preserve"> en 200</w:t>
      </w:r>
      <w:r w:rsidR="00750975" w:rsidRPr="00A0407B">
        <w:rPr>
          <w:szCs w:val="26"/>
        </w:rPr>
        <w:t>4</w:t>
      </w:r>
      <w:r w:rsidR="00E44735" w:rsidRPr="00A0407B">
        <w:rPr>
          <w:szCs w:val="26"/>
        </w:rPr>
        <w:t>. Previo a su ejecución ser</w:t>
      </w:r>
      <w:r w:rsidRPr="00A0407B">
        <w:rPr>
          <w:szCs w:val="26"/>
        </w:rPr>
        <w:t>ía</w:t>
      </w:r>
      <w:r w:rsidR="00E44735" w:rsidRPr="00A0407B">
        <w:rPr>
          <w:szCs w:val="26"/>
        </w:rPr>
        <w:t xml:space="preserve"> necesario actualizarlo, tanto en cuanto a sus dete</w:t>
      </w:r>
      <w:r w:rsidR="00E44735" w:rsidRPr="00A0407B">
        <w:rPr>
          <w:szCs w:val="26"/>
        </w:rPr>
        <w:t>r</w:t>
      </w:r>
      <w:r w:rsidR="00E44735" w:rsidRPr="00A0407B">
        <w:rPr>
          <w:szCs w:val="26"/>
        </w:rPr>
        <w:t>minaciones como a su coste.</w:t>
      </w:r>
    </w:p>
    <w:p w:rsidR="000D3959" w:rsidRPr="00A0407B" w:rsidRDefault="00E82B46" w:rsidP="00E44735">
      <w:pPr>
        <w:pStyle w:val="texto"/>
        <w:tabs>
          <w:tab w:val="clear" w:pos="2835"/>
          <w:tab w:val="clear" w:pos="3969"/>
          <w:tab w:val="clear" w:pos="5103"/>
          <w:tab w:val="clear" w:pos="6237"/>
          <w:tab w:val="clear" w:pos="7371"/>
        </w:tabs>
        <w:rPr>
          <w:szCs w:val="26"/>
        </w:rPr>
      </w:pPr>
      <w:r>
        <w:rPr>
          <w:szCs w:val="26"/>
        </w:rPr>
        <w:t>A</w:t>
      </w:r>
      <w:r w:rsidR="000D3959" w:rsidRPr="00A0407B">
        <w:rPr>
          <w:szCs w:val="26"/>
        </w:rPr>
        <w:t xml:space="preserve">DIF </w:t>
      </w:r>
      <w:r>
        <w:rPr>
          <w:szCs w:val="26"/>
        </w:rPr>
        <w:t xml:space="preserve">no ha redactado </w:t>
      </w:r>
      <w:r w:rsidR="000D3959" w:rsidRPr="00A0407B">
        <w:rPr>
          <w:szCs w:val="26"/>
        </w:rPr>
        <w:t>el proyecto de construcción de la nueva estación.</w:t>
      </w:r>
    </w:p>
    <w:p w:rsidR="00085687" w:rsidRPr="00A0407B" w:rsidRDefault="00085687" w:rsidP="00085687">
      <w:pPr>
        <w:pStyle w:val="texto"/>
        <w:tabs>
          <w:tab w:val="clear" w:pos="2835"/>
          <w:tab w:val="clear" w:pos="3969"/>
          <w:tab w:val="clear" w:pos="5103"/>
          <w:tab w:val="clear" w:pos="6237"/>
          <w:tab w:val="clear" w:pos="7371"/>
        </w:tabs>
        <w:rPr>
          <w:szCs w:val="26"/>
          <w:lang w:val="es-ES"/>
        </w:rPr>
      </w:pPr>
      <w:r w:rsidRPr="00A0407B">
        <w:rPr>
          <w:szCs w:val="26"/>
          <w:lang w:val="es-ES"/>
        </w:rPr>
        <w:t>Está pendiente de resolución un recurso ante el Tribunal Supremo en rel</w:t>
      </w:r>
      <w:r w:rsidRPr="00A0407B">
        <w:rPr>
          <w:szCs w:val="26"/>
          <w:lang w:val="es-ES"/>
        </w:rPr>
        <w:t>a</w:t>
      </w:r>
      <w:r w:rsidRPr="00A0407B">
        <w:rPr>
          <w:szCs w:val="26"/>
          <w:lang w:val="es-ES"/>
        </w:rPr>
        <w:t>ción con la anulación de la vigencia de la Declaración de Impacto Ambiental elaborada por el Ministerio de Fomento relativa al tramo Pamplona-Castejón y al Bucle de Pamplona.</w:t>
      </w:r>
    </w:p>
    <w:p w:rsidR="00085687" w:rsidRPr="00A0407B" w:rsidRDefault="00085687" w:rsidP="00085687">
      <w:pPr>
        <w:pStyle w:val="texto"/>
        <w:tabs>
          <w:tab w:val="clear" w:pos="2835"/>
          <w:tab w:val="clear" w:pos="3969"/>
          <w:tab w:val="clear" w:pos="5103"/>
          <w:tab w:val="clear" w:pos="6237"/>
          <w:tab w:val="clear" w:pos="7371"/>
        </w:tabs>
        <w:rPr>
          <w:szCs w:val="26"/>
        </w:rPr>
      </w:pPr>
      <w:r w:rsidRPr="00A0407B">
        <w:rPr>
          <w:szCs w:val="26"/>
        </w:rPr>
        <w:t xml:space="preserve">Respecto a las actuaciones urbanísticas </w:t>
      </w:r>
      <w:r w:rsidR="00E82B46">
        <w:rPr>
          <w:szCs w:val="26"/>
        </w:rPr>
        <w:t>previstas</w:t>
      </w:r>
      <w:r w:rsidRPr="00A0407B">
        <w:rPr>
          <w:szCs w:val="26"/>
        </w:rPr>
        <w:t xml:space="preserve">, destacamos </w:t>
      </w:r>
      <w:r w:rsidR="000D3959" w:rsidRPr="00A0407B">
        <w:rPr>
          <w:szCs w:val="26"/>
        </w:rPr>
        <w:t>que corre</w:t>
      </w:r>
      <w:r w:rsidR="000D3959" w:rsidRPr="00A0407B">
        <w:rPr>
          <w:szCs w:val="26"/>
        </w:rPr>
        <w:t>s</w:t>
      </w:r>
      <w:r w:rsidR="000D3959" w:rsidRPr="00A0407B">
        <w:rPr>
          <w:szCs w:val="26"/>
        </w:rPr>
        <w:t>ponde al Consorcio la gestión urbanística del desarrollo del PSIS y es qui</w:t>
      </w:r>
      <w:r w:rsidR="00E82B46">
        <w:rPr>
          <w:szCs w:val="26"/>
        </w:rPr>
        <w:t>e</w:t>
      </w:r>
      <w:r w:rsidR="000D3959" w:rsidRPr="00A0407B">
        <w:rPr>
          <w:szCs w:val="26"/>
        </w:rPr>
        <w:t>n deberá aportar los recursos financieros para la ejecución de las distintas actu</w:t>
      </w:r>
      <w:r w:rsidR="000D3959" w:rsidRPr="00A0407B">
        <w:rPr>
          <w:szCs w:val="26"/>
        </w:rPr>
        <w:t>a</w:t>
      </w:r>
      <w:r w:rsidR="000D3959" w:rsidRPr="00A0407B">
        <w:rPr>
          <w:szCs w:val="26"/>
        </w:rPr>
        <w:t>ciones. Así, se han cumplimentado las siguientes fases:</w:t>
      </w:r>
    </w:p>
    <w:p w:rsidR="00085687" w:rsidRPr="00A0407B" w:rsidRDefault="00E56D9E" w:rsidP="00987CBC">
      <w:pPr>
        <w:pStyle w:val="texto"/>
        <w:tabs>
          <w:tab w:val="clear" w:pos="2835"/>
          <w:tab w:val="clear" w:pos="3969"/>
          <w:tab w:val="clear" w:pos="5103"/>
          <w:tab w:val="clear" w:pos="6237"/>
          <w:tab w:val="clear" w:pos="7371"/>
        </w:tabs>
        <w:rPr>
          <w:szCs w:val="26"/>
          <w:lang w:val="es-ES"/>
        </w:rPr>
      </w:pPr>
      <w:r w:rsidRPr="00A0407B">
        <w:rPr>
          <w:szCs w:val="26"/>
        </w:rPr>
        <w:t>a)</w:t>
      </w:r>
      <w:r w:rsidR="00176B06" w:rsidRPr="00A0407B">
        <w:rPr>
          <w:szCs w:val="26"/>
        </w:rPr>
        <w:t xml:space="preserve"> </w:t>
      </w:r>
      <w:r w:rsidR="00085687" w:rsidRPr="00A0407B">
        <w:rPr>
          <w:szCs w:val="26"/>
        </w:rPr>
        <w:t xml:space="preserve">En 2010 </w:t>
      </w:r>
      <w:r w:rsidR="00E82B46">
        <w:rPr>
          <w:szCs w:val="26"/>
        </w:rPr>
        <w:t xml:space="preserve">el Gobierno de Navarra </w:t>
      </w:r>
      <w:r w:rsidR="00085687" w:rsidRPr="00A0407B">
        <w:rPr>
          <w:szCs w:val="26"/>
        </w:rPr>
        <w:t>aprobó definitivamente</w:t>
      </w:r>
      <w:r w:rsidR="00E82B46">
        <w:rPr>
          <w:szCs w:val="26"/>
        </w:rPr>
        <w:t xml:space="preserve"> </w:t>
      </w:r>
      <w:r w:rsidR="00085687" w:rsidRPr="00A0407B">
        <w:rPr>
          <w:szCs w:val="26"/>
        </w:rPr>
        <w:t>el PSIS de des</w:t>
      </w:r>
      <w:r w:rsidR="00085687" w:rsidRPr="00A0407B">
        <w:rPr>
          <w:szCs w:val="26"/>
        </w:rPr>
        <w:t>a</w:t>
      </w:r>
      <w:r w:rsidR="00085687" w:rsidRPr="00A0407B">
        <w:rPr>
          <w:szCs w:val="26"/>
        </w:rPr>
        <w:t>rrollo del área de la nueva estación de alta velocidad y del área de la antigua estación de tren de Pamplona y su desarrollo se materializará en diversas fases. El coste pre</w:t>
      </w:r>
      <w:r w:rsidR="002A3C6A" w:rsidRPr="00A0407B">
        <w:rPr>
          <w:szCs w:val="26"/>
        </w:rPr>
        <w:t xml:space="preserve">visto de esta actuación </w:t>
      </w:r>
      <w:r w:rsidR="00085687" w:rsidRPr="00A0407B">
        <w:rPr>
          <w:szCs w:val="26"/>
        </w:rPr>
        <w:t>asciende a 296 millones.</w:t>
      </w:r>
      <w:r w:rsidR="00987CBC" w:rsidRPr="00A0407B">
        <w:rPr>
          <w:szCs w:val="26"/>
          <w:lang w:val="es-ES"/>
        </w:rPr>
        <w:t xml:space="preserve"> </w:t>
      </w:r>
    </w:p>
    <w:p w:rsidR="000D3959" w:rsidRPr="00A0407B" w:rsidRDefault="00E56D9E" w:rsidP="00136350">
      <w:pPr>
        <w:pStyle w:val="texto"/>
        <w:tabs>
          <w:tab w:val="clear" w:pos="2835"/>
          <w:tab w:val="clear" w:pos="3969"/>
          <w:tab w:val="clear" w:pos="5103"/>
          <w:tab w:val="clear" w:pos="6237"/>
          <w:tab w:val="clear" w:pos="7371"/>
        </w:tabs>
        <w:rPr>
          <w:szCs w:val="26"/>
        </w:rPr>
      </w:pPr>
      <w:r w:rsidRPr="00A0407B">
        <w:rPr>
          <w:szCs w:val="26"/>
        </w:rPr>
        <w:t>b)</w:t>
      </w:r>
      <w:r w:rsidR="00176B06" w:rsidRPr="00A0407B">
        <w:rPr>
          <w:szCs w:val="26"/>
        </w:rPr>
        <w:t xml:space="preserve"> </w:t>
      </w:r>
      <w:r w:rsidR="00C6131E" w:rsidRPr="00A0407B">
        <w:rPr>
          <w:szCs w:val="26"/>
        </w:rPr>
        <w:t>El Consejo de Dirección del Consorcio Alta Velocidad-Comarca de Pa</w:t>
      </w:r>
      <w:r w:rsidR="00C6131E" w:rsidRPr="00A0407B">
        <w:rPr>
          <w:szCs w:val="26"/>
        </w:rPr>
        <w:t>m</w:t>
      </w:r>
      <w:r w:rsidR="00C6131E" w:rsidRPr="00A0407B">
        <w:rPr>
          <w:szCs w:val="26"/>
        </w:rPr>
        <w:t>plona, con fecha 16 de abril de 2015, aprobó inicialmente el Proyecto de R</w:t>
      </w:r>
      <w:r w:rsidR="00C6131E" w:rsidRPr="00A0407B">
        <w:rPr>
          <w:szCs w:val="26"/>
        </w:rPr>
        <w:t>e</w:t>
      </w:r>
      <w:r w:rsidR="00C6131E" w:rsidRPr="00A0407B">
        <w:rPr>
          <w:szCs w:val="26"/>
        </w:rPr>
        <w:lastRenderedPageBreak/>
        <w:t>parcelación, el Proyecto de Urbanización y el Estudio de Detalle del ámbito del PSIS del Tren de Altas Prestaciones, sometiéndose a información pública d</w:t>
      </w:r>
      <w:r w:rsidR="00C6131E" w:rsidRPr="00A0407B">
        <w:rPr>
          <w:szCs w:val="26"/>
        </w:rPr>
        <w:t>u</w:t>
      </w:r>
      <w:r w:rsidR="00C6131E" w:rsidRPr="00A0407B">
        <w:rPr>
          <w:szCs w:val="26"/>
        </w:rPr>
        <w:t>rante el plazo de 60</w:t>
      </w:r>
      <w:r w:rsidR="00085687" w:rsidRPr="00A0407B">
        <w:rPr>
          <w:szCs w:val="26"/>
        </w:rPr>
        <w:t xml:space="preserve"> días, plazo que ha sido prorrogado en dos ocasiones más, la última de ellas en enero de 2016.</w:t>
      </w:r>
    </w:p>
    <w:p w:rsidR="00C6131E" w:rsidRPr="00A0407B" w:rsidRDefault="00176B06" w:rsidP="00176B0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pacing w:val="0"/>
          <w:szCs w:val="26"/>
        </w:rPr>
      </w:pPr>
      <w:r w:rsidRPr="00A0407B">
        <w:rPr>
          <w:spacing w:val="0"/>
          <w:szCs w:val="26"/>
        </w:rPr>
        <w:t xml:space="preserve">Sobre el tramo de </w:t>
      </w:r>
      <w:r w:rsidRPr="00A0407B">
        <w:rPr>
          <w:szCs w:val="26"/>
        </w:rPr>
        <w:t>Plasencia de Jalón</w:t>
      </w:r>
      <w:r w:rsidR="00C6131E" w:rsidRPr="00A0407B">
        <w:rPr>
          <w:szCs w:val="26"/>
        </w:rPr>
        <w:t>-Castejón</w:t>
      </w:r>
      <w:r w:rsidRPr="00A0407B">
        <w:rPr>
          <w:szCs w:val="26"/>
        </w:rPr>
        <w:t xml:space="preserve">, </w:t>
      </w:r>
      <w:r w:rsidR="00BC7E51" w:rsidRPr="00A0407B">
        <w:rPr>
          <w:szCs w:val="26"/>
        </w:rPr>
        <w:t>a finales de 2007</w:t>
      </w:r>
      <w:r w:rsidR="00C6131E" w:rsidRPr="00A0407B">
        <w:rPr>
          <w:szCs w:val="26"/>
        </w:rPr>
        <w:t xml:space="preserve"> se </w:t>
      </w:r>
      <w:r w:rsidR="00BC7E51" w:rsidRPr="00A0407B">
        <w:rPr>
          <w:szCs w:val="26"/>
        </w:rPr>
        <w:t>aprobó el Estudio Informativo</w:t>
      </w:r>
      <w:r w:rsidR="00C6131E" w:rsidRPr="00A0407B">
        <w:rPr>
          <w:szCs w:val="26"/>
        </w:rPr>
        <w:t xml:space="preserve"> desde Plasencia de Jalón hasta Tudela y en </w:t>
      </w:r>
      <w:r w:rsidR="00750975" w:rsidRPr="00A0407B">
        <w:rPr>
          <w:szCs w:val="26"/>
        </w:rPr>
        <w:t>agosto</w:t>
      </w:r>
      <w:r w:rsidR="00C6131E" w:rsidRPr="00A0407B">
        <w:rPr>
          <w:szCs w:val="26"/>
        </w:rPr>
        <w:t xml:space="preserve"> de 2009</w:t>
      </w:r>
      <w:r w:rsidR="00750975" w:rsidRPr="00A0407B">
        <w:rPr>
          <w:szCs w:val="26"/>
        </w:rPr>
        <w:t>, se adjudica</w:t>
      </w:r>
      <w:r w:rsidR="00C6131E" w:rsidRPr="00A0407B">
        <w:rPr>
          <w:szCs w:val="26"/>
        </w:rPr>
        <w:t xml:space="preserve"> el Estudio informativo complementario del Subtramo Tudela-Castejón. </w:t>
      </w:r>
    </w:p>
    <w:p w:rsidR="00BC7E51" w:rsidRPr="00A0407B" w:rsidRDefault="00BC7E51" w:rsidP="00BC7E51">
      <w:pPr>
        <w:pStyle w:val="texto"/>
        <w:tabs>
          <w:tab w:val="clear" w:pos="2835"/>
          <w:tab w:val="clear" w:pos="3969"/>
          <w:tab w:val="clear" w:pos="5103"/>
          <w:tab w:val="clear" w:pos="6237"/>
          <w:tab w:val="clear" w:pos="7371"/>
        </w:tabs>
        <w:rPr>
          <w:szCs w:val="26"/>
        </w:rPr>
      </w:pPr>
      <w:r w:rsidRPr="00A0407B">
        <w:rPr>
          <w:szCs w:val="26"/>
        </w:rPr>
        <w:t>En 2008, se adjudican la redacción de los proyectos constructivos de los su</w:t>
      </w:r>
      <w:r w:rsidRPr="00A0407B">
        <w:rPr>
          <w:szCs w:val="26"/>
        </w:rPr>
        <w:t>b</w:t>
      </w:r>
      <w:r w:rsidRPr="00A0407B">
        <w:rPr>
          <w:szCs w:val="26"/>
        </w:rPr>
        <w:t>tramos Gallur-Cortes y Cortes-Tudela.</w:t>
      </w:r>
      <w:r w:rsidR="00DF558C" w:rsidRPr="00A0407B">
        <w:rPr>
          <w:szCs w:val="26"/>
        </w:rPr>
        <w:t xml:space="preserve"> No consta aprobación del </w:t>
      </w:r>
      <w:r w:rsidR="00667AE3">
        <w:rPr>
          <w:szCs w:val="26"/>
        </w:rPr>
        <w:t>sub</w:t>
      </w:r>
      <w:r w:rsidR="00DF558C" w:rsidRPr="00A0407B">
        <w:rPr>
          <w:szCs w:val="26"/>
        </w:rPr>
        <w:t>tramo T</w:t>
      </w:r>
      <w:r w:rsidR="00DF558C" w:rsidRPr="00A0407B">
        <w:rPr>
          <w:szCs w:val="26"/>
        </w:rPr>
        <w:t>u</w:t>
      </w:r>
      <w:r w:rsidR="00DF558C" w:rsidRPr="00A0407B">
        <w:rPr>
          <w:szCs w:val="26"/>
        </w:rPr>
        <w:t>dela-Castejón.</w:t>
      </w:r>
    </w:p>
    <w:p w:rsidR="00035492" w:rsidRPr="00A0407B" w:rsidRDefault="00035492" w:rsidP="00E54B92">
      <w:pPr>
        <w:pStyle w:val="texto"/>
        <w:tabs>
          <w:tab w:val="clear" w:pos="2835"/>
          <w:tab w:val="clear" w:pos="3969"/>
          <w:tab w:val="clear" w:pos="5103"/>
          <w:tab w:val="clear" w:pos="6237"/>
          <w:tab w:val="clear" w:pos="7371"/>
        </w:tabs>
        <w:rPr>
          <w:spacing w:val="4"/>
          <w:szCs w:val="26"/>
        </w:rPr>
      </w:pPr>
      <w:r w:rsidRPr="00A0407B">
        <w:rPr>
          <w:spacing w:val="4"/>
          <w:szCs w:val="26"/>
        </w:rPr>
        <w:t>El Estado y el Gobierno de Navarra deben convenir el paso por la ciudad de Tudela.</w:t>
      </w:r>
    </w:p>
    <w:p w:rsidR="00C6131E" w:rsidRPr="00A0407B" w:rsidRDefault="00C6131E" w:rsidP="00E54B92">
      <w:pPr>
        <w:pStyle w:val="texto"/>
        <w:tabs>
          <w:tab w:val="clear" w:pos="2835"/>
          <w:tab w:val="clear" w:pos="3969"/>
          <w:tab w:val="clear" w:pos="5103"/>
          <w:tab w:val="clear" w:pos="6237"/>
          <w:tab w:val="clear" w:pos="7371"/>
        </w:tabs>
        <w:rPr>
          <w:szCs w:val="26"/>
        </w:rPr>
      </w:pPr>
      <w:r w:rsidRPr="00A0407B">
        <w:rPr>
          <w:szCs w:val="26"/>
        </w:rPr>
        <w:t xml:space="preserve">En noviembre de 2014 </w:t>
      </w:r>
      <w:r w:rsidR="005B7543">
        <w:rPr>
          <w:szCs w:val="26"/>
        </w:rPr>
        <w:t>el Estado</w:t>
      </w:r>
      <w:r w:rsidRPr="00A0407B">
        <w:rPr>
          <w:szCs w:val="26"/>
        </w:rPr>
        <w:t xml:space="preserve"> adjudica la redacción del proyecto de con</w:t>
      </w:r>
      <w:r w:rsidRPr="00A0407B">
        <w:rPr>
          <w:szCs w:val="26"/>
        </w:rPr>
        <w:t>e</w:t>
      </w:r>
      <w:r w:rsidRPr="00A0407B">
        <w:rPr>
          <w:szCs w:val="26"/>
        </w:rPr>
        <w:t xml:space="preserve">xión de la futura línea de Alta Velocidad Castejón-Pamplona con el trazado de la actual línea convencional Zaragoza-Alsasua. </w:t>
      </w:r>
      <w:r w:rsidR="00176B06" w:rsidRPr="00A0407B">
        <w:rPr>
          <w:szCs w:val="26"/>
        </w:rPr>
        <w:t>Es el llamado tramo 0 del c</w:t>
      </w:r>
      <w:r w:rsidR="00176B06" w:rsidRPr="00A0407B">
        <w:rPr>
          <w:szCs w:val="26"/>
        </w:rPr>
        <w:t>o</w:t>
      </w:r>
      <w:r w:rsidR="00176B06" w:rsidRPr="00A0407B">
        <w:rPr>
          <w:szCs w:val="26"/>
        </w:rPr>
        <w:t>rredor navarro.</w:t>
      </w:r>
    </w:p>
    <w:p w:rsidR="00C6131E" w:rsidRPr="00176B06" w:rsidRDefault="00176B06" w:rsidP="00E54B92">
      <w:pPr>
        <w:pStyle w:val="texto"/>
        <w:tabs>
          <w:tab w:val="clear" w:pos="2835"/>
          <w:tab w:val="clear" w:pos="3969"/>
          <w:tab w:val="clear" w:pos="5103"/>
          <w:tab w:val="clear" w:pos="6237"/>
          <w:tab w:val="clear" w:pos="7371"/>
        </w:tabs>
        <w:rPr>
          <w:i/>
          <w:sz w:val="24"/>
        </w:rPr>
      </w:pPr>
      <w:r>
        <w:rPr>
          <w:sz w:val="24"/>
        </w:rPr>
        <w:t>“</w:t>
      </w:r>
      <w:r w:rsidR="00C6131E" w:rsidRPr="00176B06">
        <w:rPr>
          <w:i/>
          <w:sz w:val="24"/>
        </w:rPr>
        <w:t>Se trata del denominado tramo 0, que tiene por objeto dar continuidad a la línea de alta velocidad Castejón-Pamplona, uniendo el trazado de ésta, a la altura del su</w:t>
      </w:r>
      <w:r w:rsidR="00C6131E" w:rsidRPr="00176B06">
        <w:rPr>
          <w:i/>
          <w:sz w:val="24"/>
        </w:rPr>
        <w:t>b</w:t>
      </w:r>
      <w:r w:rsidR="00C6131E" w:rsidRPr="00176B06">
        <w:rPr>
          <w:i/>
          <w:sz w:val="24"/>
        </w:rPr>
        <w:t xml:space="preserve">tramo Castejón-Villafranca, con la línea convencional ya existente Zaragoza-Alsasua. El contrato incluye la redacción del estudio previo de alternativas, así como del proyecto básico y del constructivo. </w:t>
      </w:r>
    </w:p>
    <w:p w:rsidR="00C6131E" w:rsidRPr="00176B06" w:rsidRDefault="00C6131E" w:rsidP="00E54B92">
      <w:pPr>
        <w:pStyle w:val="texto"/>
        <w:tabs>
          <w:tab w:val="clear" w:pos="2835"/>
          <w:tab w:val="clear" w:pos="3969"/>
          <w:tab w:val="clear" w:pos="5103"/>
          <w:tab w:val="clear" w:pos="6237"/>
          <w:tab w:val="clear" w:pos="7371"/>
        </w:tabs>
        <w:rPr>
          <w:i/>
          <w:sz w:val="24"/>
        </w:rPr>
      </w:pPr>
      <w:r w:rsidRPr="00176B06">
        <w:rPr>
          <w:i/>
          <w:sz w:val="24"/>
        </w:rPr>
        <w:t>El proyecto definirá la plataforma necesaria para la citada conexión, incluyendo los estudios técnicos de detalle, las situaciones provisionales, viarias y ferroviarias, así como las actuaciones dentro de la línea actual que posibilitarán esta conexión según el escenario seleccionado: salto de carnero, implantación de cambiador de a</w:t>
      </w:r>
      <w:r w:rsidRPr="00176B06">
        <w:rPr>
          <w:i/>
          <w:sz w:val="24"/>
        </w:rPr>
        <w:t>n</w:t>
      </w:r>
      <w:r w:rsidRPr="00176B06">
        <w:rPr>
          <w:i/>
          <w:sz w:val="24"/>
        </w:rPr>
        <w:t>chos, disposición de tercer carril, etc</w:t>
      </w:r>
      <w:r w:rsidR="00176B06">
        <w:rPr>
          <w:i/>
          <w:sz w:val="24"/>
        </w:rPr>
        <w:t>.</w:t>
      </w:r>
    </w:p>
    <w:p w:rsidR="00C6131E" w:rsidRPr="00176B06" w:rsidRDefault="00C6131E" w:rsidP="00176B06">
      <w:pPr>
        <w:pStyle w:val="texto"/>
        <w:tabs>
          <w:tab w:val="clear" w:pos="2835"/>
          <w:tab w:val="clear" w:pos="3969"/>
          <w:tab w:val="clear" w:pos="5103"/>
          <w:tab w:val="clear" w:pos="6237"/>
          <w:tab w:val="clear" w:pos="7371"/>
        </w:tabs>
        <w:rPr>
          <w:i/>
          <w:sz w:val="24"/>
        </w:rPr>
      </w:pPr>
      <w:r w:rsidRPr="00176B06">
        <w:rPr>
          <w:i/>
          <w:sz w:val="24"/>
        </w:rPr>
        <w:t>También se plantearán diversas soluciones técnico-económicas para la constru</w:t>
      </w:r>
      <w:r w:rsidRPr="00176B06">
        <w:rPr>
          <w:i/>
          <w:sz w:val="24"/>
        </w:rPr>
        <w:t>c</w:t>
      </w:r>
      <w:r w:rsidRPr="00176B06">
        <w:rPr>
          <w:i/>
          <w:sz w:val="24"/>
        </w:rPr>
        <w:t>ción de un viaducto que salve el río Ebro.</w:t>
      </w:r>
      <w:r w:rsidR="00176B06">
        <w:rPr>
          <w:i/>
          <w:sz w:val="24"/>
        </w:rPr>
        <w:t>”</w:t>
      </w:r>
    </w:p>
    <w:p w:rsidR="00176B06" w:rsidRPr="00A0407B" w:rsidRDefault="00C6131E" w:rsidP="00176B06">
      <w:pPr>
        <w:pStyle w:val="texto"/>
        <w:tabs>
          <w:tab w:val="clear" w:pos="2835"/>
          <w:tab w:val="clear" w:pos="3969"/>
          <w:tab w:val="clear" w:pos="5103"/>
          <w:tab w:val="clear" w:pos="6237"/>
          <w:tab w:val="clear" w:pos="7371"/>
        </w:tabs>
        <w:rPr>
          <w:szCs w:val="26"/>
        </w:rPr>
      </w:pPr>
      <w:r w:rsidRPr="00A0407B">
        <w:rPr>
          <w:szCs w:val="26"/>
        </w:rPr>
        <w:t xml:space="preserve">Nos </w:t>
      </w:r>
      <w:r w:rsidR="00FC46E6" w:rsidRPr="00A0407B">
        <w:rPr>
          <w:szCs w:val="26"/>
        </w:rPr>
        <w:t>informan</w:t>
      </w:r>
      <w:r w:rsidR="00176B06" w:rsidRPr="00A0407B">
        <w:rPr>
          <w:szCs w:val="26"/>
        </w:rPr>
        <w:t xml:space="preserve"> desde </w:t>
      </w:r>
      <w:r w:rsidR="00750975" w:rsidRPr="00A0407B">
        <w:rPr>
          <w:szCs w:val="26"/>
        </w:rPr>
        <w:t>la Dirección General de Obras Públicas</w:t>
      </w:r>
      <w:r w:rsidR="00176B06" w:rsidRPr="00A0407B">
        <w:rPr>
          <w:szCs w:val="26"/>
        </w:rPr>
        <w:t xml:space="preserve"> </w:t>
      </w:r>
      <w:r w:rsidR="00176B06" w:rsidRPr="00782D09">
        <w:rPr>
          <w:szCs w:val="26"/>
        </w:rPr>
        <w:t>que</w:t>
      </w:r>
      <w:r w:rsidRPr="00782D09">
        <w:rPr>
          <w:szCs w:val="26"/>
        </w:rPr>
        <w:t xml:space="preserve"> el </w:t>
      </w:r>
      <w:r w:rsidR="009030D3" w:rsidRPr="00782D09">
        <w:rPr>
          <w:szCs w:val="26"/>
        </w:rPr>
        <w:t xml:space="preserve">contrato para </w:t>
      </w:r>
      <w:r w:rsidR="00C04071" w:rsidRPr="00782D09">
        <w:rPr>
          <w:szCs w:val="26"/>
        </w:rPr>
        <w:t>la redacción del citado</w:t>
      </w:r>
      <w:r w:rsidR="009030D3" w:rsidRPr="00782D09">
        <w:rPr>
          <w:szCs w:val="26"/>
        </w:rPr>
        <w:t xml:space="preserve"> </w:t>
      </w:r>
      <w:r w:rsidRPr="00782D09">
        <w:rPr>
          <w:szCs w:val="26"/>
        </w:rPr>
        <w:t xml:space="preserve">proyecto básico está </w:t>
      </w:r>
      <w:r w:rsidR="009030D3" w:rsidRPr="00782D09">
        <w:rPr>
          <w:szCs w:val="26"/>
        </w:rPr>
        <w:t>suspendido</w:t>
      </w:r>
      <w:r w:rsidRPr="00782D09">
        <w:rPr>
          <w:szCs w:val="26"/>
        </w:rPr>
        <w:t>.</w:t>
      </w:r>
      <w:r w:rsidR="00172692">
        <w:rPr>
          <w:szCs w:val="26"/>
        </w:rPr>
        <w:t xml:space="preserve"> En el mismo, se incluye</w:t>
      </w:r>
      <w:r w:rsidRPr="00A0407B">
        <w:rPr>
          <w:szCs w:val="26"/>
        </w:rPr>
        <w:t xml:space="preserve"> un viaduct</w:t>
      </w:r>
      <w:r w:rsidR="00172692">
        <w:rPr>
          <w:szCs w:val="26"/>
        </w:rPr>
        <w:t xml:space="preserve">o sobre el Ebro </w:t>
      </w:r>
      <w:r w:rsidRPr="00A0407B">
        <w:rPr>
          <w:szCs w:val="26"/>
        </w:rPr>
        <w:t>y prevé un enlace con la vía convencional</w:t>
      </w:r>
      <w:r w:rsidR="00176B06" w:rsidRPr="00A0407B">
        <w:rPr>
          <w:szCs w:val="26"/>
        </w:rPr>
        <w:t>. Es decir, en principio, se modifican o aplazan las previsiones iniciales de construir un ramal de alta velocidad entre Plasencia</w:t>
      </w:r>
      <w:r w:rsidR="00172692">
        <w:rPr>
          <w:szCs w:val="26"/>
        </w:rPr>
        <w:t xml:space="preserve"> de Jalón</w:t>
      </w:r>
      <w:r w:rsidR="00176B06" w:rsidRPr="00A0407B">
        <w:rPr>
          <w:szCs w:val="26"/>
        </w:rPr>
        <w:t xml:space="preserve"> y Castejón y se opta por la solución</w:t>
      </w:r>
      <w:r w:rsidR="00554573" w:rsidRPr="00A0407B">
        <w:rPr>
          <w:szCs w:val="26"/>
        </w:rPr>
        <w:t xml:space="preserve"> </w:t>
      </w:r>
      <w:r w:rsidR="002832C2">
        <w:rPr>
          <w:szCs w:val="26"/>
        </w:rPr>
        <w:t>–</w:t>
      </w:r>
      <w:r w:rsidR="00554573" w:rsidRPr="00A0407B">
        <w:rPr>
          <w:szCs w:val="26"/>
        </w:rPr>
        <w:t>provisional</w:t>
      </w:r>
      <w:r w:rsidR="002832C2">
        <w:rPr>
          <w:szCs w:val="26"/>
        </w:rPr>
        <w:t>–</w:t>
      </w:r>
      <w:r w:rsidR="00176B06" w:rsidRPr="00A0407B">
        <w:rPr>
          <w:szCs w:val="26"/>
        </w:rPr>
        <w:t xml:space="preserve"> de conectar el TAV de Navarra a la vía convencional en Castejón. </w:t>
      </w:r>
      <w:r w:rsidR="00BC7E51" w:rsidRPr="00A0407B">
        <w:rPr>
          <w:szCs w:val="26"/>
        </w:rPr>
        <w:t>En el tramo actual de Zaragoza a Castejón</w:t>
      </w:r>
      <w:r w:rsidR="00DF558C" w:rsidRPr="00A0407B">
        <w:rPr>
          <w:szCs w:val="26"/>
        </w:rPr>
        <w:t>,</w:t>
      </w:r>
      <w:r w:rsidR="00BC7E51" w:rsidRPr="00A0407B">
        <w:rPr>
          <w:szCs w:val="26"/>
        </w:rPr>
        <w:t xml:space="preserve"> se instalaría un tercer c</w:t>
      </w:r>
      <w:r w:rsidR="00BC7E51" w:rsidRPr="00A0407B">
        <w:rPr>
          <w:szCs w:val="26"/>
        </w:rPr>
        <w:t>a</w:t>
      </w:r>
      <w:r w:rsidR="00BC7E51" w:rsidRPr="00A0407B">
        <w:rPr>
          <w:szCs w:val="26"/>
        </w:rPr>
        <w:t>rril</w:t>
      </w:r>
      <w:r w:rsidR="00DF558C" w:rsidRPr="00A0407B">
        <w:rPr>
          <w:szCs w:val="26"/>
        </w:rPr>
        <w:t>, al objeto de que permita la circulación de trenes de ancho europeo.</w:t>
      </w:r>
    </w:p>
    <w:p w:rsidR="00C47334" w:rsidRPr="00A0407B" w:rsidRDefault="006F0129" w:rsidP="0013635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Tramo </w:t>
      </w:r>
      <w:r w:rsidR="00C6131E" w:rsidRPr="00A0407B">
        <w:rPr>
          <w:szCs w:val="26"/>
        </w:rPr>
        <w:t>Zuasti-Conexión con la "Y" Vasca</w:t>
      </w:r>
      <w:r w:rsidR="00176B06" w:rsidRPr="00A0407B">
        <w:rPr>
          <w:szCs w:val="26"/>
        </w:rPr>
        <w:t>.</w:t>
      </w:r>
      <w:r w:rsidR="00136350" w:rsidRPr="00A0407B">
        <w:rPr>
          <w:szCs w:val="26"/>
        </w:rPr>
        <w:t xml:space="preserve"> </w:t>
      </w:r>
      <w:r w:rsidR="00D17A92" w:rsidRPr="00A0407B">
        <w:rPr>
          <w:szCs w:val="26"/>
        </w:rPr>
        <w:t>En 2010, el Estado adjudica la realización del estudio informativo sobre este tramo</w:t>
      </w:r>
      <w:r w:rsidR="002F595C" w:rsidRPr="00A0407B">
        <w:rPr>
          <w:szCs w:val="26"/>
        </w:rPr>
        <w:t xml:space="preserve"> con el fin de analizar pos</w:t>
      </w:r>
      <w:r w:rsidR="002F595C" w:rsidRPr="00A0407B">
        <w:rPr>
          <w:szCs w:val="26"/>
        </w:rPr>
        <w:t>i</w:t>
      </w:r>
      <w:r w:rsidR="002F595C" w:rsidRPr="00A0407B">
        <w:rPr>
          <w:szCs w:val="26"/>
        </w:rPr>
        <w:t>bles trazados para esta conexión.</w:t>
      </w:r>
    </w:p>
    <w:p w:rsidR="00C6131E" w:rsidRPr="00A0407B" w:rsidRDefault="00C47334" w:rsidP="00C47334">
      <w:pPr>
        <w:pStyle w:val="texto"/>
        <w:tabs>
          <w:tab w:val="clear" w:pos="2835"/>
          <w:tab w:val="clear" w:pos="3969"/>
          <w:tab w:val="clear" w:pos="5103"/>
          <w:tab w:val="clear" w:pos="6237"/>
          <w:tab w:val="clear" w:pos="7371"/>
        </w:tabs>
        <w:rPr>
          <w:szCs w:val="26"/>
        </w:rPr>
      </w:pPr>
      <w:r w:rsidRPr="00A0407B">
        <w:rPr>
          <w:szCs w:val="26"/>
        </w:rPr>
        <w:lastRenderedPageBreak/>
        <w:t>De acuerdo con el Protocolo firmado en 2011 entre el Estado, el Gobierno Vasco y el Gobierno de Navarra, se prevé que tales alternativas se estudien de común acuerdo entre las tres administraciones. A</w:t>
      </w:r>
      <w:r w:rsidR="00C6131E" w:rsidRPr="00A0407B">
        <w:rPr>
          <w:szCs w:val="26"/>
        </w:rPr>
        <w:t>ctualmen</w:t>
      </w:r>
      <w:r w:rsidRPr="00A0407B">
        <w:rPr>
          <w:szCs w:val="26"/>
        </w:rPr>
        <w:t xml:space="preserve">te se </w:t>
      </w:r>
      <w:r w:rsidR="00C6131E" w:rsidRPr="00A0407B">
        <w:rPr>
          <w:szCs w:val="26"/>
        </w:rPr>
        <w:t>sopesa</w:t>
      </w:r>
      <w:r w:rsidRPr="00A0407B">
        <w:rPr>
          <w:szCs w:val="26"/>
        </w:rPr>
        <w:t>n</w:t>
      </w:r>
      <w:r w:rsidR="00C6131E" w:rsidRPr="00A0407B">
        <w:rPr>
          <w:szCs w:val="26"/>
        </w:rPr>
        <w:t xml:space="preserve"> </w:t>
      </w:r>
      <w:r w:rsidR="008D53E6" w:rsidRPr="00A0407B">
        <w:rPr>
          <w:szCs w:val="26"/>
        </w:rPr>
        <w:t>disti</w:t>
      </w:r>
      <w:r w:rsidR="008D53E6" w:rsidRPr="00A0407B">
        <w:rPr>
          <w:szCs w:val="26"/>
        </w:rPr>
        <w:t>n</w:t>
      </w:r>
      <w:r w:rsidR="008D53E6" w:rsidRPr="00A0407B">
        <w:rPr>
          <w:szCs w:val="26"/>
        </w:rPr>
        <w:t>tas alternativas de su trazado, bien conectando directamente a San Sebastián o bien por Vitoria, analizando especialmente su coste</w:t>
      </w:r>
      <w:r w:rsidR="00C6131E" w:rsidRPr="00A0407B">
        <w:rPr>
          <w:szCs w:val="26"/>
        </w:rPr>
        <w:t>.</w:t>
      </w:r>
    </w:p>
    <w:p w:rsidR="00C6131E" w:rsidRPr="00A0407B" w:rsidRDefault="008D53E6" w:rsidP="005B7543">
      <w:pPr>
        <w:pStyle w:val="texto"/>
        <w:tabs>
          <w:tab w:val="clear" w:pos="2835"/>
          <w:tab w:val="clear" w:pos="3969"/>
          <w:tab w:val="clear" w:pos="5103"/>
          <w:tab w:val="clear" w:pos="6237"/>
          <w:tab w:val="clear" w:pos="7371"/>
        </w:tabs>
        <w:spacing w:after="240"/>
        <w:rPr>
          <w:szCs w:val="26"/>
        </w:rPr>
      </w:pPr>
      <w:r w:rsidRPr="00A0407B">
        <w:rPr>
          <w:szCs w:val="26"/>
        </w:rPr>
        <w:t>Sin embargo</w:t>
      </w:r>
      <w:r w:rsidR="005D00E4" w:rsidRPr="00A0407B">
        <w:rPr>
          <w:szCs w:val="26"/>
        </w:rPr>
        <w:t xml:space="preserve">, desde </w:t>
      </w:r>
      <w:r w:rsidRPr="00A0407B">
        <w:rPr>
          <w:szCs w:val="26"/>
        </w:rPr>
        <w:t>Dirección General de Obras Públicas indican que</w:t>
      </w:r>
      <w:r w:rsidR="00C6131E" w:rsidRPr="00A0407B">
        <w:rPr>
          <w:szCs w:val="26"/>
        </w:rPr>
        <w:t xml:space="preserve"> no hay nada resuelto definitivamente, ni sobre el trazado ni sobre la solución concreta sobre si se hará una sola vía o vía doble, o si se hará mediante un tercer carril sobre la nueva plataforma, etc</w:t>
      </w:r>
      <w:r w:rsidR="005D00E4" w:rsidRPr="00A0407B">
        <w:rPr>
          <w:szCs w:val="26"/>
        </w:rPr>
        <w:t>.</w:t>
      </w:r>
    </w:p>
    <w:p w:rsidR="00A0706E" w:rsidRPr="00A0407B" w:rsidRDefault="00A0706E" w:rsidP="00325074">
      <w:pPr>
        <w:pStyle w:val="atitulo3"/>
      </w:pPr>
      <w:r w:rsidRPr="00A0407B">
        <w:t>Presupuesto</w:t>
      </w:r>
      <w:r w:rsidR="00E85E65" w:rsidRPr="00A0407B">
        <w:t xml:space="preserve">s generales de Navarra </w:t>
      </w:r>
      <w:r w:rsidRPr="00A0407B">
        <w:t xml:space="preserve"> de 2016</w:t>
      </w:r>
    </w:p>
    <w:p w:rsidR="00A0706E" w:rsidRDefault="00A0706E" w:rsidP="00B14DF7">
      <w:pPr>
        <w:pStyle w:val="texto"/>
        <w:tabs>
          <w:tab w:val="clear" w:pos="2835"/>
          <w:tab w:val="clear" w:pos="3969"/>
          <w:tab w:val="clear" w:pos="5103"/>
          <w:tab w:val="clear" w:pos="6237"/>
          <w:tab w:val="clear" w:pos="7371"/>
        </w:tabs>
        <w:rPr>
          <w:szCs w:val="26"/>
        </w:rPr>
      </w:pPr>
      <w:r w:rsidRPr="00A0407B">
        <w:rPr>
          <w:szCs w:val="26"/>
        </w:rPr>
        <w:t>El presupuesto de 2016 contempla</w:t>
      </w:r>
      <w:r w:rsidR="00E85E65" w:rsidRPr="00A0407B">
        <w:rPr>
          <w:szCs w:val="26"/>
        </w:rPr>
        <w:t xml:space="preserve"> cuatro partidas específicas para las obras del TAV además de la general del departamento para Seguridad y Salud Lab</w:t>
      </w:r>
      <w:r w:rsidR="00E85E65" w:rsidRPr="00A0407B">
        <w:rPr>
          <w:szCs w:val="26"/>
        </w:rPr>
        <w:t>o</w:t>
      </w:r>
      <w:r w:rsidR="00E85E65" w:rsidRPr="00A0407B">
        <w:rPr>
          <w:szCs w:val="26"/>
        </w:rPr>
        <w:t>ral. Esas cuatro partidas presentan unas dotaciones iniciales de un millón de e</w:t>
      </w:r>
      <w:r w:rsidR="00E85E65" w:rsidRPr="00A0407B">
        <w:rPr>
          <w:szCs w:val="26"/>
        </w:rPr>
        <w:t>u</w:t>
      </w:r>
      <w:r w:rsidR="00E85E65" w:rsidRPr="00A0407B">
        <w:rPr>
          <w:szCs w:val="26"/>
        </w:rPr>
        <w:t xml:space="preserve">ros; en 2015, esas dotaciones fueron de prácticamente 48 millones. A agosto de 2016, esas partidas han experimentado vía modificaciones presupuestarias una reducción de 0,12 millones y las obligaciones reconocidas ascienden a 1.909 euros. La información anterior se refleja en el siguiente cuadro: </w:t>
      </w:r>
    </w:p>
    <w:p w:rsidR="00B14DF7" w:rsidRPr="00B14DF7" w:rsidRDefault="00B14DF7" w:rsidP="00B14DF7">
      <w:pPr>
        <w:tabs>
          <w:tab w:val="left" w:pos="480"/>
          <w:tab w:val="num" w:pos="4920"/>
        </w:tabs>
        <w:spacing w:after="40"/>
        <w:ind w:firstLine="284"/>
        <w:jc w:val="right"/>
        <w:rPr>
          <w:rFonts w:ascii="Arial Narrow" w:hAnsi="Arial Narrow"/>
          <w:spacing w:val="6"/>
          <w:sz w:val="18"/>
          <w:szCs w:val="18"/>
          <w:lang w:val="es-ES"/>
        </w:rPr>
      </w:pPr>
      <w:r w:rsidRPr="00B14DF7">
        <w:rPr>
          <w:rFonts w:ascii="Arial Narrow" w:hAnsi="Arial Narrow"/>
          <w:spacing w:val="6"/>
          <w:sz w:val="18"/>
          <w:szCs w:val="18"/>
          <w:lang w:val="es-ES"/>
        </w:rPr>
        <w:t>(Mi</w:t>
      </w:r>
      <w:r>
        <w:rPr>
          <w:rFonts w:ascii="Arial Narrow" w:hAnsi="Arial Narrow"/>
          <w:spacing w:val="6"/>
          <w:sz w:val="18"/>
          <w:szCs w:val="18"/>
          <w:lang w:val="es-ES"/>
        </w:rPr>
        <w:t>les</w:t>
      </w:r>
      <w:r w:rsidRPr="00B14DF7">
        <w:rPr>
          <w:rFonts w:ascii="Arial Narrow" w:hAnsi="Arial Narrow"/>
          <w:spacing w:val="6"/>
          <w:sz w:val="18"/>
          <w:szCs w:val="18"/>
          <w:lang w:val="es-ES"/>
        </w:rPr>
        <w:t xml:space="preserve"> de euros)</w:t>
      </w:r>
    </w:p>
    <w:tbl>
      <w:tblPr>
        <w:tblW w:w="8789" w:type="dxa"/>
        <w:tblInd w:w="70" w:type="dxa"/>
        <w:tblCellMar>
          <w:left w:w="70" w:type="dxa"/>
          <w:right w:w="70" w:type="dxa"/>
        </w:tblCellMar>
        <w:tblLook w:val="04A0" w:firstRow="1" w:lastRow="0" w:firstColumn="1" w:lastColumn="0" w:noHBand="0" w:noVBand="1"/>
      </w:tblPr>
      <w:tblGrid>
        <w:gridCol w:w="3402"/>
        <w:gridCol w:w="1418"/>
        <w:gridCol w:w="1417"/>
        <w:gridCol w:w="1207"/>
        <w:gridCol w:w="1345"/>
      </w:tblGrid>
      <w:tr w:rsidR="00E85E65" w:rsidRPr="00A0706E" w:rsidTr="00BF7627">
        <w:trPr>
          <w:trHeight w:val="284"/>
        </w:trPr>
        <w:tc>
          <w:tcPr>
            <w:tcW w:w="3402" w:type="dxa"/>
            <w:tcBorders>
              <w:top w:val="single" w:sz="4" w:space="0" w:color="auto"/>
              <w:left w:val="nil"/>
              <w:bottom w:val="single" w:sz="4" w:space="0" w:color="auto"/>
              <w:right w:val="nil"/>
            </w:tcBorders>
            <w:shd w:val="clear" w:color="auto" w:fill="A8CBEE" w:themeFill="accent2" w:themeFillTint="66"/>
            <w:noWrap/>
            <w:vAlign w:val="center"/>
            <w:hideMark/>
          </w:tcPr>
          <w:p w:rsidR="00A0706E" w:rsidRPr="00A0706E" w:rsidRDefault="00A0706E" w:rsidP="00BF7627">
            <w:pPr>
              <w:pStyle w:val="cuadroCabe"/>
              <w:tabs>
                <w:tab w:val="clear" w:pos="3969"/>
                <w:tab w:val="clear" w:pos="5103"/>
              </w:tabs>
              <w:jc w:val="left"/>
              <w:rPr>
                <w:rFonts w:cs="Arial"/>
              </w:rPr>
            </w:pPr>
            <w:r w:rsidRPr="00A0706E">
              <w:rPr>
                <w:rFonts w:cs="Arial"/>
              </w:rPr>
              <w:t>Partida</w:t>
            </w:r>
            <w:r w:rsidR="00E85E65" w:rsidRPr="00E85E65">
              <w:rPr>
                <w:rFonts w:cs="Arial"/>
              </w:rPr>
              <w:t xml:space="preserve"> presupuestaria</w:t>
            </w:r>
            <w:r w:rsidR="00E947D2">
              <w:rPr>
                <w:rFonts w:cs="Arial"/>
              </w:rPr>
              <w:t xml:space="preserve"> Pptos 2016</w:t>
            </w:r>
          </w:p>
        </w:tc>
        <w:tc>
          <w:tcPr>
            <w:tcW w:w="1418" w:type="dxa"/>
            <w:tcBorders>
              <w:top w:val="single" w:sz="4" w:space="0" w:color="auto"/>
              <w:left w:val="nil"/>
              <w:bottom w:val="single" w:sz="4" w:space="0" w:color="auto"/>
              <w:right w:val="nil"/>
            </w:tcBorders>
            <w:shd w:val="clear" w:color="auto" w:fill="A8CBEE" w:themeFill="accent2" w:themeFillTint="66"/>
            <w:noWrap/>
            <w:vAlign w:val="center"/>
            <w:hideMark/>
          </w:tcPr>
          <w:p w:rsidR="00A0706E" w:rsidRPr="00A0706E" w:rsidRDefault="00A0706E" w:rsidP="00BF7627">
            <w:pPr>
              <w:pStyle w:val="cuadroCabe"/>
              <w:jc w:val="right"/>
              <w:rPr>
                <w:rFonts w:cs="Arial"/>
              </w:rPr>
            </w:pPr>
            <w:r w:rsidRPr="00A0706E">
              <w:rPr>
                <w:rFonts w:cs="Arial"/>
              </w:rPr>
              <w:t>Crédito inicial</w:t>
            </w:r>
          </w:p>
        </w:tc>
        <w:tc>
          <w:tcPr>
            <w:tcW w:w="1417" w:type="dxa"/>
            <w:tcBorders>
              <w:top w:val="single" w:sz="4" w:space="0" w:color="auto"/>
              <w:left w:val="nil"/>
              <w:bottom w:val="single" w:sz="4" w:space="0" w:color="auto"/>
              <w:right w:val="nil"/>
            </w:tcBorders>
            <w:shd w:val="clear" w:color="auto" w:fill="A8CBEE" w:themeFill="accent2" w:themeFillTint="66"/>
            <w:noWrap/>
            <w:vAlign w:val="center"/>
            <w:hideMark/>
          </w:tcPr>
          <w:p w:rsidR="00A0706E" w:rsidRPr="00A0706E" w:rsidRDefault="00A0706E" w:rsidP="00BF7627">
            <w:pPr>
              <w:pStyle w:val="cuadroCabe"/>
              <w:jc w:val="right"/>
              <w:rPr>
                <w:rFonts w:cs="Arial"/>
              </w:rPr>
            </w:pPr>
            <w:r w:rsidRPr="00A0706E">
              <w:rPr>
                <w:rFonts w:cs="Arial"/>
              </w:rPr>
              <w:t>Modificac</w:t>
            </w:r>
            <w:r w:rsidR="00BF7627">
              <w:rPr>
                <w:rFonts w:cs="Arial"/>
              </w:rPr>
              <w:t>iones</w:t>
            </w:r>
          </w:p>
        </w:tc>
        <w:tc>
          <w:tcPr>
            <w:tcW w:w="1207" w:type="dxa"/>
            <w:tcBorders>
              <w:top w:val="single" w:sz="4" w:space="0" w:color="auto"/>
              <w:left w:val="nil"/>
              <w:bottom w:val="single" w:sz="4" w:space="0" w:color="auto"/>
              <w:right w:val="nil"/>
            </w:tcBorders>
            <w:shd w:val="clear" w:color="auto" w:fill="A8CBEE" w:themeFill="accent2" w:themeFillTint="66"/>
            <w:noWrap/>
            <w:vAlign w:val="center"/>
            <w:hideMark/>
          </w:tcPr>
          <w:p w:rsidR="00A0706E" w:rsidRPr="00A0706E" w:rsidRDefault="00A0706E" w:rsidP="00BF7627">
            <w:pPr>
              <w:pStyle w:val="cuadroCabe"/>
              <w:jc w:val="right"/>
              <w:rPr>
                <w:rFonts w:cs="Arial"/>
              </w:rPr>
            </w:pPr>
            <w:r w:rsidRPr="00A0706E">
              <w:rPr>
                <w:rFonts w:cs="Arial"/>
              </w:rPr>
              <w:t>Consolidado</w:t>
            </w:r>
          </w:p>
        </w:tc>
        <w:tc>
          <w:tcPr>
            <w:tcW w:w="1345" w:type="dxa"/>
            <w:tcBorders>
              <w:top w:val="single" w:sz="4" w:space="0" w:color="auto"/>
              <w:left w:val="nil"/>
              <w:bottom w:val="single" w:sz="4" w:space="0" w:color="auto"/>
              <w:right w:val="nil"/>
            </w:tcBorders>
            <w:shd w:val="clear" w:color="auto" w:fill="A8CBEE" w:themeFill="accent2" w:themeFillTint="66"/>
            <w:noWrap/>
            <w:vAlign w:val="center"/>
            <w:hideMark/>
          </w:tcPr>
          <w:p w:rsidR="00A0706E" w:rsidRPr="00A0706E" w:rsidRDefault="00A0706E" w:rsidP="00BF7627">
            <w:pPr>
              <w:pStyle w:val="cuadroCabe"/>
              <w:jc w:val="right"/>
              <w:rPr>
                <w:rFonts w:cs="Arial"/>
              </w:rPr>
            </w:pPr>
            <w:r w:rsidRPr="00A0706E">
              <w:rPr>
                <w:rFonts w:cs="Arial"/>
              </w:rPr>
              <w:t>Obligaci</w:t>
            </w:r>
            <w:r w:rsidR="00E947D2">
              <w:rPr>
                <w:rFonts w:cs="Arial"/>
              </w:rPr>
              <w:t>ones</w:t>
            </w:r>
          </w:p>
        </w:tc>
      </w:tr>
      <w:tr w:rsidR="00E85E65" w:rsidRPr="00BF7627" w:rsidTr="00BF7627">
        <w:trPr>
          <w:trHeight w:val="284"/>
        </w:trPr>
        <w:tc>
          <w:tcPr>
            <w:tcW w:w="3402" w:type="dxa"/>
            <w:tcBorders>
              <w:top w:val="single" w:sz="4"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left"/>
              <w:rPr>
                <w:rFonts w:ascii="Arial Narrow" w:hAnsi="Arial Narrow" w:cs="Arial"/>
                <w:lang w:val="es-ES" w:eastAsia="es-ES"/>
              </w:rPr>
            </w:pPr>
            <w:r w:rsidRPr="00BF7627">
              <w:rPr>
                <w:rFonts w:ascii="Arial Narrow" w:hAnsi="Arial Narrow" w:cs="Arial"/>
                <w:lang w:val="es-ES" w:eastAsia="es-ES"/>
              </w:rPr>
              <w:t>Proyecto y dirección de obra del tren de alta velocidad</w:t>
            </w:r>
          </w:p>
        </w:tc>
        <w:tc>
          <w:tcPr>
            <w:tcW w:w="1418" w:type="dxa"/>
            <w:tcBorders>
              <w:top w:val="single" w:sz="4"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785</w:t>
            </w:r>
          </w:p>
        </w:tc>
        <w:tc>
          <w:tcPr>
            <w:tcW w:w="1417" w:type="dxa"/>
            <w:tcBorders>
              <w:top w:val="single" w:sz="4" w:space="0" w:color="auto"/>
              <w:left w:val="nil"/>
              <w:bottom w:val="single" w:sz="2" w:space="0" w:color="auto"/>
              <w:right w:val="nil"/>
            </w:tcBorders>
            <w:shd w:val="clear" w:color="auto" w:fill="auto"/>
            <w:noWrap/>
            <w:vAlign w:val="center"/>
            <w:hideMark/>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w:t>
            </w:r>
          </w:p>
        </w:tc>
        <w:tc>
          <w:tcPr>
            <w:tcW w:w="1207" w:type="dxa"/>
            <w:tcBorders>
              <w:top w:val="single" w:sz="4"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785</w:t>
            </w:r>
          </w:p>
        </w:tc>
        <w:tc>
          <w:tcPr>
            <w:tcW w:w="1345" w:type="dxa"/>
            <w:tcBorders>
              <w:top w:val="single" w:sz="4" w:space="0" w:color="auto"/>
              <w:left w:val="nil"/>
              <w:bottom w:val="single" w:sz="2" w:space="0" w:color="auto"/>
              <w:right w:val="nil"/>
            </w:tcBorders>
            <w:shd w:val="clear" w:color="auto" w:fill="auto"/>
            <w:noWrap/>
            <w:vAlign w:val="center"/>
            <w:hideMark/>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w:t>
            </w:r>
          </w:p>
        </w:tc>
      </w:tr>
      <w:tr w:rsidR="00E85E65" w:rsidRPr="00BF7627" w:rsidTr="00BF7627">
        <w:trPr>
          <w:trHeight w:val="284"/>
        </w:trPr>
        <w:tc>
          <w:tcPr>
            <w:tcW w:w="3402"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left"/>
              <w:rPr>
                <w:rFonts w:ascii="Arial Narrow" w:hAnsi="Arial Narrow" w:cs="Arial"/>
                <w:lang w:val="es-ES" w:eastAsia="es-ES"/>
              </w:rPr>
            </w:pPr>
            <w:r w:rsidRPr="00BF7627">
              <w:rPr>
                <w:rFonts w:ascii="Arial Narrow" w:hAnsi="Arial Narrow" w:cs="Arial"/>
                <w:lang w:val="es-ES" w:eastAsia="es-ES"/>
              </w:rPr>
              <w:t xml:space="preserve">Estudio solución provisional tercer hilo </w:t>
            </w:r>
            <w:r w:rsidR="00BF7627">
              <w:rPr>
                <w:rFonts w:ascii="Arial Narrow" w:hAnsi="Arial Narrow" w:cs="Arial"/>
                <w:lang w:val="es-ES" w:eastAsia="es-ES"/>
              </w:rPr>
              <w:t xml:space="preserve">     </w:t>
            </w:r>
            <w:r w:rsidRPr="00BF7627">
              <w:rPr>
                <w:rFonts w:ascii="Arial Narrow" w:hAnsi="Arial Narrow" w:cs="Arial"/>
                <w:lang w:val="es-ES" w:eastAsia="es-ES"/>
              </w:rPr>
              <w:t>con Y Vasca</w:t>
            </w:r>
          </w:p>
        </w:tc>
        <w:tc>
          <w:tcPr>
            <w:tcW w:w="1418"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150</w:t>
            </w:r>
          </w:p>
        </w:tc>
        <w:tc>
          <w:tcPr>
            <w:tcW w:w="1417"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w:t>
            </w:r>
            <w:r w:rsidR="00E85E65" w:rsidRPr="00BF7627">
              <w:rPr>
                <w:rFonts w:ascii="Arial Narrow" w:hAnsi="Arial Narrow" w:cs="Arial"/>
                <w:lang w:val="es-ES" w:eastAsia="es-ES"/>
              </w:rPr>
              <w:t>4</w:t>
            </w:r>
          </w:p>
        </w:tc>
        <w:tc>
          <w:tcPr>
            <w:tcW w:w="1207"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76</w:t>
            </w:r>
          </w:p>
        </w:tc>
        <w:tc>
          <w:tcPr>
            <w:tcW w:w="1345" w:type="dxa"/>
            <w:tcBorders>
              <w:top w:val="single" w:sz="2" w:space="0" w:color="auto"/>
              <w:left w:val="nil"/>
              <w:bottom w:val="single" w:sz="2" w:space="0" w:color="auto"/>
              <w:right w:val="nil"/>
            </w:tcBorders>
            <w:shd w:val="clear" w:color="auto" w:fill="auto"/>
            <w:noWrap/>
            <w:vAlign w:val="center"/>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w:t>
            </w:r>
          </w:p>
        </w:tc>
      </w:tr>
      <w:tr w:rsidR="00E85E65" w:rsidRPr="00BF7627" w:rsidTr="00BF7627">
        <w:trPr>
          <w:trHeight w:val="284"/>
        </w:trPr>
        <w:tc>
          <w:tcPr>
            <w:tcW w:w="3402"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left"/>
              <w:rPr>
                <w:rFonts w:ascii="Arial Narrow" w:hAnsi="Arial Narrow" w:cs="Arial"/>
                <w:lang w:val="es-ES" w:eastAsia="es-ES"/>
              </w:rPr>
            </w:pPr>
            <w:r w:rsidRPr="00BF7627">
              <w:rPr>
                <w:rFonts w:ascii="Arial Narrow" w:hAnsi="Arial Narrow" w:cs="Arial"/>
                <w:lang w:val="es-ES" w:eastAsia="es-ES"/>
              </w:rPr>
              <w:t xml:space="preserve">Estudio opciones urbanísticas nueva </w:t>
            </w:r>
            <w:r w:rsidR="00BF7627">
              <w:rPr>
                <w:rFonts w:ascii="Arial Narrow" w:hAnsi="Arial Narrow" w:cs="Arial"/>
                <w:lang w:val="es-ES" w:eastAsia="es-ES"/>
              </w:rPr>
              <w:t xml:space="preserve">      </w:t>
            </w:r>
            <w:r w:rsidRPr="00BF7627">
              <w:rPr>
                <w:rFonts w:ascii="Arial Narrow" w:hAnsi="Arial Narrow" w:cs="Arial"/>
                <w:lang w:val="es-ES" w:eastAsia="es-ES"/>
              </w:rPr>
              <w:t>estación de tren</w:t>
            </w:r>
          </w:p>
        </w:tc>
        <w:tc>
          <w:tcPr>
            <w:tcW w:w="1418"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100</w:t>
            </w:r>
          </w:p>
        </w:tc>
        <w:tc>
          <w:tcPr>
            <w:tcW w:w="1417"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-50</w:t>
            </w:r>
          </w:p>
        </w:tc>
        <w:tc>
          <w:tcPr>
            <w:tcW w:w="1207" w:type="dxa"/>
            <w:tcBorders>
              <w:top w:val="single" w:sz="2" w:space="0" w:color="auto"/>
              <w:left w:val="nil"/>
              <w:bottom w:val="single" w:sz="2"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50</w:t>
            </w:r>
          </w:p>
        </w:tc>
        <w:tc>
          <w:tcPr>
            <w:tcW w:w="1345" w:type="dxa"/>
            <w:tcBorders>
              <w:top w:val="single" w:sz="2" w:space="0" w:color="auto"/>
              <w:left w:val="nil"/>
              <w:bottom w:val="single" w:sz="2" w:space="0" w:color="auto"/>
              <w:right w:val="nil"/>
            </w:tcBorders>
            <w:shd w:val="clear" w:color="auto" w:fill="auto"/>
            <w:noWrap/>
            <w:vAlign w:val="center"/>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w:t>
            </w:r>
          </w:p>
        </w:tc>
      </w:tr>
      <w:tr w:rsidR="00E85E65" w:rsidRPr="00BF7627" w:rsidTr="00BF7627">
        <w:trPr>
          <w:trHeight w:val="284"/>
        </w:trPr>
        <w:tc>
          <w:tcPr>
            <w:tcW w:w="3402" w:type="dxa"/>
            <w:tcBorders>
              <w:top w:val="single" w:sz="2" w:space="0" w:color="auto"/>
              <w:left w:val="nil"/>
              <w:bottom w:val="single" w:sz="4" w:space="0" w:color="auto"/>
              <w:right w:val="nil"/>
            </w:tcBorders>
            <w:shd w:val="clear" w:color="auto" w:fill="auto"/>
            <w:noWrap/>
            <w:vAlign w:val="center"/>
            <w:hideMark/>
          </w:tcPr>
          <w:p w:rsidR="00A0706E" w:rsidRPr="00BF7627" w:rsidRDefault="00A0706E" w:rsidP="00BF7627">
            <w:pPr>
              <w:spacing w:after="0"/>
              <w:ind w:firstLine="0"/>
              <w:jc w:val="left"/>
              <w:rPr>
                <w:rFonts w:ascii="Arial Narrow" w:hAnsi="Arial Narrow" w:cs="Arial"/>
                <w:lang w:val="es-ES" w:eastAsia="es-ES"/>
              </w:rPr>
            </w:pPr>
            <w:r w:rsidRPr="00BF7627">
              <w:rPr>
                <w:rFonts w:ascii="Arial Narrow" w:hAnsi="Arial Narrow" w:cs="Arial"/>
                <w:lang w:val="es-ES" w:eastAsia="es-ES"/>
              </w:rPr>
              <w:t>Expropiaciones de terrenos para el tren de alta velocidad</w:t>
            </w:r>
          </w:p>
        </w:tc>
        <w:tc>
          <w:tcPr>
            <w:tcW w:w="1418" w:type="dxa"/>
            <w:tcBorders>
              <w:top w:val="single" w:sz="2" w:space="0" w:color="auto"/>
              <w:left w:val="nil"/>
              <w:bottom w:val="single" w:sz="4"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6</w:t>
            </w:r>
          </w:p>
        </w:tc>
        <w:tc>
          <w:tcPr>
            <w:tcW w:w="1417" w:type="dxa"/>
            <w:tcBorders>
              <w:top w:val="single" w:sz="2" w:space="0" w:color="auto"/>
              <w:left w:val="nil"/>
              <w:bottom w:val="single" w:sz="4" w:space="0" w:color="auto"/>
              <w:right w:val="nil"/>
            </w:tcBorders>
            <w:shd w:val="clear" w:color="auto" w:fill="auto"/>
            <w:noWrap/>
            <w:vAlign w:val="center"/>
            <w:hideMark/>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w:t>
            </w:r>
          </w:p>
        </w:tc>
        <w:tc>
          <w:tcPr>
            <w:tcW w:w="1207" w:type="dxa"/>
            <w:tcBorders>
              <w:top w:val="single" w:sz="2" w:space="0" w:color="auto"/>
              <w:left w:val="nil"/>
              <w:bottom w:val="single" w:sz="4" w:space="0" w:color="auto"/>
              <w:right w:val="nil"/>
            </w:tcBorders>
            <w:shd w:val="clear" w:color="auto" w:fill="auto"/>
            <w:noWrap/>
            <w:vAlign w:val="center"/>
            <w:hideMark/>
          </w:tcPr>
          <w:p w:rsidR="00A0706E" w:rsidRPr="00BF7627" w:rsidRDefault="00A0706E"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6</w:t>
            </w:r>
          </w:p>
        </w:tc>
        <w:tc>
          <w:tcPr>
            <w:tcW w:w="1345" w:type="dxa"/>
            <w:tcBorders>
              <w:top w:val="single" w:sz="2" w:space="0" w:color="auto"/>
              <w:left w:val="nil"/>
              <w:bottom w:val="single" w:sz="4" w:space="0" w:color="auto"/>
              <w:right w:val="nil"/>
            </w:tcBorders>
            <w:shd w:val="clear" w:color="auto" w:fill="auto"/>
            <w:noWrap/>
            <w:vAlign w:val="center"/>
            <w:hideMark/>
          </w:tcPr>
          <w:p w:rsidR="00A0706E" w:rsidRPr="00BF7627" w:rsidRDefault="00E85E65"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1,91</w:t>
            </w:r>
          </w:p>
        </w:tc>
      </w:tr>
      <w:tr w:rsidR="00E947D2" w:rsidRPr="00A0706E" w:rsidTr="00BF7627">
        <w:trPr>
          <w:trHeight w:val="284"/>
        </w:trPr>
        <w:tc>
          <w:tcPr>
            <w:tcW w:w="3402" w:type="dxa"/>
            <w:tcBorders>
              <w:top w:val="single" w:sz="4" w:space="0" w:color="auto"/>
              <w:left w:val="nil"/>
              <w:bottom w:val="single" w:sz="4" w:space="0" w:color="auto"/>
              <w:right w:val="nil"/>
            </w:tcBorders>
            <w:shd w:val="clear" w:color="auto" w:fill="ACCBF9" w:themeFill="background2"/>
            <w:noWrap/>
            <w:vAlign w:val="center"/>
            <w:hideMark/>
          </w:tcPr>
          <w:p w:rsidR="00A0706E" w:rsidRPr="00A0706E" w:rsidRDefault="00E85E65" w:rsidP="00BF7627">
            <w:pPr>
              <w:pStyle w:val="cuadroCabe"/>
              <w:tabs>
                <w:tab w:val="clear" w:pos="3969"/>
                <w:tab w:val="clear" w:pos="5103"/>
              </w:tabs>
              <w:jc w:val="left"/>
              <w:rPr>
                <w:rFonts w:cs="Arial"/>
              </w:rPr>
            </w:pPr>
            <w:r w:rsidRPr="00E85E65">
              <w:rPr>
                <w:rFonts w:cs="Arial"/>
              </w:rPr>
              <w:t>Total TAV (agosto de 2016)</w:t>
            </w:r>
          </w:p>
        </w:tc>
        <w:tc>
          <w:tcPr>
            <w:tcW w:w="1418" w:type="dxa"/>
            <w:tcBorders>
              <w:top w:val="single" w:sz="4" w:space="0" w:color="auto"/>
              <w:left w:val="nil"/>
              <w:bottom w:val="single" w:sz="4" w:space="0" w:color="auto"/>
              <w:right w:val="nil"/>
            </w:tcBorders>
            <w:shd w:val="clear" w:color="auto" w:fill="ACCBF9" w:themeFill="background2"/>
            <w:noWrap/>
            <w:vAlign w:val="center"/>
            <w:hideMark/>
          </w:tcPr>
          <w:p w:rsidR="00A0706E" w:rsidRPr="00A0706E" w:rsidRDefault="00A0706E" w:rsidP="00BF7627">
            <w:pPr>
              <w:spacing w:after="0"/>
              <w:ind w:firstLine="0"/>
              <w:jc w:val="right"/>
              <w:rPr>
                <w:rFonts w:ascii="Arial" w:hAnsi="Arial" w:cs="Arial"/>
                <w:spacing w:val="6"/>
                <w:sz w:val="18"/>
                <w:szCs w:val="24"/>
              </w:rPr>
            </w:pPr>
            <w:r w:rsidRPr="00A0706E">
              <w:rPr>
                <w:rFonts w:ascii="Arial" w:hAnsi="Arial" w:cs="Arial"/>
                <w:spacing w:val="6"/>
                <w:sz w:val="18"/>
                <w:szCs w:val="24"/>
              </w:rPr>
              <w:t>1.041</w:t>
            </w:r>
          </w:p>
        </w:tc>
        <w:tc>
          <w:tcPr>
            <w:tcW w:w="1417" w:type="dxa"/>
            <w:tcBorders>
              <w:top w:val="single" w:sz="4" w:space="0" w:color="auto"/>
              <w:left w:val="nil"/>
              <w:bottom w:val="single" w:sz="4" w:space="0" w:color="auto"/>
              <w:right w:val="nil"/>
            </w:tcBorders>
            <w:shd w:val="clear" w:color="auto" w:fill="ACCBF9" w:themeFill="background2"/>
            <w:noWrap/>
            <w:vAlign w:val="center"/>
            <w:hideMark/>
          </w:tcPr>
          <w:p w:rsidR="00A0706E" w:rsidRPr="00A0706E" w:rsidRDefault="00A0706E" w:rsidP="00BF7627">
            <w:pPr>
              <w:spacing w:after="0"/>
              <w:ind w:firstLine="0"/>
              <w:jc w:val="right"/>
              <w:rPr>
                <w:rFonts w:ascii="Arial" w:hAnsi="Arial" w:cs="Arial"/>
                <w:spacing w:val="6"/>
                <w:sz w:val="18"/>
                <w:szCs w:val="24"/>
              </w:rPr>
            </w:pPr>
            <w:r w:rsidRPr="00A0706E">
              <w:rPr>
                <w:rFonts w:ascii="Arial" w:hAnsi="Arial" w:cs="Arial"/>
                <w:spacing w:val="6"/>
                <w:sz w:val="18"/>
                <w:szCs w:val="24"/>
              </w:rPr>
              <w:t>-12</w:t>
            </w:r>
            <w:r w:rsidR="00E85E65" w:rsidRPr="00E947D2">
              <w:rPr>
                <w:rFonts w:ascii="Arial" w:hAnsi="Arial" w:cs="Arial"/>
                <w:spacing w:val="6"/>
                <w:sz w:val="18"/>
                <w:szCs w:val="24"/>
              </w:rPr>
              <w:t>4</w:t>
            </w:r>
          </w:p>
        </w:tc>
        <w:tc>
          <w:tcPr>
            <w:tcW w:w="1207" w:type="dxa"/>
            <w:tcBorders>
              <w:top w:val="single" w:sz="4" w:space="0" w:color="auto"/>
              <w:left w:val="nil"/>
              <w:bottom w:val="single" w:sz="4" w:space="0" w:color="auto"/>
              <w:right w:val="nil"/>
            </w:tcBorders>
            <w:shd w:val="clear" w:color="auto" w:fill="ACCBF9" w:themeFill="background2"/>
            <w:noWrap/>
            <w:vAlign w:val="center"/>
            <w:hideMark/>
          </w:tcPr>
          <w:p w:rsidR="00A0706E" w:rsidRPr="00A0706E" w:rsidRDefault="00A0706E" w:rsidP="00BF7627">
            <w:pPr>
              <w:spacing w:after="0"/>
              <w:ind w:firstLine="0"/>
              <w:jc w:val="right"/>
              <w:rPr>
                <w:rFonts w:ascii="Arial" w:hAnsi="Arial" w:cs="Arial"/>
                <w:spacing w:val="6"/>
                <w:sz w:val="18"/>
                <w:szCs w:val="24"/>
              </w:rPr>
            </w:pPr>
            <w:r w:rsidRPr="00A0706E">
              <w:rPr>
                <w:rFonts w:ascii="Arial" w:hAnsi="Arial" w:cs="Arial"/>
                <w:spacing w:val="6"/>
                <w:sz w:val="18"/>
                <w:szCs w:val="24"/>
              </w:rPr>
              <w:t>917</w:t>
            </w:r>
          </w:p>
        </w:tc>
        <w:tc>
          <w:tcPr>
            <w:tcW w:w="1345" w:type="dxa"/>
            <w:tcBorders>
              <w:top w:val="single" w:sz="4" w:space="0" w:color="auto"/>
              <w:left w:val="nil"/>
              <w:bottom w:val="single" w:sz="4" w:space="0" w:color="auto"/>
              <w:right w:val="nil"/>
            </w:tcBorders>
            <w:shd w:val="clear" w:color="auto" w:fill="ACCBF9" w:themeFill="background2"/>
            <w:noWrap/>
            <w:vAlign w:val="center"/>
            <w:hideMark/>
          </w:tcPr>
          <w:p w:rsidR="00A0706E" w:rsidRPr="00A0706E" w:rsidRDefault="00E85E65" w:rsidP="00BF7627">
            <w:pPr>
              <w:spacing w:after="0"/>
              <w:ind w:firstLine="0"/>
              <w:jc w:val="right"/>
              <w:rPr>
                <w:rFonts w:ascii="Arial" w:hAnsi="Arial" w:cs="Arial"/>
                <w:spacing w:val="6"/>
                <w:sz w:val="18"/>
                <w:szCs w:val="24"/>
              </w:rPr>
            </w:pPr>
            <w:r w:rsidRPr="00E947D2">
              <w:rPr>
                <w:rFonts w:ascii="Arial" w:hAnsi="Arial" w:cs="Arial"/>
                <w:spacing w:val="6"/>
                <w:sz w:val="18"/>
                <w:szCs w:val="24"/>
              </w:rPr>
              <w:t>1,</w:t>
            </w:r>
            <w:r w:rsidR="00A0706E" w:rsidRPr="00A0706E">
              <w:rPr>
                <w:rFonts w:ascii="Arial" w:hAnsi="Arial" w:cs="Arial"/>
                <w:spacing w:val="6"/>
                <w:sz w:val="18"/>
                <w:szCs w:val="24"/>
              </w:rPr>
              <w:t>9</w:t>
            </w:r>
            <w:r w:rsidRPr="00E947D2">
              <w:rPr>
                <w:rFonts w:ascii="Arial" w:hAnsi="Arial" w:cs="Arial"/>
                <w:spacing w:val="6"/>
                <w:sz w:val="18"/>
                <w:szCs w:val="24"/>
              </w:rPr>
              <w:t>1</w:t>
            </w:r>
          </w:p>
        </w:tc>
      </w:tr>
    </w:tbl>
    <w:p w:rsidR="00DE5D11" w:rsidRPr="0024711E" w:rsidRDefault="00E947D2" w:rsidP="0024711E">
      <w:pPr>
        <w:pStyle w:val="texto"/>
        <w:tabs>
          <w:tab w:val="clear" w:pos="2835"/>
          <w:tab w:val="clear" w:pos="3969"/>
          <w:tab w:val="clear" w:pos="5103"/>
          <w:tab w:val="clear" w:pos="6237"/>
          <w:tab w:val="clear" w:pos="7371"/>
        </w:tabs>
        <w:spacing w:before="240"/>
        <w:rPr>
          <w:szCs w:val="26"/>
        </w:rPr>
      </w:pPr>
      <w:r w:rsidRPr="00A0407B">
        <w:rPr>
          <w:szCs w:val="26"/>
        </w:rPr>
        <w:t>Como se observa, no consta dotación para obras de construcción de la plat</w:t>
      </w:r>
      <w:r w:rsidRPr="00A0407B">
        <w:rPr>
          <w:szCs w:val="26"/>
        </w:rPr>
        <w:t>a</w:t>
      </w:r>
      <w:r w:rsidRPr="00A0407B">
        <w:rPr>
          <w:szCs w:val="26"/>
        </w:rPr>
        <w:t>forma y se incorporan dos partidas para estudios tanto de la conexión con la Y vasca como de opciones urbanísticas para la nueva estación de Pamplona.</w:t>
      </w:r>
    </w:p>
    <w:p w:rsidR="001C3AD6" w:rsidRPr="009729B8" w:rsidRDefault="001C3AD6" w:rsidP="00325074">
      <w:pPr>
        <w:pStyle w:val="atitulo3"/>
        <w:rPr>
          <w:color w:val="auto"/>
        </w:rPr>
      </w:pPr>
      <w:r w:rsidRPr="009729B8">
        <w:rPr>
          <w:color w:val="auto"/>
        </w:rPr>
        <w:t>Inversiones ejecutadas por ADIF-Alta Velocidad</w:t>
      </w:r>
      <w:r w:rsidR="00DE5D11" w:rsidRPr="009729B8">
        <w:rPr>
          <w:color w:val="auto"/>
        </w:rPr>
        <w:t xml:space="preserve"> en el corredor navarro</w:t>
      </w:r>
    </w:p>
    <w:p w:rsidR="008A1988" w:rsidRPr="008A1988" w:rsidRDefault="00DE5D11" w:rsidP="008A1988">
      <w:pPr>
        <w:pStyle w:val="texto"/>
        <w:tabs>
          <w:tab w:val="clear" w:pos="2835"/>
          <w:tab w:val="clear" w:pos="3969"/>
          <w:tab w:val="clear" w:pos="5103"/>
          <w:tab w:val="clear" w:pos="6237"/>
          <w:tab w:val="clear" w:pos="7371"/>
        </w:tabs>
        <w:rPr>
          <w:szCs w:val="26"/>
        </w:rPr>
      </w:pPr>
      <w:r w:rsidRPr="009729B8">
        <w:rPr>
          <w:szCs w:val="26"/>
        </w:rPr>
        <w:t>La Cámara de Comptos solicitó a la entidad pública ADIF-Alta Velocidad información detallada de los gastos e inversiones efectuadas en el tramo nav</w:t>
      </w:r>
      <w:r w:rsidRPr="009729B8">
        <w:rPr>
          <w:szCs w:val="26"/>
        </w:rPr>
        <w:t>a</w:t>
      </w:r>
      <w:r w:rsidRPr="009729B8">
        <w:rPr>
          <w:szCs w:val="26"/>
        </w:rPr>
        <w:t>rro de alta velocidad. A la fecha de redacción de este informe, no hemos recib</w:t>
      </w:r>
      <w:r w:rsidRPr="009729B8">
        <w:rPr>
          <w:szCs w:val="26"/>
        </w:rPr>
        <w:t>i</w:t>
      </w:r>
      <w:r w:rsidRPr="009729B8">
        <w:rPr>
          <w:szCs w:val="26"/>
        </w:rPr>
        <w:t>do contestación a tal solicitud.</w:t>
      </w:r>
    </w:p>
    <w:p w:rsidR="000B770E" w:rsidRPr="00757C0A" w:rsidRDefault="000F0638" w:rsidP="000F0638">
      <w:pPr>
        <w:pStyle w:val="atitulo2"/>
      </w:pPr>
      <w:bookmarkStart w:id="24" w:name="_Toc467480856"/>
      <w:r>
        <w:lastRenderedPageBreak/>
        <w:t xml:space="preserve">IV.2. </w:t>
      </w:r>
      <w:r w:rsidR="000B770E">
        <w:t>Gastos conformados y reintegros a favor del Gobierno de Navarra</w:t>
      </w:r>
      <w:r w:rsidR="00757C0A">
        <w:t xml:space="preserve"> en el t</w:t>
      </w:r>
      <w:r w:rsidR="00E7748F">
        <w:t>ramo Castejón-Comarca de Pamplona</w:t>
      </w:r>
      <w:bookmarkEnd w:id="24"/>
    </w:p>
    <w:p w:rsidR="00325074" w:rsidRDefault="00325074" w:rsidP="002B4431">
      <w:pPr>
        <w:pStyle w:val="atitulo3"/>
        <w:spacing w:after="120"/>
      </w:pPr>
      <w:r>
        <w:t>Gastos conformados y reintegros</w:t>
      </w:r>
    </w:p>
    <w:p w:rsidR="00C6131E" w:rsidRDefault="008C1B76" w:rsidP="00FF4C8C">
      <w:pPr>
        <w:pStyle w:val="texto"/>
        <w:tabs>
          <w:tab w:val="clear" w:pos="2835"/>
          <w:tab w:val="clear" w:pos="3969"/>
          <w:tab w:val="clear" w:pos="5103"/>
          <w:tab w:val="clear" w:pos="6237"/>
          <w:tab w:val="clear" w:pos="7371"/>
          <w:tab w:val="num" w:pos="300"/>
        </w:tabs>
        <w:spacing w:after="120"/>
        <w:rPr>
          <w:szCs w:val="26"/>
        </w:rPr>
      </w:pPr>
      <w:r w:rsidRPr="00A0407B">
        <w:rPr>
          <w:szCs w:val="26"/>
        </w:rPr>
        <w:t>Atendiendo a las cláusulas del Convenio regulador del tramo Castejón- C</w:t>
      </w:r>
      <w:r w:rsidRPr="00A0407B">
        <w:rPr>
          <w:szCs w:val="26"/>
        </w:rPr>
        <w:t>o</w:t>
      </w:r>
      <w:r w:rsidRPr="00A0407B">
        <w:rPr>
          <w:szCs w:val="26"/>
        </w:rPr>
        <w:t>marca de Pamplona, los gastos realizados y financiados por el Gobierno de N</w:t>
      </w:r>
      <w:r w:rsidRPr="00A0407B">
        <w:rPr>
          <w:szCs w:val="26"/>
        </w:rPr>
        <w:t>a</w:t>
      </w:r>
      <w:r w:rsidRPr="00A0407B">
        <w:rPr>
          <w:szCs w:val="26"/>
        </w:rPr>
        <w:t>varra en el periodo de 2011 a 2014, una vez conformados, ser</w:t>
      </w:r>
      <w:r w:rsidR="00031B45" w:rsidRPr="00A0407B">
        <w:rPr>
          <w:szCs w:val="26"/>
        </w:rPr>
        <w:t>ían</w:t>
      </w:r>
      <w:r w:rsidRPr="00A0407B">
        <w:rPr>
          <w:szCs w:val="26"/>
        </w:rPr>
        <w:t xml:space="preserve"> reintegrados por el Estado, de acuerdo con el siguiente calendario:</w:t>
      </w:r>
    </w:p>
    <w:p w:rsidR="00361B56" w:rsidRPr="00A0407B" w:rsidRDefault="00361B56" w:rsidP="00361B56">
      <w:pPr>
        <w:pStyle w:val="texto"/>
        <w:tabs>
          <w:tab w:val="clear" w:pos="2835"/>
          <w:tab w:val="clear" w:pos="3969"/>
          <w:tab w:val="clear" w:pos="5103"/>
          <w:tab w:val="clear" w:pos="6237"/>
          <w:tab w:val="clear" w:pos="7371"/>
          <w:tab w:val="num" w:pos="300"/>
        </w:tabs>
        <w:spacing w:after="0"/>
        <w:jc w:val="right"/>
        <w:rPr>
          <w:szCs w:val="26"/>
        </w:rPr>
      </w:pPr>
      <w:r w:rsidRPr="00B14DF7">
        <w:rPr>
          <w:rFonts w:ascii="Arial Narrow" w:hAnsi="Arial Narrow"/>
          <w:sz w:val="18"/>
          <w:szCs w:val="18"/>
          <w:lang w:val="es-ES"/>
        </w:rPr>
        <w:t>(Millones de euros)</w:t>
      </w:r>
    </w:p>
    <w:tbl>
      <w:tblPr>
        <w:tblW w:w="9031" w:type="dxa"/>
        <w:jc w:val="center"/>
        <w:tblInd w:w="-216"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482"/>
        <w:gridCol w:w="690"/>
        <w:gridCol w:w="702"/>
        <w:gridCol w:w="665"/>
        <w:gridCol w:w="833"/>
        <w:gridCol w:w="665"/>
        <w:gridCol w:w="664"/>
        <w:gridCol w:w="665"/>
        <w:gridCol w:w="665"/>
      </w:tblGrid>
      <w:tr w:rsidR="003010E9" w:rsidRPr="00E351AE" w:rsidTr="00FF4C8C">
        <w:trPr>
          <w:trHeight w:val="284"/>
          <w:jc w:val="center"/>
        </w:trPr>
        <w:tc>
          <w:tcPr>
            <w:tcW w:w="3482"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FF4C8C">
            <w:pPr>
              <w:pStyle w:val="cuadroCabe"/>
              <w:tabs>
                <w:tab w:val="clear" w:pos="2835"/>
                <w:tab w:val="clear" w:pos="3969"/>
              </w:tabs>
              <w:ind w:right="-25"/>
              <w:jc w:val="left"/>
              <w:rPr>
                <w:rFonts w:cs="Arial"/>
              </w:rPr>
            </w:pPr>
            <w:r>
              <w:rPr>
                <w:rFonts w:cs="Arial"/>
              </w:rPr>
              <w:t>Tramo Castejón-Comarca Pamplona</w:t>
            </w:r>
          </w:p>
        </w:tc>
        <w:tc>
          <w:tcPr>
            <w:tcW w:w="690"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Total</w:t>
            </w:r>
          </w:p>
        </w:tc>
        <w:tc>
          <w:tcPr>
            <w:tcW w:w="702"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2011</w:t>
            </w:r>
          </w:p>
        </w:tc>
        <w:tc>
          <w:tcPr>
            <w:tcW w:w="665"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2012</w:t>
            </w:r>
          </w:p>
        </w:tc>
        <w:tc>
          <w:tcPr>
            <w:tcW w:w="833"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2013</w:t>
            </w:r>
          </w:p>
        </w:tc>
        <w:tc>
          <w:tcPr>
            <w:tcW w:w="665"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2014</w:t>
            </w:r>
          </w:p>
        </w:tc>
        <w:tc>
          <w:tcPr>
            <w:tcW w:w="664"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2015</w:t>
            </w:r>
          </w:p>
        </w:tc>
        <w:tc>
          <w:tcPr>
            <w:tcW w:w="665"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2016</w:t>
            </w:r>
          </w:p>
        </w:tc>
        <w:tc>
          <w:tcPr>
            <w:tcW w:w="665" w:type="dxa"/>
            <w:tcBorders>
              <w:top w:val="single" w:sz="4" w:space="0" w:color="auto"/>
              <w:bottom w:val="single" w:sz="4" w:space="0" w:color="auto"/>
            </w:tcBorders>
            <w:shd w:val="clear" w:color="auto" w:fill="A8CBEE" w:themeFill="accent2" w:themeFillTint="66"/>
            <w:noWrap/>
            <w:vAlign w:val="center"/>
          </w:tcPr>
          <w:p w:rsidR="003010E9" w:rsidRPr="00E351AE" w:rsidRDefault="003010E9" w:rsidP="00361B56">
            <w:pPr>
              <w:pStyle w:val="cuadroCabe"/>
              <w:jc w:val="right"/>
              <w:rPr>
                <w:rFonts w:cs="Arial"/>
              </w:rPr>
            </w:pPr>
            <w:r w:rsidRPr="00E351AE">
              <w:rPr>
                <w:rFonts w:cs="Arial"/>
              </w:rPr>
              <w:t>2017</w:t>
            </w:r>
          </w:p>
        </w:tc>
      </w:tr>
      <w:tr w:rsidR="003010E9" w:rsidRPr="00BF7627" w:rsidTr="00FF4C8C">
        <w:trPr>
          <w:trHeight w:val="284"/>
          <w:jc w:val="center"/>
        </w:trPr>
        <w:tc>
          <w:tcPr>
            <w:tcW w:w="3482" w:type="dxa"/>
            <w:tcBorders>
              <w:top w:val="single" w:sz="4" w:space="0" w:color="auto"/>
              <w:bottom w:val="single" w:sz="4" w:space="0" w:color="auto"/>
            </w:tcBorders>
            <w:shd w:val="clear" w:color="auto" w:fill="auto"/>
            <w:noWrap/>
            <w:vAlign w:val="center"/>
          </w:tcPr>
          <w:p w:rsidR="003010E9" w:rsidRPr="00BF7627" w:rsidRDefault="003010E9" w:rsidP="00FF4C8C">
            <w:pPr>
              <w:spacing w:after="0"/>
              <w:ind w:right="-25" w:firstLine="0"/>
              <w:jc w:val="left"/>
              <w:rPr>
                <w:rFonts w:ascii="Arial Narrow" w:hAnsi="Arial Narrow" w:cs="Arial"/>
                <w:lang w:val="es-ES" w:eastAsia="es-ES"/>
              </w:rPr>
            </w:pPr>
            <w:r w:rsidRPr="00BF7627">
              <w:rPr>
                <w:rFonts w:ascii="Arial Narrow" w:hAnsi="Arial Narrow" w:cs="Arial"/>
                <w:lang w:val="es-ES" w:eastAsia="es-ES"/>
              </w:rPr>
              <w:t xml:space="preserve">Previsiones </w:t>
            </w:r>
            <w:r w:rsidR="00802816" w:rsidRPr="00BF7627">
              <w:rPr>
                <w:rFonts w:ascii="Arial Narrow" w:hAnsi="Arial Narrow" w:cs="Arial"/>
                <w:lang w:val="es-ES" w:eastAsia="es-ES"/>
              </w:rPr>
              <w:t>g</w:t>
            </w:r>
            <w:r w:rsidRPr="00BF7627">
              <w:rPr>
                <w:rFonts w:ascii="Arial Narrow" w:hAnsi="Arial Narrow" w:cs="Arial"/>
                <w:lang w:val="es-ES" w:eastAsia="es-ES"/>
              </w:rPr>
              <w:t>asto adelantado Go</w:t>
            </w:r>
            <w:r w:rsidR="00BF7627">
              <w:rPr>
                <w:rFonts w:ascii="Arial Narrow" w:hAnsi="Arial Narrow" w:cs="Arial"/>
                <w:lang w:val="es-ES" w:eastAsia="es-ES"/>
              </w:rPr>
              <w:t>b.</w:t>
            </w:r>
            <w:r w:rsidRPr="00BF7627">
              <w:rPr>
                <w:rFonts w:ascii="Arial Narrow" w:hAnsi="Arial Narrow" w:cs="Arial"/>
                <w:lang w:val="es-ES" w:eastAsia="es-ES"/>
              </w:rPr>
              <w:t xml:space="preserve"> Na</w:t>
            </w:r>
            <w:r w:rsidR="0042319A">
              <w:rPr>
                <w:rFonts w:ascii="Arial Narrow" w:hAnsi="Arial Narrow" w:cs="Arial"/>
                <w:lang w:val="es-ES" w:eastAsia="es-ES"/>
              </w:rPr>
              <w:t>varra</w:t>
            </w:r>
          </w:p>
        </w:tc>
        <w:tc>
          <w:tcPr>
            <w:tcW w:w="690"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387,65</w:t>
            </w:r>
          </w:p>
        </w:tc>
        <w:tc>
          <w:tcPr>
            <w:tcW w:w="702"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43,25</w:t>
            </w:r>
          </w:p>
        </w:tc>
        <w:tc>
          <w:tcPr>
            <w:tcW w:w="665"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134,00</w:t>
            </w:r>
          </w:p>
        </w:tc>
        <w:tc>
          <w:tcPr>
            <w:tcW w:w="833"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139,05</w:t>
            </w:r>
          </w:p>
        </w:tc>
        <w:tc>
          <w:tcPr>
            <w:tcW w:w="665"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71,35</w:t>
            </w:r>
          </w:p>
        </w:tc>
        <w:tc>
          <w:tcPr>
            <w:tcW w:w="664"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p>
        </w:tc>
        <w:tc>
          <w:tcPr>
            <w:tcW w:w="665"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p>
        </w:tc>
        <w:tc>
          <w:tcPr>
            <w:tcW w:w="665" w:type="dxa"/>
            <w:tcBorders>
              <w:top w:val="single" w:sz="4" w:space="0" w:color="auto"/>
              <w:bottom w:val="single" w:sz="4" w:space="0" w:color="auto"/>
            </w:tcBorders>
            <w:shd w:val="clear" w:color="auto" w:fill="auto"/>
            <w:noWrap/>
            <w:vAlign w:val="center"/>
          </w:tcPr>
          <w:p w:rsidR="003010E9" w:rsidRPr="00BF7627" w:rsidRDefault="003010E9" w:rsidP="00BF7627">
            <w:pPr>
              <w:spacing w:after="0"/>
              <w:ind w:firstLine="0"/>
              <w:jc w:val="right"/>
              <w:rPr>
                <w:rFonts w:ascii="Arial Narrow" w:hAnsi="Arial Narrow" w:cs="Arial"/>
                <w:lang w:val="es-ES" w:eastAsia="es-ES"/>
              </w:rPr>
            </w:pPr>
          </w:p>
        </w:tc>
      </w:tr>
      <w:tr w:rsidR="003010E9" w:rsidRPr="00FF4C8C" w:rsidTr="00FF4C8C">
        <w:trPr>
          <w:trHeight w:val="284"/>
          <w:jc w:val="center"/>
        </w:trPr>
        <w:tc>
          <w:tcPr>
            <w:tcW w:w="3482" w:type="dxa"/>
            <w:tcBorders>
              <w:top w:val="single" w:sz="4" w:space="0" w:color="auto"/>
              <w:bottom w:val="single" w:sz="2" w:space="0" w:color="auto"/>
            </w:tcBorders>
            <w:shd w:val="clear" w:color="auto" w:fill="auto"/>
            <w:noWrap/>
            <w:vAlign w:val="center"/>
          </w:tcPr>
          <w:p w:rsidR="003010E9" w:rsidRPr="00FF4C8C" w:rsidRDefault="003010E9" w:rsidP="00FF4C8C">
            <w:pPr>
              <w:spacing w:after="0"/>
              <w:ind w:right="-25" w:firstLine="0"/>
              <w:jc w:val="left"/>
              <w:rPr>
                <w:rFonts w:ascii="Arial Narrow" w:hAnsi="Arial Narrow" w:cs="Arial"/>
                <w:lang w:val="es-ES" w:eastAsia="es-ES"/>
              </w:rPr>
            </w:pPr>
            <w:r w:rsidRPr="00FF4C8C">
              <w:rPr>
                <w:rFonts w:ascii="Arial Narrow" w:hAnsi="Arial Narrow" w:cs="Arial"/>
                <w:lang w:val="es-ES" w:eastAsia="es-ES"/>
              </w:rPr>
              <w:t>Reintegro</w:t>
            </w:r>
            <w:r w:rsidR="00FC46E6" w:rsidRPr="00FF4C8C">
              <w:rPr>
                <w:rFonts w:ascii="Arial Narrow" w:hAnsi="Arial Narrow" w:cs="Arial"/>
                <w:lang w:val="es-ES" w:eastAsia="es-ES"/>
              </w:rPr>
              <w:t xml:space="preserve"> previsto</w:t>
            </w:r>
            <w:r w:rsidRPr="00FF4C8C">
              <w:rPr>
                <w:rFonts w:ascii="Arial Narrow" w:hAnsi="Arial Narrow" w:cs="Arial"/>
                <w:lang w:val="es-ES" w:eastAsia="es-ES"/>
              </w:rPr>
              <w:t xml:space="preserve"> ADIF</w:t>
            </w:r>
          </w:p>
        </w:tc>
        <w:tc>
          <w:tcPr>
            <w:tcW w:w="690"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387,65</w:t>
            </w:r>
          </w:p>
        </w:tc>
        <w:tc>
          <w:tcPr>
            <w:tcW w:w="702"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 </w:t>
            </w:r>
          </w:p>
        </w:tc>
        <w:tc>
          <w:tcPr>
            <w:tcW w:w="665"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 </w:t>
            </w:r>
          </w:p>
        </w:tc>
        <w:tc>
          <w:tcPr>
            <w:tcW w:w="833"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10,00</w:t>
            </w:r>
          </w:p>
        </w:tc>
        <w:tc>
          <w:tcPr>
            <w:tcW w:w="665"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25,65</w:t>
            </w:r>
          </w:p>
        </w:tc>
        <w:tc>
          <w:tcPr>
            <w:tcW w:w="664"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30,00</w:t>
            </w:r>
          </w:p>
        </w:tc>
        <w:tc>
          <w:tcPr>
            <w:tcW w:w="665"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170,00</w:t>
            </w:r>
          </w:p>
        </w:tc>
        <w:tc>
          <w:tcPr>
            <w:tcW w:w="665" w:type="dxa"/>
            <w:tcBorders>
              <w:top w:val="single" w:sz="4" w:space="0" w:color="auto"/>
              <w:bottom w:val="single" w:sz="2" w:space="0" w:color="auto"/>
            </w:tcBorders>
            <w:shd w:val="clear" w:color="auto" w:fill="auto"/>
            <w:noWrap/>
            <w:vAlign w:val="center"/>
          </w:tcPr>
          <w:p w:rsidR="003010E9" w:rsidRPr="00FF4C8C" w:rsidRDefault="003010E9" w:rsidP="00BF7627">
            <w:pPr>
              <w:spacing w:after="0"/>
              <w:ind w:firstLine="0"/>
              <w:jc w:val="right"/>
              <w:rPr>
                <w:rFonts w:ascii="Arial Narrow" w:hAnsi="Arial Narrow" w:cs="Arial"/>
                <w:lang w:val="es-ES" w:eastAsia="es-ES"/>
              </w:rPr>
            </w:pPr>
            <w:r w:rsidRPr="00FF4C8C">
              <w:rPr>
                <w:rFonts w:ascii="Arial Narrow" w:hAnsi="Arial Narrow" w:cs="Arial"/>
                <w:lang w:val="es-ES" w:eastAsia="es-ES"/>
              </w:rPr>
              <w:t>152,00</w:t>
            </w:r>
          </w:p>
        </w:tc>
      </w:tr>
    </w:tbl>
    <w:p w:rsidR="00781716" w:rsidRPr="00A0407B" w:rsidRDefault="00682425" w:rsidP="00BF7627">
      <w:pPr>
        <w:pStyle w:val="texto"/>
        <w:tabs>
          <w:tab w:val="clear" w:pos="2835"/>
          <w:tab w:val="clear" w:pos="3969"/>
          <w:tab w:val="clear" w:pos="5103"/>
          <w:tab w:val="clear" w:pos="6237"/>
          <w:tab w:val="clear" w:pos="7371"/>
          <w:tab w:val="num" w:pos="300"/>
        </w:tabs>
        <w:spacing w:before="240"/>
        <w:rPr>
          <w:szCs w:val="26"/>
        </w:rPr>
      </w:pPr>
      <w:r w:rsidRPr="00A0407B">
        <w:rPr>
          <w:szCs w:val="26"/>
        </w:rPr>
        <w:t>Para proceder a tal reintegro, el Convenio señala que la Subcomisión Técn</w:t>
      </w:r>
      <w:r w:rsidRPr="00A0407B">
        <w:rPr>
          <w:szCs w:val="26"/>
        </w:rPr>
        <w:t>i</w:t>
      </w:r>
      <w:r w:rsidRPr="00A0407B">
        <w:rPr>
          <w:szCs w:val="26"/>
        </w:rPr>
        <w:t>ca constituida para su seguimiento debe conformar las certificaciones de obra y resto de gastos.</w:t>
      </w:r>
    </w:p>
    <w:p w:rsidR="00663B14" w:rsidRPr="00A0407B" w:rsidRDefault="00663B14" w:rsidP="00682425">
      <w:pPr>
        <w:pStyle w:val="texto"/>
        <w:tabs>
          <w:tab w:val="clear" w:pos="2835"/>
          <w:tab w:val="clear" w:pos="3969"/>
          <w:tab w:val="clear" w:pos="5103"/>
          <w:tab w:val="clear" w:pos="6237"/>
          <w:tab w:val="clear" w:pos="7371"/>
          <w:tab w:val="num" w:pos="300"/>
        </w:tabs>
        <w:rPr>
          <w:szCs w:val="26"/>
        </w:rPr>
      </w:pPr>
      <w:r w:rsidRPr="00A0407B">
        <w:rPr>
          <w:szCs w:val="26"/>
        </w:rPr>
        <w:t>Hasta la fecha, la citada Subcomisión ha emitido los siguientes informes de conformidad:</w:t>
      </w:r>
    </w:p>
    <w:p w:rsidR="00663B14" w:rsidRPr="00A0407B" w:rsidRDefault="00663B14" w:rsidP="005B754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mayo de 2011, la Subcomisión Técnica elaboró un primer Informe de certificaciones correspondiente a los ejercicios de 2009-2010 en el que mostr</w:t>
      </w:r>
      <w:r w:rsidRPr="00A0407B">
        <w:rPr>
          <w:szCs w:val="26"/>
        </w:rPr>
        <w:t>a</w:t>
      </w:r>
      <w:r w:rsidRPr="00A0407B">
        <w:rPr>
          <w:szCs w:val="26"/>
        </w:rPr>
        <w:t xml:space="preserve">ba su conformidad y aprobaba las certificaciones abonadas por el Gobierno de Navarra en dicho periodo por un importe de 5,28 millones. </w:t>
      </w:r>
    </w:p>
    <w:p w:rsidR="00663B14" w:rsidRPr="00FF4C8C" w:rsidRDefault="00663B14" w:rsidP="005B754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pacing w:val="2"/>
          <w:szCs w:val="26"/>
        </w:rPr>
      </w:pPr>
      <w:r w:rsidRPr="00FF4C8C">
        <w:rPr>
          <w:spacing w:val="2"/>
          <w:szCs w:val="26"/>
        </w:rPr>
        <w:t>En marzo de 2014,</w:t>
      </w:r>
      <w:r w:rsidR="00BB4146" w:rsidRPr="00FF4C8C">
        <w:rPr>
          <w:spacing w:val="2"/>
          <w:szCs w:val="26"/>
        </w:rPr>
        <w:t xml:space="preserve"> la Subcomisión </w:t>
      </w:r>
      <w:r w:rsidRPr="00FF4C8C">
        <w:rPr>
          <w:spacing w:val="2"/>
          <w:szCs w:val="26"/>
        </w:rPr>
        <w:t>da su conformidad a las certificaciones r</w:t>
      </w:r>
      <w:r w:rsidRPr="00FF4C8C">
        <w:rPr>
          <w:spacing w:val="2"/>
          <w:szCs w:val="26"/>
        </w:rPr>
        <w:t>e</w:t>
      </w:r>
      <w:r w:rsidRPr="00FF4C8C">
        <w:rPr>
          <w:spacing w:val="2"/>
          <w:szCs w:val="26"/>
        </w:rPr>
        <w:t>lativas a los ejercicios de 2011 y 2012 en un informe que contiene también lo ya certificado con anterioridad, resultando un importe acumulado de 23,54</w:t>
      </w:r>
      <w:bookmarkStart w:id="25" w:name="tm_385746187"/>
      <w:r w:rsidRPr="00FF4C8C">
        <w:rPr>
          <w:spacing w:val="2"/>
          <w:szCs w:val="26"/>
        </w:rPr>
        <w:t xml:space="preserve"> millones.</w:t>
      </w:r>
      <w:bookmarkEnd w:id="25"/>
      <w:r w:rsidRPr="00FF4C8C">
        <w:rPr>
          <w:spacing w:val="2"/>
          <w:szCs w:val="26"/>
        </w:rPr>
        <w:t xml:space="preserve"> </w:t>
      </w:r>
    </w:p>
    <w:p w:rsidR="00663B14" w:rsidRPr="00A0407B" w:rsidRDefault="00663B14" w:rsidP="005B754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octubre de 2014,</w:t>
      </w:r>
      <w:r w:rsidR="00BB4146" w:rsidRPr="00A0407B">
        <w:rPr>
          <w:szCs w:val="26"/>
        </w:rPr>
        <w:t xml:space="preserve"> la Subcomisión </w:t>
      </w:r>
      <w:r w:rsidRPr="00A0407B">
        <w:rPr>
          <w:szCs w:val="26"/>
        </w:rPr>
        <w:t>emite informe de conformidad de ce</w:t>
      </w:r>
      <w:r w:rsidRPr="00A0407B">
        <w:rPr>
          <w:szCs w:val="26"/>
        </w:rPr>
        <w:t>r</w:t>
      </w:r>
      <w:r w:rsidRPr="00A0407B">
        <w:rPr>
          <w:szCs w:val="26"/>
        </w:rPr>
        <w:t>tificaciones a fecha 31</w:t>
      </w:r>
      <w:r w:rsidR="00E3534E">
        <w:rPr>
          <w:szCs w:val="26"/>
        </w:rPr>
        <w:t xml:space="preserve"> de diciembre de 2013</w:t>
      </w:r>
      <w:r w:rsidRPr="00A0407B">
        <w:rPr>
          <w:szCs w:val="26"/>
        </w:rPr>
        <w:t>, que recoge lo ya certificado ant</w:t>
      </w:r>
      <w:r w:rsidRPr="00A0407B">
        <w:rPr>
          <w:szCs w:val="26"/>
        </w:rPr>
        <w:t>e</w:t>
      </w:r>
      <w:r w:rsidRPr="00A0407B">
        <w:rPr>
          <w:szCs w:val="26"/>
        </w:rPr>
        <w:t>riormente, por un importe acumulado de 52,39 millones.</w:t>
      </w:r>
    </w:p>
    <w:p w:rsidR="00BB4146" w:rsidRDefault="00663B14" w:rsidP="00FF4C8C">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spacing w:after="120"/>
        <w:ind w:left="0" w:firstLine="289"/>
        <w:rPr>
          <w:spacing w:val="0"/>
          <w:szCs w:val="26"/>
        </w:rPr>
      </w:pPr>
      <w:r w:rsidRPr="002B4431">
        <w:rPr>
          <w:spacing w:val="0"/>
          <w:szCs w:val="26"/>
        </w:rPr>
        <w:t xml:space="preserve">En </w:t>
      </w:r>
      <w:r w:rsidR="00BB4146" w:rsidRPr="005B7543">
        <w:rPr>
          <w:szCs w:val="26"/>
        </w:rPr>
        <w:t>febrero</w:t>
      </w:r>
      <w:r w:rsidR="00BB4146" w:rsidRPr="002B4431">
        <w:rPr>
          <w:spacing w:val="0"/>
          <w:szCs w:val="26"/>
        </w:rPr>
        <w:t xml:space="preserve"> de 2015, se</w:t>
      </w:r>
      <w:r w:rsidRPr="002B4431">
        <w:rPr>
          <w:spacing w:val="0"/>
          <w:szCs w:val="26"/>
        </w:rPr>
        <w:t xml:space="preserve"> emite</w:t>
      </w:r>
      <w:r w:rsidR="003945A7" w:rsidRPr="002B4431">
        <w:rPr>
          <w:spacing w:val="0"/>
          <w:szCs w:val="26"/>
        </w:rPr>
        <w:t xml:space="preserve"> </w:t>
      </w:r>
      <w:r w:rsidRPr="002B4431">
        <w:rPr>
          <w:spacing w:val="0"/>
          <w:szCs w:val="26"/>
        </w:rPr>
        <w:t xml:space="preserve">informe </w:t>
      </w:r>
      <w:r w:rsidR="003945A7" w:rsidRPr="002B4431">
        <w:rPr>
          <w:spacing w:val="0"/>
          <w:szCs w:val="26"/>
        </w:rPr>
        <w:t xml:space="preserve">de </w:t>
      </w:r>
      <w:r w:rsidRPr="002B4431">
        <w:rPr>
          <w:spacing w:val="0"/>
          <w:szCs w:val="26"/>
        </w:rPr>
        <w:t xml:space="preserve">conformidad </w:t>
      </w:r>
      <w:r w:rsidR="003945A7" w:rsidRPr="002B4431">
        <w:rPr>
          <w:spacing w:val="0"/>
          <w:szCs w:val="26"/>
        </w:rPr>
        <w:t>sobre</w:t>
      </w:r>
      <w:r w:rsidRPr="002B4431">
        <w:rPr>
          <w:spacing w:val="0"/>
          <w:szCs w:val="26"/>
        </w:rPr>
        <w:t xml:space="preserve"> certificaciones a fecha </w:t>
      </w:r>
      <w:r w:rsidR="00BB4146" w:rsidRPr="002B4431">
        <w:rPr>
          <w:spacing w:val="0"/>
          <w:szCs w:val="26"/>
        </w:rPr>
        <w:t>de 31 de diciembre de 2014,</w:t>
      </w:r>
      <w:r w:rsidRPr="002B4431">
        <w:rPr>
          <w:spacing w:val="0"/>
          <w:szCs w:val="26"/>
        </w:rPr>
        <w:t xml:space="preserve"> que recoge el importe total de las certificaciones en los ejercicios 2009</w:t>
      </w:r>
      <w:r w:rsidR="00B14DF7">
        <w:rPr>
          <w:spacing w:val="0"/>
          <w:szCs w:val="26"/>
        </w:rPr>
        <w:t xml:space="preserve"> a 2014 </w:t>
      </w:r>
      <w:r w:rsidR="00BB4146" w:rsidRPr="002B4431">
        <w:rPr>
          <w:spacing w:val="0"/>
          <w:szCs w:val="26"/>
        </w:rPr>
        <w:t>de acuerdo con el siguiente cuadro</w:t>
      </w:r>
      <w:r w:rsidR="002B4431" w:rsidRPr="002B4431">
        <w:rPr>
          <w:spacing w:val="0"/>
          <w:szCs w:val="26"/>
        </w:rPr>
        <w:t>:</w:t>
      </w:r>
    </w:p>
    <w:p w:rsidR="00B14DF7" w:rsidRPr="00B14DF7" w:rsidRDefault="00B14DF7" w:rsidP="00B14DF7">
      <w:pPr>
        <w:tabs>
          <w:tab w:val="left" w:pos="480"/>
          <w:tab w:val="num" w:pos="4920"/>
        </w:tabs>
        <w:spacing w:after="40"/>
        <w:ind w:firstLine="284"/>
        <w:jc w:val="right"/>
        <w:rPr>
          <w:rFonts w:ascii="Arial Narrow" w:hAnsi="Arial Narrow"/>
          <w:spacing w:val="6"/>
          <w:sz w:val="18"/>
          <w:szCs w:val="18"/>
          <w:lang w:val="es-ES"/>
        </w:rPr>
      </w:pPr>
      <w:r w:rsidRPr="00B14DF7">
        <w:rPr>
          <w:rFonts w:ascii="Arial Narrow" w:hAnsi="Arial Narrow"/>
          <w:spacing w:val="6"/>
          <w:sz w:val="18"/>
          <w:szCs w:val="18"/>
          <w:lang w:val="es-ES"/>
        </w:rPr>
        <w:t>(Mil</w:t>
      </w:r>
      <w:r>
        <w:rPr>
          <w:rFonts w:ascii="Arial Narrow" w:hAnsi="Arial Narrow"/>
          <w:spacing w:val="6"/>
          <w:sz w:val="18"/>
          <w:szCs w:val="18"/>
          <w:lang w:val="es-ES"/>
        </w:rPr>
        <w:t>e</w:t>
      </w:r>
      <w:r w:rsidRPr="00B14DF7">
        <w:rPr>
          <w:rFonts w:ascii="Arial Narrow" w:hAnsi="Arial Narrow"/>
          <w:spacing w:val="6"/>
          <w:sz w:val="18"/>
          <w:szCs w:val="18"/>
          <w:lang w:val="es-ES"/>
        </w:rPr>
        <w:t>s de euros)</w:t>
      </w:r>
    </w:p>
    <w:tbl>
      <w:tblPr>
        <w:tblW w:w="8874"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994"/>
        <w:gridCol w:w="1737"/>
        <w:gridCol w:w="1506"/>
        <w:gridCol w:w="1532"/>
        <w:gridCol w:w="1105"/>
      </w:tblGrid>
      <w:tr w:rsidR="00663B14" w:rsidTr="00B14DF7">
        <w:trPr>
          <w:trHeight w:val="284"/>
          <w:jc w:val="center"/>
        </w:trPr>
        <w:tc>
          <w:tcPr>
            <w:tcW w:w="2994" w:type="dxa"/>
            <w:tcBorders>
              <w:top w:val="single" w:sz="4" w:space="0" w:color="auto"/>
              <w:bottom w:val="single" w:sz="4" w:space="0" w:color="auto"/>
            </w:tcBorders>
            <w:shd w:val="clear" w:color="auto" w:fill="A8CBEE" w:themeFill="accent2" w:themeFillTint="66"/>
            <w:noWrap/>
            <w:vAlign w:val="center"/>
            <w:hideMark/>
          </w:tcPr>
          <w:p w:rsidR="00663B14" w:rsidRPr="00BB4146" w:rsidRDefault="00BB4146" w:rsidP="00BF7627">
            <w:pPr>
              <w:pStyle w:val="cuadroCabe"/>
              <w:jc w:val="left"/>
              <w:rPr>
                <w:rFonts w:cs="Arial"/>
              </w:rPr>
            </w:pPr>
            <w:r w:rsidRPr="00BB4146">
              <w:rPr>
                <w:rFonts w:cs="Arial"/>
              </w:rPr>
              <w:t>Informes conformidad</w:t>
            </w:r>
          </w:p>
        </w:tc>
        <w:tc>
          <w:tcPr>
            <w:tcW w:w="1737" w:type="dxa"/>
            <w:tcBorders>
              <w:top w:val="single" w:sz="4" w:space="0" w:color="auto"/>
              <w:bottom w:val="single" w:sz="4" w:space="0" w:color="auto"/>
            </w:tcBorders>
            <w:shd w:val="clear" w:color="auto" w:fill="A8CBEE" w:themeFill="accent2" w:themeFillTint="66"/>
            <w:vAlign w:val="center"/>
            <w:hideMark/>
          </w:tcPr>
          <w:p w:rsidR="00663B14" w:rsidRPr="00BB4146" w:rsidRDefault="00BB4146" w:rsidP="00BF7627">
            <w:pPr>
              <w:pStyle w:val="cuadroCabe"/>
              <w:jc w:val="right"/>
              <w:rPr>
                <w:rFonts w:cs="Arial"/>
              </w:rPr>
            </w:pPr>
            <w:r w:rsidRPr="00BB4146">
              <w:rPr>
                <w:rFonts w:cs="Arial"/>
              </w:rPr>
              <w:t>Proyectos, asist</w:t>
            </w:r>
            <w:r w:rsidR="00BF7627">
              <w:rPr>
                <w:rFonts w:cs="Arial"/>
              </w:rPr>
              <w:t>.</w:t>
            </w:r>
            <w:r w:rsidRPr="00BB4146">
              <w:rPr>
                <w:rFonts w:cs="Arial"/>
              </w:rPr>
              <w:t xml:space="preserve"> técnica y dirección</w:t>
            </w:r>
          </w:p>
        </w:tc>
        <w:tc>
          <w:tcPr>
            <w:tcW w:w="1506" w:type="dxa"/>
            <w:tcBorders>
              <w:top w:val="single" w:sz="4" w:space="0" w:color="auto"/>
              <w:bottom w:val="single" w:sz="4" w:space="0" w:color="auto"/>
            </w:tcBorders>
            <w:shd w:val="clear" w:color="auto" w:fill="A8CBEE" w:themeFill="accent2" w:themeFillTint="66"/>
            <w:vAlign w:val="center"/>
            <w:hideMark/>
          </w:tcPr>
          <w:p w:rsidR="00663B14" w:rsidRPr="00BB4146" w:rsidRDefault="00663B14" w:rsidP="00BF7627">
            <w:pPr>
              <w:pStyle w:val="cuadroCabe"/>
              <w:jc w:val="right"/>
              <w:rPr>
                <w:rFonts w:cs="Arial"/>
              </w:rPr>
            </w:pPr>
            <w:r w:rsidRPr="00BB4146">
              <w:rPr>
                <w:rFonts w:cs="Arial"/>
              </w:rPr>
              <w:t>E</w:t>
            </w:r>
            <w:r w:rsidR="00BB4146" w:rsidRPr="00BB4146">
              <w:rPr>
                <w:rFonts w:cs="Arial"/>
              </w:rPr>
              <w:t>xpropiaciones</w:t>
            </w:r>
          </w:p>
        </w:tc>
        <w:tc>
          <w:tcPr>
            <w:tcW w:w="1532" w:type="dxa"/>
            <w:tcBorders>
              <w:top w:val="single" w:sz="4" w:space="0" w:color="auto"/>
              <w:bottom w:val="single" w:sz="4" w:space="0" w:color="auto"/>
            </w:tcBorders>
            <w:shd w:val="clear" w:color="auto" w:fill="A8CBEE" w:themeFill="accent2" w:themeFillTint="66"/>
            <w:vAlign w:val="center"/>
            <w:hideMark/>
          </w:tcPr>
          <w:p w:rsidR="00663B14" w:rsidRPr="00BB4146" w:rsidRDefault="00BB4146" w:rsidP="00BF7627">
            <w:pPr>
              <w:pStyle w:val="cuadroCabe"/>
              <w:jc w:val="right"/>
              <w:rPr>
                <w:rFonts w:cs="Arial"/>
              </w:rPr>
            </w:pPr>
            <w:r w:rsidRPr="00BB4146">
              <w:rPr>
                <w:rFonts w:cs="Arial"/>
              </w:rPr>
              <w:t>Ejecución obras</w:t>
            </w:r>
          </w:p>
        </w:tc>
        <w:tc>
          <w:tcPr>
            <w:tcW w:w="1105" w:type="dxa"/>
            <w:tcBorders>
              <w:top w:val="single" w:sz="4" w:space="0" w:color="auto"/>
              <w:bottom w:val="single" w:sz="4" w:space="0" w:color="auto"/>
            </w:tcBorders>
            <w:shd w:val="clear" w:color="auto" w:fill="A8CBEE" w:themeFill="accent2" w:themeFillTint="66"/>
            <w:vAlign w:val="center"/>
            <w:hideMark/>
          </w:tcPr>
          <w:p w:rsidR="00BB4146" w:rsidRDefault="00BB4146" w:rsidP="00BF7627">
            <w:pPr>
              <w:pStyle w:val="cuadroCabe"/>
              <w:jc w:val="right"/>
              <w:rPr>
                <w:rFonts w:cs="Arial"/>
              </w:rPr>
            </w:pPr>
            <w:r w:rsidRPr="00BB4146">
              <w:rPr>
                <w:rFonts w:cs="Arial"/>
              </w:rPr>
              <w:t>Total</w:t>
            </w:r>
          </w:p>
          <w:p w:rsidR="00663B14" w:rsidRPr="00BB4146" w:rsidRDefault="00BB4146" w:rsidP="00BF7627">
            <w:pPr>
              <w:pStyle w:val="cuadroCabe"/>
              <w:jc w:val="right"/>
              <w:rPr>
                <w:rFonts w:cs="Arial"/>
              </w:rPr>
            </w:pPr>
            <w:r w:rsidRPr="00BB4146">
              <w:rPr>
                <w:rFonts w:cs="Arial"/>
              </w:rPr>
              <w:t>(</w:t>
            </w:r>
            <w:r>
              <w:rPr>
                <w:rFonts w:cs="Arial"/>
              </w:rPr>
              <w:t>IVA</w:t>
            </w:r>
            <w:r w:rsidRPr="00BB4146">
              <w:rPr>
                <w:rFonts w:cs="Arial"/>
              </w:rPr>
              <w:t xml:space="preserve"> inc)</w:t>
            </w:r>
          </w:p>
        </w:tc>
      </w:tr>
      <w:tr w:rsidR="00663B14" w:rsidRPr="00BF7627" w:rsidTr="00B14DF7">
        <w:trPr>
          <w:trHeight w:val="284"/>
          <w:jc w:val="center"/>
        </w:trPr>
        <w:tc>
          <w:tcPr>
            <w:tcW w:w="2994" w:type="dxa"/>
            <w:tcBorders>
              <w:top w:val="single" w:sz="4" w:space="0" w:color="auto"/>
            </w:tcBorders>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2009</w:t>
            </w:r>
          </w:p>
        </w:tc>
        <w:tc>
          <w:tcPr>
            <w:tcW w:w="1737" w:type="dxa"/>
            <w:tcBorders>
              <w:top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228</w:t>
            </w:r>
          </w:p>
        </w:tc>
        <w:tc>
          <w:tcPr>
            <w:tcW w:w="1506" w:type="dxa"/>
            <w:tcBorders>
              <w:top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 </w:t>
            </w:r>
          </w:p>
        </w:tc>
        <w:tc>
          <w:tcPr>
            <w:tcW w:w="1532" w:type="dxa"/>
            <w:tcBorders>
              <w:top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 </w:t>
            </w:r>
          </w:p>
        </w:tc>
        <w:tc>
          <w:tcPr>
            <w:tcW w:w="1105" w:type="dxa"/>
            <w:tcBorders>
              <w:top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228</w:t>
            </w:r>
          </w:p>
        </w:tc>
      </w:tr>
      <w:tr w:rsidR="00663B14" w:rsidRPr="00BF7627" w:rsidTr="00B14DF7">
        <w:trPr>
          <w:trHeight w:val="284"/>
          <w:jc w:val="center"/>
        </w:trPr>
        <w:tc>
          <w:tcPr>
            <w:tcW w:w="2994" w:type="dxa"/>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2010</w:t>
            </w:r>
          </w:p>
        </w:tc>
        <w:tc>
          <w:tcPr>
            <w:tcW w:w="1737"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5.05</w:t>
            </w:r>
            <w:r w:rsidR="00BB4146" w:rsidRPr="00BF7627">
              <w:rPr>
                <w:rFonts w:ascii="Arial Narrow" w:hAnsi="Arial Narrow" w:cs="Arial"/>
                <w:lang w:val="es-ES" w:eastAsia="es-ES"/>
              </w:rPr>
              <w:t>1</w:t>
            </w:r>
          </w:p>
        </w:tc>
        <w:tc>
          <w:tcPr>
            <w:tcW w:w="1506" w:type="dxa"/>
            <w:noWrap/>
            <w:vAlign w:val="center"/>
            <w:hideMark/>
          </w:tcPr>
          <w:p w:rsidR="00663B14" w:rsidRPr="00BF7627" w:rsidRDefault="00663B14" w:rsidP="00BF7627">
            <w:pPr>
              <w:spacing w:after="0"/>
              <w:ind w:firstLine="0"/>
              <w:jc w:val="right"/>
              <w:rPr>
                <w:rFonts w:ascii="Arial Narrow" w:hAnsi="Arial Narrow" w:cs="Arial"/>
                <w:lang w:val="es-ES" w:eastAsia="es-ES"/>
              </w:rPr>
            </w:pPr>
          </w:p>
        </w:tc>
        <w:tc>
          <w:tcPr>
            <w:tcW w:w="1532" w:type="dxa"/>
            <w:noWrap/>
            <w:vAlign w:val="center"/>
            <w:hideMark/>
          </w:tcPr>
          <w:p w:rsidR="00663B14" w:rsidRPr="00BF7627" w:rsidRDefault="00663B14" w:rsidP="00BF7627">
            <w:pPr>
              <w:spacing w:after="0"/>
              <w:ind w:firstLine="0"/>
              <w:jc w:val="right"/>
              <w:rPr>
                <w:rFonts w:ascii="Arial Narrow" w:hAnsi="Arial Narrow" w:cs="Arial"/>
                <w:lang w:val="es-ES" w:eastAsia="es-ES"/>
              </w:rPr>
            </w:pPr>
          </w:p>
        </w:tc>
        <w:tc>
          <w:tcPr>
            <w:tcW w:w="1105"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5.05</w:t>
            </w:r>
            <w:r w:rsidR="00BB4146" w:rsidRPr="00BF7627">
              <w:rPr>
                <w:rFonts w:ascii="Arial Narrow" w:hAnsi="Arial Narrow" w:cs="Arial"/>
                <w:lang w:val="es-ES" w:eastAsia="es-ES"/>
              </w:rPr>
              <w:t>1</w:t>
            </w:r>
          </w:p>
        </w:tc>
      </w:tr>
      <w:tr w:rsidR="00663B14" w:rsidRPr="00BF7627" w:rsidTr="00B14DF7">
        <w:trPr>
          <w:trHeight w:val="284"/>
          <w:jc w:val="center"/>
        </w:trPr>
        <w:tc>
          <w:tcPr>
            <w:tcW w:w="2994" w:type="dxa"/>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2011</w:t>
            </w:r>
          </w:p>
        </w:tc>
        <w:tc>
          <w:tcPr>
            <w:tcW w:w="1737"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757</w:t>
            </w:r>
          </w:p>
        </w:tc>
        <w:tc>
          <w:tcPr>
            <w:tcW w:w="1506"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289</w:t>
            </w:r>
          </w:p>
        </w:tc>
        <w:tc>
          <w:tcPr>
            <w:tcW w:w="1532"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161</w:t>
            </w:r>
          </w:p>
        </w:tc>
        <w:tc>
          <w:tcPr>
            <w:tcW w:w="1105"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1.20</w:t>
            </w:r>
            <w:r w:rsidR="00BB4146" w:rsidRPr="00BF7627">
              <w:rPr>
                <w:rFonts w:ascii="Arial Narrow" w:hAnsi="Arial Narrow" w:cs="Arial"/>
                <w:lang w:val="es-ES" w:eastAsia="es-ES"/>
              </w:rPr>
              <w:t>8</w:t>
            </w:r>
          </w:p>
        </w:tc>
      </w:tr>
      <w:tr w:rsidR="00663B14" w:rsidRPr="00BF7627" w:rsidTr="00B14DF7">
        <w:trPr>
          <w:trHeight w:val="284"/>
          <w:jc w:val="center"/>
        </w:trPr>
        <w:tc>
          <w:tcPr>
            <w:tcW w:w="2994" w:type="dxa"/>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2012</w:t>
            </w:r>
          </w:p>
        </w:tc>
        <w:tc>
          <w:tcPr>
            <w:tcW w:w="1737"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1.06</w:t>
            </w:r>
            <w:r w:rsidR="00BB4146" w:rsidRPr="00BF7627">
              <w:rPr>
                <w:rFonts w:ascii="Arial Narrow" w:hAnsi="Arial Narrow" w:cs="Arial"/>
                <w:lang w:val="es-ES" w:eastAsia="es-ES"/>
              </w:rPr>
              <w:t>2</w:t>
            </w:r>
          </w:p>
        </w:tc>
        <w:tc>
          <w:tcPr>
            <w:tcW w:w="1506"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4.10</w:t>
            </w:r>
            <w:r w:rsidR="00BB4146" w:rsidRPr="00BF7627">
              <w:rPr>
                <w:rFonts w:ascii="Arial Narrow" w:hAnsi="Arial Narrow" w:cs="Arial"/>
                <w:lang w:val="es-ES" w:eastAsia="es-ES"/>
              </w:rPr>
              <w:t>1</w:t>
            </w:r>
          </w:p>
        </w:tc>
        <w:tc>
          <w:tcPr>
            <w:tcW w:w="1532"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11.88</w:t>
            </w:r>
            <w:r w:rsidR="00BB4146" w:rsidRPr="00BF7627">
              <w:rPr>
                <w:rFonts w:ascii="Arial Narrow" w:hAnsi="Arial Narrow" w:cs="Arial"/>
                <w:lang w:val="es-ES" w:eastAsia="es-ES"/>
              </w:rPr>
              <w:t>8</w:t>
            </w:r>
          </w:p>
        </w:tc>
        <w:tc>
          <w:tcPr>
            <w:tcW w:w="1105"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17.050</w:t>
            </w:r>
          </w:p>
        </w:tc>
      </w:tr>
      <w:tr w:rsidR="00663B14" w:rsidRPr="00BF7627" w:rsidTr="00B14DF7">
        <w:trPr>
          <w:trHeight w:val="284"/>
          <w:jc w:val="center"/>
        </w:trPr>
        <w:tc>
          <w:tcPr>
            <w:tcW w:w="2994" w:type="dxa"/>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2013</w:t>
            </w:r>
          </w:p>
        </w:tc>
        <w:tc>
          <w:tcPr>
            <w:tcW w:w="1737"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796</w:t>
            </w:r>
          </w:p>
        </w:tc>
        <w:tc>
          <w:tcPr>
            <w:tcW w:w="1506"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2.711</w:t>
            </w:r>
          </w:p>
        </w:tc>
        <w:tc>
          <w:tcPr>
            <w:tcW w:w="1532"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25.34</w:t>
            </w:r>
            <w:r w:rsidR="00BB4146" w:rsidRPr="00BF7627">
              <w:rPr>
                <w:rFonts w:ascii="Arial Narrow" w:hAnsi="Arial Narrow" w:cs="Arial"/>
                <w:lang w:val="es-ES" w:eastAsia="es-ES"/>
              </w:rPr>
              <w:t>3</w:t>
            </w:r>
          </w:p>
        </w:tc>
        <w:tc>
          <w:tcPr>
            <w:tcW w:w="1105" w:type="dxa"/>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28.8</w:t>
            </w:r>
            <w:r w:rsidR="00BB4146" w:rsidRPr="00BF7627">
              <w:rPr>
                <w:rFonts w:ascii="Arial Narrow" w:hAnsi="Arial Narrow" w:cs="Arial"/>
                <w:lang w:val="es-ES" w:eastAsia="es-ES"/>
              </w:rPr>
              <w:t>50</w:t>
            </w:r>
          </w:p>
        </w:tc>
      </w:tr>
      <w:tr w:rsidR="00663B14" w:rsidRPr="00BF7627" w:rsidTr="00B14DF7">
        <w:trPr>
          <w:trHeight w:val="284"/>
          <w:jc w:val="center"/>
        </w:trPr>
        <w:tc>
          <w:tcPr>
            <w:tcW w:w="2994" w:type="dxa"/>
            <w:tcBorders>
              <w:bottom w:val="single" w:sz="4" w:space="0" w:color="auto"/>
            </w:tcBorders>
            <w:noWrap/>
            <w:vAlign w:val="center"/>
            <w:hideMark/>
          </w:tcPr>
          <w:p w:rsidR="00663B14" w:rsidRPr="00BF7627" w:rsidRDefault="00BB4146" w:rsidP="00BB4146">
            <w:pPr>
              <w:spacing w:after="0"/>
              <w:ind w:firstLine="0"/>
              <w:jc w:val="left"/>
              <w:rPr>
                <w:rFonts w:ascii="Arial Narrow" w:hAnsi="Arial Narrow" w:cs="Arial"/>
                <w:lang w:val="es-ES" w:eastAsia="es-ES"/>
              </w:rPr>
            </w:pPr>
            <w:r w:rsidRPr="00BF7627">
              <w:rPr>
                <w:rFonts w:ascii="Arial Narrow" w:hAnsi="Arial Narrow" w:cs="Arial"/>
                <w:lang w:val="es-ES" w:eastAsia="es-ES"/>
              </w:rPr>
              <w:t>Año 2014</w:t>
            </w:r>
          </w:p>
        </w:tc>
        <w:tc>
          <w:tcPr>
            <w:tcW w:w="1737" w:type="dxa"/>
            <w:tcBorders>
              <w:bottom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66</w:t>
            </w:r>
            <w:r w:rsidR="00BB4146" w:rsidRPr="00BF7627">
              <w:rPr>
                <w:rFonts w:ascii="Arial Narrow" w:hAnsi="Arial Narrow" w:cs="Arial"/>
                <w:lang w:val="es-ES" w:eastAsia="es-ES"/>
              </w:rPr>
              <w:t>5</w:t>
            </w:r>
          </w:p>
        </w:tc>
        <w:tc>
          <w:tcPr>
            <w:tcW w:w="1506" w:type="dxa"/>
            <w:tcBorders>
              <w:bottom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124</w:t>
            </w:r>
          </w:p>
        </w:tc>
        <w:tc>
          <w:tcPr>
            <w:tcW w:w="1532" w:type="dxa"/>
            <w:tcBorders>
              <w:bottom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18.333</w:t>
            </w:r>
          </w:p>
        </w:tc>
        <w:tc>
          <w:tcPr>
            <w:tcW w:w="1105" w:type="dxa"/>
            <w:tcBorders>
              <w:bottom w:val="single" w:sz="4" w:space="0" w:color="auto"/>
            </w:tcBorders>
            <w:noWrap/>
            <w:vAlign w:val="center"/>
            <w:hideMark/>
          </w:tcPr>
          <w:p w:rsidR="00663B14" w:rsidRPr="00BF7627" w:rsidRDefault="00663B14" w:rsidP="00BF7627">
            <w:pPr>
              <w:spacing w:after="0"/>
              <w:ind w:firstLine="0"/>
              <w:jc w:val="right"/>
              <w:rPr>
                <w:rFonts w:ascii="Arial Narrow" w:hAnsi="Arial Narrow" w:cs="Arial"/>
                <w:lang w:val="es-ES" w:eastAsia="es-ES"/>
              </w:rPr>
            </w:pPr>
            <w:r w:rsidRPr="00BF7627">
              <w:rPr>
                <w:rFonts w:ascii="Arial Narrow" w:hAnsi="Arial Narrow" w:cs="Arial"/>
                <w:lang w:val="es-ES" w:eastAsia="es-ES"/>
              </w:rPr>
              <w:t>19.122</w:t>
            </w:r>
          </w:p>
        </w:tc>
      </w:tr>
      <w:tr w:rsidR="00663B14" w:rsidRPr="00CA6587" w:rsidTr="00B14DF7">
        <w:trPr>
          <w:trHeight w:val="284"/>
          <w:jc w:val="center"/>
        </w:trPr>
        <w:tc>
          <w:tcPr>
            <w:tcW w:w="2994" w:type="dxa"/>
            <w:tcBorders>
              <w:top w:val="single" w:sz="4" w:space="0" w:color="auto"/>
              <w:bottom w:val="single" w:sz="4" w:space="0" w:color="auto"/>
            </w:tcBorders>
            <w:shd w:val="clear" w:color="auto" w:fill="ACCBF9" w:themeFill="background2"/>
            <w:noWrap/>
            <w:vAlign w:val="center"/>
            <w:hideMark/>
          </w:tcPr>
          <w:p w:rsidR="00663B14" w:rsidRPr="00CA6587" w:rsidRDefault="00CA6587" w:rsidP="00B14DF7">
            <w:pPr>
              <w:pStyle w:val="cuadroCabe"/>
              <w:jc w:val="left"/>
              <w:rPr>
                <w:rFonts w:cs="Arial"/>
              </w:rPr>
            </w:pPr>
            <w:r>
              <w:rPr>
                <w:rFonts w:cs="Arial"/>
              </w:rPr>
              <w:t>Total</w:t>
            </w:r>
            <w:r w:rsidR="00BB4146" w:rsidRPr="00CA6587">
              <w:rPr>
                <w:rFonts w:cs="Arial"/>
              </w:rPr>
              <w:t xml:space="preserve"> conformidad </w:t>
            </w:r>
            <w:r>
              <w:rPr>
                <w:rFonts w:cs="Arial"/>
              </w:rPr>
              <w:t xml:space="preserve">Febrero </w:t>
            </w:r>
            <w:r w:rsidR="00BB4146" w:rsidRPr="00CA6587">
              <w:rPr>
                <w:rFonts w:cs="Arial"/>
              </w:rPr>
              <w:t>2015</w:t>
            </w:r>
          </w:p>
        </w:tc>
        <w:tc>
          <w:tcPr>
            <w:tcW w:w="1737" w:type="dxa"/>
            <w:tcBorders>
              <w:top w:val="single" w:sz="4" w:space="0" w:color="auto"/>
              <w:bottom w:val="single" w:sz="4" w:space="0" w:color="auto"/>
            </w:tcBorders>
            <w:shd w:val="clear" w:color="auto" w:fill="ACCBF9" w:themeFill="background2"/>
            <w:noWrap/>
            <w:vAlign w:val="center"/>
            <w:hideMark/>
          </w:tcPr>
          <w:p w:rsidR="00663B14" w:rsidRPr="00CA6587" w:rsidRDefault="00663B14" w:rsidP="00BF7627">
            <w:pPr>
              <w:pStyle w:val="cuadroCabe"/>
              <w:jc w:val="right"/>
              <w:rPr>
                <w:rFonts w:cs="Arial"/>
              </w:rPr>
            </w:pPr>
            <w:r w:rsidRPr="00CA6587">
              <w:rPr>
                <w:rFonts w:cs="Arial"/>
              </w:rPr>
              <w:t>8.559</w:t>
            </w:r>
          </w:p>
        </w:tc>
        <w:tc>
          <w:tcPr>
            <w:tcW w:w="1506" w:type="dxa"/>
            <w:tcBorders>
              <w:top w:val="single" w:sz="4" w:space="0" w:color="auto"/>
              <w:bottom w:val="single" w:sz="4" w:space="0" w:color="auto"/>
            </w:tcBorders>
            <w:shd w:val="clear" w:color="auto" w:fill="ACCBF9" w:themeFill="background2"/>
            <w:noWrap/>
            <w:vAlign w:val="center"/>
            <w:hideMark/>
          </w:tcPr>
          <w:p w:rsidR="00663B14" w:rsidRPr="00CA6587" w:rsidRDefault="00663B14" w:rsidP="00BF7627">
            <w:pPr>
              <w:pStyle w:val="cuadroCabe"/>
              <w:jc w:val="right"/>
              <w:rPr>
                <w:rFonts w:cs="Arial"/>
              </w:rPr>
            </w:pPr>
            <w:r w:rsidRPr="00CA6587">
              <w:rPr>
                <w:rFonts w:cs="Arial"/>
              </w:rPr>
              <w:t>7.225</w:t>
            </w:r>
          </w:p>
        </w:tc>
        <w:tc>
          <w:tcPr>
            <w:tcW w:w="1532" w:type="dxa"/>
            <w:tcBorders>
              <w:top w:val="single" w:sz="4" w:space="0" w:color="auto"/>
              <w:bottom w:val="single" w:sz="4" w:space="0" w:color="auto"/>
            </w:tcBorders>
            <w:shd w:val="clear" w:color="auto" w:fill="ACCBF9" w:themeFill="background2"/>
            <w:noWrap/>
            <w:vAlign w:val="center"/>
            <w:hideMark/>
          </w:tcPr>
          <w:p w:rsidR="00663B14" w:rsidRPr="00CA6587" w:rsidRDefault="00663B14" w:rsidP="00BF7627">
            <w:pPr>
              <w:pStyle w:val="cuadroCabe"/>
              <w:jc w:val="right"/>
              <w:rPr>
                <w:rFonts w:cs="Arial"/>
              </w:rPr>
            </w:pPr>
            <w:r w:rsidRPr="00CA6587">
              <w:rPr>
                <w:rFonts w:cs="Arial"/>
              </w:rPr>
              <w:t>55.72</w:t>
            </w:r>
            <w:r w:rsidR="00BB4146" w:rsidRPr="00CA6587">
              <w:rPr>
                <w:rFonts w:cs="Arial"/>
              </w:rPr>
              <w:t>5</w:t>
            </w:r>
          </w:p>
        </w:tc>
        <w:tc>
          <w:tcPr>
            <w:tcW w:w="1105" w:type="dxa"/>
            <w:tcBorders>
              <w:top w:val="single" w:sz="4" w:space="0" w:color="auto"/>
              <w:bottom w:val="single" w:sz="4" w:space="0" w:color="auto"/>
            </w:tcBorders>
            <w:shd w:val="clear" w:color="auto" w:fill="ACCBF9" w:themeFill="background2"/>
            <w:noWrap/>
            <w:vAlign w:val="center"/>
            <w:hideMark/>
          </w:tcPr>
          <w:p w:rsidR="00663B14" w:rsidRPr="00CA6587" w:rsidRDefault="00663B14" w:rsidP="00BF7627">
            <w:pPr>
              <w:pStyle w:val="cuadroCabe"/>
              <w:jc w:val="right"/>
              <w:rPr>
                <w:rFonts w:cs="Arial"/>
              </w:rPr>
            </w:pPr>
            <w:r w:rsidRPr="00CA6587">
              <w:rPr>
                <w:rFonts w:cs="Arial"/>
              </w:rPr>
              <w:t>71.509</w:t>
            </w:r>
          </w:p>
        </w:tc>
      </w:tr>
    </w:tbl>
    <w:p w:rsidR="00663B14" w:rsidRPr="00A0407B" w:rsidRDefault="00CA6587" w:rsidP="00BF7627">
      <w:pPr>
        <w:pStyle w:val="texto"/>
        <w:tabs>
          <w:tab w:val="clear" w:pos="2835"/>
          <w:tab w:val="clear" w:pos="3969"/>
          <w:tab w:val="clear" w:pos="5103"/>
          <w:tab w:val="clear" w:pos="6237"/>
          <w:tab w:val="clear" w:pos="7371"/>
          <w:tab w:val="num" w:pos="300"/>
        </w:tabs>
        <w:spacing w:before="240"/>
        <w:rPr>
          <w:szCs w:val="26"/>
        </w:rPr>
      </w:pPr>
      <w:r w:rsidRPr="00A0407B">
        <w:rPr>
          <w:szCs w:val="26"/>
        </w:rPr>
        <w:lastRenderedPageBreak/>
        <w:t xml:space="preserve">Por tanto, </w:t>
      </w:r>
      <w:r w:rsidR="00F4095C" w:rsidRPr="00A0407B">
        <w:rPr>
          <w:szCs w:val="26"/>
        </w:rPr>
        <w:t>en febrero de 2015</w:t>
      </w:r>
      <w:r w:rsidRPr="00A0407B">
        <w:rPr>
          <w:szCs w:val="26"/>
        </w:rPr>
        <w:t>, la Subcomisión ha dado su conformidad a unos gastos adelantados en</w:t>
      </w:r>
      <w:r w:rsidR="00637847" w:rsidRPr="00A0407B">
        <w:rPr>
          <w:szCs w:val="26"/>
        </w:rPr>
        <w:t xml:space="preserve"> el</w:t>
      </w:r>
      <w:r w:rsidRPr="00A0407B">
        <w:rPr>
          <w:szCs w:val="26"/>
        </w:rPr>
        <w:t xml:space="preserve"> periodo de 2009 a 2014 por el Gobierno de Nav</w:t>
      </w:r>
      <w:r w:rsidRPr="00A0407B">
        <w:rPr>
          <w:szCs w:val="26"/>
        </w:rPr>
        <w:t>a</w:t>
      </w:r>
      <w:r w:rsidRPr="00A0407B">
        <w:rPr>
          <w:szCs w:val="26"/>
        </w:rPr>
        <w:t>rra de 71,5</w:t>
      </w:r>
      <w:r w:rsidR="00F4095C" w:rsidRPr="00A0407B">
        <w:rPr>
          <w:szCs w:val="26"/>
        </w:rPr>
        <w:t>1</w:t>
      </w:r>
      <w:r w:rsidRPr="00A0407B">
        <w:rPr>
          <w:szCs w:val="26"/>
        </w:rPr>
        <w:t xml:space="preserve"> millones.</w:t>
      </w:r>
      <w:r w:rsidR="00F4095C" w:rsidRPr="00A0407B">
        <w:rPr>
          <w:szCs w:val="26"/>
        </w:rPr>
        <w:t xml:space="preserve"> Los gastos no conformados ascienden, a esa fecha, a 0,95 millones.</w:t>
      </w:r>
    </w:p>
    <w:p w:rsidR="00C2487E" w:rsidRPr="00A0407B" w:rsidRDefault="00C2487E" w:rsidP="00285220">
      <w:pPr>
        <w:pStyle w:val="texto"/>
        <w:tabs>
          <w:tab w:val="clear" w:pos="2835"/>
          <w:tab w:val="clear" w:pos="3969"/>
          <w:tab w:val="clear" w:pos="5103"/>
          <w:tab w:val="clear" w:pos="6237"/>
          <w:tab w:val="clear" w:pos="7371"/>
          <w:tab w:val="num" w:pos="300"/>
        </w:tabs>
        <w:rPr>
          <w:szCs w:val="26"/>
        </w:rPr>
      </w:pPr>
      <w:r w:rsidRPr="00A0407B">
        <w:rPr>
          <w:szCs w:val="26"/>
        </w:rPr>
        <w:t xml:space="preserve">Esta información es la que se aplica para </w:t>
      </w:r>
      <w:r w:rsidR="00C50620" w:rsidRPr="00A0407B">
        <w:rPr>
          <w:szCs w:val="26"/>
        </w:rPr>
        <w:t xml:space="preserve">el tratamiento contable de las obras del TAV en </w:t>
      </w:r>
      <w:r w:rsidRPr="00A0407B">
        <w:rPr>
          <w:szCs w:val="26"/>
        </w:rPr>
        <w:t>el cierre de las cuentas de 2015.</w:t>
      </w:r>
    </w:p>
    <w:p w:rsidR="002B4431" w:rsidRDefault="00663B14" w:rsidP="005B754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En </w:t>
      </w:r>
      <w:r w:rsidR="00CA6587" w:rsidRPr="00A0407B">
        <w:rPr>
          <w:szCs w:val="26"/>
        </w:rPr>
        <w:t xml:space="preserve">mayo de 2016, la Subcomisión </w:t>
      </w:r>
      <w:r w:rsidRPr="00A0407B">
        <w:rPr>
          <w:szCs w:val="26"/>
        </w:rPr>
        <w:t>emite informe de certificaciones 2009-2015, en el que da su co</w:t>
      </w:r>
      <w:r w:rsidR="00CA6587" w:rsidRPr="00A0407B">
        <w:rPr>
          <w:szCs w:val="26"/>
        </w:rPr>
        <w:t xml:space="preserve">nformidad a las </w:t>
      </w:r>
      <w:r w:rsidRPr="00A0407B">
        <w:rPr>
          <w:szCs w:val="26"/>
        </w:rPr>
        <w:t>abonadas en el ejercicio 2015, así c</w:t>
      </w:r>
      <w:r w:rsidRPr="00A0407B">
        <w:rPr>
          <w:szCs w:val="26"/>
        </w:rPr>
        <w:t>o</w:t>
      </w:r>
      <w:r w:rsidRPr="00A0407B">
        <w:rPr>
          <w:szCs w:val="26"/>
        </w:rPr>
        <w:t xml:space="preserve">mo </w:t>
      </w:r>
      <w:r w:rsidR="00637847" w:rsidRPr="00A0407B">
        <w:rPr>
          <w:szCs w:val="26"/>
        </w:rPr>
        <w:t>otros gastos anteriores.</w:t>
      </w:r>
      <w:r w:rsidR="00285220" w:rsidRPr="00A0407B">
        <w:rPr>
          <w:szCs w:val="26"/>
        </w:rPr>
        <w:t xml:space="preserve"> Su detalle se refleja en el siguiente cuadro</w:t>
      </w:r>
      <w:r w:rsidR="002B4431">
        <w:rPr>
          <w:szCs w:val="26"/>
        </w:rPr>
        <w:t>:</w:t>
      </w:r>
    </w:p>
    <w:p w:rsidR="008D0535" w:rsidRPr="002B4431" w:rsidRDefault="002B4431" w:rsidP="002B4431">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B14DF7" w:rsidRPr="002B4431">
        <w:rPr>
          <w:rFonts w:ascii="Arial Narrow" w:hAnsi="Arial Narrow"/>
          <w:sz w:val="18"/>
          <w:szCs w:val="18"/>
        </w:rPr>
        <w:t>Miles</w:t>
      </w:r>
      <w:r w:rsidR="00285220" w:rsidRPr="002B4431">
        <w:rPr>
          <w:rFonts w:ascii="Arial Narrow" w:hAnsi="Arial Narrow"/>
          <w:sz w:val="18"/>
          <w:szCs w:val="18"/>
        </w:rPr>
        <w:t xml:space="preserve"> de euros)</w:t>
      </w:r>
    </w:p>
    <w:tbl>
      <w:tblPr>
        <w:tblW w:w="885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710"/>
        <w:gridCol w:w="1923"/>
        <w:gridCol w:w="1455"/>
        <w:gridCol w:w="1607"/>
        <w:gridCol w:w="1160"/>
      </w:tblGrid>
      <w:tr w:rsidR="008D0535" w:rsidTr="0029193E">
        <w:trPr>
          <w:trHeight w:val="284"/>
          <w:jc w:val="center"/>
        </w:trPr>
        <w:tc>
          <w:tcPr>
            <w:tcW w:w="2710" w:type="dxa"/>
            <w:shd w:val="clear" w:color="auto" w:fill="A8CBEE" w:themeFill="accent2" w:themeFillTint="66"/>
            <w:noWrap/>
            <w:vAlign w:val="center"/>
            <w:hideMark/>
          </w:tcPr>
          <w:p w:rsidR="008D0535" w:rsidRPr="00BB4146" w:rsidRDefault="00A878A1" w:rsidP="0029193E">
            <w:pPr>
              <w:pStyle w:val="cuadroCabe"/>
              <w:tabs>
                <w:tab w:val="clear" w:pos="2835"/>
                <w:tab w:val="clear" w:pos="3969"/>
                <w:tab w:val="clear" w:pos="5103"/>
                <w:tab w:val="clear" w:pos="6237"/>
                <w:tab w:val="clear" w:pos="7371"/>
              </w:tabs>
              <w:jc w:val="left"/>
              <w:rPr>
                <w:rFonts w:cs="Arial"/>
              </w:rPr>
            </w:pPr>
            <w:r>
              <w:rPr>
                <w:rFonts w:cs="Arial"/>
              </w:rPr>
              <w:t xml:space="preserve"> </w:t>
            </w:r>
          </w:p>
        </w:tc>
        <w:tc>
          <w:tcPr>
            <w:tcW w:w="1923" w:type="dxa"/>
            <w:shd w:val="clear" w:color="auto" w:fill="A8CBEE" w:themeFill="accent2" w:themeFillTint="66"/>
            <w:vAlign w:val="center"/>
            <w:hideMark/>
          </w:tcPr>
          <w:p w:rsidR="008D0535" w:rsidRPr="00BB4146" w:rsidRDefault="008D0535" w:rsidP="000A149D">
            <w:pPr>
              <w:pStyle w:val="cuadroCabe"/>
              <w:jc w:val="right"/>
              <w:rPr>
                <w:rFonts w:cs="Arial"/>
              </w:rPr>
            </w:pPr>
            <w:r w:rsidRPr="00BB4146">
              <w:rPr>
                <w:rFonts w:cs="Arial"/>
              </w:rPr>
              <w:t>Proyectos, asist</w:t>
            </w:r>
            <w:r w:rsidR="00BF7627">
              <w:rPr>
                <w:rFonts w:cs="Arial"/>
              </w:rPr>
              <w:t xml:space="preserve">. </w:t>
            </w:r>
            <w:r w:rsidRPr="00BB4146">
              <w:rPr>
                <w:rFonts w:cs="Arial"/>
              </w:rPr>
              <w:t>técnica y dirección</w:t>
            </w:r>
          </w:p>
        </w:tc>
        <w:tc>
          <w:tcPr>
            <w:tcW w:w="1455" w:type="dxa"/>
            <w:shd w:val="clear" w:color="auto" w:fill="A8CBEE" w:themeFill="accent2" w:themeFillTint="66"/>
            <w:vAlign w:val="center"/>
            <w:hideMark/>
          </w:tcPr>
          <w:p w:rsidR="008D0535" w:rsidRPr="00BB4146" w:rsidRDefault="008D0535" w:rsidP="000A149D">
            <w:pPr>
              <w:pStyle w:val="cuadroCabe"/>
              <w:jc w:val="right"/>
              <w:rPr>
                <w:rFonts w:cs="Arial"/>
              </w:rPr>
            </w:pPr>
            <w:r w:rsidRPr="00BB4146">
              <w:rPr>
                <w:rFonts w:cs="Arial"/>
              </w:rPr>
              <w:t>Expropiaciones</w:t>
            </w:r>
          </w:p>
        </w:tc>
        <w:tc>
          <w:tcPr>
            <w:tcW w:w="1607" w:type="dxa"/>
            <w:shd w:val="clear" w:color="auto" w:fill="A8CBEE" w:themeFill="accent2" w:themeFillTint="66"/>
            <w:vAlign w:val="center"/>
            <w:hideMark/>
          </w:tcPr>
          <w:p w:rsidR="008D0535" w:rsidRPr="00BB4146" w:rsidRDefault="008D0535" w:rsidP="000A149D">
            <w:pPr>
              <w:pStyle w:val="cuadroCabe"/>
              <w:jc w:val="right"/>
              <w:rPr>
                <w:rFonts w:cs="Arial"/>
              </w:rPr>
            </w:pPr>
            <w:r w:rsidRPr="00BB4146">
              <w:rPr>
                <w:rFonts w:cs="Arial"/>
              </w:rPr>
              <w:t>Ejecución obras</w:t>
            </w:r>
          </w:p>
        </w:tc>
        <w:tc>
          <w:tcPr>
            <w:tcW w:w="1160" w:type="dxa"/>
            <w:shd w:val="clear" w:color="auto" w:fill="A8CBEE" w:themeFill="accent2" w:themeFillTint="66"/>
            <w:vAlign w:val="center"/>
            <w:hideMark/>
          </w:tcPr>
          <w:p w:rsidR="008D0535" w:rsidRDefault="008D0535" w:rsidP="000A149D">
            <w:pPr>
              <w:pStyle w:val="cuadroCabe"/>
              <w:jc w:val="right"/>
              <w:rPr>
                <w:rFonts w:cs="Arial"/>
              </w:rPr>
            </w:pPr>
            <w:r w:rsidRPr="00BB4146">
              <w:rPr>
                <w:rFonts w:cs="Arial"/>
              </w:rPr>
              <w:t>Total</w:t>
            </w:r>
          </w:p>
          <w:p w:rsidR="008D0535" w:rsidRPr="00BB4146" w:rsidRDefault="008D0535" w:rsidP="000A149D">
            <w:pPr>
              <w:pStyle w:val="cuadroCabe"/>
              <w:jc w:val="right"/>
              <w:rPr>
                <w:rFonts w:cs="Arial"/>
              </w:rPr>
            </w:pPr>
            <w:r w:rsidRPr="00BB4146">
              <w:rPr>
                <w:rFonts w:cs="Arial"/>
              </w:rPr>
              <w:t>(</w:t>
            </w:r>
            <w:r>
              <w:rPr>
                <w:rFonts w:cs="Arial"/>
              </w:rPr>
              <w:t>IVA</w:t>
            </w:r>
            <w:r w:rsidRPr="00BB4146">
              <w:rPr>
                <w:rFonts w:cs="Arial"/>
              </w:rPr>
              <w:t xml:space="preserve"> inc)</w:t>
            </w:r>
          </w:p>
        </w:tc>
      </w:tr>
      <w:tr w:rsidR="008D0535" w:rsidRPr="000A149D" w:rsidTr="0029193E">
        <w:trPr>
          <w:trHeight w:val="284"/>
          <w:jc w:val="center"/>
        </w:trPr>
        <w:tc>
          <w:tcPr>
            <w:tcW w:w="2710" w:type="dxa"/>
            <w:noWrap/>
            <w:vAlign w:val="center"/>
            <w:hideMark/>
          </w:tcPr>
          <w:p w:rsidR="008D0535" w:rsidRPr="000A149D" w:rsidRDefault="008D0535" w:rsidP="0029193E">
            <w:pPr>
              <w:spacing w:after="0"/>
              <w:ind w:firstLine="0"/>
              <w:jc w:val="left"/>
              <w:rPr>
                <w:rFonts w:ascii="Arial Narrow" w:hAnsi="Arial Narrow" w:cs="Arial"/>
                <w:lang w:val="es-ES" w:eastAsia="es-ES"/>
              </w:rPr>
            </w:pPr>
            <w:r w:rsidRPr="000A149D">
              <w:rPr>
                <w:rFonts w:ascii="Arial Narrow" w:hAnsi="Arial Narrow" w:cs="Arial"/>
                <w:lang w:val="es-ES" w:eastAsia="es-ES"/>
              </w:rPr>
              <w:t>Conformado hasta 2014</w:t>
            </w:r>
          </w:p>
        </w:tc>
        <w:tc>
          <w:tcPr>
            <w:tcW w:w="1923"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8.559</w:t>
            </w:r>
          </w:p>
        </w:tc>
        <w:tc>
          <w:tcPr>
            <w:tcW w:w="1455"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7.225</w:t>
            </w:r>
          </w:p>
        </w:tc>
        <w:tc>
          <w:tcPr>
            <w:tcW w:w="1607"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55.725</w:t>
            </w:r>
          </w:p>
        </w:tc>
        <w:tc>
          <w:tcPr>
            <w:tcW w:w="1160"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71.509</w:t>
            </w:r>
          </w:p>
        </w:tc>
      </w:tr>
      <w:tr w:rsidR="008D0535" w:rsidRPr="000A149D" w:rsidTr="0029193E">
        <w:trPr>
          <w:trHeight w:val="284"/>
          <w:jc w:val="center"/>
        </w:trPr>
        <w:tc>
          <w:tcPr>
            <w:tcW w:w="2710" w:type="dxa"/>
            <w:noWrap/>
            <w:vAlign w:val="center"/>
          </w:tcPr>
          <w:p w:rsidR="008D0535" w:rsidRPr="000A149D" w:rsidRDefault="008D0535" w:rsidP="0029193E">
            <w:pPr>
              <w:spacing w:after="0"/>
              <w:ind w:firstLine="0"/>
              <w:jc w:val="left"/>
              <w:rPr>
                <w:rFonts w:ascii="Arial Narrow" w:hAnsi="Arial Narrow" w:cs="Arial"/>
                <w:lang w:val="es-ES" w:eastAsia="es-ES"/>
              </w:rPr>
            </w:pPr>
            <w:r w:rsidRPr="000A149D">
              <w:rPr>
                <w:rFonts w:ascii="Arial Narrow" w:hAnsi="Arial Narrow" w:cs="Arial"/>
                <w:lang w:val="es-ES" w:eastAsia="es-ES"/>
              </w:rPr>
              <w:t>Año 2015</w:t>
            </w:r>
          </w:p>
        </w:tc>
        <w:tc>
          <w:tcPr>
            <w:tcW w:w="1923"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275</w:t>
            </w:r>
          </w:p>
        </w:tc>
        <w:tc>
          <w:tcPr>
            <w:tcW w:w="1455"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9</w:t>
            </w:r>
          </w:p>
        </w:tc>
        <w:tc>
          <w:tcPr>
            <w:tcW w:w="1607"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8.412</w:t>
            </w:r>
          </w:p>
        </w:tc>
        <w:tc>
          <w:tcPr>
            <w:tcW w:w="1160" w:type="dxa"/>
            <w:noWrap/>
            <w:vAlign w:val="center"/>
          </w:tcPr>
          <w:p w:rsidR="008D0535" w:rsidRPr="000A149D" w:rsidRDefault="008D0535"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8.696</w:t>
            </w:r>
          </w:p>
        </w:tc>
      </w:tr>
      <w:tr w:rsidR="008D0535" w:rsidRPr="00CA6587" w:rsidTr="0029193E">
        <w:trPr>
          <w:trHeight w:val="284"/>
          <w:jc w:val="center"/>
        </w:trPr>
        <w:tc>
          <w:tcPr>
            <w:tcW w:w="2710" w:type="dxa"/>
            <w:shd w:val="clear" w:color="auto" w:fill="A8CBEE" w:themeFill="accent2" w:themeFillTint="66"/>
            <w:noWrap/>
            <w:vAlign w:val="center"/>
            <w:hideMark/>
          </w:tcPr>
          <w:p w:rsidR="008D0535" w:rsidRPr="00CA6587" w:rsidRDefault="008D0535" w:rsidP="0029193E">
            <w:pPr>
              <w:pStyle w:val="cuadroCabe"/>
              <w:tabs>
                <w:tab w:val="clear" w:pos="2835"/>
                <w:tab w:val="clear" w:pos="3969"/>
                <w:tab w:val="clear" w:pos="5103"/>
                <w:tab w:val="clear" w:pos="6237"/>
                <w:tab w:val="clear" w:pos="7371"/>
              </w:tabs>
              <w:jc w:val="left"/>
              <w:rPr>
                <w:rFonts w:cs="Arial"/>
              </w:rPr>
            </w:pPr>
            <w:r>
              <w:rPr>
                <w:rFonts w:cs="Arial"/>
              </w:rPr>
              <w:t>Total</w:t>
            </w:r>
            <w:r w:rsidRPr="00CA6587">
              <w:rPr>
                <w:rFonts w:cs="Arial"/>
              </w:rPr>
              <w:t xml:space="preserve"> conformidad </w:t>
            </w:r>
            <w:r>
              <w:rPr>
                <w:rFonts w:cs="Arial"/>
              </w:rPr>
              <w:t>Mayo 2016</w:t>
            </w:r>
          </w:p>
        </w:tc>
        <w:tc>
          <w:tcPr>
            <w:tcW w:w="1923" w:type="dxa"/>
            <w:shd w:val="clear" w:color="auto" w:fill="A8CBEE" w:themeFill="accent2" w:themeFillTint="66"/>
            <w:noWrap/>
            <w:vAlign w:val="center"/>
          </w:tcPr>
          <w:p w:rsidR="008D0535" w:rsidRPr="00E83073" w:rsidRDefault="008D0535" w:rsidP="000A149D">
            <w:pPr>
              <w:pStyle w:val="cuadroCabe"/>
              <w:jc w:val="right"/>
              <w:rPr>
                <w:rFonts w:cs="Arial"/>
              </w:rPr>
            </w:pPr>
            <w:r w:rsidRPr="00E83073">
              <w:rPr>
                <w:rFonts w:cs="Arial"/>
              </w:rPr>
              <w:t>8.834</w:t>
            </w:r>
          </w:p>
        </w:tc>
        <w:tc>
          <w:tcPr>
            <w:tcW w:w="1455" w:type="dxa"/>
            <w:shd w:val="clear" w:color="auto" w:fill="A8CBEE" w:themeFill="accent2" w:themeFillTint="66"/>
            <w:noWrap/>
            <w:vAlign w:val="center"/>
          </w:tcPr>
          <w:p w:rsidR="008D0535" w:rsidRPr="00E83073" w:rsidRDefault="008D0535" w:rsidP="000A149D">
            <w:pPr>
              <w:pStyle w:val="cuadroCabe"/>
              <w:jc w:val="right"/>
              <w:rPr>
                <w:rFonts w:cs="Arial"/>
              </w:rPr>
            </w:pPr>
            <w:r w:rsidRPr="00E83073">
              <w:rPr>
                <w:rFonts w:cs="Arial"/>
              </w:rPr>
              <w:t>7.234</w:t>
            </w:r>
          </w:p>
        </w:tc>
        <w:tc>
          <w:tcPr>
            <w:tcW w:w="1607" w:type="dxa"/>
            <w:shd w:val="clear" w:color="auto" w:fill="A8CBEE" w:themeFill="accent2" w:themeFillTint="66"/>
            <w:noWrap/>
            <w:vAlign w:val="center"/>
          </w:tcPr>
          <w:p w:rsidR="008D0535" w:rsidRPr="00E83073" w:rsidRDefault="008D0535" w:rsidP="000A149D">
            <w:pPr>
              <w:pStyle w:val="cuadroCabe"/>
              <w:jc w:val="right"/>
              <w:rPr>
                <w:rFonts w:cs="Arial"/>
              </w:rPr>
            </w:pPr>
            <w:r w:rsidRPr="00E83073">
              <w:rPr>
                <w:rFonts w:cs="Arial"/>
              </w:rPr>
              <w:t>64.137</w:t>
            </w:r>
          </w:p>
        </w:tc>
        <w:tc>
          <w:tcPr>
            <w:tcW w:w="1160" w:type="dxa"/>
            <w:shd w:val="clear" w:color="auto" w:fill="A8CBEE" w:themeFill="accent2" w:themeFillTint="66"/>
            <w:noWrap/>
            <w:vAlign w:val="center"/>
          </w:tcPr>
          <w:p w:rsidR="008D0535" w:rsidRPr="00E83073" w:rsidRDefault="008D0535" w:rsidP="000A149D">
            <w:pPr>
              <w:pStyle w:val="cuadroCabe"/>
              <w:jc w:val="right"/>
              <w:rPr>
                <w:rFonts w:cs="Arial"/>
              </w:rPr>
            </w:pPr>
            <w:r w:rsidRPr="00E83073">
              <w:rPr>
                <w:rFonts w:cs="Arial"/>
              </w:rPr>
              <w:t>80.205</w:t>
            </w:r>
          </w:p>
        </w:tc>
      </w:tr>
    </w:tbl>
    <w:p w:rsidR="00285220" w:rsidRDefault="00637847" w:rsidP="00FF4C8C">
      <w:pPr>
        <w:pStyle w:val="texto"/>
        <w:tabs>
          <w:tab w:val="clear" w:pos="2835"/>
          <w:tab w:val="clear" w:pos="3969"/>
          <w:tab w:val="clear" w:pos="5103"/>
          <w:tab w:val="clear" w:pos="6237"/>
          <w:tab w:val="clear" w:pos="7371"/>
          <w:tab w:val="num" w:pos="300"/>
        </w:tabs>
        <w:spacing w:before="300"/>
        <w:rPr>
          <w:szCs w:val="26"/>
        </w:rPr>
      </w:pPr>
      <w:r w:rsidRPr="00A0407B">
        <w:rPr>
          <w:szCs w:val="26"/>
        </w:rPr>
        <w:t>Por tanto a mayo de 2016, los gastos conformados se resumen en</w:t>
      </w:r>
      <w:r w:rsidR="002B4431">
        <w:rPr>
          <w:szCs w:val="26"/>
        </w:rPr>
        <w:t>:</w:t>
      </w:r>
    </w:p>
    <w:p w:rsidR="002B4431" w:rsidRPr="002B4431" w:rsidRDefault="002B4431" w:rsidP="002B4431">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B14DF7" w:rsidRPr="002B4431">
        <w:rPr>
          <w:rFonts w:ascii="Arial Narrow" w:hAnsi="Arial Narrow"/>
          <w:sz w:val="18"/>
          <w:szCs w:val="18"/>
        </w:rPr>
        <w:t>Miles</w:t>
      </w:r>
      <w:r w:rsidRPr="002B4431">
        <w:rPr>
          <w:rFonts w:ascii="Arial Narrow" w:hAnsi="Arial Narrow"/>
          <w:sz w:val="18"/>
          <w:szCs w:val="18"/>
        </w:rPr>
        <w:t xml:space="preserve"> de euros)</w:t>
      </w:r>
    </w:p>
    <w:tbl>
      <w:tblPr>
        <w:tblW w:w="8737" w:type="dxa"/>
        <w:jc w:val="center"/>
        <w:tblInd w:w="-1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389"/>
        <w:gridCol w:w="1348"/>
      </w:tblGrid>
      <w:tr w:rsidR="00285220" w:rsidTr="005B7543">
        <w:trPr>
          <w:trHeight w:val="300"/>
          <w:jc w:val="center"/>
        </w:trPr>
        <w:tc>
          <w:tcPr>
            <w:tcW w:w="7389" w:type="dxa"/>
            <w:shd w:val="clear" w:color="auto" w:fill="A8CBEE" w:themeFill="accent2" w:themeFillTint="66"/>
            <w:noWrap/>
            <w:vAlign w:val="center"/>
            <w:hideMark/>
          </w:tcPr>
          <w:p w:rsidR="00285220" w:rsidRPr="00285220" w:rsidRDefault="00285220" w:rsidP="00F4095C">
            <w:pPr>
              <w:pStyle w:val="cuadroCabe"/>
              <w:jc w:val="left"/>
              <w:rPr>
                <w:rFonts w:cs="Arial"/>
              </w:rPr>
            </w:pPr>
            <w:r w:rsidRPr="00285220">
              <w:rPr>
                <w:rFonts w:cs="Arial"/>
              </w:rPr>
              <w:t>Certificaciones informadas</w:t>
            </w:r>
            <w:r>
              <w:rPr>
                <w:rFonts w:cs="Arial"/>
              </w:rPr>
              <w:t xml:space="preserve"> Subcomisión</w:t>
            </w:r>
            <w:r w:rsidR="00F4095C">
              <w:rPr>
                <w:rFonts w:cs="Arial"/>
              </w:rPr>
              <w:t xml:space="preserve"> (mayo 2016)</w:t>
            </w:r>
          </w:p>
        </w:tc>
        <w:tc>
          <w:tcPr>
            <w:tcW w:w="1348" w:type="dxa"/>
            <w:shd w:val="clear" w:color="auto" w:fill="A8CBEE" w:themeFill="accent2" w:themeFillTint="66"/>
            <w:noWrap/>
            <w:vAlign w:val="center"/>
            <w:hideMark/>
          </w:tcPr>
          <w:p w:rsidR="00285220" w:rsidRPr="00285220" w:rsidRDefault="00285220" w:rsidP="00285220">
            <w:pPr>
              <w:pStyle w:val="cuadroCabe"/>
              <w:jc w:val="center"/>
              <w:rPr>
                <w:rFonts w:cs="Arial"/>
              </w:rPr>
            </w:pPr>
            <w:r w:rsidRPr="00285220">
              <w:rPr>
                <w:rFonts w:cs="Arial"/>
              </w:rPr>
              <w:t>2009-2015</w:t>
            </w:r>
          </w:p>
        </w:tc>
      </w:tr>
      <w:tr w:rsidR="00285220" w:rsidRPr="006665E3" w:rsidTr="005B7543">
        <w:trPr>
          <w:trHeight w:val="300"/>
          <w:jc w:val="center"/>
        </w:trPr>
        <w:tc>
          <w:tcPr>
            <w:tcW w:w="7389" w:type="dxa"/>
            <w:noWrap/>
            <w:vAlign w:val="center"/>
            <w:hideMark/>
          </w:tcPr>
          <w:p w:rsidR="00285220" w:rsidRPr="006665E3" w:rsidRDefault="00285220" w:rsidP="00802816">
            <w:pPr>
              <w:spacing w:after="0"/>
              <w:ind w:firstLine="0"/>
              <w:jc w:val="left"/>
              <w:rPr>
                <w:rFonts w:ascii="Arial Narrow" w:hAnsi="Arial Narrow" w:cs="Arial"/>
                <w:lang w:val="es-ES" w:eastAsia="es-ES"/>
              </w:rPr>
            </w:pPr>
            <w:r w:rsidRPr="006665E3">
              <w:rPr>
                <w:rFonts w:ascii="Arial Narrow" w:hAnsi="Arial Narrow" w:cs="Arial"/>
                <w:lang w:val="es-ES" w:eastAsia="es-ES"/>
              </w:rPr>
              <w:t xml:space="preserve">Total gastos </w:t>
            </w:r>
            <w:r w:rsidR="00802816" w:rsidRPr="006665E3">
              <w:rPr>
                <w:rFonts w:ascii="Arial Narrow" w:hAnsi="Arial Narrow" w:cs="Arial"/>
                <w:lang w:val="es-ES" w:eastAsia="es-ES"/>
              </w:rPr>
              <w:t>adelantados por el Gobierno de Navarra</w:t>
            </w:r>
            <w:r w:rsidRPr="006665E3">
              <w:rPr>
                <w:rFonts w:ascii="Arial Narrow" w:hAnsi="Arial Narrow" w:cs="Arial"/>
                <w:lang w:val="es-ES" w:eastAsia="es-ES"/>
              </w:rPr>
              <w:t xml:space="preserve"> (A)</w:t>
            </w:r>
          </w:p>
        </w:tc>
        <w:tc>
          <w:tcPr>
            <w:tcW w:w="1348" w:type="dxa"/>
            <w:vAlign w:val="center"/>
            <w:hideMark/>
          </w:tcPr>
          <w:p w:rsidR="00285220" w:rsidRPr="006665E3" w:rsidRDefault="00285220" w:rsidP="00285220">
            <w:pPr>
              <w:spacing w:after="0"/>
              <w:ind w:firstLine="0"/>
              <w:jc w:val="right"/>
              <w:rPr>
                <w:rFonts w:ascii="Arial Narrow" w:hAnsi="Arial Narrow" w:cs="Arial"/>
                <w:lang w:val="es-ES" w:eastAsia="es-ES"/>
              </w:rPr>
            </w:pPr>
            <w:r w:rsidRPr="006665E3">
              <w:rPr>
                <w:rFonts w:ascii="Arial Narrow" w:hAnsi="Arial Narrow" w:cs="Arial"/>
                <w:lang w:val="es-ES" w:eastAsia="es-ES"/>
              </w:rPr>
              <w:t>81.089</w:t>
            </w:r>
          </w:p>
        </w:tc>
      </w:tr>
      <w:tr w:rsidR="00285220" w:rsidRPr="006665E3" w:rsidTr="005B7543">
        <w:trPr>
          <w:trHeight w:val="300"/>
          <w:jc w:val="center"/>
        </w:trPr>
        <w:tc>
          <w:tcPr>
            <w:tcW w:w="7389" w:type="dxa"/>
            <w:noWrap/>
            <w:vAlign w:val="center"/>
            <w:hideMark/>
          </w:tcPr>
          <w:p w:rsidR="00285220" w:rsidRPr="006665E3" w:rsidRDefault="00285220" w:rsidP="00285220">
            <w:pPr>
              <w:spacing w:after="0"/>
              <w:ind w:firstLine="0"/>
              <w:jc w:val="left"/>
              <w:rPr>
                <w:rFonts w:ascii="Arial Narrow" w:hAnsi="Arial Narrow" w:cs="Arial"/>
                <w:lang w:val="es-ES" w:eastAsia="es-ES"/>
              </w:rPr>
            </w:pPr>
            <w:r w:rsidRPr="006665E3">
              <w:rPr>
                <w:rFonts w:ascii="Arial Narrow" w:hAnsi="Arial Narrow" w:cs="Arial"/>
                <w:lang w:val="es-ES" w:eastAsia="es-ES"/>
              </w:rPr>
              <w:t>Total gastos conformado</w:t>
            </w:r>
            <w:r w:rsidR="00802816" w:rsidRPr="006665E3">
              <w:rPr>
                <w:rFonts w:ascii="Arial Narrow" w:hAnsi="Arial Narrow" w:cs="Arial"/>
                <w:lang w:val="es-ES" w:eastAsia="es-ES"/>
              </w:rPr>
              <w:t>s</w:t>
            </w:r>
            <w:r w:rsidRPr="006665E3">
              <w:rPr>
                <w:rFonts w:ascii="Arial Narrow" w:hAnsi="Arial Narrow" w:cs="Arial"/>
                <w:lang w:val="es-ES" w:eastAsia="es-ES"/>
              </w:rPr>
              <w:t xml:space="preserve"> (B)</w:t>
            </w:r>
          </w:p>
        </w:tc>
        <w:tc>
          <w:tcPr>
            <w:tcW w:w="1348" w:type="dxa"/>
            <w:vAlign w:val="center"/>
            <w:hideMark/>
          </w:tcPr>
          <w:p w:rsidR="00285220" w:rsidRPr="006665E3" w:rsidRDefault="00285220" w:rsidP="00285220">
            <w:pPr>
              <w:spacing w:after="0"/>
              <w:ind w:firstLine="0"/>
              <w:jc w:val="right"/>
              <w:rPr>
                <w:rFonts w:ascii="Arial Narrow" w:hAnsi="Arial Narrow" w:cs="Arial"/>
                <w:lang w:val="es-ES" w:eastAsia="es-ES"/>
              </w:rPr>
            </w:pPr>
            <w:r w:rsidRPr="006665E3">
              <w:rPr>
                <w:rFonts w:ascii="Arial Narrow" w:hAnsi="Arial Narrow" w:cs="Arial"/>
                <w:lang w:val="es-ES" w:eastAsia="es-ES"/>
              </w:rPr>
              <w:t>80.205</w:t>
            </w:r>
          </w:p>
        </w:tc>
      </w:tr>
      <w:tr w:rsidR="00285220" w:rsidRPr="006665E3" w:rsidTr="005B7543">
        <w:trPr>
          <w:trHeight w:val="300"/>
          <w:jc w:val="center"/>
        </w:trPr>
        <w:tc>
          <w:tcPr>
            <w:tcW w:w="7389" w:type="dxa"/>
            <w:noWrap/>
            <w:vAlign w:val="center"/>
          </w:tcPr>
          <w:p w:rsidR="00285220" w:rsidRPr="006665E3" w:rsidRDefault="00285220" w:rsidP="00285220">
            <w:pPr>
              <w:spacing w:after="0"/>
              <w:ind w:firstLine="0"/>
              <w:jc w:val="left"/>
              <w:rPr>
                <w:rFonts w:ascii="Arial" w:hAnsi="Arial" w:cs="Arial"/>
                <w:sz w:val="18"/>
                <w:szCs w:val="18"/>
                <w:lang w:val="es-ES" w:eastAsia="es-ES"/>
              </w:rPr>
            </w:pPr>
            <w:r w:rsidRPr="006665E3">
              <w:rPr>
                <w:rFonts w:ascii="Arial" w:hAnsi="Arial" w:cs="Arial"/>
                <w:sz w:val="18"/>
                <w:szCs w:val="18"/>
                <w:lang w:val="es-ES" w:eastAsia="es-ES"/>
              </w:rPr>
              <w:t>Gastos no conformados (A-B)</w:t>
            </w:r>
          </w:p>
        </w:tc>
        <w:tc>
          <w:tcPr>
            <w:tcW w:w="1348" w:type="dxa"/>
            <w:vAlign w:val="center"/>
          </w:tcPr>
          <w:p w:rsidR="00285220" w:rsidRPr="006665E3" w:rsidRDefault="00285220" w:rsidP="00285220">
            <w:pPr>
              <w:spacing w:after="0"/>
              <w:ind w:firstLine="0"/>
              <w:jc w:val="right"/>
              <w:rPr>
                <w:rFonts w:ascii="Arial" w:hAnsi="Arial" w:cs="Arial"/>
                <w:sz w:val="18"/>
                <w:szCs w:val="18"/>
                <w:lang w:val="es-ES" w:eastAsia="es-ES"/>
              </w:rPr>
            </w:pPr>
            <w:r w:rsidRPr="006665E3">
              <w:rPr>
                <w:rFonts w:ascii="Arial" w:hAnsi="Arial" w:cs="Arial"/>
                <w:sz w:val="18"/>
                <w:szCs w:val="18"/>
                <w:lang w:val="es-ES" w:eastAsia="es-ES"/>
              </w:rPr>
              <w:t>884</w:t>
            </w:r>
          </w:p>
        </w:tc>
      </w:tr>
    </w:tbl>
    <w:p w:rsidR="0029193E" w:rsidRDefault="00285220" w:rsidP="00FF4C8C">
      <w:pPr>
        <w:pStyle w:val="texto"/>
        <w:tabs>
          <w:tab w:val="clear" w:pos="2835"/>
          <w:tab w:val="clear" w:pos="3969"/>
          <w:tab w:val="clear" w:pos="5103"/>
          <w:tab w:val="clear" w:pos="6237"/>
          <w:tab w:val="clear" w:pos="7371"/>
          <w:tab w:val="num" w:pos="300"/>
        </w:tabs>
        <w:spacing w:before="300" w:after="120"/>
        <w:rPr>
          <w:szCs w:val="26"/>
        </w:rPr>
      </w:pPr>
      <w:r w:rsidRPr="00A0407B">
        <w:rPr>
          <w:szCs w:val="26"/>
        </w:rPr>
        <w:t xml:space="preserve">Un mayor detalle de los gastos conformados se refleja en el siguiente cuadro: </w:t>
      </w:r>
    </w:p>
    <w:p w:rsidR="0029193E" w:rsidRPr="002B4431" w:rsidRDefault="0029193E" w:rsidP="0029193E">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B14DF7" w:rsidRPr="002B4431">
        <w:rPr>
          <w:rFonts w:ascii="Arial Narrow" w:hAnsi="Arial Narrow"/>
          <w:sz w:val="18"/>
          <w:szCs w:val="18"/>
        </w:rPr>
        <w:t>Millones</w:t>
      </w:r>
      <w:r w:rsidRPr="002B4431">
        <w:rPr>
          <w:rFonts w:ascii="Arial Narrow" w:hAnsi="Arial Narrow"/>
          <w:sz w:val="18"/>
          <w:szCs w:val="18"/>
        </w:rPr>
        <w:t xml:space="preserve"> de euros)</w:t>
      </w:r>
    </w:p>
    <w:tbl>
      <w:tblPr>
        <w:tblW w:w="8687"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823"/>
        <w:gridCol w:w="2943"/>
        <w:gridCol w:w="1921"/>
      </w:tblGrid>
      <w:tr w:rsidR="00781716" w:rsidRPr="00E351AE" w:rsidTr="000A149D">
        <w:trPr>
          <w:trHeight w:val="284"/>
          <w:jc w:val="center"/>
        </w:trPr>
        <w:tc>
          <w:tcPr>
            <w:tcW w:w="3823" w:type="dxa"/>
            <w:tcBorders>
              <w:top w:val="single" w:sz="4" w:space="0" w:color="auto"/>
            </w:tcBorders>
            <w:shd w:val="clear" w:color="auto" w:fill="A8CBEE" w:themeFill="accent2" w:themeFillTint="66"/>
            <w:noWrap/>
            <w:vAlign w:val="center"/>
          </w:tcPr>
          <w:p w:rsidR="00781716" w:rsidRPr="00E351AE" w:rsidRDefault="00781716" w:rsidP="008C1B76">
            <w:pPr>
              <w:pStyle w:val="cuadroCabe"/>
              <w:jc w:val="left"/>
              <w:rPr>
                <w:rFonts w:cs="Arial"/>
              </w:rPr>
            </w:pPr>
            <w:r>
              <w:rPr>
                <w:rFonts w:cs="Arial"/>
              </w:rPr>
              <w:t>Tramo Castejón–Esquíroz</w:t>
            </w:r>
          </w:p>
          <w:p w:rsidR="00781716" w:rsidRPr="00E351AE" w:rsidRDefault="00781716" w:rsidP="008C1B76">
            <w:pPr>
              <w:pStyle w:val="cuadroCabe"/>
              <w:jc w:val="left"/>
              <w:rPr>
                <w:rFonts w:cs="Arial"/>
              </w:rPr>
            </w:pPr>
            <w:r w:rsidRPr="00E351AE">
              <w:rPr>
                <w:rFonts w:cs="Arial"/>
              </w:rPr>
              <w:t>Plataforma</w:t>
            </w:r>
          </w:p>
        </w:tc>
        <w:tc>
          <w:tcPr>
            <w:tcW w:w="2943" w:type="dxa"/>
            <w:tcBorders>
              <w:top w:val="single" w:sz="4" w:space="0" w:color="auto"/>
            </w:tcBorders>
            <w:shd w:val="clear" w:color="auto" w:fill="A8CBEE" w:themeFill="accent2" w:themeFillTint="66"/>
            <w:vAlign w:val="center"/>
          </w:tcPr>
          <w:p w:rsidR="00781716" w:rsidRDefault="00781716" w:rsidP="000A149D">
            <w:pPr>
              <w:pStyle w:val="cuadroCabe"/>
              <w:jc w:val="right"/>
              <w:rPr>
                <w:rFonts w:cs="Arial"/>
              </w:rPr>
            </w:pPr>
            <w:r>
              <w:rPr>
                <w:rFonts w:cs="Arial"/>
              </w:rPr>
              <w:t xml:space="preserve">Gasto </w:t>
            </w:r>
            <w:r w:rsidR="00802816">
              <w:rPr>
                <w:rFonts w:cs="Arial"/>
              </w:rPr>
              <w:t>adelantado Gobierno de Navarra</w:t>
            </w:r>
            <w:r>
              <w:rPr>
                <w:rFonts w:cs="Arial"/>
              </w:rPr>
              <w:t xml:space="preserve"> a 31/XII/2015</w:t>
            </w:r>
          </w:p>
        </w:tc>
        <w:tc>
          <w:tcPr>
            <w:tcW w:w="1921" w:type="dxa"/>
            <w:tcBorders>
              <w:top w:val="single" w:sz="4" w:space="0" w:color="auto"/>
            </w:tcBorders>
            <w:shd w:val="clear" w:color="auto" w:fill="A8CBEE" w:themeFill="accent2" w:themeFillTint="66"/>
            <w:vAlign w:val="center"/>
          </w:tcPr>
          <w:p w:rsidR="00781716" w:rsidRDefault="00781716" w:rsidP="000A149D">
            <w:pPr>
              <w:pStyle w:val="cuadroCabe"/>
              <w:jc w:val="right"/>
              <w:rPr>
                <w:rFonts w:cs="Arial"/>
              </w:rPr>
            </w:pPr>
            <w:r>
              <w:rPr>
                <w:rFonts w:cs="Arial"/>
              </w:rPr>
              <w:t>Gasto conformado</w:t>
            </w:r>
          </w:p>
        </w:tc>
      </w:tr>
      <w:tr w:rsidR="00781716" w:rsidRPr="00FF4C8C" w:rsidTr="000A149D">
        <w:trPr>
          <w:trHeight w:val="284"/>
          <w:jc w:val="center"/>
        </w:trPr>
        <w:tc>
          <w:tcPr>
            <w:tcW w:w="3823" w:type="dxa"/>
            <w:tcBorders>
              <w:top w:val="single" w:sz="4" w:space="0" w:color="auto"/>
              <w:bottom w:val="single" w:sz="2" w:space="0" w:color="auto"/>
            </w:tcBorders>
            <w:noWrap/>
            <w:vAlign w:val="center"/>
          </w:tcPr>
          <w:p w:rsidR="00781716" w:rsidRPr="00FF4C8C" w:rsidRDefault="00781716"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1. Castejón-Villafranca</w:t>
            </w:r>
          </w:p>
        </w:tc>
        <w:tc>
          <w:tcPr>
            <w:tcW w:w="2943" w:type="dxa"/>
            <w:tcBorders>
              <w:top w:val="single" w:sz="4"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60,76</w:t>
            </w:r>
          </w:p>
        </w:tc>
        <w:tc>
          <w:tcPr>
            <w:tcW w:w="1921" w:type="dxa"/>
            <w:tcBorders>
              <w:top w:val="single" w:sz="4"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60,74</w:t>
            </w:r>
          </w:p>
        </w:tc>
      </w:tr>
      <w:tr w:rsidR="00781716" w:rsidRPr="00FF4C8C" w:rsidTr="000A149D">
        <w:trPr>
          <w:trHeight w:val="284"/>
          <w:jc w:val="center"/>
        </w:trPr>
        <w:tc>
          <w:tcPr>
            <w:tcW w:w="3823" w:type="dxa"/>
            <w:tcBorders>
              <w:top w:val="single" w:sz="2" w:space="0" w:color="auto"/>
              <w:bottom w:val="single" w:sz="2" w:space="0" w:color="auto"/>
            </w:tcBorders>
            <w:noWrap/>
            <w:vAlign w:val="center"/>
          </w:tcPr>
          <w:p w:rsidR="00781716" w:rsidRPr="00FF4C8C" w:rsidRDefault="00781716"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2. Villafranca-Olite</w:t>
            </w:r>
          </w:p>
        </w:tc>
        <w:tc>
          <w:tcPr>
            <w:tcW w:w="2943"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c>
          <w:tcPr>
            <w:tcW w:w="1921"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p>
        </w:tc>
      </w:tr>
      <w:tr w:rsidR="00781716" w:rsidRPr="00FF4C8C" w:rsidTr="000A149D">
        <w:trPr>
          <w:trHeight w:val="284"/>
          <w:jc w:val="center"/>
        </w:trPr>
        <w:tc>
          <w:tcPr>
            <w:tcW w:w="3823" w:type="dxa"/>
            <w:tcBorders>
              <w:top w:val="single" w:sz="2" w:space="0" w:color="auto"/>
              <w:bottom w:val="single" w:sz="2" w:space="0" w:color="auto"/>
            </w:tcBorders>
            <w:noWrap/>
            <w:vAlign w:val="center"/>
          </w:tcPr>
          <w:p w:rsidR="00781716" w:rsidRPr="00FF4C8C" w:rsidRDefault="00781716"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3. Olite-Tafalla</w:t>
            </w:r>
          </w:p>
        </w:tc>
        <w:tc>
          <w:tcPr>
            <w:tcW w:w="2943"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c>
          <w:tcPr>
            <w:tcW w:w="1921"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p>
        </w:tc>
      </w:tr>
      <w:tr w:rsidR="00781716" w:rsidRPr="00FF4C8C" w:rsidTr="000A149D">
        <w:trPr>
          <w:trHeight w:val="284"/>
          <w:jc w:val="center"/>
        </w:trPr>
        <w:tc>
          <w:tcPr>
            <w:tcW w:w="3823" w:type="dxa"/>
            <w:tcBorders>
              <w:top w:val="single" w:sz="2" w:space="0" w:color="auto"/>
              <w:bottom w:val="single" w:sz="2" w:space="0" w:color="auto"/>
            </w:tcBorders>
            <w:noWrap/>
            <w:vAlign w:val="center"/>
          </w:tcPr>
          <w:p w:rsidR="00781716" w:rsidRPr="00FF4C8C" w:rsidRDefault="00781716"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4. Tafalla-Campanas</w:t>
            </w:r>
          </w:p>
        </w:tc>
        <w:tc>
          <w:tcPr>
            <w:tcW w:w="2943"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c>
          <w:tcPr>
            <w:tcW w:w="1921"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p>
        </w:tc>
      </w:tr>
      <w:tr w:rsidR="00781716" w:rsidRPr="00FF4C8C" w:rsidTr="000A149D">
        <w:trPr>
          <w:trHeight w:val="284"/>
          <w:jc w:val="center"/>
        </w:trPr>
        <w:tc>
          <w:tcPr>
            <w:tcW w:w="3823" w:type="dxa"/>
            <w:tcBorders>
              <w:top w:val="single" w:sz="2" w:space="0" w:color="auto"/>
              <w:bottom w:val="single" w:sz="2" w:space="0" w:color="auto"/>
            </w:tcBorders>
            <w:noWrap/>
            <w:vAlign w:val="center"/>
          </w:tcPr>
          <w:p w:rsidR="00781716" w:rsidRPr="00FF4C8C" w:rsidRDefault="00781716"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5. Campanas-Esquíroz</w:t>
            </w:r>
          </w:p>
        </w:tc>
        <w:tc>
          <w:tcPr>
            <w:tcW w:w="2943"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w:t>
            </w:r>
          </w:p>
        </w:tc>
        <w:tc>
          <w:tcPr>
            <w:tcW w:w="1921" w:type="dxa"/>
            <w:tcBorders>
              <w:top w:val="single" w:sz="2" w:space="0" w:color="auto"/>
              <w:bottom w:val="single" w:sz="2" w:space="0" w:color="auto"/>
            </w:tcBorders>
            <w:vAlign w:val="center"/>
          </w:tcPr>
          <w:p w:rsidR="00781716" w:rsidRPr="00FF4C8C" w:rsidRDefault="00781716" w:rsidP="000A149D">
            <w:pPr>
              <w:spacing w:after="0"/>
              <w:ind w:firstLine="0"/>
              <w:jc w:val="right"/>
              <w:rPr>
                <w:rFonts w:ascii="Arial Narrow" w:hAnsi="Arial Narrow" w:cs="Arial"/>
                <w:lang w:val="es-ES" w:eastAsia="es-ES"/>
              </w:rPr>
            </w:pPr>
          </w:p>
        </w:tc>
      </w:tr>
      <w:tr w:rsidR="00663B14" w:rsidRPr="00FF4C8C" w:rsidTr="000A149D">
        <w:trPr>
          <w:trHeight w:val="284"/>
          <w:jc w:val="center"/>
        </w:trPr>
        <w:tc>
          <w:tcPr>
            <w:tcW w:w="3823" w:type="dxa"/>
            <w:tcBorders>
              <w:top w:val="single" w:sz="2" w:space="0" w:color="auto"/>
              <w:bottom w:val="single" w:sz="2" w:space="0" w:color="auto"/>
            </w:tcBorders>
            <w:noWrap/>
            <w:vAlign w:val="center"/>
          </w:tcPr>
          <w:p w:rsidR="00663B14" w:rsidRPr="00FF4C8C" w:rsidRDefault="00663B14" w:rsidP="00781DCF">
            <w:pPr>
              <w:spacing w:after="0"/>
              <w:ind w:firstLine="0"/>
              <w:jc w:val="left"/>
              <w:rPr>
                <w:rFonts w:ascii="Arial Narrow" w:hAnsi="Arial Narrow" w:cs="Arial"/>
                <w:lang w:val="es-ES" w:eastAsia="es-ES"/>
              </w:rPr>
            </w:pPr>
            <w:r w:rsidRPr="00FF4C8C">
              <w:rPr>
                <w:rFonts w:ascii="Arial Narrow" w:hAnsi="Arial Narrow" w:cs="Arial"/>
                <w:lang w:val="es-ES" w:eastAsia="es-ES"/>
              </w:rPr>
              <w:t>Reposición líneas REE</w:t>
            </w:r>
          </w:p>
        </w:tc>
        <w:tc>
          <w:tcPr>
            <w:tcW w:w="2943"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3,40</w:t>
            </w:r>
          </w:p>
        </w:tc>
        <w:tc>
          <w:tcPr>
            <w:tcW w:w="1921"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3,40</w:t>
            </w:r>
          </w:p>
        </w:tc>
      </w:tr>
      <w:tr w:rsidR="00663B14" w:rsidRPr="00FF4C8C" w:rsidTr="000A149D">
        <w:trPr>
          <w:trHeight w:val="284"/>
          <w:jc w:val="center"/>
        </w:trPr>
        <w:tc>
          <w:tcPr>
            <w:tcW w:w="3823" w:type="dxa"/>
            <w:tcBorders>
              <w:top w:val="single" w:sz="2" w:space="0" w:color="auto"/>
              <w:bottom w:val="single" w:sz="2" w:space="0" w:color="auto"/>
            </w:tcBorders>
            <w:noWrap/>
            <w:vAlign w:val="center"/>
          </w:tcPr>
          <w:p w:rsidR="00663B14" w:rsidRPr="00FF4C8C" w:rsidRDefault="00663B14" w:rsidP="00781DCF">
            <w:pPr>
              <w:spacing w:after="0"/>
              <w:ind w:firstLine="0"/>
              <w:jc w:val="left"/>
              <w:rPr>
                <w:rFonts w:ascii="Arial Narrow" w:hAnsi="Arial Narrow" w:cs="Arial"/>
                <w:b/>
                <w:lang w:val="es-ES" w:eastAsia="es-ES"/>
              </w:rPr>
            </w:pPr>
            <w:r w:rsidRPr="00FF4C8C">
              <w:rPr>
                <w:rFonts w:ascii="Arial Narrow" w:hAnsi="Arial Narrow" w:cs="Arial"/>
                <w:b/>
                <w:lang w:val="es-ES" w:eastAsia="es-ES"/>
              </w:rPr>
              <w:t>Total construcción</w:t>
            </w:r>
          </w:p>
        </w:tc>
        <w:tc>
          <w:tcPr>
            <w:tcW w:w="2943"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b/>
                <w:lang w:val="es-ES" w:eastAsia="es-ES"/>
              </w:rPr>
            </w:pPr>
            <w:r w:rsidRPr="00FF4C8C">
              <w:rPr>
                <w:rFonts w:ascii="Arial Narrow" w:hAnsi="Arial Narrow" w:cs="Arial"/>
                <w:b/>
                <w:lang w:val="es-ES" w:eastAsia="es-ES"/>
              </w:rPr>
              <w:t>64,16</w:t>
            </w:r>
          </w:p>
        </w:tc>
        <w:tc>
          <w:tcPr>
            <w:tcW w:w="1921"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b/>
                <w:lang w:val="es-ES" w:eastAsia="es-ES"/>
              </w:rPr>
            </w:pPr>
            <w:r w:rsidRPr="00FF4C8C">
              <w:rPr>
                <w:rFonts w:ascii="Arial Narrow" w:hAnsi="Arial Narrow" w:cs="Arial"/>
                <w:b/>
                <w:lang w:val="es-ES" w:eastAsia="es-ES"/>
              </w:rPr>
              <w:t>64,14</w:t>
            </w:r>
          </w:p>
        </w:tc>
      </w:tr>
      <w:tr w:rsidR="00663B14" w:rsidRPr="00FF4C8C" w:rsidTr="000A149D">
        <w:trPr>
          <w:trHeight w:val="284"/>
          <w:jc w:val="center"/>
        </w:trPr>
        <w:tc>
          <w:tcPr>
            <w:tcW w:w="3823" w:type="dxa"/>
            <w:tcBorders>
              <w:top w:val="single" w:sz="2" w:space="0" w:color="auto"/>
              <w:bottom w:val="single" w:sz="2" w:space="0" w:color="auto"/>
            </w:tcBorders>
            <w:noWrap/>
            <w:vAlign w:val="center"/>
          </w:tcPr>
          <w:p w:rsidR="00663B14" w:rsidRPr="00FF4C8C" w:rsidRDefault="00663B14"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Expropiaciones</w:t>
            </w:r>
          </w:p>
        </w:tc>
        <w:tc>
          <w:tcPr>
            <w:tcW w:w="2943"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7,96</w:t>
            </w:r>
          </w:p>
        </w:tc>
        <w:tc>
          <w:tcPr>
            <w:tcW w:w="1921" w:type="dxa"/>
            <w:tcBorders>
              <w:top w:val="single" w:sz="2" w:space="0" w:color="auto"/>
              <w:bottom w:val="single" w:sz="2"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7,23</w:t>
            </w:r>
          </w:p>
        </w:tc>
      </w:tr>
      <w:tr w:rsidR="00663B14" w:rsidRPr="00FF4C8C" w:rsidTr="000A149D">
        <w:trPr>
          <w:trHeight w:val="284"/>
          <w:jc w:val="center"/>
        </w:trPr>
        <w:tc>
          <w:tcPr>
            <w:tcW w:w="3823" w:type="dxa"/>
            <w:tcBorders>
              <w:top w:val="single" w:sz="2" w:space="0" w:color="auto"/>
              <w:bottom w:val="single" w:sz="4" w:space="0" w:color="auto"/>
            </w:tcBorders>
            <w:noWrap/>
            <w:vAlign w:val="center"/>
          </w:tcPr>
          <w:p w:rsidR="00663B14" w:rsidRPr="00FF4C8C" w:rsidRDefault="00663B14" w:rsidP="008C1B76">
            <w:pPr>
              <w:spacing w:after="0"/>
              <w:ind w:firstLine="0"/>
              <w:jc w:val="left"/>
              <w:rPr>
                <w:rFonts w:ascii="Arial Narrow" w:hAnsi="Arial Narrow" w:cs="Arial"/>
                <w:lang w:val="es-ES" w:eastAsia="es-ES"/>
              </w:rPr>
            </w:pPr>
            <w:r w:rsidRPr="00FF4C8C">
              <w:rPr>
                <w:rFonts w:ascii="Arial Narrow" w:hAnsi="Arial Narrow" w:cs="Arial"/>
                <w:lang w:val="es-ES" w:eastAsia="es-ES"/>
              </w:rPr>
              <w:t>Redac. Proytos, Supervisión y DO</w:t>
            </w:r>
          </w:p>
        </w:tc>
        <w:tc>
          <w:tcPr>
            <w:tcW w:w="2943" w:type="dxa"/>
            <w:tcBorders>
              <w:top w:val="single" w:sz="2" w:space="0" w:color="auto"/>
              <w:bottom w:val="single" w:sz="4"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8,97</w:t>
            </w:r>
          </w:p>
        </w:tc>
        <w:tc>
          <w:tcPr>
            <w:tcW w:w="1921" w:type="dxa"/>
            <w:tcBorders>
              <w:top w:val="single" w:sz="2" w:space="0" w:color="auto"/>
              <w:bottom w:val="single" w:sz="4" w:space="0" w:color="auto"/>
            </w:tcBorders>
            <w:vAlign w:val="center"/>
          </w:tcPr>
          <w:p w:rsidR="00663B14" w:rsidRPr="00FF4C8C" w:rsidRDefault="00663B14" w:rsidP="000A149D">
            <w:pPr>
              <w:spacing w:after="0"/>
              <w:ind w:firstLine="0"/>
              <w:jc w:val="right"/>
              <w:rPr>
                <w:rFonts w:ascii="Arial Narrow" w:hAnsi="Arial Narrow" w:cs="Arial"/>
                <w:lang w:val="es-ES" w:eastAsia="es-ES"/>
              </w:rPr>
            </w:pPr>
            <w:r w:rsidRPr="00FF4C8C">
              <w:rPr>
                <w:rFonts w:ascii="Arial Narrow" w:hAnsi="Arial Narrow" w:cs="Arial"/>
                <w:lang w:val="es-ES" w:eastAsia="es-ES"/>
              </w:rPr>
              <w:t>8,83</w:t>
            </w:r>
          </w:p>
        </w:tc>
      </w:tr>
      <w:tr w:rsidR="00663B14" w:rsidRPr="00FF4C8C" w:rsidTr="000A149D">
        <w:trPr>
          <w:trHeight w:val="284"/>
          <w:jc w:val="center"/>
        </w:trPr>
        <w:tc>
          <w:tcPr>
            <w:tcW w:w="3823" w:type="dxa"/>
            <w:tcBorders>
              <w:top w:val="single" w:sz="4" w:space="0" w:color="auto"/>
              <w:bottom w:val="single" w:sz="4" w:space="0" w:color="auto"/>
            </w:tcBorders>
            <w:shd w:val="clear" w:color="auto" w:fill="A8CBEE" w:themeFill="accent2" w:themeFillTint="66"/>
            <w:noWrap/>
            <w:vAlign w:val="center"/>
          </w:tcPr>
          <w:p w:rsidR="00663B14" w:rsidRPr="00FF4C8C" w:rsidRDefault="00663B14" w:rsidP="008C1B76">
            <w:pPr>
              <w:spacing w:after="0"/>
              <w:ind w:firstLine="0"/>
              <w:jc w:val="left"/>
              <w:rPr>
                <w:rFonts w:ascii="Arial" w:hAnsi="Arial" w:cs="Arial"/>
                <w:sz w:val="18"/>
                <w:szCs w:val="18"/>
                <w:lang w:val="es-ES" w:eastAsia="es-ES"/>
              </w:rPr>
            </w:pPr>
            <w:r w:rsidRPr="00FF4C8C">
              <w:rPr>
                <w:rFonts w:ascii="Arial" w:hAnsi="Arial" w:cs="Arial"/>
                <w:sz w:val="18"/>
                <w:szCs w:val="18"/>
                <w:lang w:val="es-ES" w:eastAsia="es-ES"/>
              </w:rPr>
              <w:t>Total Gobierno de Navarra</w:t>
            </w:r>
          </w:p>
        </w:tc>
        <w:tc>
          <w:tcPr>
            <w:tcW w:w="2943" w:type="dxa"/>
            <w:tcBorders>
              <w:top w:val="single" w:sz="4" w:space="0" w:color="auto"/>
              <w:bottom w:val="single" w:sz="4" w:space="0" w:color="auto"/>
            </w:tcBorders>
            <w:shd w:val="clear" w:color="auto" w:fill="A8CBEE" w:themeFill="accent2" w:themeFillTint="66"/>
            <w:vAlign w:val="center"/>
          </w:tcPr>
          <w:p w:rsidR="00663B14" w:rsidRPr="00FF4C8C" w:rsidRDefault="00663B14" w:rsidP="000A149D">
            <w:pPr>
              <w:spacing w:after="0"/>
              <w:ind w:firstLine="0"/>
              <w:jc w:val="right"/>
              <w:rPr>
                <w:rFonts w:ascii="Arial" w:hAnsi="Arial" w:cs="Arial"/>
                <w:sz w:val="18"/>
                <w:szCs w:val="18"/>
                <w:lang w:val="es-ES" w:eastAsia="es-ES"/>
              </w:rPr>
            </w:pPr>
            <w:r w:rsidRPr="00FF4C8C">
              <w:rPr>
                <w:rFonts w:ascii="Arial" w:hAnsi="Arial" w:cs="Arial"/>
                <w:sz w:val="18"/>
                <w:szCs w:val="18"/>
                <w:lang w:val="es-ES" w:eastAsia="es-ES"/>
              </w:rPr>
              <w:t>81,09</w:t>
            </w:r>
          </w:p>
        </w:tc>
        <w:tc>
          <w:tcPr>
            <w:tcW w:w="1921" w:type="dxa"/>
            <w:tcBorders>
              <w:top w:val="single" w:sz="4" w:space="0" w:color="auto"/>
              <w:bottom w:val="single" w:sz="4" w:space="0" w:color="auto"/>
            </w:tcBorders>
            <w:shd w:val="clear" w:color="auto" w:fill="A8CBEE" w:themeFill="accent2" w:themeFillTint="66"/>
            <w:vAlign w:val="center"/>
          </w:tcPr>
          <w:p w:rsidR="00663B14" w:rsidRPr="00FF4C8C" w:rsidRDefault="00663B14" w:rsidP="000A149D">
            <w:pPr>
              <w:spacing w:after="0"/>
              <w:ind w:firstLine="0"/>
              <w:jc w:val="right"/>
              <w:rPr>
                <w:rFonts w:ascii="Arial" w:hAnsi="Arial" w:cs="Arial"/>
                <w:sz w:val="18"/>
                <w:szCs w:val="18"/>
                <w:lang w:val="es-ES" w:eastAsia="es-ES"/>
              </w:rPr>
            </w:pPr>
            <w:r w:rsidRPr="00FF4C8C">
              <w:rPr>
                <w:rFonts w:ascii="Arial" w:hAnsi="Arial" w:cs="Arial"/>
                <w:sz w:val="18"/>
                <w:szCs w:val="18"/>
                <w:lang w:val="es-ES" w:eastAsia="es-ES"/>
              </w:rPr>
              <w:t>80,20</w:t>
            </w:r>
          </w:p>
        </w:tc>
      </w:tr>
    </w:tbl>
    <w:p w:rsidR="0029193E" w:rsidRDefault="004F2DF5" w:rsidP="000A149D">
      <w:pPr>
        <w:pStyle w:val="texto"/>
        <w:tabs>
          <w:tab w:val="clear" w:pos="2835"/>
          <w:tab w:val="clear" w:pos="3969"/>
          <w:tab w:val="clear" w:pos="5103"/>
          <w:tab w:val="clear" w:pos="6237"/>
          <w:tab w:val="clear" w:pos="7371"/>
        </w:tabs>
        <w:spacing w:before="240"/>
        <w:rPr>
          <w:szCs w:val="26"/>
        </w:rPr>
      </w:pPr>
      <w:r w:rsidRPr="00A0407B">
        <w:rPr>
          <w:szCs w:val="26"/>
        </w:rPr>
        <w:t>Resultado de los informes anteriores, desde el Gobierno de Navarra, de acuerdo con las previsiones de reintegro contempladas en el Convenio, solicit</w:t>
      </w:r>
      <w:r w:rsidR="00802816" w:rsidRPr="00A0407B">
        <w:rPr>
          <w:szCs w:val="26"/>
        </w:rPr>
        <w:t>ó</w:t>
      </w:r>
      <w:r w:rsidRPr="00A0407B">
        <w:rPr>
          <w:szCs w:val="26"/>
        </w:rPr>
        <w:t xml:space="preserve"> de ADIF el cobro de las tres primeras anualidades previstas por un importe de 65,65 millones. </w:t>
      </w:r>
    </w:p>
    <w:p w:rsidR="004F2DF5" w:rsidRPr="00A0407B" w:rsidRDefault="004F2DF5" w:rsidP="000A149D">
      <w:pPr>
        <w:pStyle w:val="texto"/>
        <w:tabs>
          <w:tab w:val="clear" w:pos="2835"/>
          <w:tab w:val="clear" w:pos="3969"/>
          <w:tab w:val="clear" w:pos="5103"/>
          <w:tab w:val="clear" w:pos="6237"/>
          <w:tab w:val="clear" w:pos="7371"/>
        </w:tabs>
        <w:spacing w:before="240"/>
        <w:rPr>
          <w:szCs w:val="26"/>
        </w:rPr>
      </w:pPr>
      <w:r w:rsidRPr="00A0407B">
        <w:rPr>
          <w:szCs w:val="26"/>
        </w:rPr>
        <w:lastRenderedPageBreak/>
        <w:t>Sobre el cobro de este importe, señalamos:</w:t>
      </w:r>
    </w:p>
    <w:p w:rsidR="004F2DF5" w:rsidRPr="00A0407B" w:rsidRDefault="004F2DF5" w:rsidP="004F2DF5">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2014 se cobró un total de 35,65 millones, correspondientes a las anual</w:t>
      </w:r>
      <w:r w:rsidRPr="00A0407B">
        <w:rPr>
          <w:szCs w:val="26"/>
        </w:rPr>
        <w:t>i</w:t>
      </w:r>
      <w:r w:rsidRPr="00A0407B">
        <w:rPr>
          <w:szCs w:val="26"/>
        </w:rPr>
        <w:t>dades de 2013 y 2014.</w:t>
      </w:r>
    </w:p>
    <w:p w:rsidR="004F2DF5" w:rsidRPr="00A0407B" w:rsidRDefault="004F2DF5" w:rsidP="004F2DF5">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la liquidación de 2015, el Gobierno reconoce unos derechos por importe de 30 millones, correspondiente</w:t>
      </w:r>
      <w:r w:rsidR="00A878A1">
        <w:rPr>
          <w:szCs w:val="26"/>
        </w:rPr>
        <w:t>s</w:t>
      </w:r>
      <w:r w:rsidRPr="00A0407B">
        <w:rPr>
          <w:szCs w:val="26"/>
        </w:rPr>
        <w:t xml:space="preserve"> a la anualidad prevista de 2015 en el Conv</w:t>
      </w:r>
      <w:r w:rsidRPr="00A0407B">
        <w:rPr>
          <w:szCs w:val="26"/>
        </w:rPr>
        <w:t>e</w:t>
      </w:r>
      <w:r w:rsidRPr="00A0407B">
        <w:rPr>
          <w:szCs w:val="26"/>
        </w:rPr>
        <w:t>nio y que a la fecha de redacción de este informe no han sido abonados por ADIF.</w:t>
      </w:r>
    </w:p>
    <w:p w:rsidR="008337D9" w:rsidRPr="00A0407B" w:rsidRDefault="008337D9" w:rsidP="006665E3">
      <w:pPr>
        <w:pStyle w:val="texto"/>
        <w:tabs>
          <w:tab w:val="clear" w:pos="2835"/>
          <w:tab w:val="clear" w:pos="3969"/>
          <w:tab w:val="clear" w:pos="5103"/>
          <w:tab w:val="clear" w:pos="6237"/>
          <w:tab w:val="clear" w:pos="7371"/>
        </w:tabs>
        <w:spacing w:after="180"/>
        <w:rPr>
          <w:szCs w:val="26"/>
        </w:rPr>
      </w:pPr>
      <w:r w:rsidRPr="00A0407B">
        <w:rPr>
          <w:szCs w:val="26"/>
        </w:rPr>
        <w:t xml:space="preserve">En resumen, </w:t>
      </w:r>
      <w:r w:rsidR="008D0535" w:rsidRPr="00A0407B">
        <w:rPr>
          <w:szCs w:val="26"/>
        </w:rPr>
        <w:t>hasta</w:t>
      </w:r>
      <w:r w:rsidR="00637847" w:rsidRPr="00A0407B">
        <w:rPr>
          <w:szCs w:val="26"/>
        </w:rPr>
        <w:t xml:space="preserve"> el cierre contable de</w:t>
      </w:r>
      <w:r w:rsidRPr="00A0407B">
        <w:rPr>
          <w:szCs w:val="26"/>
        </w:rPr>
        <w:t xml:space="preserve"> 2015, los gastos ejecutados y adela</w:t>
      </w:r>
      <w:r w:rsidRPr="00A0407B">
        <w:rPr>
          <w:szCs w:val="26"/>
        </w:rPr>
        <w:t>n</w:t>
      </w:r>
      <w:r w:rsidRPr="00A0407B">
        <w:rPr>
          <w:szCs w:val="26"/>
        </w:rPr>
        <w:t xml:space="preserve">tados por el Gobierno de Navarra ascienden a 81,09 </w:t>
      </w:r>
      <w:r w:rsidR="0047746B" w:rsidRPr="00A0407B">
        <w:rPr>
          <w:szCs w:val="26"/>
        </w:rPr>
        <w:t xml:space="preserve">millones, de los que </w:t>
      </w:r>
      <w:r w:rsidRPr="00A0407B">
        <w:rPr>
          <w:szCs w:val="26"/>
        </w:rPr>
        <w:t>han sido conformados</w:t>
      </w:r>
      <w:r w:rsidR="0047746B" w:rsidRPr="00A0407B">
        <w:rPr>
          <w:szCs w:val="26"/>
        </w:rPr>
        <w:t xml:space="preserve"> un importe de</w:t>
      </w:r>
      <w:r w:rsidRPr="00A0407B">
        <w:rPr>
          <w:szCs w:val="26"/>
        </w:rPr>
        <w:t xml:space="preserve"> 80,2 millones, sobre un</w:t>
      </w:r>
      <w:r w:rsidR="0047746B" w:rsidRPr="00A0407B">
        <w:rPr>
          <w:szCs w:val="26"/>
        </w:rPr>
        <w:t xml:space="preserve"> total de</w:t>
      </w:r>
      <w:r w:rsidRPr="00A0407B">
        <w:rPr>
          <w:szCs w:val="26"/>
        </w:rPr>
        <w:t xml:space="preserve"> gastos previ</w:t>
      </w:r>
      <w:r w:rsidRPr="00A0407B">
        <w:rPr>
          <w:szCs w:val="26"/>
        </w:rPr>
        <w:t>s</w:t>
      </w:r>
      <w:r w:rsidRPr="00A0407B">
        <w:rPr>
          <w:szCs w:val="26"/>
        </w:rPr>
        <w:t>tos en el convenio de 387,65 millones</w:t>
      </w:r>
      <w:r w:rsidR="0047746B" w:rsidRPr="00A0407B">
        <w:rPr>
          <w:szCs w:val="26"/>
        </w:rPr>
        <w:t>. Se han reconocido unos reintegros de ADIF de</w:t>
      </w:r>
      <w:r w:rsidRPr="00A0407B">
        <w:rPr>
          <w:szCs w:val="26"/>
        </w:rPr>
        <w:t xml:space="preserve"> 65,65 millones, </w:t>
      </w:r>
      <w:r w:rsidR="0047746B" w:rsidRPr="00A0407B">
        <w:rPr>
          <w:szCs w:val="26"/>
        </w:rPr>
        <w:t>correspondientes a las tres anualidades previstas en el</w:t>
      </w:r>
      <w:r w:rsidRPr="00A0407B">
        <w:rPr>
          <w:szCs w:val="26"/>
        </w:rPr>
        <w:t xml:space="preserve"> con</w:t>
      </w:r>
      <w:r w:rsidR="0047746B" w:rsidRPr="00A0407B">
        <w:rPr>
          <w:szCs w:val="26"/>
        </w:rPr>
        <w:t xml:space="preserve">venio, </w:t>
      </w:r>
      <w:r w:rsidRPr="00A0407B">
        <w:rPr>
          <w:szCs w:val="26"/>
        </w:rPr>
        <w:t>de los que 30 millones están pendientes de co</w:t>
      </w:r>
      <w:r w:rsidR="0047746B" w:rsidRPr="00A0407B">
        <w:rPr>
          <w:szCs w:val="26"/>
        </w:rPr>
        <w:t>bro</w:t>
      </w:r>
      <w:r w:rsidRPr="00A0407B">
        <w:rPr>
          <w:szCs w:val="26"/>
        </w:rPr>
        <w:t>.</w:t>
      </w:r>
    </w:p>
    <w:p w:rsidR="0047746B" w:rsidRPr="00A0407B" w:rsidRDefault="0047746B" w:rsidP="006665E3">
      <w:pPr>
        <w:pStyle w:val="texto"/>
        <w:tabs>
          <w:tab w:val="clear" w:pos="2835"/>
          <w:tab w:val="clear" w:pos="3969"/>
          <w:tab w:val="clear" w:pos="5103"/>
          <w:tab w:val="clear" w:pos="6237"/>
          <w:tab w:val="clear" w:pos="7371"/>
        </w:tabs>
        <w:spacing w:after="180"/>
        <w:rPr>
          <w:szCs w:val="26"/>
        </w:rPr>
      </w:pPr>
      <w:r w:rsidRPr="00A0407B">
        <w:rPr>
          <w:szCs w:val="26"/>
        </w:rPr>
        <w:t xml:space="preserve">Tras el 5º informe de la Subcomisión firmado en mayo de 2016, la diferencia entre los gastos conformados </w:t>
      </w:r>
      <w:r w:rsidR="0029193E">
        <w:rPr>
          <w:szCs w:val="26"/>
        </w:rPr>
        <w:t>–</w:t>
      </w:r>
      <w:r w:rsidRPr="00A0407B">
        <w:rPr>
          <w:szCs w:val="26"/>
        </w:rPr>
        <w:t>80,2 millones</w:t>
      </w:r>
      <w:r w:rsidR="0029193E">
        <w:rPr>
          <w:szCs w:val="26"/>
        </w:rPr>
        <w:t>–</w:t>
      </w:r>
      <w:r w:rsidRPr="00A0407B">
        <w:rPr>
          <w:szCs w:val="26"/>
        </w:rPr>
        <w:t xml:space="preserve"> y los reintegros reconocidos </w:t>
      </w:r>
      <w:r w:rsidR="006665E3">
        <w:rPr>
          <w:szCs w:val="26"/>
        </w:rPr>
        <w:t>–</w:t>
      </w:r>
      <w:r w:rsidRPr="00A0407B">
        <w:rPr>
          <w:szCs w:val="26"/>
        </w:rPr>
        <w:t>65,65 millones</w:t>
      </w:r>
      <w:r w:rsidR="006665E3">
        <w:rPr>
          <w:szCs w:val="26"/>
        </w:rPr>
        <w:t>–</w:t>
      </w:r>
      <w:r w:rsidRPr="00A0407B">
        <w:rPr>
          <w:szCs w:val="26"/>
        </w:rPr>
        <w:t xml:space="preserve"> sería de 14,55 millones, por lo que este sería el importe máx</w:t>
      </w:r>
      <w:r w:rsidRPr="00A0407B">
        <w:rPr>
          <w:szCs w:val="26"/>
        </w:rPr>
        <w:t>i</w:t>
      </w:r>
      <w:r w:rsidRPr="00A0407B">
        <w:rPr>
          <w:szCs w:val="26"/>
        </w:rPr>
        <w:t>mo que podría solicitar como reinte</w:t>
      </w:r>
      <w:r w:rsidR="00637847" w:rsidRPr="00A0407B">
        <w:rPr>
          <w:szCs w:val="26"/>
        </w:rPr>
        <w:t>gro en el ejercicio 2016. E</w:t>
      </w:r>
      <w:r w:rsidRPr="00A0407B">
        <w:rPr>
          <w:szCs w:val="26"/>
        </w:rPr>
        <w:t>l Gobierno</w:t>
      </w:r>
      <w:r w:rsidR="00637847" w:rsidRPr="00A0407B">
        <w:rPr>
          <w:szCs w:val="26"/>
        </w:rPr>
        <w:t xml:space="preserve"> de Navarra </w:t>
      </w:r>
      <w:r w:rsidRPr="00A0407B">
        <w:rPr>
          <w:szCs w:val="26"/>
        </w:rPr>
        <w:t>ha solicitado el reintegro del citado importe</w:t>
      </w:r>
      <w:r w:rsidR="00637847" w:rsidRPr="00A0407B">
        <w:rPr>
          <w:szCs w:val="26"/>
        </w:rPr>
        <w:t xml:space="preserve"> </w:t>
      </w:r>
      <w:r w:rsidR="00696307" w:rsidRPr="00A0407B">
        <w:rPr>
          <w:szCs w:val="26"/>
        </w:rPr>
        <w:t>en junio de 2016</w:t>
      </w:r>
      <w:r w:rsidRPr="00A0407B">
        <w:rPr>
          <w:szCs w:val="26"/>
        </w:rPr>
        <w:t>.</w:t>
      </w:r>
    </w:p>
    <w:p w:rsidR="00157C59" w:rsidRDefault="00781DCF" w:rsidP="006665E3">
      <w:pPr>
        <w:pStyle w:val="texto"/>
        <w:tabs>
          <w:tab w:val="clear" w:pos="2835"/>
          <w:tab w:val="clear" w:pos="3969"/>
          <w:tab w:val="clear" w:pos="5103"/>
          <w:tab w:val="clear" w:pos="6237"/>
          <w:tab w:val="clear" w:pos="7371"/>
        </w:tabs>
        <w:spacing w:after="180"/>
        <w:rPr>
          <w:szCs w:val="26"/>
        </w:rPr>
      </w:pPr>
      <w:r w:rsidRPr="00A0407B">
        <w:rPr>
          <w:szCs w:val="26"/>
        </w:rPr>
        <w:t>Sobre el cobro efectivo de las cantidades pendientes, existe controversia e</w:t>
      </w:r>
      <w:r w:rsidRPr="00A0407B">
        <w:rPr>
          <w:szCs w:val="26"/>
        </w:rPr>
        <w:t>n</w:t>
      </w:r>
      <w:r w:rsidRPr="00A0407B">
        <w:rPr>
          <w:szCs w:val="26"/>
        </w:rPr>
        <w:t xml:space="preserve">tre ambas administraciones. </w:t>
      </w:r>
      <w:r w:rsidR="00637847" w:rsidRPr="00A0407B">
        <w:rPr>
          <w:szCs w:val="26"/>
        </w:rPr>
        <w:t xml:space="preserve">No obstante, </w:t>
      </w:r>
      <w:r w:rsidRPr="00A0407B">
        <w:rPr>
          <w:szCs w:val="26"/>
        </w:rPr>
        <w:t xml:space="preserve">el Gobierno de Navarra, apoyándose en el texto del Convenio, ha solicitado las anualidades previstas en el mismo hasta el máximo de gasto conformado; </w:t>
      </w:r>
      <w:r w:rsidR="00637847" w:rsidRPr="00A0407B">
        <w:rPr>
          <w:szCs w:val="26"/>
        </w:rPr>
        <w:t>a</w:t>
      </w:r>
      <w:r w:rsidR="00157C59" w:rsidRPr="00A0407B">
        <w:rPr>
          <w:szCs w:val="26"/>
        </w:rPr>
        <w:t>sí</w:t>
      </w:r>
      <w:r w:rsidR="00A878A1">
        <w:rPr>
          <w:szCs w:val="26"/>
        </w:rPr>
        <w:t>,</w:t>
      </w:r>
      <w:r w:rsidR="00157C59" w:rsidRPr="00A0407B">
        <w:rPr>
          <w:szCs w:val="26"/>
        </w:rPr>
        <w:t xml:space="preserve"> en el cuadro siguiente se conte</w:t>
      </w:r>
      <w:r w:rsidR="00157C59" w:rsidRPr="00A0407B">
        <w:rPr>
          <w:szCs w:val="26"/>
        </w:rPr>
        <w:t>m</w:t>
      </w:r>
      <w:r w:rsidR="00157C59" w:rsidRPr="00A0407B">
        <w:rPr>
          <w:szCs w:val="26"/>
        </w:rPr>
        <w:t>plan las previsiones del Convenio en ejecución de obras y reintegro con la s</w:t>
      </w:r>
      <w:r w:rsidR="00157C59" w:rsidRPr="00A0407B">
        <w:rPr>
          <w:szCs w:val="26"/>
        </w:rPr>
        <w:t>i</w:t>
      </w:r>
      <w:r w:rsidR="00157C59" w:rsidRPr="00A0407B">
        <w:rPr>
          <w:szCs w:val="26"/>
        </w:rPr>
        <w:t>tuación efectiva</w:t>
      </w:r>
      <w:r w:rsidR="000A149D" w:rsidRPr="00A0407B">
        <w:rPr>
          <w:szCs w:val="26"/>
        </w:rPr>
        <w:t>.</w:t>
      </w:r>
    </w:p>
    <w:p w:rsidR="00CA3482" w:rsidRPr="00CA3482" w:rsidRDefault="00CA3482" w:rsidP="00CA3482">
      <w:pPr>
        <w:tabs>
          <w:tab w:val="left" w:pos="480"/>
          <w:tab w:val="num" w:pos="4920"/>
        </w:tabs>
        <w:spacing w:after="40"/>
        <w:ind w:firstLine="284"/>
        <w:jc w:val="right"/>
        <w:rPr>
          <w:rFonts w:ascii="Arial Narrow" w:hAnsi="Arial Narrow"/>
          <w:spacing w:val="6"/>
          <w:sz w:val="18"/>
          <w:szCs w:val="18"/>
          <w:lang w:val="es-ES"/>
        </w:rPr>
      </w:pPr>
      <w:r w:rsidRPr="00CA3482">
        <w:rPr>
          <w:rFonts w:ascii="Arial Narrow" w:hAnsi="Arial Narrow"/>
          <w:spacing w:val="6"/>
          <w:sz w:val="18"/>
          <w:szCs w:val="18"/>
          <w:lang w:val="es-ES"/>
        </w:rPr>
        <w:t>(Millones de euros)</w:t>
      </w:r>
    </w:p>
    <w:tbl>
      <w:tblPr>
        <w:tblW w:w="8857"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198"/>
        <w:gridCol w:w="800"/>
        <w:gridCol w:w="702"/>
        <w:gridCol w:w="665"/>
        <w:gridCol w:w="833"/>
        <w:gridCol w:w="665"/>
        <w:gridCol w:w="664"/>
        <w:gridCol w:w="665"/>
        <w:gridCol w:w="665"/>
      </w:tblGrid>
      <w:tr w:rsidR="00781DCF" w:rsidRPr="00E351AE" w:rsidTr="0029193E">
        <w:trPr>
          <w:trHeight w:val="284"/>
          <w:jc w:val="center"/>
        </w:trPr>
        <w:tc>
          <w:tcPr>
            <w:tcW w:w="3198" w:type="dxa"/>
            <w:tcBorders>
              <w:top w:val="single" w:sz="4" w:space="0" w:color="auto"/>
              <w:bottom w:val="single" w:sz="4" w:space="0" w:color="auto"/>
            </w:tcBorders>
            <w:shd w:val="clear" w:color="auto" w:fill="A8CBEE" w:themeFill="accent2" w:themeFillTint="66"/>
            <w:noWrap/>
            <w:vAlign w:val="center"/>
          </w:tcPr>
          <w:p w:rsidR="00781DCF" w:rsidRPr="000A149D" w:rsidRDefault="00781DCF" w:rsidP="00781DCF">
            <w:pPr>
              <w:pStyle w:val="cuadroCabe"/>
              <w:jc w:val="left"/>
              <w:rPr>
                <w:rFonts w:cs="Arial"/>
                <w:sz w:val="17"/>
                <w:szCs w:val="17"/>
              </w:rPr>
            </w:pPr>
            <w:r w:rsidRPr="000A149D">
              <w:rPr>
                <w:rFonts w:cs="Arial"/>
                <w:sz w:val="17"/>
                <w:szCs w:val="17"/>
              </w:rPr>
              <w:t>Tramo Castejón-Comarca Pamplona</w:t>
            </w:r>
          </w:p>
        </w:tc>
        <w:tc>
          <w:tcPr>
            <w:tcW w:w="800"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Total</w:t>
            </w:r>
          </w:p>
        </w:tc>
        <w:tc>
          <w:tcPr>
            <w:tcW w:w="702"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2011</w:t>
            </w:r>
          </w:p>
        </w:tc>
        <w:tc>
          <w:tcPr>
            <w:tcW w:w="665"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2012</w:t>
            </w:r>
          </w:p>
        </w:tc>
        <w:tc>
          <w:tcPr>
            <w:tcW w:w="833"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2013</w:t>
            </w:r>
          </w:p>
        </w:tc>
        <w:tc>
          <w:tcPr>
            <w:tcW w:w="665"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2014</w:t>
            </w:r>
          </w:p>
        </w:tc>
        <w:tc>
          <w:tcPr>
            <w:tcW w:w="664"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2015</w:t>
            </w:r>
          </w:p>
        </w:tc>
        <w:tc>
          <w:tcPr>
            <w:tcW w:w="665"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2016</w:t>
            </w:r>
          </w:p>
        </w:tc>
        <w:tc>
          <w:tcPr>
            <w:tcW w:w="665" w:type="dxa"/>
            <w:tcBorders>
              <w:top w:val="single" w:sz="4" w:space="0" w:color="auto"/>
              <w:bottom w:val="single" w:sz="4" w:space="0" w:color="auto"/>
            </w:tcBorders>
            <w:shd w:val="clear" w:color="auto" w:fill="A8CBEE" w:themeFill="accent2" w:themeFillTint="66"/>
            <w:noWrap/>
            <w:vAlign w:val="center"/>
          </w:tcPr>
          <w:p w:rsidR="00781DCF" w:rsidRPr="00E351AE" w:rsidRDefault="00781DCF" w:rsidP="000A149D">
            <w:pPr>
              <w:pStyle w:val="cuadroCabe"/>
              <w:jc w:val="right"/>
              <w:rPr>
                <w:rFonts w:cs="Arial"/>
              </w:rPr>
            </w:pPr>
            <w:r w:rsidRPr="00E351AE">
              <w:rPr>
                <w:rFonts w:cs="Arial"/>
              </w:rPr>
              <w:t>2017</w:t>
            </w:r>
          </w:p>
        </w:tc>
      </w:tr>
      <w:tr w:rsidR="00781DCF" w:rsidRPr="000A149D" w:rsidTr="00A878A1">
        <w:trPr>
          <w:trHeight w:val="284"/>
          <w:jc w:val="center"/>
        </w:trPr>
        <w:tc>
          <w:tcPr>
            <w:tcW w:w="3198" w:type="dxa"/>
            <w:tcBorders>
              <w:top w:val="single" w:sz="4" w:space="0" w:color="auto"/>
              <w:bottom w:val="single" w:sz="2" w:space="0" w:color="auto"/>
            </w:tcBorders>
            <w:shd w:val="clear" w:color="auto" w:fill="auto"/>
            <w:noWrap/>
            <w:vAlign w:val="center"/>
          </w:tcPr>
          <w:p w:rsidR="00781DCF" w:rsidRPr="000A149D" w:rsidRDefault="00991DC9" w:rsidP="00991DC9">
            <w:pPr>
              <w:spacing w:after="0"/>
              <w:ind w:firstLine="0"/>
              <w:jc w:val="left"/>
              <w:rPr>
                <w:rFonts w:ascii="Arial Narrow" w:hAnsi="Arial Narrow" w:cs="Arial"/>
                <w:lang w:val="es-ES" w:eastAsia="es-ES"/>
              </w:rPr>
            </w:pPr>
            <w:r>
              <w:rPr>
                <w:rFonts w:ascii="Arial Narrow" w:hAnsi="Arial Narrow" w:cs="Arial"/>
                <w:lang w:val="es-ES" w:eastAsia="es-ES"/>
              </w:rPr>
              <w:t>Previsiones Gasto adelantado G.</w:t>
            </w:r>
            <w:r w:rsidR="00781DCF" w:rsidRPr="000A149D">
              <w:rPr>
                <w:rFonts w:ascii="Arial Narrow" w:hAnsi="Arial Narrow" w:cs="Arial"/>
                <w:lang w:val="es-ES" w:eastAsia="es-ES"/>
              </w:rPr>
              <w:t>Na</w:t>
            </w:r>
            <w:r>
              <w:rPr>
                <w:rFonts w:ascii="Arial Narrow" w:hAnsi="Arial Narrow" w:cs="Arial"/>
                <w:lang w:val="es-ES" w:eastAsia="es-ES"/>
              </w:rPr>
              <w:t>varra</w:t>
            </w:r>
          </w:p>
        </w:tc>
        <w:tc>
          <w:tcPr>
            <w:tcW w:w="800"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387,65</w:t>
            </w:r>
          </w:p>
        </w:tc>
        <w:tc>
          <w:tcPr>
            <w:tcW w:w="702"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43,25</w:t>
            </w:r>
          </w:p>
        </w:tc>
        <w:tc>
          <w:tcPr>
            <w:tcW w:w="665"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134,00</w:t>
            </w:r>
          </w:p>
        </w:tc>
        <w:tc>
          <w:tcPr>
            <w:tcW w:w="833"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139,05</w:t>
            </w:r>
          </w:p>
        </w:tc>
        <w:tc>
          <w:tcPr>
            <w:tcW w:w="665"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71,35</w:t>
            </w:r>
          </w:p>
        </w:tc>
        <w:tc>
          <w:tcPr>
            <w:tcW w:w="664"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p>
        </w:tc>
        <w:tc>
          <w:tcPr>
            <w:tcW w:w="665"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p>
        </w:tc>
        <w:tc>
          <w:tcPr>
            <w:tcW w:w="665" w:type="dxa"/>
            <w:tcBorders>
              <w:top w:val="single" w:sz="4"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p>
        </w:tc>
      </w:tr>
      <w:tr w:rsidR="00781DCF" w:rsidRPr="0029193E" w:rsidTr="0029193E">
        <w:trPr>
          <w:trHeight w:val="284"/>
          <w:jc w:val="center"/>
        </w:trPr>
        <w:tc>
          <w:tcPr>
            <w:tcW w:w="3198" w:type="dxa"/>
            <w:tcBorders>
              <w:top w:val="single" w:sz="2" w:space="0" w:color="auto"/>
              <w:bottom w:val="single" w:sz="2" w:space="0" w:color="auto"/>
            </w:tcBorders>
            <w:shd w:val="clear" w:color="auto" w:fill="auto"/>
            <w:noWrap/>
            <w:vAlign w:val="center"/>
          </w:tcPr>
          <w:p w:rsidR="00781DCF" w:rsidRPr="0029193E" w:rsidRDefault="00781DCF" w:rsidP="00781DCF">
            <w:pPr>
              <w:spacing w:after="0"/>
              <w:ind w:firstLine="0"/>
              <w:jc w:val="left"/>
              <w:rPr>
                <w:rFonts w:ascii="Arial Narrow" w:hAnsi="Arial Narrow" w:cs="Arial"/>
                <w:b/>
                <w:lang w:val="es-ES" w:eastAsia="es-ES"/>
              </w:rPr>
            </w:pPr>
            <w:r w:rsidRPr="0029193E">
              <w:rPr>
                <w:rFonts w:ascii="Arial Narrow" w:hAnsi="Arial Narrow" w:cs="Arial"/>
                <w:b/>
                <w:lang w:val="es-ES" w:eastAsia="es-ES"/>
              </w:rPr>
              <w:t xml:space="preserve">Gasto efectivo conformado </w:t>
            </w:r>
            <w:r w:rsidRPr="0029193E">
              <w:rPr>
                <w:rFonts w:ascii="Arial Narrow" w:hAnsi="Arial Narrow" w:cs="Arial"/>
                <w:b/>
                <w:vertAlign w:val="superscript"/>
                <w:lang w:val="es-ES" w:eastAsia="es-ES"/>
              </w:rPr>
              <w:t>(1)</w:t>
            </w:r>
          </w:p>
        </w:tc>
        <w:tc>
          <w:tcPr>
            <w:tcW w:w="800" w:type="dxa"/>
            <w:tcBorders>
              <w:top w:val="single" w:sz="2" w:space="0" w:color="auto"/>
              <w:bottom w:val="single" w:sz="2" w:space="0" w:color="auto"/>
            </w:tcBorders>
            <w:shd w:val="clear" w:color="auto" w:fill="auto"/>
            <w:noWrap/>
            <w:vAlign w:val="center"/>
          </w:tcPr>
          <w:p w:rsidR="00781DCF" w:rsidRPr="0029193E" w:rsidRDefault="00157C59"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80,20</w:t>
            </w:r>
          </w:p>
        </w:tc>
        <w:tc>
          <w:tcPr>
            <w:tcW w:w="702"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6,4</w:t>
            </w:r>
            <w:r w:rsidR="00157C59" w:rsidRPr="0029193E">
              <w:rPr>
                <w:rFonts w:ascii="Arial Narrow" w:hAnsi="Arial Narrow" w:cs="Arial"/>
                <w:b/>
                <w:lang w:val="es-ES" w:eastAsia="es-ES"/>
              </w:rPr>
              <w:t>8</w:t>
            </w:r>
          </w:p>
        </w:tc>
        <w:tc>
          <w:tcPr>
            <w:tcW w:w="665"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17,05</w:t>
            </w:r>
          </w:p>
        </w:tc>
        <w:tc>
          <w:tcPr>
            <w:tcW w:w="833"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28,85</w:t>
            </w:r>
          </w:p>
        </w:tc>
        <w:tc>
          <w:tcPr>
            <w:tcW w:w="665"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19,12</w:t>
            </w:r>
          </w:p>
        </w:tc>
        <w:tc>
          <w:tcPr>
            <w:tcW w:w="664"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8,70</w:t>
            </w:r>
          </w:p>
        </w:tc>
        <w:tc>
          <w:tcPr>
            <w:tcW w:w="665"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p>
        </w:tc>
        <w:tc>
          <w:tcPr>
            <w:tcW w:w="665" w:type="dxa"/>
            <w:tcBorders>
              <w:top w:val="single" w:sz="2" w:space="0" w:color="auto"/>
              <w:bottom w:val="single" w:sz="2" w:space="0" w:color="auto"/>
            </w:tcBorders>
            <w:shd w:val="clear" w:color="auto" w:fill="auto"/>
            <w:noWrap/>
            <w:vAlign w:val="center"/>
          </w:tcPr>
          <w:p w:rsidR="00781DCF" w:rsidRPr="0029193E" w:rsidRDefault="00781DCF" w:rsidP="000A149D">
            <w:pPr>
              <w:spacing w:after="0"/>
              <w:ind w:firstLine="0"/>
              <w:jc w:val="right"/>
              <w:rPr>
                <w:rFonts w:ascii="Arial Narrow" w:hAnsi="Arial Narrow" w:cs="Arial"/>
                <w:b/>
                <w:lang w:val="es-ES" w:eastAsia="es-ES"/>
              </w:rPr>
            </w:pPr>
          </w:p>
        </w:tc>
      </w:tr>
      <w:tr w:rsidR="00781DCF" w:rsidRPr="000A149D" w:rsidTr="0029193E">
        <w:trPr>
          <w:trHeight w:val="284"/>
          <w:jc w:val="center"/>
        </w:trPr>
        <w:tc>
          <w:tcPr>
            <w:tcW w:w="3198" w:type="dxa"/>
            <w:tcBorders>
              <w:top w:val="single" w:sz="2" w:space="0" w:color="auto"/>
              <w:bottom w:val="single" w:sz="2" w:space="0" w:color="auto"/>
            </w:tcBorders>
            <w:shd w:val="clear" w:color="auto" w:fill="auto"/>
            <w:noWrap/>
            <w:vAlign w:val="center"/>
          </w:tcPr>
          <w:p w:rsidR="00781DCF" w:rsidRPr="000A149D" w:rsidRDefault="00781DCF" w:rsidP="00781DCF">
            <w:pPr>
              <w:spacing w:after="0"/>
              <w:ind w:firstLine="0"/>
              <w:jc w:val="left"/>
              <w:rPr>
                <w:rFonts w:ascii="Arial Narrow" w:hAnsi="Arial Narrow" w:cs="Arial"/>
                <w:lang w:val="es-ES" w:eastAsia="es-ES"/>
              </w:rPr>
            </w:pPr>
            <w:r w:rsidRPr="000A149D">
              <w:rPr>
                <w:rFonts w:ascii="Arial Narrow" w:hAnsi="Arial Narrow" w:cs="Arial"/>
                <w:lang w:val="es-ES" w:eastAsia="es-ES"/>
              </w:rPr>
              <w:t>Reintegro previsto ADIF</w:t>
            </w:r>
          </w:p>
        </w:tc>
        <w:tc>
          <w:tcPr>
            <w:tcW w:w="800"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387,65</w:t>
            </w:r>
          </w:p>
        </w:tc>
        <w:tc>
          <w:tcPr>
            <w:tcW w:w="702"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 </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 </w:t>
            </w:r>
          </w:p>
        </w:tc>
        <w:tc>
          <w:tcPr>
            <w:tcW w:w="833"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10,00</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25,65</w:t>
            </w:r>
          </w:p>
        </w:tc>
        <w:tc>
          <w:tcPr>
            <w:tcW w:w="664"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30,00</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170,00</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152,00</w:t>
            </w:r>
          </w:p>
        </w:tc>
      </w:tr>
      <w:tr w:rsidR="00781DCF" w:rsidRPr="000A149D" w:rsidTr="0029193E">
        <w:trPr>
          <w:trHeight w:val="284"/>
          <w:jc w:val="center"/>
        </w:trPr>
        <w:tc>
          <w:tcPr>
            <w:tcW w:w="3198" w:type="dxa"/>
            <w:tcBorders>
              <w:top w:val="single" w:sz="2" w:space="0" w:color="auto"/>
              <w:bottom w:val="single" w:sz="2" w:space="0" w:color="auto"/>
            </w:tcBorders>
            <w:shd w:val="clear" w:color="auto" w:fill="auto"/>
            <w:noWrap/>
            <w:vAlign w:val="center"/>
          </w:tcPr>
          <w:p w:rsidR="00781DCF" w:rsidRPr="000A149D" w:rsidRDefault="00781DCF" w:rsidP="003945A7">
            <w:pPr>
              <w:spacing w:after="0"/>
              <w:ind w:firstLine="0"/>
              <w:jc w:val="left"/>
              <w:rPr>
                <w:rFonts w:ascii="Arial Narrow" w:hAnsi="Arial Narrow" w:cs="Arial"/>
                <w:i/>
                <w:lang w:val="es-ES" w:eastAsia="es-ES"/>
              </w:rPr>
            </w:pPr>
            <w:r w:rsidRPr="000A149D">
              <w:rPr>
                <w:rFonts w:ascii="Arial Narrow" w:hAnsi="Arial Narrow" w:cs="Arial"/>
                <w:i/>
                <w:lang w:val="es-ES" w:eastAsia="es-ES"/>
              </w:rPr>
              <w:t xml:space="preserve">Reintegro </w:t>
            </w:r>
            <w:r w:rsidR="003945A7">
              <w:rPr>
                <w:rFonts w:ascii="Arial Narrow" w:hAnsi="Arial Narrow" w:cs="Arial"/>
                <w:i/>
                <w:lang w:val="es-ES" w:eastAsia="es-ES"/>
              </w:rPr>
              <w:t>reconocido Gobierno Navarra</w:t>
            </w:r>
            <w:r w:rsidRPr="000A149D">
              <w:rPr>
                <w:rFonts w:ascii="Arial Narrow" w:hAnsi="Arial Narrow" w:cs="Arial"/>
                <w:i/>
                <w:lang w:val="es-ES" w:eastAsia="es-ES"/>
              </w:rPr>
              <w:t xml:space="preserve"> </w:t>
            </w:r>
          </w:p>
        </w:tc>
        <w:tc>
          <w:tcPr>
            <w:tcW w:w="800" w:type="dxa"/>
            <w:tcBorders>
              <w:top w:val="single" w:sz="2" w:space="0" w:color="auto"/>
              <w:bottom w:val="single" w:sz="2" w:space="0" w:color="auto"/>
            </w:tcBorders>
            <w:shd w:val="clear" w:color="auto" w:fill="auto"/>
            <w:noWrap/>
            <w:vAlign w:val="center"/>
          </w:tcPr>
          <w:p w:rsidR="00781DCF" w:rsidRPr="000A149D" w:rsidRDefault="00157C59" w:rsidP="000A149D">
            <w:pPr>
              <w:spacing w:after="0"/>
              <w:ind w:firstLine="0"/>
              <w:jc w:val="right"/>
              <w:rPr>
                <w:rFonts w:ascii="Arial Narrow" w:hAnsi="Arial Narrow" w:cs="Arial"/>
                <w:i/>
                <w:lang w:val="es-ES" w:eastAsia="es-ES"/>
              </w:rPr>
            </w:pPr>
            <w:r w:rsidRPr="000A149D">
              <w:rPr>
                <w:rFonts w:ascii="Arial Narrow" w:hAnsi="Arial Narrow" w:cs="Arial"/>
                <w:i/>
                <w:lang w:val="es-ES" w:eastAsia="es-ES"/>
              </w:rPr>
              <w:t>80,20</w:t>
            </w:r>
          </w:p>
        </w:tc>
        <w:tc>
          <w:tcPr>
            <w:tcW w:w="702"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p>
        </w:tc>
        <w:tc>
          <w:tcPr>
            <w:tcW w:w="833"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r w:rsidRPr="000A149D">
              <w:rPr>
                <w:rFonts w:ascii="Arial Narrow" w:hAnsi="Arial Narrow" w:cs="Arial"/>
                <w:i/>
                <w:lang w:val="es-ES" w:eastAsia="es-ES"/>
              </w:rPr>
              <w:t>36,65</w:t>
            </w:r>
          </w:p>
        </w:tc>
        <w:tc>
          <w:tcPr>
            <w:tcW w:w="664"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r w:rsidRPr="000A149D">
              <w:rPr>
                <w:rFonts w:ascii="Arial Narrow" w:hAnsi="Arial Narrow" w:cs="Arial"/>
                <w:i/>
                <w:lang w:val="es-ES" w:eastAsia="es-ES"/>
              </w:rPr>
              <w:t>30,00</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r w:rsidRPr="000A149D">
              <w:rPr>
                <w:rFonts w:ascii="Arial Narrow" w:hAnsi="Arial Narrow" w:cs="Arial"/>
                <w:i/>
                <w:lang w:val="es-ES" w:eastAsia="es-ES"/>
              </w:rPr>
              <w:t>14,55</w:t>
            </w:r>
          </w:p>
        </w:tc>
        <w:tc>
          <w:tcPr>
            <w:tcW w:w="665" w:type="dxa"/>
            <w:tcBorders>
              <w:top w:val="single" w:sz="2" w:space="0" w:color="auto"/>
              <w:bottom w:val="single" w:sz="2" w:space="0" w:color="auto"/>
            </w:tcBorders>
            <w:shd w:val="clear" w:color="auto" w:fill="auto"/>
            <w:noWrap/>
            <w:vAlign w:val="center"/>
          </w:tcPr>
          <w:p w:rsidR="00781DCF" w:rsidRPr="000A149D" w:rsidRDefault="00781DCF" w:rsidP="000A149D">
            <w:pPr>
              <w:spacing w:after="0"/>
              <w:ind w:firstLine="0"/>
              <w:jc w:val="right"/>
              <w:rPr>
                <w:rFonts w:ascii="Arial Narrow" w:hAnsi="Arial Narrow" w:cs="Arial"/>
                <w:i/>
                <w:lang w:val="es-ES" w:eastAsia="es-ES"/>
              </w:rPr>
            </w:pPr>
          </w:p>
        </w:tc>
      </w:tr>
      <w:tr w:rsidR="003945A7" w:rsidRPr="0029193E" w:rsidTr="0029193E">
        <w:trPr>
          <w:trHeight w:val="284"/>
          <w:jc w:val="center"/>
        </w:trPr>
        <w:tc>
          <w:tcPr>
            <w:tcW w:w="3198" w:type="dxa"/>
            <w:tcBorders>
              <w:top w:val="single" w:sz="2" w:space="0" w:color="auto"/>
              <w:bottom w:val="single" w:sz="2" w:space="0" w:color="auto"/>
            </w:tcBorders>
            <w:shd w:val="clear" w:color="auto" w:fill="auto"/>
            <w:noWrap/>
            <w:vAlign w:val="center"/>
          </w:tcPr>
          <w:p w:rsidR="003945A7" w:rsidRPr="0029193E" w:rsidRDefault="003945A7" w:rsidP="003945A7">
            <w:pPr>
              <w:spacing w:after="0"/>
              <w:ind w:firstLine="0"/>
              <w:jc w:val="left"/>
              <w:rPr>
                <w:rFonts w:ascii="Arial Narrow" w:hAnsi="Arial Narrow" w:cs="Arial"/>
                <w:b/>
                <w:lang w:val="es-ES" w:eastAsia="es-ES"/>
              </w:rPr>
            </w:pPr>
            <w:r w:rsidRPr="0029193E">
              <w:rPr>
                <w:rFonts w:ascii="Arial Narrow" w:hAnsi="Arial Narrow" w:cs="Arial"/>
                <w:b/>
                <w:lang w:val="es-ES" w:eastAsia="es-ES"/>
              </w:rPr>
              <w:t>Reintegro efectivamente cobrado</w:t>
            </w:r>
            <w:r w:rsidR="00CF4A2F" w:rsidRPr="0029193E">
              <w:rPr>
                <w:rFonts w:ascii="Arial Narrow" w:hAnsi="Arial Narrow" w:cs="Arial"/>
                <w:b/>
                <w:lang w:val="es-ES" w:eastAsia="es-ES"/>
              </w:rPr>
              <w:t xml:space="preserve"> G.Navarra</w:t>
            </w:r>
          </w:p>
        </w:tc>
        <w:tc>
          <w:tcPr>
            <w:tcW w:w="800"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36,65</w:t>
            </w:r>
          </w:p>
        </w:tc>
        <w:tc>
          <w:tcPr>
            <w:tcW w:w="702"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c>
          <w:tcPr>
            <w:tcW w:w="665"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c>
          <w:tcPr>
            <w:tcW w:w="833"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c>
          <w:tcPr>
            <w:tcW w:w="665"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r w:rsidRPr="0029193E">
              <w:rPr>
                <w:rFonts w:ascii="Arial Narrow" w:hAnsi="Arial Narrow" w:cs="Arial"/>
                <w:b/>
                <w:lang w:val="es-ES" w:eastAsia="es-ES"/>
              </w:rPr>
              <w:t>36,65</w:t>
            </w:r>
          </w:p>
        </w:tc>
        <w:tc>
          <w:tcPr>
            <w:tcW w:w="664"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c>
          <w:tcPr>
            <w:tcW w:w="665"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c>
          <w:tcPr>
            <w:tcW w:w="665" w:type="dxa"/>
            <w:tcBorders>
              <w:top w:val="single" w:sz="2" w:space="0" w:color="auto"/>
              <w:bottom w:val="single" w:sz="2" w:space="0" w:color="auto"/>
            </w:tcBorders>
            <w:shd w:val="clear" w:color="auto" w:fill="auto"/>
            <w:noWrap/>
            <w:vAlign w:val="center"/>
          </w:tcPr>
          <w:p w:rsidR="003945A7" w:rsidRPr="0029193E" w:rsidRDefault="003945A7" w:rsidP="000A149D">
            <w:pPr>
              <w:spacing w:after="0"/>
              <w:ind w:firstLine="0"/>
              <w:jc w:val="right"/>
              <w:rPr>
                <w:rFonts w:ascii="Arial Narrow" w:hAnsi="Arial Narrow" w:cs="Arial"/>
                <w:b/>
                <w:lang w:val="es-ES" w:eastAsia="es-ES"/>
              </w:rPr>
            </w:pPr>
          </w:p>
        </w:tc>
      </w:tr>
    </w:tbl>
    <w:p w:rsidR="00781DCF" w:rsidRPr="006665E3" w:rsidRDefault="000A149D" w:rsidP="000A149D">
      <w:pPr>
        <w:spacing w:before="60" w:after="0"/>
        <w:ind w:firstLine="0"/>
        <w:jc w:val="left"/>
        <w:rPr>
          <w:rFonts w:ascii="Arial Narrow" w:hAnsi="Arial Narrow" w:cs="Arial"/>
          <w:sz w:val="16"/>
          <w:szCs w:val="16"/>
          <w:lang w:val="es-ES" w:eastAsia="es-ES"/>
        </w:rPr>
      </w:pPr>
      <w:r w:rsidRPr="006665E3">
        <w:rPr>
          <w:rFonts w:ascii="Arial Narrow" w:hAnsi="Arial Narrow" w:cs="Arial"/>
          <w:sz w:val="16"/>
          <w:szCs w:val="16"/>
          <w:vertAlign w:val="superscript"/>
          <w:lang w:val="es-ES" w:eastAsia="es-ES"/>
        </w:rPr>
        <w:t xml:space="preserve">(1) </w:t>
      </w:r>
      <w:r w:rsidR="00781DCF" w:rsidRPr="006665E3">
        <w:rPr>
          <w:rFonts w:ascii="Arial Narrow" w:hAnsi="Arial Narrow" w:cs="Arial"/>
          <w:sz w:val="16"/>
          <w:szCs w:val="16"/>
          <w:lang w:val="es-ES" w:eastAsia="es-ES"/>
        </w:rPr>
        <w:t>El gasto de 2011 incluye el periodo de 2009 a 2011.</w:t>
      </w:r>
    </w:p>
    <w:p w:rsidR="0029193E" w:rsidRPr="00A0407B" w:rsidRDefault="00157C59" w:rsidP="008A1988">
      <w:pPr>
        <w:pStyle w:val="texto"/>
        <w:tabs>
          <w:tab w:val="clear" w:pos="2835"/>
          <w:tab w:val="clear" w:pos="3969"/>
          <w:tab w:val="clear" w:pos="5103"/>
          <w:tab w:val="clear" w:pos="6237"/>
          <w:tab w:val="clear" w:pos="7371"/>
        </w:tabs>
        <w:spacing w:before="240"/>
        <w:rPr>
          <w:szCs w:val="26"/>
        </w:rPr>
      </w:pPr>
      <w:r w:rsidRPr="00A0407B">
        <w:rPr>
          <w:szCs w:val="26"/>
        </w:rPr>
        <w:t>Es decir, el Gobierno de Navarra ha ejecutado</w:t>
      </w:r>
      <w:r w:rsidR="000D4B4D" w:rsidRPr="00A0407B">
        <w:rPr>
          <w:szCs w:val="26"/>
        </w:rPr>
        <w:t>,</w:t>
      </w:r>
      <w:r w:rsidRPr="00A0407B">
        <w:rPr>
          <w:szCs w:val="26"/>
        </w:rPr>
        <w:t xml:space="preserve"> hasta 2015</w:t>
      </w:r>
      <w:r w:rsidR="000D4B4D" w:rsidRPr="00A0407B">
        <w:rPr>
          <w:szCs w:val="26"/>
        </w:rPr>
        <w:t>,</w:t>
      </w:r>
      <w:r w:rsidRPr="00A0407B">
        <w:rPr>
          <w:szCs w:val="26"/>
        </w:rPr>
        <w:t xml:space="preserve"> el 21 por ciento de la inversión prevista en el corredor del TAV y ha solicitado el reintegro de la totalidad de gasto adelantado conformado. </w:t>
      </w:r>
    </w:p>
    <w:p w:rsidR="00B63BD4" w:rsidRPr="00A0407B" w:rsidRDefault="00B63BD4" w:rsidP="00325074">
      <w:pPr>
        <w:pStyle w:val="atitulo3"/>
      </w:pPr>
      <w:r w:rsidRPr="00A0407B">
        <w:lastRenderedPageBreak/>
        <w:t>Análisis de los gastos no conformados</w:t>
      </w:r>
    </w:p>
    <w:p w:rsidR="00157C59" w:rsidRDefault="00180C53" w:rsidP="006665E3">
      <w:pPr>
        <w:pStyle w:val="texto"/>
        <w:tabs>
          <w:tab w:val="clear" w:pos="2835"/>
          <w:tab w:val="clear" w:pos="3969"/>
          <w:tab w:val="clear" w:pos="5103"/>
          <w:tab w:val="clear" w:pos="6237"/>
          <w:tab w:val="clear" w:pos="7371"/>
        </w:tabs>
        <w:spacing w:after="120"/>
        <w:rPr>
          <w:szCs w:val="26"/>
        </w:rPr>
      </w:pPr>
      <w:r w:rsidRPr="00A0407B">
        <w:rPr>
          <w:szCs w:val="26"/>
        </w:rPr>
        <w:t xml:space="preserve">Los gastos no conformados por la Subcomisión, </w:t>
      </w:r>
      <w:r w:rsidR="00F4095C" w:rsidRPr="00A0407B">
        <w:rPr>
          <w:szCs w:val="26"/>
        </w:rPr>
        <w:t>a mayo de 2016 con ref</w:t>
      </w:r>
      <w:r w:rsidR="00F4095C" w:rsidRPr="00A0407B">
        <w:rPr>
          <w:szCs w:val="26"/>
        </w:rPr>
        <w:t>e</w:t>
      </w:r>
      <w:r w:rsidR="00F4095C" w:rsidRPr="00A0407B">
        <w:rPr>
          <w:szCs w:val="26"/>
        </w:rPr>
        <w:t xml:space="preserve">rencia hasta el 31 diciembre de 2015, </w:t>
      </w:r>
      <w:r w:rsidRPr="00A0407B">
        <w:rPr>
          <w:szCs w:val="26"/>
        </w:rPr>
        <w:t>de acuerdo con lo señalado en párrafos anteriores, ascienden a 0,88 millones y presentan el siguiente detalle</w:t>
      </w:r>
      <w:r w:rsidR="0029193E">
        <w:rPr>
          <w:szCs w:val="26"/>
        </w:rPr>
        <w:t>:</w:t>
      </w:r>
    </w:p>
    <w:p w:rsidR="0029193E" w:rsidRPr="002B4431" w:rsidRDefault="0029193E" w:rsidP="0029193E">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Pr>
          <w:rFonts w:ascii="Arial Narrow" w:hAnsi="Arial Narrow"/>
          <w:sz w:val="18"/>
          <w:szCs w:val="18"/>
        </w:rPr>
        <w:t>E</w:t>
      </w:r>
      <w:r w:rsidRPr="002B4431">
        <w:rPr>
          <w:rFonts w:ascii="Arial Narrow" w:hAnsi="Arial Narrow"/>
          <w:sz w:val="18"/>
          <w:szCs w:val="18"/>
        </w:rPr>
        <w:t>uros</w:t>
      </w:r>
    </w:p>
    <w:tbl>
      <w:tblPr>
        <w:tblW w:w="8759" w:type="dxa"/>
        <w:jc w:val="center"/>
        <w:tblCellMar>
          <w:left w:w="70" w:type="dxa"/>
          <w:right w:w="70" w:type="dxa"/>
        </w:tblCellMar>
        <w:tblLook w:val="04A0" w:firstRow="1" w:lastRow="0" w:firstColumn="1" w:lastColumn="0" w:noHBand="0" w:noVBand="1"/>
      </w:tblPr>
      <w:tblGrid>
        <w:gridCol w:w="7519"/>
        <w:gridCol w:w="1240"/>
      </w:tblGrid>
      <w:tr w:rsidR="00180C53" w:rsidTr="00A95DE6">
        <w:trPr>
          <w:trHeight w:val="284"/>
          <w:jc w:val="center"/>
        </w:trPr>
        <w:tc>
          <w:tcPr>
            <w:tcW w:w="7519" w:type="dxa"/>
            <w:tcBorders>
              <w:top w:val="single" w:sz="4" w:space="0" w:color="auto"/>
              <w:bottom w:val="single" w:sz="4" w:space="0" w:color="auto"/>
            </w:tcBorders>
            <w:shd w:val="clear" w:color="auto" w:fill="A8CBEE" w:themeFill="accent2" w:themeFillTint="66"/>
            <w:noWrap/>
            <w:vAlign w:val="center"/>
          </w:tcPr>
          <w:p w:rsidR="00180C53" w:rsidRPr="00180C53" w:rsidRDefault="00180C53" w:rsidP="00180C53">
            <w:pPr>
              <w:pStyle w:val="cuadroCabe"/>
              <w:jc w:val="left"/>
              <w:rPr>
                <w:rFonts w:cs="Arial"/>
              </w:rPr>
            </w:pPr>
            <w:r w:rsidRPr="00180C53">
              <w:rPr>
                <w:rFonts w:cs="Arial"/>
              </w:rPr>
              <w:t>Gastos no conformados</w:t>
            </w:r>
            <w:r w:rsidR="00F4095C">
              <w:rPr>
                <w:rFonts w:cs="Arial"/>
              </w:rPr>
              <w:t xml:space="preserve"> (mayo de 2016)</w:t>
            </w:r>
          </w:p>
        </w:tc>
        <w:tc>
          <w:tcPr>
            <w:tcW w:w="1240" w:type="dxa"/>
            <w:tcBorders>
              <w:top w:val="single" w:sz="4" w:space="0" w:color="auto"/>
              <w:bottom w:val="single" w:sz="4" w:space="0" w:color="auto"/>
            </w:tcBorders>
            <w:shd w:val="clear" w:color="auto" w:fill="A8CBEE" w:themeFill="accent2" w:themeFillTint="66"/>
            <w:noWrap/>
            <w:vAlign w:val="center"/>
          </w:tcPr>
          <w:p w:rsidR="00180C53" w:rsidRPr="00180C53" w:rsidRDefault="00180C53" w:rsidP="000A149D">
            <w:pPr>
              <w:pStyle w:val="cuadroCabe"/>
              <w:jc w:val="right"/>
              <w:rPr>
                <w:rFonts w:cs="Arial"/>
              </w:rPr>
            </w:pPr>
            <w:r w:rsidRPr="00180C53">
              <w:rPr>
                <w:rFonts w:cs="Arial"/>
              </w:rPr>
              <w:t>Importe</w:t>
            </w:r>
          </w:p>
        </w:tc>
      </w:tr>
      <w:tr w:rsidR="00180C53" w:rsidRPr="000A149D" w:rsidTr="000A149D">
        <w:trPr>
          <w:trHeight w:val="284"/>
          <w:jc w:val="center"/>
        </w:trPr>
        <w:tc>
          <w:tcPr>
            <w:tcW w:w="7519" w:type="dxa"/>
            <w:tcBorders>
              <w:top w:val="single" w:sz="4"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Asistencia Técnica expropiaciones</w:t>
            </w:r>
          </w:p>
        </w:tc>
        <w:tc>
          <w:tcPr>
            <w:tcW w:w="1240" w:type="dxa"/>
            <w:tcBorders>
              <w:top w:val="single" w:sz="4" w:space="0" w:color="auto"/>
              <w:bottom w:val="single" w:sz="2" w:space="0" w:color="auto"/>
            </w:tcBorders>
            <w:noWrap/>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728.267</w:t>
            </w:r>
          </w:p>
        </w:tc>
      </w:tr>
      <w:tr w:rsidR="00180C53" w:rsidRPr="000A149D" w:rsidTr="000A149D">
        <w:trPr>
          <w:trHeight w:val="284"/>
          <w:jc w:val="center"/>
        </w:trPr>
        <w:tc>
          <w:tcPr>
            <w:tcW w:w="7519" w:type="dxa"/>
            <w:tcBorders>
              <w:top w:val="single" w:sz="2"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Asistencia Técnica afecciones</w:t>
            </w:r>
          </w:p>
        </w:tc>
        <w:tc>
          <w:tcPr>
            <w:tcW w:w="1240" w:type="dxa"/>
            <w:tcBorders>
              <w:top w:val="single" w:sz="2" w:space="0" w:color="auto"/>
              <w:bottom w:val="single" w:sz="2" w:space="0" w:color="auto"/>
            </w:tcBorders>
            <w:noWrap/>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83.418</w:t>
            </w:r>
          </w:p>
        </w:tc>
      </w:tr>
      <w:tr w:rsidR="00180C53" w:rsidRPr="000A149D" w:rsidTr="000A149D">
        <w:trPr>
          <w:trHeight w:val="284"/>
          <w:jc w:val="center"/>
        </w:trPr>
        <w:tc>
          <w:tcPr>
            <w:tcW w:w="7519" w:type="dxa"/>
            <w:tcBorders>
              <w:top w:val="single" w:sz="2"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Factura mensajero</w:t>
            </w:r>
          </w:p>
        </w:tc>
        <w:tc>
          <w:tcPr>
            <w:tcW w:w="1240" w:type="dxa"/>
            <w:tcBorders>
              <w:top w:val="single" w:sz="2" w:space="0" w:color="auto"/>
              <w:bottom w:val="single" w:sz="2" w:space="0" w:color="auto"/>
            </w:tcBorders>
            <w:noWrap/>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484</w:t>
            </w:r>
          </w:p>
        </w:tc>
      </w:tr>
      <w:tr w:rsidR="00180C53" w:rsidRPr="000A149D" w:rsidTr="000A149D">
        <w:trPr>
          <w:trHeight w:val="284"/>
          <w:jc w:val="center"/>
        </w:trPr>
        <w:tc>
          <w:tcPr>
            <w:tcW w:w="7519" w:type="dxa"/>
            <w:tcBorders>
              <w:top w:val="single" w:sz="2"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Importes no reconocidas por obras y asistencia técnica</w:t>
            </w:r>
          </w:p>
        </w:tc>
        <w:tc>
          <w:tcPr>
            <w:tcW w:w="1240" w:type="dxa"/>
            <w:tcBorders>
              <w:top w:val="single" w:sz="2" w:space="0" w:color="auto"/>
              <w:bottom w:val="single" w:sz="2" w:space="0" w:color="auto"/>
            </w:tcBorders>
            <w:noWrap/>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 </w:t>
            </w:r>
          </w:p>
        </w:tc>
      </w:tr>
      <w:tr w:rsidR="00180C53" w:rsidRPr="000A149D" w:rsidTr="000A149D">
        <w:trPr>
          <w:trHeight w:val="284"/>
          <w:jc w:val="center"/>
        </w:trPr>
        <w:tc>
          <w:tcPr>
            <w:tcW w:w="7519" w:type="dxa"/>
            <w:tcBorders>
              <w:top w:val="single" w:sz="2"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 xml:space="preserve">       Obras Subtramo I: Castejón -Cadreita</w:t>
            </w:r>
          </w:p>
        </w:tc>
        <w:tc>
          <w:tcPr>
            <w:tcW w:w="1240" w:type="dxa"/>
            <w:tcBorders>
              <w:top w:val="single" w:sz="2" w:space="0" w:color="auto"/>
              <w:bottom w:val="single" w:sz="2" w:space="0" w:color="auto"/>
            </w:tcBorders>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23.119</w:t>
            </w:r>
          </w:p>
        </w:tc>
      </w:tr>
      <w:tr w:rsidR="00180C53" w:rsidRPr="000A149D" w:rsidTr="000A149D">
        <w:trPr>
          <w:trHeight w:val="284"/>
          <w:jc w:val="center"/>
        </w:trPr>
        <w:tc>
          <w:tcPr>
            <w:tcW w:w="7519" w:type="dxa"/>
            <w:tcBorders>
              <w:top w:val="single" w:sz="2" w:space="0" w:color="auto"/>
              <w:bottom w:val="single" w:sz="2" w:space="0" w:color="auto"/>
            </w:tcBorders>
            <w:noWrap/>
            <w:vAlign w:val="center"/>
            <w:hideMark/>
          </w:tcPr>
          <w:p w:rsidR="00180C53" w:rsidRPr="000A149D" w:rsidRDefault="00180C53" w:rsidP="00180C53">
            <w:pPr>
              <w:spacing w:after="0"/>
              <w:ind w:firstLine="0"/>
              <w:jc w:val="left"/>
              <w:rPr>
                <w:rFonts w:ascii="Arial Narrow" w:hAnsi="Arial Narrow" w:cs="Arial"/>
                <w:lang w:val="es-ES" w:eastAsia="es-ES"/>
              </w:rPr>
            </w:pPr>
            <w:r w:rsidRPr="000A149D">
              <w:rPr>
                <w:rFonts w:ascii="Arial Narrow" w:hAnsi="Arial Narrow" w:cs="Arial"/>
                <w:lang w:val="es-ES" w:eastAsia="es-ES"/>
              </w:rPr>
              <w:t xml:space="preserve">        Asistencia Técnica Medioambiental</w:t>
            </w:r>
          </w:p>
        </w:tc>
        <w:tc>
          <w:tcPr>
            <w:tcW w:w="1240" w:type="dxa"/>
            <w:tcBorders>
              <w:top w:val="single" w:sz="2" w:space="0" w:color="auto"/>
              <w:bottom w:val="single" w:sz="2" w:space="0" w:color="auto"/>
            </w:tcBorders>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20.615</w:t>
            </w:r>
          </w:p>
        </w:tc>
      </w:tr>
      <w:tr w:rsidR="00180C53" w:rsidRPr="000A149D" w:rsidTr="000A149D">
        <w:trPr>
          <w:trHeight w:val="284"/>
          <w:jc w:val="center"/>
        </w:trPr>
        <w:tc>
          <w:tcPr>
            <w:tcW w:w="7519" w:type="dxa"/>
            <w:tcBorders>
              <w:top w:val="single" w:sz="2" w:space="0" w:color="auto"/>
              <w:bottom w:val="single" w:sz="4" w:space="0" w:color="auto"/>
            </w:tcBorders>
            <w:noWrap/>
            <w:vAlign w:val="center"/>
            <w:hideMark/>
          </w:tcPr>
          <w:p w:rsidR="00180C53" w:rsidRPr="000A149D" w:rsidRDefault="00180C53" w:rsidP="00852215">
            <w:pPr>
              <w:spacing w:after="0"/>
              <w:ind w:firstLine="0"/>
              <w:jc w:val="left"/>
              <w:rPr>
                <w:rFonts w:ascii="Arial Narrow" w:hAnsi="Arial Narrow" w:cs="Arial"/>
                <w:lang w:val="es-ES" w:eastAsia="es-ES"/>
              </w:rPr>
            </w:pPr>
            <w:r w:rsidRPr="000A149D">
              <w:rPr>
                <w:rFonts w:ascii="Arial Narrow" w:hAnsi="Arial Narrow" w:cs="Arial"/>
                <w:lang w:val="es-ES" w:eastAsia="es-ES"/>
              </w:rPr>
              <w:t xml:space="preserve">       Seguridad y </w:t>
            </w:r>
            <w:r w:rsidR="00852215" w:rsidRPr="000A149D">
              <w:rPr>
                <w:rFonts w:ascii="Arial Narrow" w:hAnsi="Arial Narrow" w:cs="Arial"/>
                <w:lang w:val="es-ES" w:eastAsia="es-ES"/>
              </w:rPr>
              <w:t>S</w:t>
            </w:r>
            <w:r w:rsidRPr="000A149D">
              <w:rPr>
                <w:rFonts w:ascii="Arial Narrow" w:hAnsi="Arial Narrow" w:cs="Arial"/>
                <w:lang w:val="es-ES" w:eastAsia="es-ES"/>
              </w:rPr>
              <w:t>alud tramo 1</w:t>
            </w:r>
          </w:p>
        </w:tc>
        <w:tc>
          <w:tcPr>
            <w:tcW w:w="1240" w:type="dxa"/>
            <w:tcBorders>
              <w:top w:val="single" w:sz="2" w:space="0" w:color="auto"/>
              <w:bottom w:val="single" w:sz="4" w:space="0" w:color="auto"/>
            </w:tcBorders>
            <w:vAlign w:val="center"/>
            <w:hideMark/>
          </w:tcPr>
          <w:p w:rsidR="00180C53" w:rsidRPr="000A149D" w:rsidRDefault="00180C53" w:rsidP="000A149D">
            <w:pPr>
              <w:spacing w:after="0"/>
              <w:ind w:firstLine="0"/>
              <w:jc w:val="right"/>
              <w:rPr>
                <w:rFonts w:ascii="Arial Narrow" w:hAnsi="Arial Narrow" w:cs="Arial"/>
                <w:lang w:val="es-ES" w:eastAsia="es-ES"/>
              </w:rPr>
            </w:pPr>
            <w:r w:rsidRPr="000A149D">
              <w:rPr>
                <w:rFonts w:ascii="Arial Narrow" w:hAnsi="Arial Narrow" w:cs="Arial"/>
                <w:lang w:val="es-ES" w:eastAsia="es-ES"/>
              </w:rPr>
              <w:t>28.217</w:t>
            </w:r>
          </w:p>
        </w:tc>
      </w:tr>
      <w:tr w:rsidR="00180C53" w:rsidRPr="002832C2" w:rsidTr="000A149D">
        <w:trPr>
          <w:trHeight w:val="284"/>
          <w:jc w:val="center"/>
        </w:trPr>
        <w:tc>
          <w:tcPr>
            <w:tcW w:w="7519" w:type="dxa"/>
            <w:tcBorders>
              <w:top w:val="single" w:sz="4" w:space="0" w:color="auto"/>
              <w:bottom w:val="single" w:sz="4" w:space="0" w:color="auto"/>
            </w:tcBorders>
            <w:shd w:val="clear" w:color="auto" w:fill="A8CBEE" w:themeFill="accent2" w:themeFillTint="66"/>
            <w:noWrap/>
            <w:vAlign w:val="center"/>
            <w:hideMark/>
          </w:tcPr>
          <w:p w:rsidR="00180C53" w:rsidRPr="00180C53" w:rsidRDefault="00180C53" w:rsidP="00180C53">
            <w:pPr>
              <w:pStyle w:val="cuadroCabe"/>
              <w:jc w:val="left"/>
              <w:rPr>
                <w:rFonts w:cs="Arial"/>
              </w:rPr>
            </w:pPr>
            <w:r w:rsidRPr="00180C53">
              <w:rPr>
                <w:rFonts w:cs="Arial"/>
              </w:rPr>
              <w:t>Total gastos no conformados</w:t>
            </w:r>
            <w:r w:rsidR="00F4095C">
              <w:rPr>
                <w:rFonts w:cs="Arial"/>
              </w:rPr>
              <w:t xml:space="preserve"> 31-XII-2015</w:t>
            </w:r>
          </w:p>
        </w:tc>
        <w:tc>
          <w:tcPr>
            <w:tcW w:w="1240" w:type="dxa"/>
            <w:tcBorders>
              <w:top w:val="single" w:sz="4" w:space="0" w:color="auto"/>
              <w:bottom w:val="single" w:sz="4" w:space="0" w:color="auto"/>
            </w:tcBorders>
            <w:shd w:val="clear" w:color="auto" w:fill="A8CBEE" w:themeFill="accent2" w:themeFillTint="66"/>
            <w:noWrap/>
            <w:vAlign w:val="center"/>
            <w:hideMark/>
          </w:tcPr>
          <w:p w:rsidR="00180C53" w:rsidRPr="002832C2" w:rsidRDefault="00180C53" w:rsidP="000A149D">
            <w:pPr>
              <w:spacing w:after="0"/>
              <w:ind w:firstLine="0"/>
              <w:jc w:val="right"/>
              <w:rPr>
                <w:rFonts w:ascii="Arial" w:hAnsi="Arial" w:cs="Arial"/>
                <w:sz w:val="18"/>
                <w:szCs w:val="18"/>
                <w:lang w:val="es-ES" w:eastAsia="es-ES"/>
              </w:rPr>
            </w:pPr>
            <w:r w:rsidRPr="002832C2">
              <w:rPr>
                <w:rFonts w:ascii="Arial" w:hAnsi="Arial" w:cs="Arial"/>
                <w:sz w:val="18"/>
                <w:szCs w:val="18"/>
                <w:lang w:val="es-ES" w:eastAsia="es-ES"/>
              </w:rPr>
              <w:t>884.120</w:t>
            </w:r>
          </w:p>
        </w:tc>
      </w:tr>
    </w:tbl>
    <w:p w:rsidR="00180C53" w:rsidRPr="00A0407B" w:rsidRDefault="00180C53" w:rsidP="006665E3">
      <w:pPr>
        <w:pStyle w:val="texto"/>
        <w:tabs>
          <w:tab w:val="clear" w:pos="2835"/>
          <w:tab w:val="clear" w:pos="3969"/>
          <w:tab w:val="clear" w:pos="5103"/>
          <w:tab w:val="clear" w:pos="6237"/>
          <w:tab w:val="clear" w:pos="7371"/>
        </w:tabs>
        <w:spacing w:after="0"/>
        <w:rPr>
          <w:szCs w:val="26"/>
        </w:rPr>
      </w:pPr>
    </w:p>
    <w:p w:rsidR="00180C53" w:rsidRPr="00A0407B" w:rsidRDefault="00180C53" w:rsidP="006665E3">
      <w:pPr>
        <w:pStyle w:val="texto"/>
        <w:tabs>
          <w:tab w:val="clear" w:pos="2835"/>
          <w:tab w:val="clear" w:pos="3969"/>
          <w:tab w:val="clear" w:pos="5103"/>
          <w:tab w:val="clear" w:pos="6237"/>
          <w:tab w:val="clear" w:pos="7371"/>
        </w:tabs>
        <w:spacing w:after="180"/>
        <w:rPr>
          <w:szCs w:val="26"/>
        </w:rPr>
      </w:pPr>
      <w:r w:rsidRPr="00A0407B">
        <w:rPr>
          <w:szCs w:val="26"/>
        </w:rPr>
        <w:t>Estos gastos representan escasamente el uno por ciento del total de gastos ejecuta</w:t>
      </w:r>
      <w:r w:rsidR="009523B8" w:rsidRPr="00A0407B">
        <w:rPr>
          <w:szCs w:val="26"/>
        </w:rPr>
        <w:t>dos por el Gobierno de Navarra y se refieren fundamentalmente a asi</w:t>
      </w:r>
      <w:r w:rsidR="009523B8" w:rsidRPr="00A0407B">
        <w:rPr>
          <w:szCs w:val="26"/>
        </w:rPr>
        <w:t>s</w:t>
      </w:r>
      <w:r w:rsidR="009523B8" w:rsidRPr="00A0407B">
        <w:rPr>
          <w:szCs w:val="26"/>
        </w:rPr>
        <w:t>tencia técnica.</w:t>
      </w:r>
    </w:p>
    <w:p w:rsidR="00180C53" w:rsidRPr="00A0407B" w:rsidRDefault="00180C53" w:rsidP="006665E3">
      <w:pPr>
        <w:pStyle w:val="texto"/>
        <w:tabs>
          <w:tab w:val="clear" w:pos="2835"/>
          <w:tab w:val="clear" w:pos="3969"/>
          <w:tab w:val="clear" w:pos="5103"/>
          <w:tab w:val="clear" w:pos="6237"/>
          <w:tab w:val="clear" w:pos="7371"/>
        </w:tabs>
        <w:spacing w:after="180"/>
        <w:rPr>
          <w:szCs w:val="26"/>
        </w:rPr>
      </w:pPr>
      <w:r w:rsidRPr="00A0407B">
        <w:rPr>
          <w:szCs w:val="26"/>
        </w:rPr>
        <w:t xml:space="preserve">Los gastos de </w:t>
      </w:r>
      <w:r w:rsidR="000C775B" w:rsidRPr="00A0407B">
        <w:rPr>
          <w:szCs w:val="26"/>
        </w:rPr>
        <w:t>a</w:t>
      </w:r>
      <w:r w:rsidRPr="00A0407B">
        <w:rPr>
          <w:szCs w:val="26"/>
        </w:rPr>
        <w:t xml:space="preserve">sistencia </w:t>
      </w:r>
      <w:r w:rsidR="000C775B" w:rsidRPr="00A0407B">
        <w:rPr>
          <w:szCs w:val="26"/>
        </w:rPr>
        <w:t>t</w:t>
      </w:r>
      <w:r w:rsidRPr="00A0407B">
        <w:rPr>
          <w:szCs w:val="26"/>
        </w:rPr>
        <w:t xml:space="preserve">écnica </w:t>
      </w:r>
      <w:r w:rsidR="000E6AE1" w:rsidRPr="00A0407B">
        <w:rPr>
          <w:szCs w:val="26"/>
        </w:rPr>
        <w:t xml:space="preserve">relativos </w:t>
      </w:r>
      <w:r w:rsidRPr="00A0407B">
        <w:rPr>
          <w:szCs w:val="26"/>
        </w:rPr>
        <w:t xml:space="preserve">al proceso de expropiaciones están excluidos por entender que corresponden a </w:t>
      </w:r>
      <w:r w:rsidR="000C775B" w:rsidRPr="00A0407B">
        <w:rPr>
          <w:szCs w:val="26"/>
        </w:rPr>
        <w:t>los “</w:t>
      </w:r>
      <w:r w:rsidRPr="00A0407B">
        <w:rPr>
          <w:szCs w:val="26"/>
        </w:rPr>
        <w:t>costes relativos a la apertura y mantenimiento de la oficina de gestión expropiatoria</w:t>
      </w:r>
      <w:r w:rsidR="000C775B" w:rsidRPr="00A0407B">
        <w:rPr>
          <w:szCs w:val="26"/>
        </w:rPr>
        <w:t>”</w:t>
      </w:r>
      <w:r w:rsidRPr="00A0407B">
        <w:rPr>
          <w:szCs w:val="26"/>
        </w:rPr>
        <w:t>, que</w:t>
      </w:r>
      <w:r w:rsidR="000C775B" w:rsidRPr="00A0407B">
        <w:rPr>
          <w:szCs w:val="26"/>
        </w:rPr>
        <w:t>, de acuerdo con el Convenio, deben ser por</w:t>
      </w:r>
      <w:r w:rsidRPr="00A0407B">
        <w:rPr>
          <w:szCs w:val="26"/>
        </w:rPr>
        <w:t xml:space="preserve"> cuenta de</w:t>
      </w:r>
      <w:r w:rsidR="000C775B" w:rsidRPr="00A0407B">
        <w:rPr>
          <w:szCs w:val="26"/>
        </w:rPr>
        <w:t xml:space="preserve">l Gobierno de Navarra. </w:t>
      </w:r>
      <w:r w:rsidRPr="00A0407B">
        <w:rPr>
          <w:szCs w:val="26"/>
        </w:rPr>
        <w:t>Además se han e</w:t>
      </w:r>
      <w:r w:rsidRPr="00A0407B">
        <w:rPr>
          <w:szCs w:val="26"/>
        </w:rPr>
        <w:t>x</w:t>
      </w:r>
      <w:r w:rsidRPr="00A0407B">
        <w:rPr>
          <w:szCs w:val="26"/>
        </w:rPr>
        <w:t>cluido otros gas</w:t>
      </w:r>
      <w:r w:rsidR="000C775B" w:rsidRPr="00A0407B">
        <w:rPr>
          <w:szCs w:val="26"/>
        </w:rPr>
        <w:t xml:space="preserve">tos de 2013 </w:t>
      </w:r>
      <w:r w:rsidRPr="00A0407B">
        <w:rPr>
          <w:szCs w:val="26"/>
        </w:rPr>
        <w:t xml:space="preserve">relacionados con </w:t>
      </w:r>
      <w:r w:rsidR="000C775B" w:rsidRPr="00A0407B">
        <w:rPr>
          <w:szCs w:val="26"/>
        </w:rPr>
        <w:t>la c</w:t>
      </w:r>
      <w:r w:rsidRPr="00A0407B">
        <w:rPr>
          <w:szCs w:val="26"/>
        </w:rPr>
        <w:t>omprobación de afecciones e identificación de propietarios afectados y modificaciones catastrales</w:t>
      </w:r>
      <w:r w:rsidR="000C775B" w:rsidRPr="00A0407B">
        <w:rPr>
          <w:szCs w:val="26"/>
        </w:rPr>
        <w:t>.</w:t>
      </w:r>
    </w:p>
    <w:p w:rsidR="0029193E" w:rsidRDefault="000E6AE1" w:rsidP="006665E3">
      <w:pPr>
        <w:pStyle w:val="texto"/>
        <w:tabs>
          <w:tab w:val="clear" w:pos="2835"/>
          <w:tab w:val="clear" w:pos="3969"/>
          <w:tab w:val="clear" w:pos="5103"/>
          <w:tab w:val="clear" w:pos="6237"/>
          <w:tab w:val="clear" w:pos="7371"/>
        </w:tabs>
        <w:spacing w:after="180"/>
        <w:rPr>
          <w:szCs w:val="26"/>
        </w:rPr>
      </w:pPr>
      <w:r w:rsidRPr="00A0407B">
        <w:rPr>
          <w:szCs w:val="26"/>
        </w:rPr>
        <w:t>Además del importe anterior, el Gobierno de Navarra</w:t>
      </w:r>
      <w:r w:rsidR="00637847" w:rsidRPr="00A0407B">
        <w:rPr>
          <w:szCs w:val="26"/>
        </w:rPr>
        <w:t>, dada la naturaleza del gasto,</w:t>
      </w:r>
      <w:r w:rsidRPr="00A0407B">
        <w:rPr>
          <w:szCs w:val="26"/>
        </w:rPr>
        <w:t xml:space="preserve"> no incluyó en las facturas a conformar un gasto presupuestario de 3.230 euros correspondientes a unas jornadas sobre el futuro del tren organizadas por la fundación CRANA. Este gasto estaba registrado en la partida de proyectos, asistencia técnica y dirección de obra y no fue incluido en las facturas a co</w:t>
      </w:r>
      <w:r w:rsidRPr="00A0407B">
        <w:rPr>
          <w:szCs w:val="26"/>
        </w:rPr>
        <w:t>n</w:t>
      </w:r>
      <w:r w:rsidRPr="00A0407B">
        <w:rPr>
          <w:szCs w:val="26"/>
        </w:rPr>
        <w:t>formar.</w:t>
      </w:r>
    </w:p>
    <w:p w:rsidR="00180C53" w:rsidRPr="00A0407B" w:rsidRDefault="000F0638" w:rsidP="000F0638">
      <w:pPr>
        <w:pStyle w:val="atitulo2"/>
      </w:pPr>
      <w:bookmarkStart w:id="26" w:name="_Toc467480857"/>
      <w:r>
        <w:t xml:space="preserve">IV.3. </w:t>
      </w:r>
      <w:r w:rsidR="00800E04" w:rsidRPr="00A0407B">
        <w:t>Financiación y estimación de los gastos financieros derivados de los obras del TAV</w:t>
      </w:r>
      <w:bookmarkEnd w:id="26"/>
    </w:p>
    <w:p w:rsidR="006665E3" w:rsidRDefault="00FA25F5" w:rsidP="0029193E">
      <w:pPr>
        <w:pStyle w:val="texto"/>
        <w:tabs>
          <w:tab w:val="clear" w:pos="2835"/>
          <w:tab w:val="clear" w:pos="3969"/>
          <w:tab w:val="clear" w:pos="5103"/>
          <w:tab w:val="clear" w:pos="6237"/>
          <w:tab w:val="clear" w:pos="7371"/>
        </w:tabs>
        <w:spacing w:after="120"/>
        <w:rPr>
          <w:szCs w:val="26"/>
        </w:rPr>
      </w:pPr>
      <w:r w:rsidRPr="00A0407B">
        <w:rPr>
          <w:szCs w:val="26"/>
        </w:rPr>
        <w:t>En el Plan Económico-</w:t>
      </w:r>
      <w:r w:rsidR="0075622A" w:rsidRPr="00A0407B">
        <w:rPr>
          <w:szCs w:val="26"/>
        </w:rPr>
        <w:t>F</w:t>
      </w:r>
      <w:r w:rsidRPr="00A0407B">
        <w:rPr>
          <w:szCs w:val="26"/>
        </w:rPr>
        <w:t xml:space="preserve">inanciero de Reequilibrio Presupuestario para la Comunidad Foral de Navarra </w:t>
      </w:r>
      <w:r w:rsidR="00884E2B" w:rsidRPr="00A0407B">
        <w:rPr>
          <w:szCs w:val="26"/>
        </w:rPr>
        <w:t xml:space="preserve">para el periodo de </w:t>
      </w:r>
      <w:r w:rsidRPr="00A0407B">
        <w:rPr>
          <w:szCs w:val="26"/>
        </w:rPr>
        <w:t>2012-2014, est</w:t>
      </w:r>
      <w:r w:rsidR="00884E2B" w:rsidRPr="00A0407B">
        <w:rPr>
          <w:szCs w:val="26"/>
        </w:rPr>
        <w:t>aba</w:t>
      </w:r>
      <w:r w:rsidRPr="00A0407B">
        <w:rPr>
          <w:szCs w:val="26"/>
        </w:rPr>
        <w:t xml:space="preserve"> previsto que el Gobierno</w:t>
      </w:r>
      <w:r w:rsidR="00884E2B" w:rsidRPr="00A0407B">
        <w:rPr>
          <w:szCs w:val="26"/>
        </w:rPr>
        <w:t xml:space="preserve"> de Navarra</w:t>
      </w:r>
      <w:r w:rsidRPr="00A0407B">
        <w:rPr>
          <w:szCs w:val="26"/>
        </w:rPr>
        <w:t xml:space="preserve"> realizar</w:t>
      </w:r>
      <w:r w:rsidR="00A878A1">
        <w:rPr>
          <w:szCs w:val="26"/>
        </w:rPr>
        <w:t>a</w:t>
      </w:r>
      <w:r w:rsidRPr="00A0407B">
        <w:rPr>
          <w:szCs w:val="26"/>
        </w:rPr>
        <w:t xml:space="preserve"> operaciones de endeudamiento para financiar el adelan</w:t>
      </w:r>
      <w:r w:rsidR="00EE1286" w:rsidRPr="00A0407B">
        <w:rPr>
          <w:szCs w:val="26"/>
        </w:rPr>
        <w:t xml:space="preserve">to de las obras del TAV </w:t>
      </w:r>
      <w:r w:rsidRPr="00A0407B">
        <w:rPr>
          <w:szCs w:val="26"/>
        </w:rPr>
        <w:t xml:space="preserve">hasta que </w:t>
      </w:r>
      <w:r w:rsidR="00A878A1">
        <w:rPr>
          <w:szCs w:val="26"/>
        </w:rPr>
        <w:t xml:space="preserve">el Estado </w:t>
      </w:r>
      <w:r w:rsidRPr="00A0407B">
        <w:rPr>
          <w:szCs w:val="26"/>
        </w:rPr>
        <w:t>reintegr</w:t>
      </w:r>
      <w:r w:rsidR="00A878A1">
        <w:rPr>
          <w:szCs w:val="26"/>
        </w:rPr>
        <w:t xml:space="preserve">ara </w:t>
      </w:r>
      <w:r w:rsidRPr="00A0407B">
        <w:rPr>
          <w:szCs w:val="26"/>
        </w:rPr>
        <w:t xml:space="preserve">su importe. </w:t>
      </w:r>
    </w:p>
    <w:p w:rsidR="006665E3" w:rsidRDefault="006665E3" w:rsidP="0029193E">
      <w:pPr>
        <w:pStyle w:val="texto"/>
        <w:tabs>
          <w:tab w:val="clear" w:pos="2835"/>
          <w:tab w:val="clear" w:pos="3969"/>
          <w:tab w:val="clear" w:pos="5103"/>
          <w:tab w:val="clear" w:pos="6237"/>
          <w:tab w:val="clear" w:pos="7371"/>
        </w:tabs>
        <w:spacing w:after="120"/>
        <w:rPr>
          <w:szCs w:val="26"/>
        </w:rPr>
      </w:pPr>
    </w:p>
    <w:p w:rsidR="006665E3" w:rsidRDefault="006665E3" w:rsidP="0029193E">
      <w:pPr>
        <w:pStyle w:val="texto"/>
        <w:tabs>
          <w:tab w:val="clear" w:pos="2835"/>
          <w:tab w:val="clear" w:pos="3969"/>
          <w:tab w:val="clear" w:pos="5103"/>
          <w:tab w:val="clear" w:pos="6237"/>
          <w:tab w:val="clear" w:pos="7371"/>
        </w:tabs>
        <w:spacing w:after="120"/>
        <w:rPr>
          <w:szCs w:val="26"/>
        </w:rPr>
      </w:pPr>
    </w:p>
    <w:p w:rsidR="006665E3" w:rsidRDefault="006665E3" w:rsidP="0029193E">
      <w:pPr>
        <w:pStyle w:val="texto"/>
        <w:tabs>
          <w:tab w:val="clear" w:pos="2835"/>
          <w:tab w:val="clear" w:pos="3969"/>
          <w:tab w:val="clear" w:pos="5103"/>
          <w:tab w:val="clear" w:pos="6237"/>
          <w:tab w:val="clear" w:pos="7371"/>
        </w:tabs>
        <w:spacing w:after="120"/>
        <w:rPr>
          <w:szCs w:val="26"/>
        </w:rPr>
      </w:pPr>
    </w:p>
    <w:p w:rsidR="00A0228A" w:rsidRDefault="00FA25F5" w:rsidP="0029193E">
      <w:pPr>
        <w:pStyle w:val="texto"/>
        <w:tabs>
          <w:tab w:val="clear" w:pos="2835"/>
          <w:tab w:val="clear" w:pos="3969"/>
          <w:tab w:val="clear" w:pos="5103"/>
          <w:tab w:val="clear" w:pos="6237"/>
          <w:tab w:val="clear" w:pos="7371"/>
        </w:tabs>
        <w:spacing w:after="120"/>
        <w:rPr>
          <w:szCs w:val="26"/>
        </w:rPr>
      </w:pPr>
      <w:r w:rsidRPr="00A0407B">
        <w:rPr>
          <w:szCs w:val="26"/>
        </w:rPr>
        <w:lastRenderedPageBreak/>
        <w:t>Las previsiones de endeudamien</w:t>
      </w:r>
      <w:r w:rsidR="00884E2B" w:rsidRPr="00A0407B">
        <w:rPr>
          <w:szCs w:val="26"/>
        </w:rPr>
        <w:t xml:space="preserve">to </w:t>
      </w:r>
      <w:r w:rsidRPr="00A0407B">
        <w:rPr>
          <w:szCs w:val="26"/>
        </w:rPr>
        <w:t>eran</w:t>
      </w:r>
      <w:r w:rsidR="00884E2B" w:rsidRPr="00A0407B">
        <w:rPr>
          <w:szCs w:val="26"/>
        </w:rPr>
        <w:t xml:space="preserve"> las siguientes</w:t>
      </w:r>
      <w:r w:rsidR="00E83073" w:rsidRPr="00A0407B">
        <w:rPr>
          <w:szCs w:val="26"/>
        </w:rPr>
        <w:t>:</w:t>
      </w:r>
      <w:r w:rsidR="0029193E">
        <w:rPr>
          <w:szCs w:val="26"/>
        </w:rPr>
        <w:t xml:space="preserve"> </w:t>
      </w:r>
    </w:p>
    <w:p w:rsidR="0029193E" w:rsidRPr="002B4431" w:rsidRDefault="0029193E" w:rsidP="0029193E">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CA3482" w:rsidRPr="002B4431">
        <w:rPr>
          <w:rFonts w:ascii="Arial Narrow" w:hAnsi="Arial Narrow"/>
          <w:sz w:val="18"/>
          <w:szCs w:val="18"/>
        </w:rPr>
        <w:t>Millones</w:t>
      </w:r>
      <w:r w:rsidRPr="002B4431">
        <w:rPr>
          <w:rFonts w:ascii="Arial Narrow" w:hAnsi="Arial Narrow"/>
          <w:sz w:val="18"/>
          <w:szCs w:val="18"/>
        </w:rPr>
        <w:t xml:space="preserve"> de euros)</w:t>
      </w:r>
    </w:p>
    <w:tbl>
      <w:tblPr>
        <w:tblW w:w="8731"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6513"/>
        <w:gridCol w:w="2218"/>
      </w:tblGrid>
      <w:tr w:rsidR="00884E2B" w:rsidRPr="00180C53" w:rsidTr="00A95DE6">
        <w:trPr>
          <w:trHeight w:val="284"/>
          <w:jc w:val="center"/>
        </w:trPr>
        <w:tc>
          <w:tcPr>
            <w:tcW w:w="6513" w:type="dxa"/>
            <w:tcBorders>
              <w:top w:val="single" w:sz="4" w:space="0" w:color="auto"/>
              <w:bottom w:val="single" w:sz="4" w:space="0" w:color="auto"/>
            </w:tcBorders>
            <w:shd w:val="clear" w:color="auto" w:fill="A8CBEE" w:themeFill="accent2" w:themeFillTint="66"/>
            <w:noWrap/>
            <w:vAlign w:val="center"/>
          </w:tcPr>
          <w:p w:rsidR="00884E2B" w:rsidRPr="00180C53" w:rsidRDefault="00884E2B" w:rsidP="0075622A">
            <w:pPr>
              <w:pStyle w:val="cuadroCabe"/>
              <w:jc w:val="left"/>
              <w:rPr>
                <w:rFonts w:cs="Arial"/>
              </w:rPr>
            </w:pPr>
            <w:r>
              <w:rPr>
                <w:rFonts w:cs="Arial"/>
              </w:rPr>
              <w:t>Ejercicio</w:t>
            </w:r>
          </w:p>
        </w:tc>
        <w:tc>
          <w:tcPr>
            <w:tcW w:w="2218" w:type="dxa"/>
            <w:tcBorders>
              <w:top w:val="single" w:sz="4" w:space="0" w:color="auto"/>
              <w:bottom w:val="single" w:sz="4" w:space="0" w:color="auto"/>
            </w:tcBorders>
            <w:shd w:val="clear" w:color="auto" w:fill="A8CBEE" w:themeFill="accent2" w:themeFillTint="66"/>
            <w:noWrap/>
            <w:vAlign w:val="center"/>
          </w:tcPr>
          <w:p w:rsidR="00884E2B" w:rsidRPr="00180C53" w:rsidRDefault="00884E2B" w:rsidP="00A878A1">
            <w:pPr>
              <w:pStyle w:val="cuadroCabe"/>
              <w:jc w:val="right"/>
              <w:rPr>
                <w:rFonts w:cs="Arial"/>
              </w:rPr>
            </w:pPr>
            <w:r w:rsidRPr="00180C53">
              <w:rPr>
                <w:rFonts w:cs="Arial"/>
              </w:rPr>
              <w:t>Importe</w:t>
            </w:r>
          </w:p>
        </w:tc>
      </w:tr>
      <w:tr w:rsidR="00884E2B" w:rsidRPr="00180C53" w:rsidTr="00A95DE6">
        <w:trPr>
          <w:trHeight w:val="284"/>
          <w:jc w:val="center"/>
        </w:trPr>
        <w:tc>
          <w:tcPr>
            <w:tcW w:w="6513" w:type="dxa"/>
            <w:tcBorders>
              <w:top w:val="single" w:sz="4" w:space="0" w:color="auto"/>
            </w:tcBorders>
            <w:noWrap/>
            <w:vAlign w:val="center"/>
          </w:tcPr>
          <w:p w:rsidR="00884E2B" w:rsidRPr="00180C53" w:rsidRDefault="00884E2B" w:rsidP="0075622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2011</w:t>
            </w:r>
          </w:p>
        </w:tc>
        <w:tc>
          <w:tcPr>
            <w:tcW w:w="2218" w:type="dxa"/>
            <w:tcBorders>
              <w:top w:val="single" w:sz="4" w:space="0" w:color="auto"/>
            </w:tcBorders>
            <w:noWrap/>
            <w:vAlign w:val="center"/>
          </w:tcPr>
          <w:p w:rsidR="00884E2B" w:rsidRPr="00180C53" w:rsidRDefault="00884E2B" w:rsidP="0075622A">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43,25</w:t>
            </w:r>
          </w:p>
        </w:tc>
      </w:tr>
      <w:tr w:rsidR="00884E2B" w:rsidRPr="00180C53" w:rsidTr="00A95DE6">
        <w:trPr>
          <w:trHeight w:val="284"/>
          <w:jc w:val="center"/>
        </w:trPr>
        <w:tc>
          <w:tcPr>
            <w:tcW w:w="6513" w:type="dxa"/>
            <w:noWrap/>
            <w:vAlign w:val="center"/>
          </w:tcPr>
          <w:p w:rsidR="00884E2B" w:rsidRPr="00180C53" w:rsidRDefault="00884E2B" w:rsidP="0075622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2012</w:t>
            </w:r>
          </w:p>
        </w:tc>
        <w:tc>
          <w:tcPr>
            <w:tcW w:w="2218" w:type="dxa"/>
            <w:noWrap/>
            <w:vAlign w:val="center"/>
          </w:tcPr>
          <w:p w:rsidR="00884E2B" w:rsidRPr="00180C53" w:rsidRDefault="00884E2B" w:rsidP="0075622A">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134,00</w:t>
            </w:r>
          </w:p>
        </w:tc>
      </w:tr>
      <w:tr w:rsidR="00884E2B" w:rsidRPr="00180C53" w:rsidTr="00A95DE6">
        <w:trPr>
          <w:trHeight w:val="284"/>
          <w:jc w:val="center"/>
        </w:trPr>
        <w:tc>
          <w:tcPr>
            <w:tcW w:w="6513" w:type="dxa"/>
            <w:noWrap/>
            <w:vAlign w:val="center"/>
          </w:tcPr>
          <w:p w:rsidR="00884E2B" w:rsidRPr="00180C53" w:rsidRDefault="00884E2B" w:rsidP="0075622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2013</w:t>
            </w:r>
          </w:p>
        </w:tc>
        <w:tc>
          <w:tcPr>
            <w:tcW w:w="2218" w:type="dxa"/>
            <w:noWrap/>
            <w:vAlign w:val="center"/>
          </w:tcPr>
          <w:p w:rsidR="00884E2B" w:rsidRPr="00180C53" w:rsidRDefault="00884E2B" w:rsidP="0075622A">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129,05</w:t>
            </w:r>
          </w:p>
        </w:tc>
      </w:tr>
      <w:tr w:rsidR="00884E2B" w:rsidRPr="00180C53" w:rsidTr="00A95DE6">
        <w:trPr>
          <w:trHeight w:val="284"/>
          <w:jc w:val="center"/>
        </w:trPr>
        <w:tc>
          <w:tcPr>
            <w:tcW w:w="6513" w:type="dxa"/>
            <w:tcBorders>
              <w:bottom w:val="single" w:sz="4" w:space="0" w:color="auto"/>
            </w:tcBorders>
            <w:noWrap/>
            <w:vAlign w:val="center"/>
          </w:tcPr>
          <w:p w:rsidR="00884E2B" w:rsidRPr="00180C53" w:rsidRDefault="00884E2B" w:rsidP="0075622A">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2014</w:t>
            </w:r>
          </w:p>
        </w:tc>
        <w:tc>
          <w:tcPr>
            <w:tcW w:w="2218" w:type="dxa"/>
            <w:tcBorders>
              <w:bottom w:val="single" w:sz="4" w:space="0" w:color="auto"/>
            </w:tcBorders>
            <w:noWrap/>
            <w:vAlign w:val="center"/>
          </w:tcPr>
          <w:p w:rsidR="00884E2B" w:rsidRPr="00180C53" w:rsidRDefault="00884E2B" w:rsidP="0075622A">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45,70</w:t>
            </w:r>
          </w:p>
        </w:tc>
      </w:tr>
      <w:tr w:rsidR="00884E2B" w:rsidRPr="00A95DE6" w:rsidTr="00A95DE6">
        <w:trPr>
          <w:trHeight w:val="284"/>
          <w:jc w:val="center"/>
        </w:trPr>
        <w:tc>
          <w:tcPr>
            <w:tcW w:w="6513" w:type="dxa"/>
            <w:tcBorders>
              <w:top w:val="single" w:sz="4" w:space="0" w:color="auto"/>
              <w:bottom w:val="single" w:sz="4" w:space="0" w:color="auto"/>
            </w:tcBorders>
            <w:shd w:val="clear" w:color="auto" w:fill="A8CBEE" w:themeFill="accent2" w:themeFillTint="66"/>
            <w:noWrap/>
            <w:vAlign w:val="center"/>
          </w:tcPr>
          <w:p w:rsidR="00884E2B" w:rsidRPr="00A95DE6" w:rsidRDefault="00884E2B" w:rsidP="00EE1286">
            <w:pPr>
              <w:pStyle w:val="cuadroCabe"/>
              <w:jc w:val="left"/>
              <w:rPr>
                <w:rFonts w:cs="Arial"/>
              </w:rPr>
            </w:pPr>
            <w:r w:rsidRPr="00A95DE6">
              <w:rPr>
                <w:rFonts w:cs="Arial"/>
              </w:rPr>
              <w:t xml:space="preserve">Total </w:t>
            </w:r>
            <w:r w:rsidR="00EE1286" w:rsidRPr="00A95DE6">
              <w:rPr>
                <w:rFonts w:cs="Arial"/>
              </w:rPr>
              <w:t>endeudamiento</w:t>
            </w:r>
            <w:r w:rsidRPr="00A95DE6">
              <w:rPr>
                <w:rFonts w:cs="Arial"/>
              </w:rPr>
              <w:t xml:space="preserve"> obras TAV</w:t>
            </w:r>
            <w:r w:rsidR="009B1337" w:rsidRPr="00A95DE6">
              <w:rPr>
                <w:rFonts w:cs="Arial"/>
              </w:rPr>
              <w:t>- Plan Reequilibrio</w:t>
            </w:r>
          </w:p>
        </w:tc>
        <w:tc>
          <w:tcPr>
            <w:tcW w:w="2218" w:type="dxa"/>
            <w:tcBorders>
              <w:top w:val="single" w:sz="4" w:space="0" w:color="auto"/>
              <w:bottom w:val="single" w:sz="4" w:space="0" w:color="auto"/>
            </w:tcBorders>
            <w:shd w:val="clear" w:color="auto" w:fill="A8CBEE" w:themeFill="accent2" w:themeFillTint="66"/>
            <w:noWrap/>
            <w:vAlign w:val="center"/>
          </w:tcPr>
          <w:p w:rsidR="00884E2B" w:rsidRPr="00A95DE6" w:rsidRDefault="00884E2B" w:rsidP="0075622A">
            <w:pPr>
              <w:spacing w:after="0"/>
              <w:ind w:firstLine="0"/>
              <w:jc w:val="right"/>
              <w:rPr>
                <w:rFonts w:ascii="Arial" w:hAnsi="Arial" w:cs="Arial"/>
                <w:sz w:val="18"/>
                <w:szCs w:val="18"/>
                <w:lang w:val="es-ES" w:eastAsia="es-ES"/>
              </w:rPr>
            </w:pPr>
            <w:r w:rsidRPr="00A95DE6">
              <w:rPr>
                <w:rFonts w:ascii="Arial" w:hAnsi="Arial" w:cs="Arial"/>
                <w:sz w:val="18"/>
                <w:szCs w:val="18"/>
                <w:lang w:val="es-ES" w:eastAsia="es-ES"/>
              </w:rPr>
              <w:t>352,00</w:t>
            </w:r>
          </w:p>
        </w:tc>
      </w:tr>
    </w:tbl>
    <w:p w:rsidR="0029193E" w:rsidRDefault="009B1337" w:rsidP="006665E3">
      <w:pPr>
        <w:pStyle w:val="texto"/>
        <w:tabs>
          <w:tab w:val="clear" w:pos="2835"/>
          <w:tab w:val="clear" w:pos="3969"/>
          <w:tab w:val="clear" w:pos="5103"/>
          <w:tab w:val="clear" w:pos="6237"/>
          <w:tab w:val="clear" w:pos="7371"/>
        </w:tabs>
        <w:spacing w:before="240" w:after="60"/>
        <w:rPr>
          <w:szCs w:val="26"/>
        </w:rPr>
      </w:pPr>
      <w:r w:rsidRPr="00A0407B">
        <w:rPr>
          <w:szCs w:val="26"/>
        </w:rPr>
        <w:t>Por otra parte, en las correspondientes leyes forales de presupuestos gener</w:t>
      </w:r>
      <w:r w:rsidRPr="00A0407B">
        <w:rPr>
          <w:szCs w:val="26"/>
        </w:rPr>
        <w:t>a</w:t>
      </w:r>
      <w:r w:rsidRPr="00A0407B">
        <w:rPr>
          <w:szCs w:val="26"/>
        </w:rPr>
        <w:t>les de Navarra y en los acuerdos del Gobierno por los que se prorrogan los pr</w:t>
      </w:r>
      <w:r w:rsidRPr="00A0407B">
        <w:rPr>
          <w:szCs w:val="26"/>
        </w:rPr>
        <w:t>e</w:t>
      </w:r>
      <w:r w:rsidRPr="00A0407B">
        <w:rPr>
          <w:szCs w:val="26"/>
        </w:rPr>
        <w:t>supuestos de 2012, se contemplan las siguientes previsiones de concertación de endeudamiento para las obras del TAV</w:t>
      </w:r>
      <w:r w:rsidR="00E83073" w:rsidRPr="00A0407B">
        <w:rPr>
          <w:szCs w:val="26"/>
        </w:rPr>
        <w:t>:</w:t>
      </w:r>
    </w:p>
    <w:p w:rsidR="0029193E" w:rsidRPr="002B4431" w:rsidRDefault="0029193E" w:rsidP="0029193E">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CA3482" w:rsidRPr="002B4431">
        <w:rPr>
          <w:rFonts w:ascii="Arial Narrow" w:hAnsi="Arial Narrow"/>
          <w:sz w:val="18"/>
          <w:szCs w:val="18"/>
        </w:rPr>
        <w:t>Millones</w:t>
      </w:r>
      <w:r w:rsidRPr="002B4431">
        <w:rPr>
          <w:rFonts w:ascii="Arial Narrow" w:hAnsi="Arial Narrow"/>
          <w:sz w:val="18"/>
          <w:szCs w:val="18"/>
        </w:rPr>
        <w:t xml:space="preserve"> de euros)</w:t>
      </w:r>
    </w:p>
    <w:tbl>
      <w:tblPr>
        <w:tblW w:w="8717"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6410"/>
        <w:gridCol w:w="2307"/>
      </w:tblGrid>
      <w:tr w:rsidR="009B1337" w:rsidRPr="00180C53" w:rsidTr="00A95DE6">
        <w:trPr>
          <w:trHeight w:val="284"/>
          <w:jc w:val="center"/>
        </w:trPr>
        <w:tc>
          <w:tcPr>
            <w:tcW w:w="6410" w:type="dxa"/>
            <w:tcBorders>
              <w:top w:val="single" w:sz="4" w:space="0" w:color="auto"/>
              <w:bottom w:val="single" w:sz="4" w:space="0" w:color="auto"/>
            </w:tcBorders>
            <w:shd w:val="clear" w:color="auto" w:fill="A8CBEE" w:themeFill="accent2" w:themeFillTint="66"/>
            <w:noWrap/>
            <w:vAlign w:val="center"/>
          </w:tcPr>
          <w:p w:rsidR="009B1337" w:rsidRPr="00180C53" w:rsidRDefault="00E83073" w:rsidP="004C0296">
            <w:pPr>
              <w:pStyle w:val="cuadroCabe"/>
              <w:jc w:val="left"/>
              <w:rPr>
                <w:rFonts w:cs="Arial"/>
              </w:rPr>
            </w:pPr>
            <w:r>
              <w:rPr>
                <w:rFonts w:cs="Arial"/>
              </w:rPr>
              <w:t>Presupuestos</w:t>
            </w:r>
          </w:p>
        </w:tc>
        <w:tc>
          <w:tcPr>
            <w:tcW w:w="2307" w:type="dxa"/>
            <w:tcBorders>
              <w:top w:val="single" w:sz="4" w:space="0" w:color="auto"/>
              <w:bottom w:val="single" w:sz="4" w:space="0" w:color="auto"/>
            </w:tcBorders>
            <w:shd w:val="clear" w:color="auto" w:fill="A8CBEE" w:themeFill="accent2" w:themeFillTint="66"/>
            <w:noWrap/>
            <w:vAlign w:val="center"/>
          </w:tcPr>
          <w:p w:rsidR="009B1337" w:rsidRPr="00180C53" w:rsidRDefault="009B1337" w:rsidP="00A95DE6">
            <w:pPr>
              <w:pStyle w:val="cuadroCabe"/>
              <w:jc w:val="right"/>
              <w:rPr>
                <w:rFonts w:cs="Arial"/>
              </w:rPr>
            </w:pPr>
            <w:r w:rsidRPr="00180C53">
              <w:rPr>
                <w:rFonts w:cs="Arial"/>
              </w:rPr>
              <w:t>Importe</w:t>
            </w:r>
          </w:p>
        </w:tc>
      </w:tr>
      <w:tr w:rsidR="009B1337" w:rsidRPr="00A95DE6" w:rsidTr="00A95DE6">
        <w:trPr>
          <w:trHeight w:val="284"/>
          <w:jc w:val="center"/>
        </w:trPr>
        <w:tc>
          <w:tcPr>
            <w:tcW w:w="6410" w:type="dxa"/>
            <w:tcBorders>
              <w:top w:val="single" w:sz="4" w:space="0" w:color="auto"/>
            </w:tcBorders>
            <w:noWrap/>
            <w:vAlign w:val="center"/>
          </w:tcPr>
          <w:p w:rsidR="009B1337" w:rsidRPr="00A95DE6" w:rsidRDefault="00E83073" w:rsidP="004C0296">
            <w:pPr>
              <w:spacing w:after="0"/>
              <w:ind w:firstLine="0"/>
              <w:jc w:val="left"/>
              <w:rPr>
                <w:rFonts w:ascii="Arial Narrow" w:hAnsi="Arial Narrow" w:cs="Arial"/>
                <w:lang w:val="es-ES" w:eastAsia="es-ES"/>
              </w:rPr>
            </w:pPr>
            <w:r w:rsidRPr="00A95DE6">
              <w:rPr>
                <w:rFonts w:ascii="Arial Narrow" w:hAnsi="Arial Narrow" w:cs="Arial"/>
                <w:lang w:val="es-ES" w:eastAsia="es-ES"/>
              </w:rPr>
              <w:t xml:space="preserve">Presupuesto </w:t>
            </w:r>
            <w:r w:rsidR="009B1337" w:rsidRPr="00A95DE6">
              <w:rPr>
                <w:rFonts w:ascii="Arial Narrow" w:hAnsi="Arial Narrow" w:cs="Arial"/>
                <w:lang w:val="es-ES" w:eastAsia="es-ES"/>
              </w:rPr>
              <w:t>2011</w:t>
            </w:r>
          </w:p>
        </w:tc>
        <w:tc>
          <w:tcPr>
            <w:tcW w:w="2307" w:type="dxa"/>
            <w:tcBorders>
              <w:top w:val="single" w:sz="4" w:space="0" w:color="auto"/>
            </w:tcBorders>
            <w:noWrap/>
            <w:vAlign w:val="center"/>
          </w:tcPr>
          <w:p w:rsidR="009B1337" w:rsidRPr="00A95DE6" w:rsidRDefault="009B1337"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45,00</w:t>
            </w:r>
          </w:p>
        </w:tc>
      </w:tr>
      <w:tr w:rsidR="00E83073" w:rsidRPr="00A95DE6" w:rsidTr="00A95DE6">
        <w:trPr>
          <w:trHeight w:val="284"/>
          <w:jc w:val="center"/>
        </w:trPr>
        <w:tc>
          <w:tcPr>
            <w:tcW w:w="6410" w:type="dxa"/>
            <w:noWrap/>
            <w:vAlign w:val="center"/>
          </w:tcPr>
          <w:p w:rsidR="00E83073" w:rsidRPr="00A95DE6" w:rsidRDefault="00E83073" w:rsidP="004C0296">
            <w:pPr>
              <w:spacing w:after="0"/>
              <w:ind w:firstLine="0"/>
              <w:jc w:val="left"/>
              <w:rPr>
                <w:rFonts w:ascii="Arial Narrow" w:hAnsi="Arial Narrow" w:cs="Arial"/>
                <w:lang w:val="es-ES" w:eastAsia="es-ES"/>
              </w:rPr>
            </w:pPr>
            <w:r w:rsidRPr="00A95DE6">
              <w:rPr>
                <w:rFonts w:ascii="Arial Narrow" w:hAnsi="Arial Narrow" w:cs="Arial"/>
                <w:lang w:val="es-ES" w:eastAsia="es-ES"/>
              </w:rPr>
              <w:t>Presupuesto 2012</w:t>
            </w:r>
          </w:p>
        </w:tc>
        <w:tc>
          <w:tcPr>
            <w:tcW w:w="2307" w:type="dxa"/>
            <w:noWrap/>
            <w:vAlign w:val="center"/>
          </w:tcPr>
          <w:p w:rsidR="00E83073" w:rsidRPr="00A95DE6" w:rsidRDefault="00E83073"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134,00</w:t>
            </w:r>
          </w:p>
        </w:tc>
      </w:tr>
      <w:tr w:rsidR="00E83073" w:rsidRPr="00A95DE6" w:rsidTr="00A95DE6">
        <w:trPr>
          <w:trHeight w:val="284"/>
          <w:jc w:val="center"/>
        </w:trPr>
        <w:tc>
          <w:tcPr>
            <w:tcW w:w="6410" w:type="dxa"/>
            <w:noWrap/>
            <w:vAlign w:val="center"/>
          </w:tcPr>
          <w:p w:rsidR="00E83073" w:rsidRPr="00A95DE6" w:rsidRDefault="00E83073" w:rsidP="009B1337">
            <w:pPr>
              <w:spacing w:after="0"/>
              <w:ind w:firstLine="0"/>
              <w:jc w:val="left"/>
              <w:rPr>
                <w:rFonts w:ascii="Arial Narrow" w:hAnsi="Arial Narrow" w:cs="Arial"/>
                <w:lang w:val="es-ES" w:eastAsia="es-ES"/>
              </w:rPr>
            </w:pPr>
            <w:r w:rsidRPr="00A95DE6">
              <w:rPr>
                <w:rFonts w:ascii="Arial Narrow" w:hAnsi="Arial Narrow" w:cs="Arial"/>
                <w:lang w:val="es-ES" w:eastAsia="es-ES"/>
              </w:rPr>
              <w:t>Presupuesto 2012 prorrogado 2013</w:t>
            </w:r>
          </w:p>
        </w:tc>
        <w:tc>
          <w:tcPr>
            <w:tcW w:w="2307" w:type="dxa"/>
            <w:noWrap/>
            <w:vAlign w:val="center"/>
          </w:tcPr>
          <w:p w:rsidR="00E83073" w:rsidRPr="00A95DE6" w:rsidRDefault="00E83073"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68,49</w:t>
            </w:r>
          </w:p>
        </w:tc>
      </w:tr>
      <w:tr w:rsidR="00E83073" w:rsidRPr="00A95DE6" w:rsidTr="00A95DE6">
        <w:trPr>
          <w:trHeight w:val="284"/>
          <w:jc w:val="center"/>
        </w:trPr>
        <w:tc>
          <w:tcPr>
            <w:tcW w:w="6410" w:type="dxa"/>
            <w:noWrap/>
            <w:vAlign w:val="center"/>
          </w:tcPr>
          <w:p w:rsidR="00E83073" w:rsidRPr="00A95DE6" w:rsidRDefault="00E83073" w:rsidP="004C0296">
            <w:pPr>
              <w:spacing w:after="0"/>
              <w:ind w:firstLine="0"/>
              <w:jc w:val="left"/>
              <w:rPr>
                <w:rFonts w:ascii="Arial Narrow" w:hAnsi="Arial Narrow" w:cs="Arial"/>
                <w:lang w:val="es-ES" w:eastAsia="es-ES"/>
              </w:rPr>
            </w:pPr>
            <w:r w:rsidRPr="00A95DE6">
              <w:rPr>
                <w:rFonts w:ascii="Arial Narrow" w:hAnsi="Arial Narrow" w:cs="Arial"/>
                <w:lang w:val="es-ES" w:eastAsia="es-ES"/>
              </w:rPr>
              <w:t>Presupuesto 2012 prorrogado 2014</w:t>
            </w:r>
          </w:p>
        </w:tc>
        <w:tc>
          <w:tcPr>
            <w:tcW w:w="2307" w:type="dxa"/>
            <w:noWrap/>
            <w:vAlign w:val="center"/>
          </w:tcPr>
          <w:p w:rsidR="00E83073" w:rsidRPr="00A95DE6" w:rsidRDefault="00E83073"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102,48</w:t>
            </w:r>
          </w:p>
        </w:tc>
      </w:tr>
      <w:tr w:rsidR="00E83073" w:rsidRPr="00A95DE6" w:rsidTr="00A95DE6">
        <w:trPr>
          <w:trHeight w:val="284"/>
          <w:jc w:val="center"/>
        </w:trPr>
        <w:tc>
          <w:tcPr>
            <w:tcW w:w="6410" w:type="dxa"/>
            <w:noWrap/>
            <w:vAlign w:val="center"/>
          </w:tcPr>
          <w:p w:rsidR="00E83073" w:rsidRPr="00A95DE6" w:rsidRDefault="00E83073" w:rsidP="004C0296">
            <w:pPr>
              <w:spacing w:after="0"/>
              <w:ind w:firstLine="0"/>
              <w:jc w:val="left"/>
              <w:rPr>
                <w:rFonts w:ascii="Arial Narrow" w:hAnsi="Arial Narrow" w:cs="Arial"/>
                <w:lang w:val="es-ES" w:eastAsia="es-ES"/>
              </w:rPr>
            </w:pPr>
            <w:r w:rsidRPr="00A95DE6">
              <w:rPr>
                <w:rFonts w:ascii="Arial Narrow" w:hAnsi="Arial Narrow" w:cs="Arial"/>
                <w:lang w:val="es-ES" w:eastAsia="es-ES"/>
              </w:rPr>
              <w:t>Presupuesto 2012 prorrogado 2015</w:t>
            </w:r>
          </w:p>
        </w:tc>
        <w:tc>
          <w:tcPr>
            <w:tcW w:w="2307" w:type="dxa"/>
            <w:noWrap/>
            <w:vAlign w:val="center"/>
          </w:tcPr>
          <w:p w:rsidR="00E83073" w:rsidRPr="00A95DE6" w:rsidRDefault="00E83073"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18,68</w:t>
            </w:r>
          </w:p>
        </w:tc>
      </w:tr>
      <w:tr w:rsidR="00E83073" w:rsidRPr="00A95DE6" w:rsidTr="00A95DE6">
        <w:trPr>
          <w:trHeight w:val="284"/>
          <w:jc w:val="center"/>
        </w:trPr>
        <w:tc>
          <w:tcPr>
            <w:tcW w:w="6410" w:type="dxa"/>
            <w:tcBorders>
              <w:bottom w:val="single" w:sz="4" w:space="0" w:color="auto"/>
            </w:tcBorders>
            <w:noWrap/>
            <w:vAlign w:val="center"/>
          </w:tcPr>
          <w:p w:rsidR="00E83073" w:rsidRPr="00A95DE6" w:rsidRDefault="00E83073" w:rsidP="004C0296">
            <w:pPr>
              <w:spacing w:after="0"/>
              <w:ind w:firstLine="0"/>
              <w:jc w:val="left"/>
              <w:rPr>
                <w:rFonts w:ascii="Arial Narrow" w:hAnsi="Arial Narrow" w:cs="Arial"/>
                <w:lang w:val="es-ES" w:eastAsia="es-ES"/>
              </w:rPr>
            </w:pPr>
            <w:r w:rsidRPr="00A95DE6">
              <w:rPr>
                <w:rFonts w:ascii="Arial Narrow" w:hAnsi="Arial Narrow" w:cs="Arial"/>
                <w:lang w:val="es-ES" w:eastAsia="es-ES"/>
              </w:rPr>
              <w:t>Presupuesto 2016</w:t>
            </w:r>
          </w:p>
        </w:tc>
        <w:tc>
          <w:tcPr>
            <w:tcW w:w="2307" w:type="dxa"/>
            <w:tcBorders>
              <w:bottom w:val="single" w:sz="4" w:space="0" w:color="auto"/>
            </w:tcBorders>
            <w:noWrap/>
            <w:vAlign w:val="center"/>
          </w:tcPr>
          <w:p w:rsidR="00E83073" w:rsidRPr="00A95DE6" w:rsidRDefault="00E83073" w:rsidP="00A95DE6">
            <w:pPr>
              <w:spacing w:after="0"/>
              <w:ind w:firstLine="0"/>
              <w:jc w:val="right"/>
              <w:rPr>
                <w:rFonts w:ascii="Arial Narrow" w:hAnsi="Arial Narrow" w:cs="Arial"/>
                <w:lang w:val="es-ES" w:eastAsia="es-ES"/>
              </w:rPr>
            </w:pPr>
            <w:r w:rsidRPr="00A95DE6">
              <w:rPr>
                <w:rFonts w:ascii="Arial Narrow" w:hAnsi="Arial Narrow" w:cs="Arial"/>
                <w:lang w:val="es-ES" w:eastAsia="es-ES"/>
              </w:rPr>
              <w:t>0,00</w:t>
            </w:r>
          </w:p>
        </w:tc>
      </w:tr>
      <w:tr w:rsidR="00E83073" w:rsidRPr="00A95DE6" w:rsidTr="00A95DE6">
        <w:trPr>
          <w:trHeight w:val="284"/>
          <w:jc w:val="center"/>
        </w:trPr>
        <w:tc>
          <w:tcPr>
            <w:tcW w:w="6410" w:type="dxa"/>
            <w:tcBorders>
              <w:top w:val="single" w:sz="4" w:space="0" w:color="auto"/>
              <w:bottom w:val="single" w:sz="4" w:space="0" w:color="auto"/>
            </w:tcBorders>
            <w:shd w:val="clear" w:color="auto" w:fill="ACCBF9" w:themeFill="background2"/>
            <w:noWrap/>
            <w:vAlign w:val="center"/>
          </w:tcPr>
          <w:p w:rsidR="00E83073" w:rsidRPr="00A95DE6" w:rsidRDefault="00E83073" w:rsidP="00EE1286">
            <w:pPr>
              <w:pStyle w:val="cuadroCabe"/>
              <w:jc w:val="left"/>
              <w:rPr>
                <w:rFonts w:cs="Arial"/>
              </w:rPr>
            </w:pPr>
            <w:r w:rsidRPr="00A95DE6">
              <w:rPr>
                <w:rFonts w:cs="Arial"/>
              </w:rPr>
              <w:t xml:space="preserve">Total </w:t>
            </w:r>
            <w:r w:rsidR="00EE1286" w:rsidRPr="00A95DE6">
              <w:rPr>
                <w:rFonts w:cs="Arial"/>
              </w:rPr>
              <w:t>endeudamiento</w:t>
            </w:r>
            <w:r w:rsidRPr="00A95DE6">
              <w:rPr>
                <w:rFonts w:cs="Arial"/>
              </w:rPr>
              <w:t xml:space="preserve"> obras TAV- Presupuestos Generales de Navarra</w:t>
            </w:r>
          </w:p>
        </w:tc>
        <w:tc>
          <w:tcPr>
            <w:tcW w:w="2307" w:type="dxa"/>
            <w:tcBorders>
              <w:top w:val="single" w:sz="4" w:space="0" w:color="auto"/>
              <w:bottom w:val="single" w:sz="4" w:space="0" w:color="auto"/>
            </w:tcBorders>
            <w:shd w:val="clear" w:color="auto" w:fill="ACCBF9" w:themeFill="background2"/>
            <w:noWrap/>
            <w:vAlign w:val="center"/>
          </w:tcPr>
          <w:p w:rsidR="00E83073" w:rsidRPr="00A95DE6" w:rsidRDefault="00E83073" w:rsidP="00A95DE6">
            <w:pPr>
              <w:spacing w:after="0"/>
              <w:ind w:firstLine="0"/>
              <w:jc w:val="right"/>
              <w:rPr>
                <w:rFonts w:ascii="Arial" w:hAnsi="Arial" w:cs="Arial"/>
                <w:sz w:val="18"/>
                <w:szCs w:val="18"/>
                <w:lang w:val="es-ES" w:eastAsia="es-ES"/>
              </w:rPr>
            </w:pPr>
            <w:r w:rsidRPr="00A95DE6">
              <w:rPr>
                <w:rFonts w:ascii="Arial" w:hAnsi="Arial" w:cs="Arial"/>
                <w:sz w:val="18"/>
                <w:szCs w:val="18"/>
                <w:lang w:val="es-ES" w:eastAsia="es-ES"/>
              </w:rPr>
              <w:t>368,65</w:t>
            </w:r>
          </w:p>
        </w:tc>
      </w:tr>
    </w:tbl>
    <w:p w:rsidR="009B1337" w:rsidRPr="00A0407B" w:rsidRDefault="009B1337" w:rsidP="006665E3">
      <w:pPr>
        <w:pStyle w:val="texto"/>
        <w:tabs>
          <w:tab w:val="clear" w:pos="2835"/>
          <w:tab w:val="clear" w:pos="3969"/>
          <w:tab w:val="clear" w:pos="5103"/>
          <w:tab w:val="clear" w:pos="6237"/>
          <w:tab w:val="clear" w:pos="7371"/>
        </w:tabs>
        <w:spacing w:after="0"/>
        <w:rPr>
          <w:szCs w:val="26"/>
        </w:rPr>
      </w:pPr>
    </w:p>
    <w:p w:rsidR="004F2DF5" w:rsidRPr="00A0407B" w:rsidRDefault="00E83073" w:rsidP="00180C53">
      <w:pPr>
        <w:pStyle w:val="texto"/>
        <w:tabs>
          <w:tab w:val="clear" w:pos="2835"/>
          <w:tab w:val="clear" w:pos="3969"/>
          <w:tab w:val="clear" w:pos="5103"/>
          <w:tab w:val="clear" w:pos="6237"/>
          <w:tab w:val="clear" w:pos="7371"/>
        </w:tabs>
        <w:rPr>
          <w:szCs w:val="26"/>
        </w:rPr>
      </w:pPr>
      <w:r w:rsidRPr="00A0407B">
        <w:rPr>
          <w:szCs w:val="26"/>
        </w:rPr>
        <w:t>Sin embargo, del trabajo realizado por esta Cámara desde las cuentas de 2011 hasta la actualidad, no consta endeudamiento concertado de forma espec</w:t>
      </w:r>
      <w:r w:rsidRPr="00A0407B">
        <w:rPr>
          <w:szCs w:val="26"/>
        </w:rPr>
        <w:t>í</w:t>
      </w:r>
      <w:r w:rsidRPr="00A0407B">
        <w:rPr>
          <w:szCs w:val="26"/>
        </w:rPr>
        <w:t>fica para financiar estas obras. En consecuencia, las mismas se han financiado con los recursos generales del Gobierno de Navarra, bien con recursos propios o bien con endeudamiento general.</w:t>
      </w:r>
    </w:p>
    <w:p w:rsidR="00A53374" w:rsidRPr="00A0407B" w:rsidRDefault="00D1594E" w:rsidP="00180C53">
      <w:pPr>
        <w:pStyle w:val="texto"/>
        <w:tabs>
          <w:tab w:val="clear" w:pos="2835"/>
          <w:tab w:val="clear" w:pos="3969"/>
          <w:tab w:val="clear" w:pos="5103"/>
          <w:tab w:val="clear" w:pos="6237"/>
          <w:tab w:val="clear" w:pos="7371"/>
        </w:tabs>
        <w:rPr>
          <w:szCs w:val="26"/>
        </w:rPr>
      </w:pPr>
      <w:r w:rsidRPr="00A0407B">
        <w:rPr>
          <w:szCs w:val="26"/>
        </w:rPr>
        <w:t>Por tanto</w:t>
      </w:r>
      <w:r w:rsidR="00A878A1">
        <w:rPr>
          <w:szCs w:val="26"/>
        </w:rPr>
        <w:t>,</w:t>
      </w:r>
      <w:r w:rsidRPr="00A0407B">
        <w:rPr>
          <w:szCs w:val="26"/>
        </w:rPr>
        <w:t xml:space="preserve"> para determinar la carga financiera</w:t>
      </w:r>
      <w:r w:rsidR="000E6AE1" w:rsidRPr="00A0407B">
        <w:rPr>
          <w:szCs w:val="26"/>
        </w:rPr>
        <w:t xml:space="preserve"> o intereses</w:t>
      </w:r>
      <w:r w:rsidRPr="00A0407B">
        <w:rPr>
          <w:szCs w:val="26"/>
        </w:rPr>
        <w:t xml:space="preserve"> que, en su caso, ha podido generar al Gobierno de Navarra las obras del TAV, debemos partir de una serie de hipótesis al objeto de aproximarnos a un cierto valor</w:t>
      </w:r>
      <w:r w:rsidR="00EE1286" w:rsidRPr="00A0407B">
        <w:rPr>
          <w:szCs w:val="26"/>
        </w:rPr>
        <w:t xml:space="preserve"> teórico</w:t>
      </w:r>
      <w:r w:rsidRPr="00A0407B">
        <w:rPr>
          <w:szCs w:val="26"/>
        </w:rPr>
        <w:t xml:space="preserve"> de esa carga. Así</w:t>
      </w:r>
      <w:r w:rsidR="000E6AE1" w:rsidRPr="00A0407B">
        <w:rPr>
          <w:szCs w:val="26"/>
        </w:rPr>
        <w:t>, consideramos</w:t>
      </w:r>
      <w:r w:rsidR="00AC6F58" w:rsidRPr="00A0407B">
        <w:rPr>
          <w:szCs w:val="26"/>
        </w:rPr>
        <w:t xml:space="preserve"> que</w:t>
      </w:r>
      <w:r w:rsidR="000E6AE1" w:rsidRPr="00A0407B">
        <w:rPr>
          <w:szCs w:val="26"/>
        </w:rPr>
        <w:t>:</w:t>
      </w:r>
    </w:p>
    <w:p w:rsidR="000E6AE1" w:rsidRPr="00A0407B" w:rsidRDefault="000E6AE1" w:rsidP="00A878A1">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Todo el gasto adelantado por el Gobierno de Navarra</w:t>
      </w:r>
      <w:r w:rsidR="00D47E15" w:rsidRPr="00A0407B">
        <w:rPr>
          <w:szCs w:val="26"/>
        </w:rPr>
        <w:t xml:space="preserve"> en el TAV</w:t>
      </w:r>
      <w:r w:rsidRPr="00A0407B">
        <w:rPr>
          <w:szCs w:val="26"/>
        </w:rPr>
        <w:t xml:space="preserve"> ha sido f</w:t>
      </w:r>
      <w:r w:rsidRPr="00A0407B">
        <w:rPr>
          <w:szCs w:val="26"/>
        </w:rPr>
        <w:t>i</w:t>
      </w:r>
      <w:r w:rsidRPr="00A0407B">
        <w:rPr>
          <w:szCs w:val="26"/>
        </w:rPr>
        <w:t>nanciado con endeudamiento.</w:t>
      </w:r>
      <w:r w:rsidR="00EE1286" w:rsidRPr="00A0407B">
        <w:rPr>
          <w:szCs w:val="26"/>
        </w:rPr>
        <w:t xml:space="preserve"> Se considera tal hipótesis atendiendo a la natur</w:t>
      </w:r>
      <w:r w:rsidR="00EE1286" w:rsidRPr="00A0407B">
        <w:rPr>
          <w:szCs w:val="26"/>
        </w:rPr>
        <w:t>a</w:t>
      </w:r>
      <w:r w:rsidR="00EE1286" w:rsidRPr="00A0407B">
        <w:rPr>
          <w:szCs w:val="26"/>
        </w:rPr>
        <w:t>leza del gasto realizado</w:t>
      </w:r>
      <w:r w:rsidR="005A7191" w:rsidRPr="00A0407B">
        <w:rPr>
          <w:szCs w:val="26"/>
        </w:rPr>
        <w:t>, dado que se ejecuta a cuenta de otra entidad pública y no son gastos de inversión ordinaria o “normal” del Gobierno de Navarra.</w:t>
      </w:r>
    </w:p>
    <w:p w:rsidR="005A7191" w:rsidRPr="00A0407B" w:rsidRDefault="004F2E36" w:rsidP="00A878A1">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w:t>
      </w:r>
      <w:r w:rsidR="00941A1E" w:rsidRPr="00A0407B">
        <w:rPr>
          <w:szCs w:val="26"/>
        </w:rPr>
        <w:t>l</w:t>
      </w:r>
      <w:r w:rsidR="005A7191" w:rsidRPr="00A0407B">
        <w:rPr>
          <w:szCs w:val="26"/>
        </w:rPr>
        <w:t xml:space="preserve"> tipo de interés </w:t>
      </w:r>
      <w:r w:rsidR="00A878A1">
        <w:rPr>
          <w:szCs w:val="26"/>
        </w:rPr>
        <w:t>a</w:t>
      </w:r>
      <w:r w:rsidR="005A7191" w:rsidRPr="00A0407B">
        <w:rPr>
          <w:szCs w:val="26"/>
        </w:rPr>
        <w:t>plica</w:t>
      </w:r>
      <w:r w:rsidR="00A878A1">
        <w:rPr>
          <w:szCs w:val="26"/>
        </w:rPr>
        <w:t>ble</w:t>
      </w:r>
      <w:r w:rsidR="005A7191" w:rsidRPr="00A0407B">
        <w:rPr>
          <w:szCs w:val="26"/>
        </w:rPr>
        <w:t xml:space="preserve"> a la inversión de cada año</w:t>
      </w:r>
      <w:r w:rsidR="00AC6F58" w:rsidRPr="00A0407B">
        <w:rPr>
          <w:szCs w:val="26"/>
        </w:rPr>
        <w:t xml:space="preserve"> sería el tipo medio del endeudamiento anual</w:t>
      </w:r>
      <w:r w:rsidR="005A7191" w:rsidRPr="00A0407B">
        <w:rPr>
          <w:szCs w:val="26"/>
        </w:rPr>
        <w:t xml:space="preserve"> estimado</w:t>
      </w:r>
      <w:r w:rsidR="00AC6F58" w:rsidRPr="00A0407B">
        <w:rPr>
          <w:szCs w:val="26"/>
        </w:rPr>
        <w:t xml:space="preserve"> como la relación entre</w:t>
      </w:r>
      <w:r w:rsidR="005A7191" w:rsidRPr="00A0407B">
        <w:rPr>
          <w:szCs w:val="26"/>
        </w:rPr>
        <w:t xml:space="preserve"> el gasto presupuest</w:t>
      </w:r>
      <w:r w:rsidR="005A7191" w:rsidRPr="00A0407B">
        <w:rPr>
          <w:szCs w:val="26"/>
        </w:rPr>
        <w:t>a</w:t>
      </w:r>
      <w:r w:rsidR="005A7191" w:rsidRPr="00A0407B">
        <w:rPr>
          <w:szCs w:val="26"/>
        </w:rPr>
        <w:t>rio en intereses</w:t>
      </w:r>
      <w:r w:rsidRPr="00A0407B">
        <w:rPr>
          <w:szCs w:val="26"/>
        </w:rPr>
        <w:t xml:space="preserve"> de endeudamiento</w:t>
      </w:r>
      <w:r w:rsidR="005A7191" w:rsidRPr="00A0407B">
        <w:rPr>
          <w:szCs w:val="26"/>
        </w:rPr>
        <w:t xml:space="preserve"> </w:t>
      </w:r>
      <w:r w:rsidR="00AC6F58" w:rsidRPr="00A0407B">
        <w:rPr>
          <w:szCs w:val="26"/>
        </w:rPr>
        <w:t>y</w:t>
      </w:r>
      <w:r w:rsidR="005A7191" w:rsidRPr="00A0407B">
        <w:rPr>
          <w:szCs w:val="26"/>
        </w:rPr>
        <w:t xml:space="preserve"> el saldo</w:t>
      </w:r>
      <w:r w:rsidR="00D47E15" w:rsidRPr="00A0407B">
        <w:rPr>
          <w:szCs w:val="26"/>
        </w:rPr>
        <w:t xml:space="preserve"> en balance</w:t>
      </w:r>
      <w:r w:rsidR="005A7191" w:rsidRPr="00A0407B">
        <w:rPr>
          <w:szCs w:val="26"/>
        </w:rPr>
        <w:t xml:space="preserve"> de la deuda viva a 31 de diciembre.</w:t>
      </w:r>
    </w:p>
    <w:p w:rsidR="005A7191" w:rsidRPr="00A0407B" w:rsidRDefault="00F9137F" w:rsidP="00A878A1">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Aplicamos la hipótesis de que</w:t>
      </w:r>
      <w:r w:rsidR="00D47E15" w:rsidRPr="00A0407B">
        <w:rPr>
          <w:szCs w:val="26"/>
        </w:rPr>
        <w:t xml:space="preserve"> las </w:t>
      </w:r>
      <w:r w:rsidRPr="00A0407B">
        <w:rPr>
          <w:szCs w:val="26"/>
        </w:rPr>
        <w:t xml:space="preserve">obras y gastos </w:t>
      </w:r>
      <w:r w:rsidR="00D47E15" w:rsidRPr="00A0407B">
        <w:rPr>
          <w:szCs w:val="26"/>
        </w:rPr>
        <w:t>ejecutad</w:t>
      </w:r>
      <w:r w:rsidRPr="00A0407B">
        <w:rPr>
          <w:szCs w:val="26"/>
        </w:rPr>
        <w:t>os se han realiz</w:t>
      </w:r>
      <w:r w:rsidRPr="00A0407B">
        <w:rPr>
          <w:szCs w:val="26"/>
        </w:rPr>
        <w:t>a</w:t>
      </w:r>
      <w:r w:rsidRPr="00A0407B">
        <w:rPr>
          <w:szCs w:val="26"/>
        </w:rPr>
        <w:t>do homogéneamente a</w:t>
      </w:r>
      <w:r w:rsidR="00AC6F58" w:rsidRPr="00A0407B">
        <w:rPr>
          <w:szCs w:val="26"/>
        </w:rPr>
        <w:t xml:space="preserve"> lo largo del año; e</w:t>
      </w:r>
      <w:r w:rsidR="00D47E15" w:rsidRPr="00A0407B">
        <w:rPr>
          <w:szCs w:val="26"/>
        </w:rPr>
        <w:t xml:space="preserve">s decir, para </w:t>
      </w:r>
      <w:r w:rsidRPr="00A0407B">
        <w:rPr>
          <w:szCs w:val="26"/>
        </w:rPr>
        <w:t>la determinación</w:t>
      </w:r>
      <w:r w:rsidR="00D47E15" w:rsidRPr="00A0407B">
        <w:rPr>
          <w:szCs w:val="26"/>
        </w:rPr>
        <w:t xml:space="preserve"> de los </w:t>
      </w:r>
      <w:r w:rsidR="00D47E15" w:rsidRPr="00A0407B">
        <w:rPr>
          <w:szCs w:val="26"/>
        </w:rPr>
        <w:lastRenderedPageBreak/>
        <w:t xml:space="preserve">intereses de un año, se contempla la </w:t>
      </w:r>
      <w:r w:rsidRPr="00A0407B">
        <w:rPr>
          <w:szCs w:val="26"/>
        </w:rPr>
        <w:t xml:space="preserve">totalidad de la </w:t>
      </w:r>
      <w:r w:rsidR="00D47E15" w:rsidRPr="00A0407B">
        <w:rPr>
          <w:szCs w:val="26"/>
        </w:rPr>
        <w:t>inversión acumulada de los ejercicios anteriores más la mitad de la inversión del propio ejercicio.</w:t>
      </w:r>
    </w:p>
    <w:p w:rsidR="00726F24" w:rsidRPr="00A0407B" w:rsidRDefault="00726F24" w:rsidP="00A878A1">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los cálculos correspondientes al ejercicio de 2014, tenemos en consid</w:t>
      </w:r>
      <w:r w:rsidRPr="00A0407B">
        <w:rPr>
          <w:szCs w:val="26"/>
        </w:rPr>
        <w:t>e</w:t>
      </w:r>
      <w:r w:rsidRPr="00A0407B">
        <w:rPr>
          <w:szCs w:val="26"/>
        </w:rPr>
        <w:t>ración el reintegro efectivamente cobrado de ADIF, por importe de 36,65 m</w:t>
      </w:r>
      <w:r w:rsidRPr="00A0407B">
        <w:rPr>
          <w:szCs w:val="26"/>
        </w:rPr>
        <w:t>i</w:t>
      </w:r>
      <w:r w:rsidRPr="00A0407B">
        <w:rPr>
          <w:szCs w:val="26"/>
        </w:rPr>
        <w:t>llones. No contemplamos los reintegros solicitados pero no percibidos.</w:t>
      </w:r>
    </w:p>
    <w:p w:rsidR="004F2E36" w:rsidRPr="00A0407B" w:rsidRDefault="005A7191" w:rsidP="00A95DE6">
      <w:pPr>
        <w:pStyle w:val="texto"/>
        <w:tabs>
          <w:tab w:val="clear" w:pos="2835"/>
          <w:tab w:val="clear" w:pos="3969"/>
          <w:tab w:val="clear" w:pos="5103"/>
          <w:tab w:val="clear" w:pos="6237"/>
          <w:tab w:val="clear" w:pos="7371"/>
        </w:tabs>
        <w:spacing w:after="240"/>
        <w:rPr>
          <w:szCs w:val="26"/>
        </w:rPr>
      </w:pPr>
      <w:r w:rsidRPr="00A0407B">
        <w:rPr>
          <w:szCs w:val="26"/>
        </w:rPr>
        <w:t>Partiendo de las hipótesis anteriores y reafirmándonos en que es una aprox</w:t>
      </w:r>
      <w:r w:rsidRPr="00A0407B">
        <w:rPr>
          <w:szCs w:val="26"/>
        </w:rPr>
        <w:t>i</w:t>
      </w:r>
      <w:r w:rsidRPr="00A0407B">
        <w:rPr>
          <w:szCs w:val="26"/>
        </w:rPr>
        <w:t>mación a los intereses que pudieran haber</w:t>
      </w:r>
      <w:r w:rsidR="007308FE" w:rsidRPr="00A0407B">
        <w:rPr>
          <w:szCs w:val="26"/>
        </w:rPr>
        <w:t>se</w:t>
      </w:r>
      <w:r w:rsidRPr="00A0407B">
        <w:rPr>
          <w:szCs w:val="26"/>
        </w:rPr>
        <w:t xml:space="preserve"> generado por esas inversiones, los resultados obtenidos se muestran</w:t>
      </w:r>
      <w:r w:rsidR="0029193E">
        <w:rPr>
          <w:szCs w:val="26"/>
        </w:rPr>
        <w:t xml:space="preserve"> en euros </w:t>
      </w:r>
      <w:r w:rsidRPr="00A0407B">
        <w:rPr>
          <w:szCs w:val="26"/>
        </w:rPr>
        <w:t>en el siguiente cuadro:</w:t>
      </w:r>
    </w:p>
    <w:tbl>
      <w:tblPr>
        <w:tblW w:w="8608" w:type="dxa"/>
        <w:jc w:val="center"/>
        <w:tblCellMar>
          <w:left w:w="70" w:type="dxa"/>
          <w:right w:w="70" w:type="dxa"/>
        </w:tblCellMar>
        <w:tblLook w:val="04A0" w:firstRow="1" w:lastRow="0" w:firstColumn="1" w:lastColumn="0" w:noHBand="0" w:noVBand="1"/>
      </w:tblPr>
      <w:tblGrid>
        <w:gridCol w:w="5810"/>
        <w:gridCol w:w="2798"/>
      </w:tblGrid>
      <w:tr w:rsidR="004F2E36" w:rsidRPr="00180C53" w:rsidTr="00A95DE6">
        <w:trPr>
          <w:trHeight w:val="284"/>
          <w:jc w:val="center"/>
        </w:trPr>
        <w:tc>
          <w:tcPr>
            <w:tcW w:w="5810" w:type="dxa"/>
            <w:tcBorders>
              <w:top w:val="single" w:sz="4" w:space="0" w:color="auto"/>
              <w:bottom w:val="single" w:sz="4" w:space="0" w:color="auto"/>
            </w:tcBorders>
            <w:shd w:val="clear" w:color="auto" w:fill="ACCBF9" w:themeFill="background2"/>
            <w:noWrap/>
            <w:vAlign w:val="center"/>
          </w:tcPr>
          <w:p w:rsidR="004F2E36" w:rsidRPr="00180C53" w:rsidRDefault="004F2E36" w:rsidP="000D2040">
            <w:pPr>
              <w:pStyle w:val="cuadroCabe"/>
              <w:jc w:val="left"/>
              <w:rPr>
                <w:rFonts w:cs="Arial"/>
              </w:rPr>
            </w:pPr>
            <w:r>
              <w:rPr>
                <w:rFonts w:cs="Arial"/>
              </w:rPr>
              <w:t>Ejercicio</w:t>
            </w:r>
          </w:p>
        </w:tc>
        <w:tc>
          <w:tcPr>
            <w:tcW w:w="2798" w:type="dxa"/>
            <w:tcBorders>
              <w:top w:val="single" w:sz="4" w:space="0" w:color="auto"/>
              <w:bottom w:val="single" w:sz="4" w:space="0" w:color="auto"/>
            </w:tcBorders>
            <w:shd w:val="clear" w:color="auto" w:fill="ACCBF9" w:themeFill="background2"/>
            <w:noWrap/>
            <w:vAlign w:val="center"/>
          </w:tcPr>
          <w:p w:rsidR="004F2E36" w:rsidRPr="00180C53" w:rsidRDefault="004F2E36" w:rsidP="0029193E">
            <w:pPr>
              <w:pStyle w:val="cuadroCabe"/>
              <w:jc w:val="right"/>
              <w:rPr>
                <w:rFonts w:cs="Arial"/>
              </w:rPr>
            </w:pPr>
            <w:r>
              <w:rPr>
                <w:rFonts w:cs="Arial"/>
              </w:rPr>
              <w:t>Intereses estimados</w:t>
            </w:r>
          </w:p>
        </w:tc>
      </w:tr>
      <w:tr w:rsidR="004F2E36" w:rsidRPr="00A95DE6" w:rsidTr="00A95DE6">
        <w:trPr>
          <w:trHeight w:val="284"/>
          <w:jc w:val="center"/>
        </w:trPr>
        <w:tc>
          <w:tcPr>
            <w:tcW w:w="5810" w:type="dxa"/>
            <w:tcBorders>
              <w:top w:val="single" w:sz="4"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2009</w:t>
            </w:r>
          </w:p>
        </w:tc>
        <w:tc>
          <w:tcPr>
            <w:tcW w:w="2798" w:type="dxa"/>
            <w:tcBorders>
              <w:top w:val="single" w:sz="4"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3.841</w:t>
            </w:r>
          </w:p>
        </w:tc>
      </w:tr>
      <w:tr w:rsidR="004F2E36" w:rsidRPr="00A95DE6" w:rsidTr="00A95DE6">
        <w:trPr>
          <w:trHeight w:val="284"/>
          <w:jc w:val="center"/>
        </w:trPr>
        <w:tc>
          <w:tcPr>
            <w:tcW w:w="5810" w:type="dxa"/>
            <w:tcBorders>
              <w:top w:val="single" w:sz="2"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2010</w:t>
            </w:r>
          </w:p>
        </w:tc>
        <w:tc>
          <w:tcPr>
            <w:tcW w:w="2798" w:type="dxa"/>
            <w:tcBorders>
              <w:top w:val="single" w:sz="2"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54.366</w:t>
            </w:r>
          </w:p>
        </w:tc>
      </w:tr>
      <w:tr w:rsidR="004F2E36" w:rsidRPr="00A95DE6" w:rsidTr="00A95DE6">
        <w:trPr>
          <w:trHeight w:val="284"/>
          <w:jc w:val="center"/>
        </w:trPr>
        <w:tc>
          <w:tcPr>
            <w:tcW w:w="5810" w:type="dxa"/>
            <w:tcBorders>
              <w:top w:val="single" w:sz="2"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2011</w:t>
            </w:r>
          </w:p>
        </w:tc>
        <w:tc>
          <w:tcPr>
            <w:tcW w:w="2798" w:type="dxa"/>
            <w:tcBorders>
              <w:top w:val="single" w:sz="2"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132.354</w:t>
            </w:r>
          </w:p>
        </w:tc>
      </w:tr>
      <w:tr w:rsidR="004F2E36" w:rsidRPr="00A95DE6" w:rsidTr="00A95DE6">
        <w:trPr>
          <w:trHeight w:val="284"/>
          <w:jc w:val="center"/>
        </w:trPr>
        <w:tc>
          <w:tcPr>
            <w:tcW w:w="5810" w:type="dxa"/>
            <w:tcBorders>
              <w:top w:val="single" w:sz="2"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2012</w:t>
            </w:r>
          </w:p>
        </w:tc>
        <w:tc>
          <w:tcPr>
            <w:tcW w:w="2798" w:type="dxa"/>
            <w:tcBorders>
              <w:top w:val="single" w:sz="2"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475.885</w:t>
            </w:r>
          </w:p>
        </w:tc>
      </w:tr>
      <w:tr w:rsidR="004F2E36" w:rsidRPr="00A95DE6" w:rsidTr="00A95DE6">
        <w:trPr>
          <w:trHeight w:val="284"/>
          <w:jc w:val="center"/>
        </w:trPr>
        <w:tc>
          <w:tcPr>
            <w:tcW w:w="5810" w:type="dxa"/>
            <w:tcBorders>
              <w:top w:val="single" w:sz="2"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2013</w:t>
            </w:r>
          </w:p>
        </w:tc>
        <w:tc>
          <w:tcPr>
            <w:tcW w:w="2798" w:type="dxa"/>
            <w:tcBorders>
              <w:top w:val="single" w:sz="2"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1.251.723</w:t>
            </w:r>
          </w:p>
        </w:tc>
      </w:tr>
      <w:tr w:rsidR="004F2E36" w:rsidRPr="00A95DE6" w:rsidTr="00A95DE6">
        <w:trPr>
          <w:trHeight w:val="284"/>
          <w:jc w:val="center"/>
        </w:trPr>
        <w:tc>
          <w:tcPr>
            <w:tcW w:w="5810" w:type="dxa"/>
            <w:tcBorders>
              <w:top w:val="single" w:sz="2" w:space="0" w:color="auto"/>
              <w:bottom w:val="single" w:sz="2"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2014</w:t>
            </w:r>
          </w:p>
        </w:tc>
        <w:tc>
          <w:tcPr>
            <w:tcW w:w="2798" w:type="dxa"/>
            <w:tcBorders>
              <w:top w:val="single" w:sz="2" w:space="0" w:color="auto"/>
              <w:bottom w:val="single" w:sz="2"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1.948.471</w:t>
            </w:r>
          </w:p>
        </w:tc>
      </w:tr>
      <w:tr w:rsidR="004F2E36" w:rsidRPr="00A95DE6" w:rsidTr="00A95DE6">
        <w:trPr>
          <w:trHeight w:val="284"/>
          <w:jc w:val="center"/>
        </w:trPr>
        <w:tc>
          <w:tcPr>
            <w:tcW w:w="5810" w:type="dxa"/>
            <w:tcBorders>
              <w:top w:val="single" w:sz="2" w:space="0" w:color="auto"/>
              <w:bottom w:val="single" w:sz="4" w:space="0" w:color="auto"/>
            </w:tcBorders>
            <w:noWrap/>
            <w:vAlign w:val="center"/>
          </w:tcPr>
          <w:p w:rsidR="004F2E36" w:rsidRPr="00A95DE6" w:rsidRDefault="004F2E36" w:rsidP="000D2040">
            <w:pPr>
              <w:spacing w:after="0"/>
              <w:ind w:firstLine="0"/>
              <w:jc w:val="left"/>
              <w:rPr>
                <w:rFonts w:ascii="Arial Narrow" w:hAnsi="Arial Narrow" w:cs="Arial"/>
                <w:lang w:val="es-ES" w:eastAsia="es-ES"/>
              </w:rPr>
            </w:pPr>
            <w:r w:rsidRPr="00A95DE6">
              <w:rPr>
                <w:rFonts w:ascii="Arial Narrow" w:hAnsi="Arial Narrow" w:cs="Arial"/>
                <w:lang w:val="es-ES" w:eastAsia="es-ES"/>
              </w:rPr>
              <w:t>2015</w:t>
            </w:r>
          </w:p>
        </w:tc>
        <w:tc>
          <w:tcPr>
            <w:tcW w:w="2798" w:type="dxa"/>
            <w:tcBorders>
              <w:top w:val="single" w:sz="2" w:space="0" w:color="auto"/>
              <w:bottom w:val="single" w:sz="4" w:space="0" w:color="auto"/>
            </w:tcBorders>
            <w:noWrap/>
            <w:vAlign w:val="center"/>
          </w:tcPr>
          <w:p w:rsidR="004F2E36" w:rsidRPr="00A95DE6" w:rsidRDefault="006B1A7D" w:rsidP="0029193E">
            <w:pPr>
              <w:spacing w:after="0"/>
              <w:ind w:firstLine="0"/>
              <w:jc w:val="right"/>
              <w:rPr>
                <w:rFonts w:ascii="Arial Narrow" w:hAnsi="Arial Narrow" w:cs="Arial"/>
                <w:lang w:val="es-ES" w:eastAsia="es-ES"/>
              </w:rPr>
            </w:pPr>
            <w:r w:rsidRPr="00A95DE6">
              <w:rPr>
                <w:rFonts w:ascii="Arial Narrow" w:hAnsi="Arial Narrow" w:cs="Arial"/>
                <w:lang w:val="es-ES" w:eastAsia="es-ES"/>
              </w:rPr>
              <w:t>1.257.448</w:t>
            </w:r>
          </w:p>
        </w:tc>
      </w:tr>
      <w:tr w:rsidR="004F2E36" w:rsidRPr="00A95DE6" w:rsidTr="00A95DE6">
        <w:trPr>
          <w:trHeight w:val="284"/>
          <w:jc w:val="center"/>
        </w:trPr>
        <w:tc>
          <w:tcPr>
            <w:tcW w:w="5810" w:type="dxa"/>
            <w:tcBorders>
              <w:top w:val="single" w:sz="4" w:space="0" w:color="auto"/>
              <w:bottom w:val="single" w:sz="4" w:space="0" w:color="auto"/>
            </w:tcBorders>
            <w:shd w:val="clear" w:color="auto" w:fill="ACCBF9" w:themeFill="background2"/>
            <w:noWrap/>
            <w:vAlign w:val="center"/>
          </w:tcPr>
          <w:p w:rsidR="004F2E36" w:rsidRPr="00A95DE6" w:rsidRDefault="004F2E36" w:rsidP="004F2E36">
            <w:pPr>
              <w:pStyle w:val="cuadroCabe"/>
              <w:jc w:val="left"/>
              <w:rPr>
                <w:rFonts w:cs="Arial"/>
                <w:szCs w:val="18"/>
              </w:rPr>
            </w:pPr>
            <w:r w:rsidRPr="00A95DE6">
              <w:rPr>
                <w:rFonts w:cs="Arial"/>
                <w:szCs w:val="18"/>
              </w:rPr>
              <w:t>Total intereses estimados obras del TAV</w:t>
            </w:r>
          </w:p>
        </w:tc>
        <w:tc>
          <w:tcPr>
            <w:tcW w:w="2798" w:type="dxa"/>
            <w:tcBorders>
              <w:top w:val="single" w:sz="4" w:space="0" w:color="auto"/>
              <w:bottom w:val="single" w:sz="4" w:space="0" w:color="auto"/>
            </w:tcBorders>
            <w:shd w:val="clear" w:color="auto" w:fill="ACCBF9" w:themeFill="background2"/>
            <w:noWrap/>
            <w:vAlign w:val="center"/>
          </w:tcPr>
          <w:p w:rsidR="004F2E36" w:rsidRPr="00A95DE6" w:rsidRDefault="006B1A7D" w:rsidP="0029193E">
            <w:pPr>
              <w:spacing w:after="0"/>
              <w:ind w:firstLine="0"/>
              <w:jc w:val="right"/>
              <w:rPr>
                <w:rFonts w:ascii="Arial" w:hAnsi="Arial" w:cs="Arial"/>
                <w:sz w:val="18"/>
                <w:szCs w:val="18"/>
                <w:lang w:val="es-ES" w:eastAsia="es-ES"/>
              </w:rPr>
            </w:pPr>
            <w:r w:rsidRPr="00A95DE6">
              <w:rPr>
                <w:rFonts w:ascii="Arial" w:hAnsi="Arial" w:cs="Arial"/>
                <w:bCs/>
                <w:color w:val="000000"/>
                <w:sz w:val="18"/>
                <w:szCs w:val="18"/>
                <w:lang w:eastAsia="es-ES"/>
              </w:rPr>
              <w:t>5.124.088</w:t>
            </w:r>
          </w:p>
        </w:tc>
      </w:tr>
    </w:tbl>
    <w:p w:rsidR="004F2DF5" w:rsidRPr="00A0407B" w:rsidRDefault="004F2E36" w:rsidP="0029193E">
      <w:pPr>
        <w:pStyle w:val="texto"/>
        <w:tabs>
          <w:tab w:val="clear" w:pos="2835"/>
          <w:tab w:val="clear" w:pos="3969"/>
          <w:tab w:val="clear" w:pos="5103"/>
          <w:tab w:val="clear" w:pos="6237"/>
          <w:tab w:val="clear" w:pos="7371"/>
        </w:tabs>
        <w:spacing w:before="240" w:after="240"/>
        <w:rPr>
          <w:szCs w:val="26"/>
        </w:rPr>
      </w:pPr>
      <w:r w:rsidRPr="00A0407B">
        <w:rPr>
          <w:szCs w:val="26"/>
        </w:rPr>
        <w:t>Es decir, teniendo en cuenta las limitaciones e hipótesis aplicadas</w:t>
      </w:r>
      <w:r w:rsidR="00130686" w:rsidRPr="00A0407B">
        <w:rPr>
          <w:szCs w:val="26"/>
        </w:rPr>
        <w:t>,</w:t>
      </w:r>
      <w:r w:rsidRPr="00A0407B">
        <w:rPr>
          <w:szCs w:val="26"/>
        </w:rPr>
        <w:t xml:space="preserve"> </w:t>
      </w:r>
      <w:r w:rsidR="00130686" w:rsidRPr="00A0407B">
        <w:rPr>
          <w:szCs w:val="26"/>
        </w:rPr>
        <w:t>las obras del TAV le han supuesto al Gobierno de Navarra unos gastos por intereses e</w:t>
      </w:r>
      <w:r w:rsidR="00130686" w:rsidRPr="00A0407B">
        <w:rPr>
          <w:szCs w:val="26"/>
        </w:rPr>
        <w:t>s</w:t>
      </w:r>
      <w:r w:rsidR="00130686" w:rsidRPr="00A0407B">
        <w:rPr>
          <w:szCs w:val="26"/>
        </w:rPr>
        <w:t>timados en</w:t>
      </w:r>
      <w:r w:rsidR="006B1A7D" w:rsidRPr="00A0407B">
        <w:rPr>
          <w:szCs w:val="26"/>
        </w:rPr>
        <w:t xml:space="preserve"> 5,12 millones.</w:t>
      </w:r>
    </w:p>
    <w:p w:rsidR="0016213F" w:rsidRDefault="000F0638" w:rsidP="000F0638">
      <w:pPr>
        <w:pStyle w:val="atitulo2"/>
      </w:pPr>
      <w:bookmarkStart w:id="27" w:name="_Toc467480858"/>
      <w:r>
        <w:t xml:space="preserve">IV.4. </w:t>
      </w:r>
      <w:r w:rsidR="0016213F">
        <w:t xml:space="preserve">Tratamiento contable </w:t>
      </w:r>
      <w:r w:rsidR="009A4E9E">
        <w:t xml:space="preserve">en el Gobierno de Navarra </w:t>
      </w:r>
      <w:r w:rsidR="0016213F">
        <w:t>de las obras del TAV</w:t>
      </w:r>
      <w:bookmarkEnd w:id="27"/>
    </w:p>
    <w:p w:rsidR="009D6740" w:rsidRPr="00A0407B" w:rsidRDefault="009D6740" w:rsidP="002D465A">
      <w:pPr>
        <w:pStyle w:val="texto"/>
        <w:tabs>
          <w:tab w:val="clear" w:pos="2835"/>
          <w:tab w:val="clear" w:pos="3969"/>
          <w:tab w:val="clear" w:pos="5103"/>
          <w:tab w:val="clear" w:pos="6237"/>
          <w:tab w:val="clear" w:pos="7371"/>
        </w:tabs>
        <w:rPr>
          <w:szCs w:val="26"/>
        </w:rPr>
      </w:pPr>
      <w:r w:rsidRPr="00A0407B">
        <w:rPr>
          <w:szCs w:val="26"/>
        </w:rPr>
        <w:t>Los gastos e ingresos</w:t>
      </w:r>
      <w:r w:rsidR="00C2487E" w:rsidRPr="00A0407B">
        <w:rPr>
          <w:szCs w:val="26"/>
        </w:rPr>
        <w:t>/reintegros</w:t>
      </w:r>
      <w:r w:rsidRPr="00A0407B">
        <w:rPr>
          <w:szCs w:val="26"/>
        </w:rPr>
        <w:t xml:space="preserve"> que se generan por las obras del TAV se </w:t>
      </w:r>
      <w:r w:rsidR="002D465A" w:rsidRPr="00A0407B">
        <w:rPr>
          <w:szCs w:val="26"/>
        </w:rPr>
        <w:t>imputan a la</w:t>
      </w:r>
      <w:r w:rsidR="00C2487E" w:rsidRPr="00A0407B">
        <w:rPr>
          <w:szCs w:val="26"/>
        </w:rPr>
        <w:t xml:space="preserve"> liquidación presupuestaria</w:t>
      </w:r>
      <w:r w:rsidRPr="00A0407B">
        <w:rPr>
          <w:szCs w:val="26"/>
        </w:rPr>
        <w:t xml:space="preserve"> de cada ejercicio, los gastos en el cap</w:t>
      </w:r>
      <w:r w:rsidRPr="00A0407B">
        <w:rPr>
          <w:szCs w:val="26"/>
        </w:rPr>
        <w:t>í</w:t>
      </w:r>
      <w:r w:rsidRPr="00A0407B">
        <w:rPr>
          <w:szCs w:val="26"/>
        </w:rPr>
        <w:t xml:space="preserve">tulo 6 de Inversiones y los ingresos/reintegros en el capítulo 7 de </w:t>
      </w:r>
      <w:r w:rsidR="002D465A" w:rsidRPr="00A0407B">
        <w:rPr>
          <w:szCs w:val="26"/>
        </w:rPr>
        <w:t>T</w:t>
      </w:r>
      <w:r w:rsidRPr="00A0407B">
        <w:rPr>
          <w:szCs w:val="26"/>
        </w:rPr>
        <w:t>ransfere</w:t>
      </w:r>
      <w:r w:rsidRPr="00A0407B">
        <w:rPr>
          <w:szCs w:val="26"/>
        </w:rPr>
        <w:t>n</w:t>
      </w:r>
      <w:r w:rsidRPr="00A0407B">
        <w:rPr>
          <w:szCs w:val="26"/>
        </w:rPr>
        <w:t xml:space="preserve">cias de </w:t>
      </w:r>
      <w:r w:rsidR="002D465A" w:rsidRPr="00A0407B">
        <w:rPr>
          <w:szCs w:val="26"/>
        </w:rPr>
        <w:t>C</w:t>
      </w:r>
      <w:r w:rsidRPr="00A0407B">
        <w:rPr>
          <w:szCs w:val="26"/>
        </w:rPr>
        <w:t>apital.</w:t>
      </w:r>
    </w:p>
    <w:p w:rsidR="0029193E" w:rsidRDefault="009D6740" w:rsidP="008A1988">
      <w:pPr>
        <w:pStyle w:val="texto"/>
        <w:tabs>
          <w:tab w:val="clear" w:pos="2835"/>
          <w:tab w:val="clear" w:pos="3969"/>
          <w:tab w:val="clear" w:pos="5103"/>
          <w:tab w:val="clear" w:pos="6237"/>
          <w:tab w:val="clear" w:pos="7371"/>
        </w:tabs>
        <w:rPr>
          <w:szCs w:val="26"/>
        </w:rPr>
      </w:pPr>
      <w:r w:rsidRPr="00A0407B">
        <w:rPr>
          <w:szCs w:val="26"/>
        </w:rPr>
        <w:t>Hasta 2013</w:t>
      </w:r>
      <w:r w:rsidR="002D465A" w:rsidRPr="00A0407B">
        <w:rPr>
          <w:szCs w:val="26"/>
        </w:rPr>
        <w:t>,</w:t>
      </w:r>
      <w:r w:rsidRPr="00A0407B">
        <w:rPr>
          <w:szCs w:val="26"/>
        </w:rPr>
        <w:t xml:space="preserve"> las inversiones realizadas</w:t>
      </w:r>
      <w:r w:rsidR="002D465A" w:rsidRPr="00A0407B">
        <w:rPr>
          <w:szCs w:val="26"/>
        </w:rPr>
        <w:t xml:space="preserve"> </w:t>
      </w:r>
      <w:r w:rsidRPr="00A0407B">
        <w:rPr>
          <w:szCs w:val="26"/>
        </w:rPr>
        <w:t>se activaban en la cuenta de Inmovil</w:t>
      </w:r>
      <w:r w:rsidRPr="00A0407B">
        <w:rPr>
          <w:szCs w:val="26"/>
        </w:rPr>
        <w:t>i</w:t>
      </w:r>
      <w:r w:rsidRPr="00A0407B">
        <w:rPr>
          <w:szCs w:val="26"/>
        </w:rPr>
        <w:t>zado material en curso “Corredor Navarro TAV en construcción”</w:t>
      </w:r>
      <w:r w:rsidR="00C2487E" w:rsidRPr="00A0407B">
        <w:rPr>
          <w:szCs w:val="26"/>
        </w:rPr>
        <w:t>.</w:t>
      </w:r>
    </w:p>
    <w:p w:rsidR="009D6740" w:rsidRPr="00A0407B" w:rsidRDefault="009D6740" w:rsidP="002D465A">
      <w:pPr>
        <w:pStyle w:val="texto"/>
        <w:tabs>
          <w:tab w:val="clear" w:pos="2835"/>
          <w:tab w:val="clear" w:pos="3969"/>
          <w:tab w:val="clear" w:pos="5103"/>
          <w:tab w:val="clear" w:pos="6237"/>
          <w:tab w:val="clear" w:pos="7371"/>
        </w:tabs>
        <w:rPr>
          <w:szCs w:val="26"/>
        </w:rPr>
      </w:pPr>
      <w:r w:rsidRPr="00A0407B">
        <w:rPr>
          <w:szCs w:val="26"/>
        </w:rPr>
        <w:t>En el ejercicio 2014 se cambi</w:t>
      </w:r>
      <w:r w:rsidR="001720EB" w:rsidRPr="00A0407B">
        <w:rPr>
          <w:szCs w:val="26"/>
        </w:rPr>
        <w:t>a</w:t>
      </w:r>
      <w:r w:rsidRPr="00A0407B">
        <w:rPr>
          <w:szCs w:val="26"/>
        </w:rPr>
        <w:t xml:space="preserve"> el </w:t>
      </w:r>
      <w:r w:rsidR="001720EB" w:rsidRPr="00A0407B">
        <w:rPr>
          <w:szCs w:val="26"/>
        </w:rPr>
        <w:t xml:space="preserve">anterior </w:t>
      </w:r>
      <w:r w:rsidRPr="00A0407B">
        <w:rPr>
          <w:szCs w:val="26"/>
        </w:rPr>
        <w:t>trat</w:t>
      </w:r>
      <w:r w:rsidR="001720EB" w:rsidRPr="00A0407B">
        <w:rPr>
          <w:szCs w:val="26"/>
        </w:rPr>
        <w:t>amiento contable</w:t>
      </w:r>
      <w:r w:rsidR="00AC6F58" w:rsidRPr="00A0407B">
        <w:rPr>
          <w:szCs w:val="26"/>
        </w:rPr>
        <w:t xml:space="preserve"> ajustándose el mismo al</w:t>
      </w:r>
      <w:r w:rsidR="001720EB" w:rsidRPr="00A0407B">
        <w:rPr>
          <w:szCs w:val="26"/>
        </w:rPr>
        <w:t xml:space="preserve"> fondo económico de la operación</w:t>
      </w:r>
      <w:r w:rsidR="00AC6F58" w:rsidRPr="00A0407B">
        <w:rPr>
          <w:szCs w:val="26"/>
        </w:rPr>
        <w:t xml:space="preserve"> y</w:t>
      </w:r>
      <w:r w:rsidRPr="00A0407B">
        <w:rPr>
          <w:szCs w:val="26"/>
        </w:rPr>
        <w:t xml:space="preserve"> regulariz</w:t>
      </w:r>
      <w:r w:rsidR="00D104A3" w:rsidRPr="00A0407B">
        <w:rPr>
          <w:szCs w:val="26"/>
        </w:rPr>
        <w:t>á</w:t>
      </w:r>
      <w:r w:rsidRPr="00A0407B">
        <w:rPr>
          <w:szCs w:val="26"/>
        </w:rPr>
        <w:t>ndo</w:t>
      </w:r>
      <w:r w:rsidR="00AC6F58" w:rsidRPr="00A0407B">
        <w:rPr>
          <w:szCs w:val="26"/>
        </w:rPr>
        <w:t>se</w:t>
      </w:r>
      <w:r w:rsidRPr="00A0407B">
        <w:rPr>
          <w:szCs w:val="26"/>
        </w:rPr>
        <w:t xml:space="preserve"> las actuaciones contabilizadas hasta el momento. En resumen</w:t>
      </w:r>
      <w:r w:rsidR="00C2487E" w:rsidRPr="00A0407B">
        <w:rPr>
          <w:szCs w:val="26"/>
        </w:rPr>
        <w:t>, el nuevo tratamiento contable</w:t>
      </w:r>
      <w:r w:rsidRPr="00A0407B">
        <w:rPr>
          <w:szCs w:val="26"/>
        </w:rPr>
        <w:t xml:space="preserve"> consiste en:</w:t>
      </w:r>
    </w:p>
    <w:p w:rsidR="009D6740" w:rsidRPr="00A0407B" w:rsidRDefault="00C2487E" w:rsidP="002D465A">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No se modifica la imputación presupuestaria de los gastos e ingresos; no obstante, con el nuevo tratamiento contable</w:t>
      </w:r>
      <w:r w:rsidR="004724C7" w:rsidRPr="00A0407B">
        <w:rPr>
          <w:szCs w:val="26"/>
        </w:rPr>
        <w:t xml:space="preserve"> –de naturaleza financiera-</w:t>
      </w:r>
      <w:r w:rsidRPr="00A0407B">
        <w:rPr>
          <w:szCs w:val="26"/>
        </w:rPr>
        <w:t xml:space="preserve">, </w:t>
      </w:r>
      <w:r w:rsidR="00626F03" w:rsidRPr="00A0407B">
        <w:rPr>
          <w:szCs w:val="26"/>
        </w:rPr>
        <w:t>conve</w:t>
      </w:r>
      <w:r w:rsidR="00626F03" w:rsidRPr="00A0407B">
        <w:rPr>
          <w:szCs w:val="26"/>
        </w:rPr>
        <w:t>n</w:t>
      </w:r>
      <w:r w:rsidR="00626F03" w:rsidRPr="00A0407B">
        <w:rPr>
          <w:szCs w:val="26"/>
        </w:rPr>
        <w:t>dría</w:t>
      </w:r>
      <w:r w:rsidRPr="00A0407B">
        <w:rPr>
          <w:szCs w:val="26"/>
        </w:rPr>
        <w:t xml:space="preserve"> analizarse si</w:t>
      </w:r>
      <w:r w:rsidR="00626F03" w:rsidRPr="00A0407B">
        <w:rPr>
          <w:szCs w:val="26"/>
        </w:rPr>
        <w:t xml:space="preserve"> la actual imputación al presupuesto es la más adecuada a la naturaleza de la operación o si debiera</w:t>
      </w:r>
      <w:r w:rsidR="004724C7" w:rsidRPr="00A0407B">
        <w:rPr>
          <w:szCs w:val="26"/>
        </w:rPr>
        <w:t>n</w:t>
      </w:r>
      <w:r w:rsidR="00626F03" w:rsidRPr="00A0407B">
        <w:rPr>
          <w:szCs w:val="26"/>
        </w:rPr>
        <w:t xml:space="preserve"> imputarse</w:t>
      </w:r>
      <w:r w:rsidR="00C152AD" w:rsidRPr="00A0407B">
        <w:rPr>
          <w:szCs w:val="26"/>
        </w:rPr>
        <w:t xml:space="preserve"> tales gastos e ingresos</w:t>
      </w:r>
      <w:r w:rsidR="00626F03" w:rsidRPr="00A0407B">
        <w:rPr>
          <w:szCs w:val="26"/>
        </w:rPr>
        <w:t xml:space="preserve"> a los</w:t>
      </w:r>
      <w:r w:rsidRPr="00A0407B">
        <w:rPr>
          <w:szCs w:val="26"/>
        </w:rPr>
        <w:t xml:space="preserve"> capítulos 8 del presupuesto “Activos financieros”.</w:t>
      </w:r>
    </w:p>
    <w:p w:rsidR="009D6740" w:rsidRPr="00A0407B" w:rsidRDefault="009D6740" w:rsidP="004724C7">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lastRenderedPageBreak/>
        <w:t>Los gastos</w:t>
      </w:r>
      <w:r w:rsidR="007C162C" w:rsidRPr="00A0407B">
        <w:rPr>
          <w:szCs w:val="26"/>
        </w:rPr>
        <w:t xml:space="preserve"> adelantados</w:t>
      </w:r>
      <w:r w:rsidRPr="00A0407B">
        <w:rPr>
          <w:szCs w:val="26"/>
        </w:rPr>
        <w:t xml:space="preserve"> en la infraestructura ya no se consideran</w:t>
      </w:r>
      <w:r w:rsidR="004724C7" w:rsidRPr="00A0407B">
        <w:rPr>
          <w:szCs w:val="26"/>
        </w:rPr>
        <w:t xml:space="preserve"> como</w:t>
      </w:r>
      <w:r w:rsidRPr="00A0407B">
        <w:rPr>
          <w:szCs w:val="26"/>
        </w:rPr>
        <w:t xml:space="preserve"> I</w:t>
      </w:r>
      <w:r w:rsidRPr="00A0407B">
        <w:rPr>
          <w:szCs w:val="26"/>
        </w:rPr>
        <w:t>n</w:t>
      </w:r>
      <w:r w:rsidRPr="00A0407B">
        <w:rPr>
          <w:szCs w:val="26"/>
        </w:rPr>
        <w:t xml:space="preserve">movilizado Material </w:t>
      </w:r>
      <w:r w:rsidR="004724C7" w:rsidRPr="00A0407B">
        <w:rPr>
          <w:szCs w:val="26"/>
        </w:rPr>
        <w:t xml:space="preserve">en curso, </w:t>
      </w:r>
      <w:r w:rsidR="007C162C" w:rsidRPr="00A0407B">
        <w:rPr>
          <w:szCs w:val="26"/>
        </w:rPr>
        <w:t>sino que se registran como</w:t>
      </w:r>
      <w:r w:rsidR="00C152AD" w:rsidRPr="00A0407B">
        <w:rPr>
          <w:szCs w:val="26"/>
        </w:rPr>
        <w:t xml:space="preserve"> un </w:t>
      </w:r>
      <w:r w:rsidR="007C162C" w:rsidRPr="00A0407B">
        <w:rPr>
          <w:szCs w:val="26"/>
        </w:rPr>
        <w:t>I</w:t>
      </w:r>
      <w:r w:rsidRPr="00A0407B">
        <w:rPr>
          <w:szCs w:val="26"/>
        </w:rPr>
        <w:t xml:space="preserve">nmovilizado </w:t>
      </w:r>
      <w:r w:rsidR="007C162C" w:rsidRPr="00A0407B">
        <w:rPr>
          <w:szCs w:val="26"/>
        </w:rPr>
        <w:t>F</w:t>
      </w:r>
      <w:r w:rsidRPr="00A0407B">
        <w:rPr>
          <w:szCs w:val="26"/>
        </w:rPr>
        <w:t>i</w:t>
      </w:r>
      <w:r w:rsidRPr="00A0407B">
        <w:rPr>
          <w:szCs w:val="26"/>
        </w:rPr>
        <w:t>nanciero que refleja la deuda pendiente de ADIF</w:t>
      </w:r>
      <w:r w:rsidR="007C162C" w:rsidRPr="00A0407B">
        <w:rPr>
          <w:szCs w:val="26"/>
        </w:rPr>
        <w:t xml:space="preserve"> con el Gobierno de Navarra</w:t>
      </w:r>
      <w:r w:rsidRPr="00A0407B">
        <w:rPr>
          <w:szCs w:val="26"/>
        </w:rPr>
        <w:t>. E</w:t>
      </w:r>
      <w:r w:rsidR="004C0296" w:rsidRPr="00A0407B">
        <w:rPr>
          <w:szCs w:val="26"/>
        </w:rPr>
        <w:t>s decir, se interpreta</w:t>
      </w:r>
      <w:r w:rsidR="00554573" w:rsidRPr="00A0407B">
        <w:rPr>
          <w:szCs w:val="26"/>
        </w:rPr>
        <w:t xml:space="preserve"> que </w:t>
      </w:r>
      <w:r w:rsidRPr="00A0407B">
        <w:rPr>
          <w:szCs w:val="26"/>
        </w:rPr>
        <w:t>los gastos</w:t>
      </w:r>
      <w:r w:rsidR="004C0296" w:rsidRPr="00A0407B">
        <w:rPr>
          <w:szCs w:val="26"/>
        </w:rPr>
        <w:t xml:space="preserve"> adelantados</w:t>
      </w:r>
      <w:r w:rsidRPr="00A0407B">
        <w:rPr>
          <w:szCs w:val="26"/>
        </w:rPr>
        <w:t xml:space="preserve"> se realizan por cuenta de ADIF, que es el beneficiario de las expropiaciones y receptor de proyectos y obras de la</w:t>
      </w:r>
      <w:r w:rsidR="004C0296" w:rsidRPr="00A0407B">
        <w:rPr>
          <w:szCs w:val="26"/>
        </w:rPr>
        <w:t xml:space="preserve"> plataforma.</w:t>
      </w:r>
      <w:r w:rsidRPr="00A0407B">
        <w:rPr>
          <w:szCs w:val="26"/>
        </w:rPr>
        <w:t xml:space="preserve"> Para ell</w:t>
      </w:r>
      <w:r w:rsidR="004C0296" w:rsidRPr="00A0407B">
        <w:rPr>
          <w:szCs w:val="26"/>
        </w:rPr>
        <w:t>o se crea la cuenta “</w:t>
      </w:r>
      <w:r w:rsidRPr="00A0407B">
        <w:rPr>
          <w:szCs w:val="26"/>
        </w:rPr>
        <w:t>Otros créditos a L</w:t>
      </w:r>
      <w:r w:rsidR="004C0296" w:rsidRPr="00A0407B">
        <w:rPr>
          <w:szCs w:val="26"/>
        </w:rPr>
        <w:t>argo Pl</w:t>
      </w:r>
      <w:r w:rsidR="004C0296" w:rsidRPr="00A0407B">
        <w:rPr>
          <w:szCs w:val="26"/>
        </w:rPr>
        <w:t>a</w:t>
      </w:r>
      <w:r w:rsidR="004C0296" w:rsidRPr="00A0407B">
        <w:rPr>
          <w:szCs w:val="26"/>
        </w:rPr>
        <w:t xml:space="preserve">zo. </w:t>
      </w:r>
      <w:r w:rsidRPr="00A0407B">
        <w:rPr>
          <w:szCs w:val="26"/>
        </w:rPr>
        <w:t>Deudor ADIF</w:t>
      </w:r>
      <w:r w:rsidR="007C162C" w:rsidRPr="00A0407B">
        <w:rPr>
          <w:szCs w:val="26"/>
        </w:rPr>
        <w:t>-</w:t>
      </w:r>
      <w:r w:rsidRPr="00A0407B">
        <w:rPr>
          <w:szCs w:val="26"/>
        </w:rPr>
        <w:t>TAV</w:t>
      </w:r>
      <w:r w:rsidR="004C0296" w:rsidRPr="00A0407B">
        <w:rPr>
          <w:szCs w:val="26"/>
        </w:rPr>
        <w:t xml:space="preserve">”. </w:t>
      </w:r>
    </w:p>
    <w:p w:rsidR="009D6740" w:rsidRPr="00A0407B" w:rsidRDefault="004C0296" w:rsidP="00C152AD">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Los</w:t>
      </w:r>
      <w:r w:rsidR="009D6740" w:rsidRPr="00A0407B">
        <w:rPr>
          <w:szCs w:val="26"/>
        </w:rPr>
        <w:t xml:space="preserve"> </w:t>
      </w:r>
      <w:r w:rsidRPr="00A0407B">
        <w:rPr>
          <w:szCs w:val="26"/>
        </w:rPr>
        <w:t xml:space="preserve">anteriores </w:t>
      </w:r>
      <w:r w:rsidR="009D6740" w:rsidRPr="00A0407B">
        <w:rPr>
          <w:szCs w:val="26"/>
        </w:rPr>
        <w:t>créditos a largo plazo pasan a ser exigibles</w:t>
      </w:r>
      <w:r w:rsidR="007C162C" w:rsidRPr="00A0407B">
        <w:rPr>
          <w:szCs w:val="26"/>
        </w:rPr>
        <w:t xml:space="preserve"> por el Gobierno de Navarra</w:t>
      </w:r>
      <w:r w:rsidR="009D6740" w:rsidRPr="00A0407B">
        <w:rPr>
          <w:szCs w:val="26"/>
        </w:rPr>
        <w:t xml:space="preserve"> desde el momento en que los gastos son conformados por la Su</w:t>
      </w:r>
      <w:r w:rsidR="009D6740" w:rsidRPr="00A0407B">
        <w:rPr>
          <w:szCs w:val="26"/>
        </w:rPr>
        <w:t>b</w:t>
      </w:r>
      <w:r w:rsidR="009D6740" w:rsidRPr="00A0407B">
        <w:rPr>
          <w:szCs w:val="26"/>
        </w:rPr>
        <w:t>comisión Técnica, por lo que en ese momento se reclasifican dichos importes como un deudor a corto plazo,</w:t>
      </w:r>
      <w:r w:rsidRPr="00A0407B">
        <w:rPr>
          <w:szCs w:val="26"/>
        </w:rPr>
        <w:t xml:space="preserve"> en la nueva cuenta “</w:t>
      </w:r>
      <w:r w:rsidR="009D6740" w:rsidRPr="00A0407B">
        <w:rPr>
          <w:szCs w:val="26"/>
        </w:rPr>
        <w:t>Otros deudores no pres</w:t>
      </w:r>
      <w:r w:rsidR="009D6740" w:rsidRPr="00A0407B">
        <w:rPr>
          <w:szCs w:val="26"/>
        </w:rPr>
        <w:t>u</w:t>
      </w:r>
      <w:r w:rsidR="009D6740" w:rsidRPr="00A0407B">
        <w:rPr>
          <w:szCs w:val="26"/>
        </w:rPr>
        <w:t>puestarios. Deudor ADIF</w:t>
      </w:r>
      <w:r w:rsidR="007C162C" w:rsidRPr="00A0407B">
        <w:rPr>
          <w:szCs w:val="26"/>
        </w:rPr>
        <w:t>-</w:t>
      </w:r>
      <w:r w:rsidR="009D6740" w:rsidRPr="00A0407B">
        <w:rPr>
          <w:szCs w:val="26"/>
        </w:rPr>
        <w:t xml:space="preserve"> TAV</w:t>
      </w:r>
      <w:r w:rsidRPr="00A0407B">
        <w:rPr>
          <w:szCs w:val="26"/>
        </w:rPr>
        <w:t>”</w:t>
      </w:r>
      <w:r w:rsidR="009D6740" w:rsidRPr="00A0407B">
        <w:rPr>
          <w:szCs w:val="26"/>
        </w:rPr>
        <w:t>.</w:t>
      </w:r>
    </w:p>
    <w:p w:rsidR="009D6740" w:rsidRPr="00A0407B" w:rsidRDefault="009D6740" w:rsidP="00C152AD">
      <w:pPr>
        <w:pStyle w:val="texto"/>
        <w:tabs>
          <w:tab w:val="clear" w:pos="2835"/>
          <w:tab w:val="clear" w:pos="3969"/>
          <w:tab w:val="clear" w:pos="5103"/>
          <w:tab w:val="clear" w:pos="6237"/>
          <w:tab w:val="clear" w:pos="7371"/>
        </w:tabs>
        <w:rPr>
          <w:szCs w:val="26"/>
        </w:rPr>
      </w:pPr>
      <w:r w:rsidRPr="00A0407B">
        <w:rPr>
          <w:szCs w:val="26"/>
        </w:rPr>
        <w:t>En cuanto a los impor</w:t>
      </w:r>
      <w:r w:rsidR="004C0296" w:rsidRPr="00A0407B">
        <w:rPr>
          <w:szCs w:val="26"/>
        </w:rPr>
        <w:t xml:space="preserve">tes no conformados </w:t>
      </w:r>
      <w:r w:rsidRPr="00A0407B">
        <w:rPr>
          <w:szCs w:val="26"/>
        </w:rPr>
        <w:t>por la</w:t>
      </w:r>
      <w:r w:rsidR="004C0296" w:rsidRPr="00A0407B">
        <w:rPr>
          <w:szCs w:val="26"/>
        </w:rPr>
        <w:t xml:space="preserve"> citada </w:t>
      </w:r>
      <w:r w:rsidRPr="00A0407B">
        <w:rPr>
          <w:szCs w:val="26"/>
        </w:rPr>
        <w:t>Subcomisión, se re</w:t>
      </w:r>
      <w:r w:rsidRPr="00A0407B">
        <w:rPr>
          <w:szCs w:val="26"/>
        </w:rPr>
        <w:t>a</w:t>
      </w:r>
      <w:r w:rsidRPr="00A0407B">
        <w:rPr>
          <w:szCs w:val="26"/>
        </w:rPr>
        <w:t>liza una</w:t>
      </w:r>
      <w:r w:rsidR="0096117E" w:rsidRPr="00A0407B">
        <w:rPr>
          <w:szCs w:val="26"/>
        </w:rPr>
        <w:t xml:space="preserve"> dotación anual de </w:t>
      </w:r>
      <w:r w:rsidR="00021E3B" w:rsidRPr="00A0407B">
        <w:rPr>
          <w:szCs w:val="26"/>
        </w:rPr>
        <w:t xml:space="preserve">una </w:t>
      </w:r>
      <w:r w:rsidR="0096117E" w:rsidRPr="00A0407B">
        <w:rPr>
          <w:szCs w:val="26"/>
        </w:rPr>
        <w:t>provisi</w:t>
      </w:r>
      <w:r w:rsidR="00021E3B" w:rsidRPr="00A0407B">
        <w:rPr>
          <w:szCs w:val="26"/>
        </w:rPr>
        <w:t>ón</w:t>
      </w:r>
      <w:r w:rsidRPr="00A0407B">
        <w:rPr>
          <w:szCs w:val="26"/>
        </w:rPr>
        <w:t xml:space="preserve">, de forma que su importe se registra como gastos del ejercicio, </w:t>
      </w:r>
      <w:r w:rsidR="00C152AD" w:rsidRPr="00A0407B">
        <w:rPr>
          <w:szCs w:val="26"/>
        </w:rPr>
        <w:t>reflejándose</w:t>
      </w:r>
      <w:r w:rsidRPr="00A0407B">
        <w:rPr>
          <w:szCs w:val="26"/>
        </w:rPr>
        <w:t xml:space="preserve"> en </w:t>
      </w:r>
      <w:r w:rsidR="00C152AD" w:rsidRPr="00A0407B">
        <w:rPr>
          <w:szCs w:val="26"/>
        </w:rPr>
        <w:t>el balance de situación</w:t>
      </w:r>
      <w:r w:rsidRPr="00A0407B">
        <w:rPr>
          <w:szCs w:val="26"/>
        </w:rPr>
        <w:t xml:space="preserve"> como </w:t>
      </w:r>
      <w:r w:rsidR="00C152AD" w:rsidRPr="00A0407B">
        <w:rPr>
          <w:szCs w:val="26"/>
        </w:rPr>
        <w:t>una provisión de inmovilizado con signo negativo.</w:t>
      </w:r>
      <w:r w:rsidR="0096117E" w:rsidRPr="00A0407B">
        <w:rPr>
          <w:szCs w:val="26"/>
        </w:rPr>
        <w:t xml:space="preserve"> Es decir, el saldo de esta cuenta</w:t>
      </w:r>
      <w:r w:rsidR="00021E3B" w:rsidRPr="00A0407B">
        <w:rPr>
          <w:szCs w:val="26"/>
        </w:rPr>
        <w:t xml:space="preserve"> </w:t>
      </w:r>
      <w:r w:rsidR="0096117E" w:rsidRPr="00A0407B">
        <w:rPr>
          <w:szCs w:val="26"/>
        </w:rPr>
        <w:t>recogerá el acumulado de gastos no conformados</w:t>
      </w:r>
      <w:r w:rsidR="00021E3B" w:rsidRPr="00A0407B">
        <w:rPr>
          <w:szCs w:val="26"/>
        </w:rPr>
        <w:t xml:space="preserve"> que, en principio, </w:t>
      </w:r>
      <w:r w:rsidR="0096117E" w:rsidRPr="00A0407B">
        <w:rPr>
          <w:szCs w:val="26"/>
        </w:rPr>
        <w:t>no van a ser abonados por ADIF.</w:t>
      </w:r>
    </w:p>
    <w:p w:rsidR="007C162C" w:rsidRPr="00A0407B" w:rsidRDefault="009D6740" w:rsidP="0055457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Los ingresos</w:t>
      </w:r>
      <w:r w:rsidR="004C0296" w:rsidRPr="00A0407B">
        <w:rPr>
          <w:szCs w:val="26"/>
        </w:rPr>
        <w:t>/reintegros</w:t>
      </w:r>
      <w:r w:rsidRPr="00A0407B">
        <w:rPr>
          <w:szCs w:val="26"/>
        </w:rPr>
        <w:t xml:space="preserve"> se reconocen en el momento en </w:t>
      </w:r>
      <w:r w:rsidR="000D4B4D" w:rsidRPr="00A0407B">
        <w:rPr>
          <w:szCs w:val="26"/>
        </w:rPr>
        <w:t xml:space="preserve">que se solicita su abono a ADIF. </w:t>
      </w:r>
      <w:r w:rsidRPr="00A0407B">
        <w:rPr>
          <w:szCs w:val="26"/>
        </w:rPr>
        <w:t>El ejercicio 2014 es el primero en que se reconocen estos ingr</w:t>
      </w:r>
      <w:r w:rsidRPr="00A0407B">
        <w:rPr>
          <w:szCs w:val="26"/>
        </w:rPr>
        <w:t>e</w:t>
      </w:r>
      <w:r w:rsidRPr="00A0407B">
        <w:rPr>
          <w:szCs w:val="26"/>
        </w:rPr>
        <w:t xml:space="preserve">sos, </w:t>
      </w:r>
      <w:r w:rsidR="007C162C" w:rsidRPr="00A0407B">
        <w:rPr>
          <w:szCs w:val="26"/>
        </w:rPr>
        <w:t>dentro del concepto presupuestario de</w:t>
      </w:r>
      <w:r w:rsidRPr="00A0407B">
        <w:rPr>
          <w:szCs w:val="26"/>
        </w:rPr>
        <w:t xml:space="preserve"> </w:t>
      </w:r>
      <w:r w:rsidR="007C162C" w:rsidRPr="00A0407B">
        <w:rPr>
          <w:szCs w:val="26"/>
        </w:rPr>
        <w:t>“T</w:t>
      </w:r>
      <w:r w:rsidRPr="00A0407B">
        <w:rPr>
          <w:szCs w:val="26"/>
        </w:rPr>
        <w:t>ransferencias de capital de empr</w:t>
      </w:r>
      <w:r w:rsidRPr="00A0407B">
        <w:rPr>
          <w:szCs w:val="26"/>
        </w:rPr>
        <w:t>e</w:t>
      </w:r>
      <w:r w:rsidRPr="00A0407B">
        <w:rPr>
          <w:szCs w:val="26"/>
        </w:rPr>
        <w:t>sas públicas</w:t>
      </w:r>
      <w:r w:rsidR="007C162C" w:rsidRPr="00A0407B">
        <w:rPr>
          <w:szCs w:val="26"/>
        </w:rPr>
        <w:t>”</w:t>
      </w:r>
      <w:r w:rsidRPr="00A0407B">
        <w:rPr>
          <w:szCs w:val="26"/>
        </w:rPr>
        <w:t>.</w:t>
      </w:r>
      <w:r w:rsidR="007C162C" w:rsidRPr="00A0407B">
        <w:rPr>
          <w:szCs w:val="26"/>
        </w:rPr>
        <w:t xml:space="preserve"> En el momento de dicho reconocimiento, se cancela el deudor no presupuestario por su importe y se traspasa la deuda a “deudores por derechos reconocidos en dependencias”, hasta su cobro efectivo.</w:t>
      </w:r>
    </w:p>
    <w:p w:rsidR="0029193E" w:rsidRDefault="009D6740" w:rsidP="008A1988">
      <w:pPr>
        <w:pStyle w:val="texto"/>
        <w:tabs>
          <w:tab w:val="clear" w:pos="2835"/>
          <w:tab w:val="clear" w:pos="3969"/>
          <w:tab w:val="clear" w:pos="5103"/>
          <w:tab w:val="clear" w:pos="6237"/>
          <w:tab w:val="clear" w:pos="7371"/>
        </w:tabs>
        <w:rPr>
          <w:szCs w:val="26"/>
        </w:rPr>
      </w:pPr>
      <w:r w:rsidRPr="00A0407B">
        <w:rPr>
          <w:szCs w:val="26"/>
        </w:rPr>
        <w:t xml:space="preserve">Estas </w:t>
      </w:r>
      <w:r w:rsidR="004C0296" w:rsidRPr="00A0407B">
        <w:rPr>
          <w:szCs w:val="26"/>
        </w:rPr>
        <w:t>operaciones</w:t>
      </w:r>
      <w:r w:rsidRPr="00A0407B">
        <w:rPr>
          <w:szCs w:val="26"/>
        </w:rPr>
        <w:t xml:space="preserve"> se realizarán, en general</w:t>
      </w:r>
      <w:r w:rsidR="007C162C" w:rsidRPr="00A0407B">
        <w:rPr>
          <w:szCs w:val="26"/>
        </w:rPr>
        <w:t>,</w:t>
      </w:r>
      <w:r w:rsidRPr="00A0407B">
        <w:rPr>
          <w:szCs w:val="26"/>
        </w:rPr>
        <w:t xml:space="preserve"> al cierre del ejercicio,</w:t>
      </w:r>
      <w:r w:rsidR="007C162C" w:rsidRPr="00A0407B">
        <w:rPr>
          <w:szCs w:val="26"/>
        </w:rPr>
        <w:t xml:space="preserve"> y están</w:t>
      </w:r>
      <w:r w:rsidRPr="00A0407B">
        <w:rPr>
          <w:szCs w:val="26"/>
        </w:rPr>
        <w:t xml:space="preserve"> soportadas </w:t>
      </w:r>
      <w:r w:rsidR="007C162C" w:rsidRPr="00A0407B">
        <w:rPr>
          <w:szCs w:val="26"/>
        </w:rPr>
        <w:t>en el</w:t>
      </w:r>
      <w:r w:rsidRPr="00A0407B">
        <w:rPr>
          <w:szCs w:val="26"/>
        </w:rPr>
        <w:t xml:space="preserve"> informe</w:t>
      </w:r>
      <w:r w:rsidR="007C162C" w:rsidRPr="00A0407B">
        <w:rPr>
          <w:szCs w:val="26"/>
        </w:rPr>
        <w:t xml:space="preserve"> emitido por el</w:t>
      </w:r>
      <w:r w:rsidRPr="00A0407B">
        <w:rPr>
          <w:szCs w:val="26"/>
        </w:rPr>
        <w:t xml:space="preserve"> D</w:t>
      </w:r>
      <w:r w:rsidR="000D4B4D" w:rsidRPr="00A0407B">
        <w:rPr>
          <w:szCs w:val="26"/>
        </w:rPr>
        <w:t>irección General de Obras Públicas</w:t>
      </w:r>
      <w:r w:rsidRPr="00A0407B">
        <w:rPr>
          <w:szCs w:val="26"/>
        </w:rPr>
        <w:t xml:space="preserve">, </w:t>
      </w:r>
      <w:r w:rsidR="007C162C" w:rsidRPr="00A0407B">
        <w:rPr>
          <w:szCs w:val="26"/>
        </w:rPr>
        <w:t>de acuerdo con lo regulado en la orden foral de cierre del ejercicio.</w:t>
      </w:r>
    </w:p>
    <w:p w:rsidR="00971841" w:rsidRPr="00A0407B" w:rsidRDefault="00971841" w:rsidP="0029193E">
      <w:pPr>
        <w:pStyle w:val="texto"/>
        <w:tabs>
          <w:tab w:val="clear" w:pos="2835"/>
          <w:tab w:val="clear" w:pos="3969"/>
          <w:tab w:val="clear" w:pos="5103"/>
          <w:tab w:val="clear" w:pos="6237"/>
          <w:tab w:val="clear" w:pos="7371"/>
        </w:tabs>
        <w:spacing w:after="240"/>
        <w:rPr>
          <w:szCs w:val="26"/>
        </w:rPr>
      </w:pPr>
      <w:r w:rsidRPr="00A0407B">
        <w:rPr>
          <w:szCs w:val="26"/>
        </w:rPr>
        <w:t>En el balance a 31 de diciembre de 2015, las cuentas anteriores presentan los siguientes saldos comparados con los dos ejercicios anteriores:</w:t>
      </w:r>
    </w:p>
    <w:tbl>
      <w:tblPr>
        <w:tblW w:w="8973" w:type="dxa"/>
        <w:jc w:val="center"/>
        <w:tblCellMar>
          <w:left w:w="70" w:type="dxa"/>
          <w:right w:w="70" w:type="dxa"/>
        </w:tblCellMar>
        <w:tblLook w:val="04A0" w:firstRow="1" w:lastRow="0" w:firstColumn="1" w:lastColumn="0" w:noHBand="0" w:noVBand="1"/>
      </w:tblPr>
      <w:tblGrid>
        <w:gridCol w:w="2153"/>
        <w:gridCol w:w="3364"/>
        <w:gridCol w:w="1127"/>
        <w:gridCol w:w="1127"/>
        <w:gridCol w:w="1202"/>
      </w:tblGrid>
      <w:tr w:rsidR="00971841" w:rsidTr="00A95DE6">
        <w:trPr>
          <w:trHeight w:val="284"/>
          <w:jc w:val="center"/>
        </w:trPr>
        <w:tc>
          <w:tcPr>
            <w:tcW w:w="2153" w:type="dxa"/>
            <w:tcBorders>
              <w:top w:val="single" w:sz="4" w:space="0" w:color="auto"/>
              <w:bottom w:val="single" w:sz="4" w:space="0" w:color="auto"/>
            </w:tcBorders>
            <w:shd w:val="clear" w:color="auto" w:fill="A8CBEE" w:themeFill="accent2" w:themeFillTint="66"/>
            <w:vAlign w:val="center"/>
            <w:hideMark/>
          </w:tcPr>
          <w:p w:rsidR="00971841" w:rsidRPr="00393628" w:rsidRDefault="00971841" w:rsidP="00C03251">
            <w:pPr>
              <w:pStyle w:val="cuadroCabe"/>
              <w:jc w:val="left"/>
              <w:rPr>
                <w:rFonts w:cs="Arial"/>
              </w:rPr>
            </w:pPr>
            <w:r w:rsidRPr="00393628">
              <w:rPr>
                <w:rFonts w:cs="Arial"/>
              </w:rPr>
              <w:t>Masa patrimonial</w:t>
            </w:r>
          </w:p>
        </w:tc>
        <w:tc>
          <w:tcPr>
            <w:tcW w:w="3364" w:type="dxa"/>
            <w:tcBorders>
              <w:top w:val="single" w:sz="4" w:space="0" w:color="auto"/>
              <w:bottom w:val="single" w:sz="4" w:space="0" w:color="auto"/>
            </w:tcBorders>
            <w:shd w:val="clear" w:color="auto" w:fill="A8CBEE" w:themeFill="accent2" w:themeFillTint="66"/>
            <w:vAlign w:val="center"/>
            <w:hideMark/>
          </w:tcPr>
          <w:p w:rsidR="00971841" w:rsidRPr="00393628" w:rsidRDefault="00971841" w:rsidP="00C03251">
            <w:pPr>
              <w:pStyle w:val="cuadroCabe"/>
              <w:jc w:val="left"/>
              <w:rPr>
                <w:rFonts w:cs="Arial"/>
              </w:rPr>
            </w:pPr>
            <w:r w:rsidRPr="00393628">
              <w:rPr>
                <w:rFonts w:cs="Arial"/>
              </w:rPr>
              <w:t>Descripción</w:t>
            </w:r>
          </w:p>
        </w:tc>
        <w:tc>
          <w:tcPr>
            <w:tcW w:w="1127" w:type="dxa"/>
            <w:tcBorders>
              <w:top w:val="single" w:sz="4" w:space="0" w:color="auto"/>
              <w:bottom w:val="single" w:sz="4" w:space="0" w:color="auto"/>
            </w:tcBorders>
            <w:shd w:val="clear" w:color="auto" w:fill="A8CBEE" w:themeFill="accent2" w:themeFillTint="66"/>
            <w:vAlign w:val="center"/>
          </w:tcPr>
          <w:p w:rsidR="00971841" w:rsidRDefault="00971841" w:rsidP="00C03251">
            <w:pPr>
              <w:pStyle w:val="cuadroCabe"/>
              <w:jc w:val="center"/>
              <w:rPr>
                <w:rFonts w:cs="Arial"/>
              </w:rPr>
            </w:pPr>
            <w:r w:rsidRPr="00393628">
              <w:rPr>
                <w:rFonts w:cs="Arial"/>
              </w:rPr>
              <w:t>31/</w:t>
            </w:r>
            <w:r>
              <w:rPr>
                <w:rFonts w:cs="Arial"/>
              </w:rPr>
              <w:t>XII</w:t>
            </w:r>
            <w:r w:rsidRPr="00393628">
              <w:rPr>
                <w:rFonts w:cs="Arial"/>
              </w:rPr>
              <w:t>/201</w:t>
            </w:r>
            <w:r>
              <w:rPr>
                <w:rFonts w:cs="Arial"/>
              </w:rPr>
              <w:t>3</w:t>
            </w:r>
          </w:p>
        </w:tc>
        <w:tc>
          <w:tcPr>
            <w:tcW w:w="1127" w:type="dxa"/>
            <w:tcBorders>
              <w:top w:val="single" w:sz="4" w:space="0" w:color="auto"/>
              <w:bottom w:val="single" w:sz="4" w:space="0" w:color="auto"/>
            </w:tcBorders>
            <w:shd w:val="clear" w:color="auto" w:fill="A8CBEE" w:themeFill="accent2" w:themeFillTint="66"/>
            <w:vAlign w:val="center"/>
            <w:hideMark/>
          </w:tcPr>
          <w:p w:rsidR="00971841" w:rsidRPr="00393628" w:rsidRDefault="00971841" w:rsidP="00C03251">
            <w:pPr>
              <w:pStyle w:val="cuadroCabe"/>
              <w:jc w:val="center"/>
              <w:rPr>
                <w:rFonts w:cs="Arial"/>
              </w:rPr>
            </w:pPr>
            <w:r w:rsidRPr="00393628">
              <w:rPr>
                <w:rFonts w:cs="Arial"/>
              </w:rPr>
              <w:t>31/</w:t>
            </w:r>
            <w:r>
              <w:rPr>
                <w:rFonts w:cs="Arial"/>
              </w:rPr>
              <w:t>XII</w:t>
            </w:r>
            <w:r w:rsidRPr="00393628">
              <w:rPr>
                <w:rFonts w:cs="Arial"/>
              </w:rPr>
              <w:t>/2014</w:t>
            </w:r>
          </w:p>
        </w:tc>
        <w:tc>
          <w:tcPr>
            <w:tcW w:w="1202" w:type="dxa"/>
            <w:tcBorders>
              <w:top w:val="single" w:sz="4" w:space="0" w:color="auto"/>
              <w:bottom w:val="single" w:sz="4" w:space="0" w:color="auto"/>
            </w:tcBorders>
            <w:shd w:val="clear" w:color="auto" w:fill="A8CBEE" w:themeFill="accent2" w:themeFillTint="66"/>
            <w:vAlign w:val="center"/>
            <w:hideMark/>
          </w:tcPr>
          <w:p w:rsidR="00971841" w:rsidRPr="00393628" w:rsidRDefault="00971841" w:rsidP="00C03251">
            <w:pPr>
              <w:pStyle w:val="cuadroCabe"/>
              <w:jc w:val="center"/>
              <w:rPr>
                <w:rFonts w:cs="Arial"/>
              </w:rPr>
            </w:pPr>
            <w:r w:rsidRPr="00393628">
              <w:rPr>
                <w:rFonts w:cs="Arial"/>
              </w:rPr>
              <w:t>31/</w:t>
            </w:r>
            <w:r>
              <w:rPr>
                <w:rFonts w:cs="Arial"/>
              </w:rPr>
              <w:t>XII</w:t>
            </w:r>
            <w:r w:rsidRPr="00393628">
              <w:rPr>
                <w:rFonts w:cs="Arial"/>
              </w:rPr>
              <w:t>/2</w:t>
            </w:r>
            <w:r>
              <w:rPr>
                <w:rFonts w:cs="Arial"/>
              </w:rPr>
              <w:t>0</w:t>
            </w:r>
            <w:r w:rsidRPr="00393628">
              <w:rPr>
                <w:rFonts w:cs="Arial"/>
              </w:rPr>
              <w:t>15</w:t>
            </w:r>
          </w:p>
        </w:tc>
      </w:tr>
      <w:tr w:rsidR="00971841" w:rsidTr="00A95DE6">
        <w:trPr>
          <w:trHeight w:val="284"/>
          <w:jc w:val="center"/>
        </w:trPr>
        <w:tc>
          <w:tcPr>
            <w:tcW w:w="2153" w:type="dxa"/>
            <w:tcBorders>
              <w:top w:val="single" w:sz="4"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 xml:space="preserve">Inmovilizado </w:t>
            </w:r>
            <w:r>
              <w:rPr>
                <w:rFonts w:ascii="Arial Narrow" w:hAnsi="Arial Narrow" w:cs="Arial"/>
                <w:sz w:val="18"/>
                <w:szCs w:val="18"/>
                <w:lang w:val="es-ES" w:eastAsia="es-ES"/>
              </w:rPr>
              <w:t>M</w:t>
            </w:r>
            <w:r w:rsidRPr="00393628">
              <w:rPr>
                <w:rFonts w:ascii="Arial Narrow" w:hAnsi="Arial Narrow" w:cs="Arial"/>
                <w:sz w:val="18"/>
                <w:szCs w:val="18"/>
                <w:lang w:val="es-ES" w:eastAsia="es-ES"/>
              </w:rPr>
              <w:t>aterial</w:t>
            </w:r>
          </w:p>
        </w:tc>
        <w:tc>
          <w:tcPr>
            <w:tcW w:w="3364" w:type="dxa"/>
            <w:tcBorders>
              <w:top w:val="single" w:sz="4"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Corredor Navarro TAV en Construcción</w:t>
            </w:r>
          </w:p>
        </w:tc>
        <w:tc>
          <w:tcPr>
            <w:tcW w:w="1127" w:type="dxa"/>
            <w:tcBorders>
              <w:top w:val="single" w:sz="4" w:space="0" w:color="auto"/>
              <w:bottom w:val="single" w:sz="2" w:space="0" w:color="auto"/>
            </w:tcBorders>
            <w:vAlign w:val="center"/>
          </w:tcPr>
          <w:p w:rsidR="00971841" w:rsidRPr="00393628" w:rsidRDefault="00971841"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52.941</w:t>
            </w:r>
          </w:p>
        </w:tc>
        <w:tc>
          <w:tcPr>
            <w:tcW w:w="1127" w:type="dxa"/>
            <w:tcBorders>
              <w:top w:val="single" w:sz="4" w:space="0" w:color="auto"/>
              <w:bottom w:val="single" w:sz="2" w:space="0" w:color="auto"/>
            </w:tcBorders>
            <w:noWrap/>
            <w:vAlign w:val="center"/>
          </w:tcPr>
          <w:p w:rsidR="00971841" w:rsidRPr="00393628" w:rsidRDefault="001D2BCA"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202" w:type="dxa"/>
            <w:tcBorders>
              <w:top w:val="single" w:sz="4" w:space="0" w:color="auto"/>
              <w:bottom w:val="single" w:sz="2" w:space="0" w:color="auto"/>
            </w:tcBorders>
            <w:noWrap/>
            <w:vAlign w:val="center"/>
          </w:tcPr>
          <w:p w:rsidR="00971841" w:rsidRPr="00393628" w:rsidRDefault="001D2BCA"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r>
      <w:tr w:rsidR="00971841" w:rsidTr="00A95DE6">
        <w:trPr>
          <w:trHeight w:val="284"/>
          <w:jc w:val="center"/>
        </w:trPr>
        <w:tc>
          <w:tcPr>
            <w:tcW w:w="2153"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 xml:space="preserve">Inmovilizado </w:t>
            </w:r>
            <w:r>
              <w:rPr>
                <w:rFonts w:ascii="Arial Narrow" w:hAnsi="Arial Narrow" w:cs="Arial"/>
                <w:sz w:val="18"/>
                <w:szCs w:val="18"/>
                <w:lang w:val="es-ES" w:eastAsia="es-ES"/>
              </w:rPr>
              <w:t>F</w:t>
            </w:r>
            <w:r w:rsidRPr="00393628">
              <w:rPr>
                <w:rFonts w:ascii="Arial Narrow" w:hAnsi="Arial Narrow" w:cs="Arial"/>
                <w:sz w:val="18"/>
                <w:szCs w:val="18"/>
                <w:lang w:val="es-ES" w:eastAsia="es-ES"/>
              </w:rPr>
              <w:t>inanciero</w:t>
            </w:r>
          </w:p>
        </w:tc>
        <w:tc>
          <w:tcPr>
            <w:tcW w:w="3364"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Otros créditos a largo plazo. Deudor ADIF/TAV</w:t>
            </w:r>
          </w:p>
        </w:tc>
        <w:tc>
          <w:tcPr>
            <w:tcW w:w="1127" w:type="dxa"/>
            <w:tcBorders>
              <w:top w:val="single" w:sz="2" w:space="0" w:color="auto"/>
              <w:bottom w:val="single" w:sz="2" w:space="0" w:color="auto"/>
            </w:tcBorders>
            <w:vAlign w:val="center"/>
          </w:tcPr>
          <w:p w:rsidR="00971841" w:rsidRPr="00393628" w:rsidRDefault="00971841"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127"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20.07</w:t>
            </w:r>
            <w:r>
              <w:rPr>
                <w:rFonts w:ascii="Arial Narrow" w:hAnsi="Arial Narrow" w:cs="Arial"/>
                <w:sz w:val="18"/>
                <w:szCs w:val="18"/>
                <w:lang w:val="es-ES" w:eastAsia="es-ES"/>
              </w:rPr>
              <w:t>9</w:t>
            </w:r>
          </w:p>
        </w:tc>
        <w:tc>
          <w:tcPr>
            <w:tcW w:w="1202"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9.583</w:t>
            </w:r>
          </w:p>
        </w:tc>
      </w:tr>
      <w:tr w:rsidR="00971841" w:rsidTr="00A95DE6">
        <w:trPr>
          <w:trHeight w:val="284"/>
          <w:jc w:val="center"/>
        </w:trPr>
        <w:tc>
          <w:tcPr>
            <w:tcW w:w="2153"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 xml:space="preserve">Inmovilizado </w:t>
            </w:r>
            <w:r>
              <w:rPr>
                <w:rFonts w:ascii="Arial Narrow" w:hAnsi="Arial Narrow" w:cs="Arial"/>
                <w:sz w:val="18"/>
                <w:szCs w:val="18"/>
                <w:lang w:val="es-ES" w:eastAsia="es-ES"/>
              </w:rPr>
              <w:t>F</w:t>
            </w:r>
            <w:r w:rsidRPr="00393628">
              <w:rPr>
                <w:rFonts w:ascii="Arial Narrow" w:hAnsi="Arial Narrow" w:cs="Arial"/>
                <w:sz w:val="18"/>
                <w:szCs w:val="18"/>
                <w:lang w:val="es-ES" w:eastAsia="es-ES"/>
              </w:rPr>
              <w:t>inanciero</w:t>
            </w:r>
          </w:p>
        </w:tc>
        <w:tc>
          <w:tcPr>
            <w:tcW w:w="3364"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Provisión gasto</w:t>
            </w:r>
            <w:r>
              <w:rPr>
                <w:rFonts w:ascii="Arial Narrow" w:hAnsi="Arial Narrow" w:cs="Arial"/>
                <w:sz w:val="18"/>
                <w:szCs w:val="18"/>
                <w:lang w:val="es-ES" w:eastAsia="es-ES"/>
              </w:rPr>
              <w:t>s</w:t>
            </w:r>
            <w:r w:rsidRPr="00393628">
              <w:rPr>
                <w:rFonts w:ascii="Arial Narrow" w:hAnsi="Arial Narrow" w:cs="Arial"/>
                <w:sz w:val="18"/>
                <w:szCs w:val="18"/>
                <w:lang w:val="es-ES" w:eastAsia="es-ES"/>
              </w:rPr>
              <w:t xml:space="preserve"> no conformado</w:t>
            </w:r>
            <w:r>
              <w:rPr>
                <w:rFonts w:ascii="Arial Narrow" w:hAnsi="Arial Narrow" w:cs="Arial"/>
                <w:sz w:val="18"/>
                <w:szCs w:val="18"/>
                <w:lang w:val="es-ES" w:eastAsia="es-ES"/>
              </w:rPr>
              <w:t>s por</w:t>
            </w:r>
            <w:r w:rsidRPr="00393628">
              <w:rPr>
                <w:rFonts w:ascii="Arial Narrow" w:hAnsi="Arial Narrow" w:cs="Arial"/>
                <w:sz w:val="18"/>
                <w:szCs w:val="18"/>
                <w:lang w:val="es-ES" w:eastAsia="es-ES"/>
              </w:rPr>
              <w:t xml:space="preserve"> ADIF/TAV</w:t>
            </w:r>
          </w:p>
        </w:tc>
        <w:tc>
          <w:tcPr>
            <w:tcW w:w="1127" w:type="dxa"/>
            <w:tcBorders>
              <w:top w:val="single" w:sz="2" w:space="0" w:color="auto"/>
              <w:bottom w:val="single" w:sz="2" w:space="0" w:color="auto"/>
            </w:tcBorders>
            <w:vAlign w:val="center"/>
          </w:tcPr>
          <w:p w:rsidR="00971841" w:rsidRPr="00393628" w:rsidRDefault="00971841"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127"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-858</w:t>
            </w:r>
          </w:p>
        </w:tc>
        <w:tc>
          <w:tcPr>
            <w:tcW w:w="1202"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-956</w:t>
            </w:r>
          </w:p>
        </w:tc>
      </w:tr>
      <w:tr w:rsidR="00971841" w:rsidTr="00A95DE6">
        <w:trPr>
          <w:trHeight w:val="284"/>
          <w:jc w:val="center"/>
        </w:trPr>
        <w:tc>
          <w:tcPr>
            <w:tcW w:w="2153"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 xml:space="preserve">Deudores </w:t>
            </w:r>
            <w:r>
              <w:rPr>
                <w:rFonts w:ascii="Arial Narrow" w:hAnsi="Arial Narrow" w:cs="Arial"/>
                <w:sz w:val="18"/>
                <w:szCs w:val="18"/>
                <w:lang w:val="es-ES" w:eastAsia="es-ES"/>
              </w:rPr>
              <w:t>No</w:t>
            </w:r>
            <w:r w:rsidRPr="00393628">
              <w:rPr>
                <w:rFonts w:ascii="Arial Narrow" w:hAnsi="Arial Narrow" w:cs="Arial"/>
                <w:sz w:val="18"/>
                <w:szCs w:val="18"/>
                <w:lang w:val="es-ES" w:eastAsia="es-ES"/>
              </w:rPr>
              <w:t xml:space="preserve"> </w:t>
            </w:r>
            <w:r>
              <w:rPr>
                <w:rFonts w:ascii="Arial Narrow" w:hAnsi="Arial Narrow" w:cs="Arial"/>
                <w:sz w:val="18"/>
                <w:szCs w:val="18"/>
                <w:lang w:val="es-ES" w:eastAsia="es-ES"/>
              </w:rPr>
              <w:t>P</w:t>
            </w:r>
            <w:r w:rsidRPr="00393628">
              <w:rPr>
                <w:rFonts w:ascii="Arial Narrow" w:hAnsi="Arial Narrow" w:cs="Arial"/>
                <w:sz w:val="18"/>
                <w:szCs w:val="18"/>
                <w:lang w:val="es-ES" w:eastAsia="es-ES"/>
              </w:rPr>
              <w:t>resupuestarios</w:t>
            </w:r>
          </w:p>
        </w:tc>
        <w:tc>
          <w:tcPr>
            <w:tcW w:w="3364" w:type="dxa"/>
            <w:tcBorders>
              <w:top w:val="single" w:sz="2" w:space="0" w:color="auto"/>
              <w:bottom w:val="single" w:sz="2" w:space="0" w:color="auto"/>
            </w:tcBorders>
            <w:noWrap/>
            <w:vAlign w:val="center"/>
            <w:hideMark/>
          </w:tcPr>
          <w:p w:rsidR="00971841" w:rsidRPr="00393628" w:rsidRDefault="00971841" w:rsidP="00C03251">
            <w:pPr>
              <w:spacing w:after="0"/>
              <w:ind w:firstLine="0"/>
              <w:jc w:val="left"/>
              <w:rPr>
                <w:rFonts w:ascii="Arial Narrow" w:hAnsi="Arial Narrow" w:cs="Arial"/>
                <w:sz w:val="18"/>
                <w:szCs w:val="18"/>
                <w:lang w:val="es-ES" w:eastAsia="es-ES"/>
              </w:rPr>
            </w:pPr>
            <w:r w:rsidRPr="00393628">
              <w:rPr>
                <w:rFonts w:ascii="Arial Narrow" w:hAnsi="Arial Narrow" w:cs="Arial"/>
                <w:sz w:val="18"/>
                <w:szCs w:val="18"/>
                <w:lang w:val="es-ES" w:eastAsia="es-ES"/>
              </w:rPr>
              <w:t>Otros créditos a corto plazo</w:t>
            </w:r>
            <w:r>
              <w:rPr>
                <w:rFonts w:ascii="Arial Narrow" w:hAnsi="Arial Narrow" w:cs="Arial"/>
                <w:sz w:val="18"/>
                <w:szCs w:val="18"/>
                <w:lang w:val="es-ES" w:eastAsia="es-ES"/>
              </w:rPr>
              <w:t>. Deudor</w:t>
            </w:r>
            <w:r w:rsidRPr="00393628">
              <w:rPr>
                <w:rFonts w:ascii="Arial Narrow" w:hAnsi="Arial Narrow" w:cs="Arial"/>
                <w:sz w:val="18"/>
                <w:szCs w:val="18"/>
                <w:lang w:val="es-ES" w:eastAsia="es-ES"/>
              </w:rPr>
              <w:t xml:space="preserve"> ADIF/TAV </w:t>
            </w:r>
          </w:p>
        </w:tc>
        <w:tc>
          <w:tcPr>
            <w:tcW w:w="1127" w:type="dxa"/>
            <w:tcBorders>
              <w:top w:val="single" w:sz="2" w:space="0" w:color="auto"/>
              <w:bottom w:val="single" w:sz="2" w:space="0" w:color="auto"/>
            </w:tcBorders>
            <w:vAlign w:val="center"/>
          </w:tcPr>
          <w:p w:rsidR="00971841" w:rsidRPr="00393628" w:rsidRDefault="00971841"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127"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16.78</w:t>
            </w:r>
            <w:r>
              <w:rPr>
                <w:rFonts w:ascii="Arial Narrow" w:hAnsi="Arial Narrow" w:cs="Arial"/>
                <w:sz w:val="18"/>
                <w:szCs w:val="18"/>
                <w:lang w:val="es-ES" w:eastAsia="es-ES"/>
              </w:rPr>
              <w:t>7</w:t>
            </w:r>
          </w:p>
        </w:tc>
        <w:tc>
          <w:tcPr>
            <w:tcW w:w="1202" w:type="dxa"/>
            <w:tcBorders>
              <w:top w:val="single" w:sz="2" w:space="0" w:color="auto"/>
              <w:bottom w:val="single" w:sz="2" w:space="0" w:color="auto"/>
            </w:tcBorders>
            <w:noWrap/>
            <w:vAlign w:val="center"/>
            <w:hideMark/>
          </w:tcPr>
          <w:p w:rsidR="00971841" w:rsidRPr="00393628" w:rsidRDefault="00971841" w:rsidP="00C03251">
            <w:pPr>
              <w:spacing w:after="0"/>
              <w:ind w:firstLine="0"/>
              <w:jc w:val="right"/>
              <w:rPr>
                <w:rFonts w:ascii="Arial Narrow" w:hAnsi="Arial Narrow" w:cs="Arial"/>
                <w:sz w:val="18"/>
                <w:szCs w:val="18"/>
                <w:lang w:val="es-ES" w:eastAsia="es-ES"/>
              </w:rPr>
            </w:pPr>
            <w:r w:rsidRPr="00393628">
              <w:rPr>
                <w:rFonts w:ascii="Arial Narrow" w:hAnsi="Arial Narrow" w:cs="Arial"/>
                <w:sz w:val="18"/>
                <w:szCs w:val="18"/>
                <w:lang w:val="es-ES" w:eastAsia="es-ES"/>
              </w:rPr>
              <w:t>5.859</w:t>
            </w:r>
          </w:p>
        </w:tc>
      </w:tr>
      <w:tr w:rsidR="00021E3B" w:rsidTr="00A95DE6">
        <w:trPr>
          <w:trHeight w:val="284"/>
          <w:jc w:val="center"/>
        </w:trPr>
        <w:tc>
          <w:tcPr>
            <w:tcW w:w="2153" w:type="dxa"/>
            <w:tcBorders>
              <w:top w:val="single" w:sz="2" w:space="0" w:color="auto"/>
              <w:bottom w:val="single" w:sz="4" w:space="0" w:color="auto"/>
            </w:tcBorders>
            <w:noWrap/>
            <w:vAlign w:val="center"/>
          </w:tcPr>
          <w:p w:rsidR="00021E3B" w:rsidRPr="00393628" w:rsidRDefault="00021E3B" w:rsidP="00021E3B">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Deudores Presupuestarios</w:t>
            </w:r>
          </w:p>
        </w:tc>
        <w:tc>
          <w:tcPr>
            <w:tcW w:w="3364" w:type="dxa"/>
            <w:tcBorders>
              <w:top w:val="single" w:sz="2" w:space="0" w:color="auto"/>
              <w:bottom w:val="single" w:sz="4" w:space="0" w:color="auto"/>
            </w:tcBorders>
            <w:noWrap/>
            <w:vAlign w:val="center"/>
          </w:tcPr>
          <w:p w:rsidR="00021E3B" w:rsidRPr="00393628" w:rsidRDefault="00021E3B" w:rsidP="00236415">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Deudores pptarios en dependencias </w:t>
            </w:r>
            <w:r w:rsidR="00236415" w:rsidRPr="00393628">
              <w:rPr>
                <w:rFonts w:ascii="Arial Narrow" w:hAnsi="Arial Narrow" w:cs="Arial"/>
                <w:sz w:val="18"/>
                <w:szCs w:val="18"/>
                <w:lang w:val="es-ES" w:eastAsia="es-ES"/>
              </w:rPr>
              <w:t xml:space="preserve">ADIF/TAV </w:t>
            </w:r>
          </w:p>
        </w:tc>
        <w:tc>
          <w:tcPr>
            <w:tcW w:w="1127" w:type="dxa"/>
            <w:tcBorders>
              <w:top w:val="single" w:sz="2" w:space="0" w:color="auto"/>
              <w:bottom w:val="single" w:sz="4" w:space="0" w:color="auto"/>
            </w:tcBorders>
            <w:vAlign w:val="center"/>
          </w:tcPr>
          <w:p w:rsidR="00021E3B" w:rsidRDefault="001D2BCA"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127" w:type="dxa"/>
            <w:tcBorders>
              <w:top w:val="single" w:sz="2" w:space="0" w:color="auto"/>
              <w:bottom w:val="single" w:sz="4" w:space="0" w:color="auto"/>
            </w:tcBorders>
            <w:noWrap/>
            <w:vAlign w:val="center"/>
          </w:tcPr>
          <w:p w:rsidR="00021E3B" w:rsidRPr="00393628" w:rsidRDefault="001D2BCA"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w:t>
            </w:r>
          </w:p>
        </w:tc>
        <w:tc>
          <w:tcPr>
            <w:tcW w:w="1202" w:type="dxa"/>
            <w:tcBorders>
              <w:top w:val="single" w:sz="2" w:space="0" w:color="auto"/>
              <w:bottom w:val="single" w:sz="4" w:space="0" w:color="auto"/>
            </w:tcBorders>
            <w:noWrap/>
            <w:vAlign w:val="center"/>
          </w:tcPr>
          <w:p w:rsidR="00021E3B" w:rsidRPr="00393628" w:rsidRDefault="00021E3B" w:rsidP="00C0325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30.000</w:t>
            </w:r>
          </w:p>
        </w:tc>
      </w:tr>
    </w:tbl>
    <w:p w:rsidR="00971841" w:rsidRPr="00A0407B" w:rsidRDefault="00971841" w:rsidP="00A95DE6">
      <w:pPr>
        <w:pStyle w:val="texto"/>
        <w:tabs>
          <w:tab w:val="clear" w:pos="2835"/>
          <w:tab w:val="clear" w:pos="3969"/>
          <w:tab w:val="clear" w:pos="5103"/>
          <w:tab w:val="clear" w:pos="6237"/>
          <w:tab w:val="clear" w:pos="7371"/>
        </w:tabs>
        <w:spacing w:before="240"/>
        <w:rPr>
          <w:szCs w:val="26"/>
        </w:rPr>
      </w:pPr>
      <w:r w:rsidRPr="00A0407B">
        <w:rPr>
          <w:szCs w:val="26"/>
        </w:rPr>
        <w:t>Se han revisado los movimientos y saldos de las cuentas anteriores concl</w:t>
      </w:r>
      <w:r w:rsidRPr="00A0407B">
        <w:rPr>
          <w:szCs w:val="26"/>
        </w:rPr>
        <w:t>u</w:t>
      </w:r>
      <w:r w:rsidRPr="00A0407B">
        <w:rPr>
          <w:szCs w:val="26"/>
        </w:rPr>
        <w:t>yendo que los mismos son razonables.</w:t>
      </w:r>
    </w:p>
    <w:p w:rsidR="002734C6" w:rsidRDefault="005A7191" w:rsidP="0029193E">
      <w:pPr>
        <w:pStyle w:val="texto"/>
        <w:tabs>
          <w:tab w:val="clear" w:pos="2835"/>
          <w:tab w:val="clear" w:pos="3969"/>
          <w:tab w:val="clear" w:pos="5103"/>
          <w:tab w:val="clear" w:pos="6237"/>
          <w:tab w:val="clear" w:pos="7371"/>
        </w:tabs>
        <w:spacing w:after="120"/>
        <w:rPr>
          <w:szCs w:val="26"/>
        </w:rPr>
      </w:pPr>
      <w:r w:rsidRPr="00A0407B">
        <w:rPr>
          <w:szCs w:val="26"/>
        </w:rPr>
        <w:t>Por último señalamos que a efectos de la normativa de estabilidad pres</w:t>
      </w:r>
      <w:r w:rsidRPr="00A0407B">
        <w:rPr>
          <w:szCs w:val="26"/>
        </w:rPr>
        <w:t>u</w:t>
      </w:r>
      <w:r w:rsidRPr="00A0407B">
        <w:rPr>
          <w:szCs w:val="26"/>
        </w:rPr>
        <w:t>puestaria, en el cálculo de las necesidades de financiación del Gobierno de N</w:t>
      </w:r>
      <w:r w:rsidRPr="00A0407B">
        <w:rPr>
          <w:szCs w:val="26"/>
        </w:rPr>
        <w:t>a</w:t>
      </w:r>
      <w:r w:rsidRPr="00A0407B">
        <w:rPr>
          <w:szCs w:val="26"/>
        </w:rPr>
        <w:lastRenderedPageBreak/>
        <w:t>varra para 2015, se introduce un ajuste negativo –más necesidad</w:t>
      </w:r>
      <w:r w:rsidR="00A175DA" w:rsidRPr="00A0407B">
        <w:rPr>
          <w:szCs w:val="26"/>
        </w:rPr>
        <w:t xml:space="preserve"> de financi</w:t>
      </w:r>
      <w:r w:rsidR="00A175DA" w:rsidRPr="00A0407B">
        <w:rPr>
          <w:szCs w:val="26"/>
        </w:rPr>
        <w:t>a</w:t>
      </w:r>
      <w:r w:rsidR="00A175DA" w:rsidRPr="00A0407B">
        <w:rPr>
          <w:szCs w:val="26"/>
        </w:rPr>
        <w:t>ción</w:t>
      </w:r>
      <w:r w:rsidR="0027487F" w:rsidRPr="00A0407B">
        <w:rPr>
          <w:szCs w:val="26"/>
        </w:rPr>
        <w:t>–</w:t>
      </w:r>
      <w:r w:rsidR="00A175DA" w:rsidRPr="00A0407B">
        <w:rPr>
          <w:szCs w:val="26"/>
        </w:rPr>
        <w:t xml:space="preserve"> derivado de las operaciones del TAV. Así, se plantea el siguiente ajuste</w:t>
      </w:r>
      <w:r w:rsidR="0029193E">
        <w:rPr>
          <w:szCs w:val="26"/>
        </w:rPr>
        <w:t>:</w:t>
      </w:r>
      <w:r w:rsidR="00A175DA" w:rsidRPr="00A0407B">
        <w:rPr>
          <w:szCs w:val="26"/>
        </w:rPr>
        <w:t xml:space="preserve"> </w:t>
      </w:r>
    </w:p>
    <w:p w:rsidR="0029193E" w:rsidRPr="002B4431" w:rsidRDefault="0029193E" w:rsidP="0029193E">
      <w:pPr>
        <w:pStyle w:val="texto"/>
        <w:tabs>
          <w:tab w:val="clear" w:pos="2835"/>
          <w:tab w:val="clear" w:pos="3969"/>
          <w:tab w:val="clear" w:pos="5103"/>
          <w:tab w:val="clear" w:pos="6237"/>
          <w:tab w:val="clear" w:pos="7371"/>
          <w:tab w:val="num" w:pos="300"/>
        </w:tabs>
        <w:spacing w:after="40"/>
        <w:jc w:val="right"/>
        <w:rPr>
          <w:rFonts w:ascii="Arial Narrow" w:hAnsi="Arial Narrow"/>
          <w:sz w:val="18"/>
          <w:szCs w:val="18"/>
        </w:rPr>
      </w:pPr>
      <w:r w:rsidRPr="002B4431">
        <w:rPr>
          <w:rFonts w:ascii="Arial Narrow" w:hAnsi="Arial Narrow"/>
          <w:sz w:val="18"/>
          <w:szCs w:val="18"/>
        </w:rPr>
        <w:t>(</w:t>
      </w:r>
      <w:r w:rsidR="00CA3482" w:rsidRPr="002B4431">
        <w:rPr>
          <w:rFonts w:ascii="Arial Narrow" w:hAnsi="Arial Narrow"/>
          <w:sz w:val="18"/>
          <w:szCs w:val="18"/>
        </w:rPr>
        <w:t>Miles</w:t>
      </w:r>
      <w:r w:rsidRPr="002B4431">
        <w:rPr>
          <w:rFonts w:ascii="Arial Narrow" w:hAnsi="Arial Narrow"/>
          <w:sz w:val="18"/>
          <w:szCs w:val="18"/>
        </w:rPr>
        <w:t xml:space="preserve"> de euros)</w:t>
      </w:r>
    </w:p>
    <w:tbl>
      <w:tblPr>
        <w:tblW w:w="8702" w:type="dxa"/>
        <w:jc w:val="center"/>
        <w:tblCellMar>
          <w:left w:w="70" w:type="dxa"/>
          <w:right w:w="70" w:type="dxa"/>
        </w:tblCellMar>
        <w:tblLook w:val="04A0" w:firstRow="1" w:lastRow="0" w:firstColumn="1" w:lastColumn="0" w:noHBand="0" w:noVBand="1"/>
      </w:tblPr>
      <w:tblGrid>
        <w:gridCol w:w="6850"/>
        <w:gridCol w:w="1852"/>
      </w:tblGrid>
      <w:tr w:rsidR="00A175DA" w:rsidRPr="00393628" w:rsidTr="0029193E">
        <w:trPr>
          <w:trHeight w:val="284"/>
          <w:jc w:val="center"/>
        </w:trPr>
        <w:tc>
          <w:tcPr>
            <w:tcW w:w="6850" w:type="dxa"/>
            <w:tcBorders>
              <w:top w:val="single" w:sz="4" w:space="0" w:color="auto"/>
              <w:bottom w:val="single" w:sz="4" w:space="0" w:color="auto"/>
            </w:tcBorders>
            <w:shd w:val="clear" w:color="auto" w:fill="A8CBEE" w:themeFill="accent2" w:themeFillTint="66"/>
            <w:vAlign w:val="center"/>
            <w:hideMark/>
          </w:tcPr>
          <w:p w:rsidR="00A175DA" w:rsidRPr="00393628" w:rsidRDefault="00727B16" w:rsidP="00727B16">
            <w:pPr>
              <w:pStyle w:val="cuadroCabe"/>
              <w:jc w:val="left"/>
              <w:rPr>
                <w:rFonts w:cs="Arial"/>
              </w:rPr>
            </w:pPr>
            <w:r>
              <w:rPr>
                <w:rFonts w:cs="Arial"/>
              </w:rPr>
              <w:t>Ajuste Contabilidad Nacional</w:t>
            </w:r>
          </w:p>
        </w:tc>
        <w:tc>
          <w:tcPr>
            <w:tcW w:w="1852" w:type="dxa"/>
            <w:tcBorders>
              <w:top w:val="single" w:sz="4" w:space="0" w:color="auto"/>
              <w:bottom w:val="single" w:sz="4" w:space="0" w:color="auto"/>
            </w:tcBorders>
            <w:shd w:val="clear" w:color="auto" w:fill="A8CBEE" w:themeFill="accent2" w:themeFillTint="66"/>
            <w:vAlign w:val="center"/>
            <w:hideMark/>
          </w:tcPr>
          <w:p w:rsidR="00A175DA" w:rsidRPr="00393628" w:rsidRDefault="00A175DA" w:rsidP="0027487F">
            <w:pPr>
              <w:pStyle w:val="cuadroCabe"/>
              <w:jc w:val="right"/>
              <w:rPr>
                <w:rFonts w:cs="Arial"/>
              </w:rPr>
            </w:pPr>
            <w:r>
              <w:rPr>
                <w:rFonts w:cs="Arial"/>
              </w:rPr>
              <w:t>Importe</w:t>
            </w:r>
          </w:p>
        </w:tc>
      </w:tr>
      <w:tr w:rsidR="00A175DA" w:rsidRPr="0027487F" w:rsidTr="0029193E">
        <w:trPr>
          <w:trHeight w:val="284"/>
          <w:jc w:val="center"/>
        </w:trPr>
        <w:tc>
          <w:tcPr>
            <w:tcW w:w="6850" w:type="dxa"/>
            <w:tcBorders>
              <w:top w:val="single" w:sz="4" w:space="0" w:color="auto"/>
              <w:bottom w:val="single" w:sz="4" w:space="0" w:color="auto"/>
            </w:tcBorders>
            <w:noWrap/>
            <w:vAlign w:val="center"/>
          </w:tcPr>
          <w:p w:rsidR="00A175DA" w:rsidRPr="0027487F" w:rsidRDefault="00A175DA" w:rsidP="00A175DA">
            <w:pPr>
              <w:spacing w:after="0"/>
              <w:ind w:firstLine="0"/>
              <w:jc w:val="left"/>
              <w:rPr>
                <w:rFonts w:ascii="Arial Narrow" w:hAnsi="Arial Narrow" w:cs="Arial"/>
                <w:lang w:val="es-ES" w:eastAsia="es-ES"/>
              </w:rPr>
            </w:pPr>
            <w:r w:rsidRPr="0027487F">
              <w:rPr>
                <w:rFonts w:ascii="Arial Narrow" w:hAnsi="Arial Narrow" w:cs="Arial"/>
                <w:lang w:val="es-ES" w:eastAsia="es-ES"/>
              </w:rPr>
              <w:t>Inversión en el TAV ejecutada por el Gobierno de Navarra en 2015</w:t>
            </w:r>
          </w:p>
        </w:tc>
        <w:tc>
          <w:tcPr>
            <w:tcW w:w="1852" w:type="dxa"/>
            <w:tcBorders>
              <w:top w:val="single" w:sz="4" w:space="0" w:color="auto"/>
              <w:bottom w:val="single" w:sz="4" w:space="0" w:color="auto"/>
            </w:tcBorders>
            <w:noWrap/>
            <w:vAlign w:val="center"/>
          </w:tcPr>
          <w:p w:rsidR="00A175DA" w:rsidRPr="0027487F" w:rsidRDefault="00A175DA" w:rsidP="0027487F">
            <w:pPr>
              <w:spacing w:after="0"/>
              <w:ind w:firstLine="0"/>
              <w:jc w:val="right"/>
              <w:rPr>
                <w:rFonts w:ascii="Arial Narrow" w:hAnsi="Arial Narrow" w:cs="Arial"/>
                <w:lang w:val="es-ES" w:eastAsia="es-ES"/>
              </w:rPr>
            </w:pPr>
            <w:r w:rsidRPr="0027487F">
              <w:rPr>
                <w:rFonts w:ascii="Arial Narrow" w:hAnsi="Arial Narrow" w:cs="Arial"/>
                <w:lang w:val="es-ES" w:eastAsia="es-ES"/>
              </w:rPr>
              <w:t>8.627</w:t>
            </w:r>
          </w:p>
        </w:tc>
      </w:tr>
      <w:tr w:rsidR="00A175DA" w:rsidRPr="0027487F" w:rsidTr="0029193E">
        <w:trPr>
          <w:trHeight w:val="284"/>
          <w:jc w:val="center"/>
        </w:trPr>
        <w:tc>
          <w:tcPr>
            <w:tcW w:w="6850" w:type="dxa"/>
            <w:tcBorders>
              <w:top w:val="single" w:sz="4" w:space="0" w:color="auto"/>
              <w:bottom w:val="single" w:sz="4" w:space="0" w:color="auto"/>
            </w:tcBorders>
            <w:noWrap/>
            <w:vAlign w:val="center"/>
          </w:tcPr>
          <w:p w:rsidR="00A175DA" w:rsidRPr="0027487F" w:rsidRDefault="00A175DA" w:rsidP="00A175DA">
            <w:pPr>
              <w:spacing w:after="0"/>
              <w:ind w:firstLine="0"/>
              <w:jc w:val="left"/>
              <w:rPr>
                <w:rFonts w:ascii="Arial Narrow" w:hAnsi="Arial Narrow" w:cs="Arial"/>
                <w:lang w:val="es-ES" w:eastAsia="es-ES"/>
              </w:rPr>
            </w:pPr>
            <w:r w:rsidRPr="0027487F">
              <w:rPr>
                <w:rFonts w:ascii="Arial Narrow" w:hAnsi="Arial Narrow" w:cs="Arial"/>
                <w:lang w:val="es-ES" w:eastAsia="es-ES"/>
              </w:rPr>
              <w:t>Reintegro ADIF por obras realizadas</w:t>
            </w:r>
          </w:p>
        </w:tc>
        <w:tc>
          <w:tcPr>
            <w:tcW w:w="1852" w:type="dxa"/>
            <w:tcBorders>
              <w:top w:val="single" w:sz="4" w:space="0" w:color="auto"/>
              <w:bottom w:val="single" w:sz="4" w:space="0" w:color="auto"/>
            </w:tcBorders>
            <w:noWrap/>
            <w:vAlign w:val="center"/>
          </w:tcPr>
          <w:p w:rsidR="00A175DA" w:rsidRPr="0027487F" w:rsidRDefault="00A175DA" w:rsidP="0027487F">
            <w:pPr>
              <w:spacing w:after="0"/>
              <w:ind w:firstLine="0"/>
              <w:jc w:val="right"/>
              <w:rPr>
                <w:rFonts w:ascii="Arial Narrow" w:hAnsi="Arial Narrow" w:cs="Arial"/>
                <w:lang w:val="es-ES" w:eastAsia="es-ES"/>
              </w:rPr>
            </w:pPr>
            <w:r w:rsidRPr="0027487F">
              <w:rPr>
                <w:rFonts w:ascii="Arial Narrow" w:hAnsi="Arial Narrow" w:cs="Arial"/>
                <w:lang w:val="es-ES" w:eastAsia="es-ES"/>
              </w:rPr>
              <w:t>(30.000)</w:t>
            </w:r>
          </w:p>
        </w:tc>
      </w:tr>
      <w:tr w:rsidR="00A175DA" w:rsidRPr="00393628" w:rsidTr="0029193E">
        <w:trPr>
          <w:trHeight w:val="284"/>
          <w:jc w:val="center"/>
        </w:trPr>
        <w:tc>
          <w:tcPr>
            <w:tcW w:w="6850" w:type="dxa"/>
            <w:tcBorders>
              <w:top w:val="single" w:sz="4" w:space="0" w:color="auto"/>
              <w:bottom w:val="single" w:sz="4" w:space="0" w:color="auto"/>
            </w:tcBorders>
            <w:shd w:val="clear" w:color="auto" w:fill="ACCBF9" w:themeFill="background2"/>
            <w:noWrap/>
            <w:vAlign w:val="center"/>
          </w:tcPr>
          <w:p w:rsidR="00A175DA" w:rsidRPr="00A175DA" w:rsidRDefault="00A175DA" w:rsidP="00A175DA">
            <w:pPr>
              <w:pStyle w:val="cuadroCabe"/>
              <w:jc w:val="left"/>
              <w:rPr>
                <w:rFonts w:cs="Arial"/>
              </w:rPr>
            </w:pPr>
            <w:r w:rsidRPr="00A175DA">
              <w:rPr>
                <w:rFonts w:cs="Arial"/>
              </w:rPr>
              <w:t>Ajuste Total</w:t>
            </w:r>
          </w:p>
        </w:tc>
        <w:tc>
          <w:tcPr>
            <w:tcW w:w="1852" w:type="dxa"/>
            <w:tcBorders>
              <w:top w:val="single" w:sz="4" w:space="0" w:color="auto"/>
              <w:bottom w:val="single" w:sz="4" w:space="0" w:color="auto"/>
            </w:tcBorders>
            <w:shd w:val="clear" w:color="auto" w:fill="ACCBF9" w:themeFill="background2"/>
            <w:noWrap/>
            <w:vAlign w:val="center"/>
          </w:tcPr>
          <w:p w:rsidR="00A175DA" w:rsidRPr="00A175DA" w:rsidRDefault="00A175DA" w:rsidP="0027487F">
            <w:pPr>
              <w:pStyle w:val="cuadroCabe"/>
              <w:jc w:val="right"/>
              <w:rPr>
                <w:rFonts w:cs="Arial"/>
              </w:rPr>
            </w:pPr>
            <w:r w:rsidRPr="00A175DA">
              <w:rPr>
                <w:rFonts w:cs="Arial"/>
              </w:rPr>
              <w:t>(21.373)</w:t>
            </w:r>
          </w:p>
        </w:tc>
      </w:tr>
    </w:tbl>
    <w:p w:rsidR="00CF4A2F" w:rsidRDefault="00CF4A2F" w:rsidP="0029193E">
      <w:pPr>
        <w:pStyle w:val="texto"/>
        <w:tabs>
          <w:tab w:val="clear" w:pos="2835"/>
          <w:tab w:val="clear" w:pos="3969"/>
          <w:tab w:val="clear" w:pos="5103"/>
          <w:tab w:val="clear" w:pos="6237"/>
          <w:tab w:val="clear" w:pos="7371"/>
        </w:tabs>
        <w:spacing w:after="0"/>
      </w:pPr>
    </w:p>
    <w:p w:rsidR="004F71AD" w:rsidRDefault="000F0638" w:rsidP="000F0638">
      <w:pPr>
        <w:pStyle w:val="atitulo2"/>
      </w:pPr>
      <w:bookmarkStart w:id="28" w:name="_Toc467480859"/>
      <w:r>
        <w:t>IV.5</w:t>
      </w:r>
      <w:r w:rsidR="00412C49">
        <w:t>.</w:t>
      </w:r>
      <w:r>
        <w:t xml:space="preserve"> </w:t>
      </w:r>
      <w:r w:rsidR="004F71AD">
        <w:t>Tercer Carril</w:t>
      </w:r>
      <w:bookmarkEnd w:id="28"/>
    </w:p>
    <w:p w:rsidR="004F71AD" w:rsidRPr="00A0407B" w:rsidRDefault="009F7283" w:rsidP="004F71AD">
      <w:pPr>
        <w:pStyle w:val="texto"/>
        <w:tabs>
          <w:tab w:val="clear" w:pos="2835"/>
          <w:tab w:val="clear" w:pos="3969"/>
          <w:tab w:val="clear" w:pos="5103"/>
          <w:tab w:val="clear" w:pos="6237"/>
          <w:tab w:val="clear" w:pos="7371"/>
        </w:tabs>
        <w:rPr>
          <w:szCs w:val="26"/>
        </w:rPr>
      </w:pPr>
      <w:r w:rsidRPr="00A0407B">
        <w:rPr>
          <w:szCs w:val="26"/>
        </w:rPr>
        <w:t xml:space="preserve">Instalar un tercer carril es la solución </w:t>
      </w:r>
      <w:r w:rsidR="00554573" w:rsidRPr="00A0407B">
        <w:rPr>
          <w:szCs w:val="26"/>
        </w:rPr>
        <w:t xml:space="preserve">técnica </w:t>
      </w:r>
      <w:r w:rsidRPr="00A0407B">
        <w:rPr>
          <w:szCs w:val="26"/>
        </w:rPr>
        <w:t>que permite que en una sola vía circulen trenes con dos anchos distintos. Es decir, en una misma plataforma el carril adicional habilita la circulación de material rodante de ancho internaci</w:t>
      </w:r>
      <w:r w:rsidRPr="00A0407B">
        <w:rPr>
          <w:szCs w:val="26"/>
        </w:rPr>
        <w:t>o</w:t>
      </w:r>
      <w:r w:rsidRPr="00A0407B">
        <w:rPr>
          <w:szCs w:val="26"/>
        </w:rPr>
        <w:t>nal (1.435 mm) y de ancho ibérico (1.668 mm).</w:t>
      </w:r>
    </w:p>
    <w:p w:rsidR="009F7283" w:rsidRPr="00A0407B" w:rsidRDefault="009F7283" w:rsidP="009F7283">
      <w:pPr>
        <w:pStyle w:val="texto"/>
        <w:tabs>
          <w:tab w:val="clear" w:pos="2835"/>
          <w:tab w:val="clear" w:pos="3969"/>
          <w:tab w:val="clear" w:pos="5103"/>
          <w:tab w:val="clear" w:pos="6237"/>
          <w:tab w:val="clear" w:pos="7371"/>
          <w:tab w:val="left" w:pos="480"/>
          <w:tab w:val="num" w:pos="4920"/>
        </w:tabs>
        <w:ind w:left="290" w:firstLine="0"/>
        <w:rPr>
          <w:szCs w:val="26"/>
        </w:rPr>
      </w:pPr>
      <w:r w:rsidRPr="00A0407B">
        <w:rPr>
          <w:szCs w:val="26"/>
        </w:rPr>
        <w:t>En la foto siguiente se muestra un ejemplo de una vía con tercer carril.</w:t>
      </w:r>
    </w:p>
    <w:p w:rsidR="004F71AD" w:rsidRDefault="004F71AD" w:rsidP="0029193E">
      <w:pPr>
        <w:pStyle w:val="atitulo3"/>
        <w:spacing w:after="0"/>
      </w:pPr>
      <w:r>
        <w:rPr>
          <w:noProof/>
          <w:color w:val="0000FF"/>
          <w:lang w:val="es-ES" w:eastAsia="es-ES"/>
        </w:rPr>
        <w:drawing>
          <wp:inline distT="0" distB="0" distL="0" distR="0" wp14:anchorId="4FE699F7" wp14:editId="5CAD720B">
            <wp:extent cx="5638800" cy="2381250"/>
            <wp:effectExtent l="0" t="0" r="0" b="0"/>
            <wp:docPr id="4" name="Imagen 4" descr="Archivo:SINAV.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SINAV.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381250"/>
                    </a:xfrm>
                    <a:prstGeom prst="rect">
                      <a:avLst/>
                    </a:prstGeom>
                    <a:noFill/>
                    <a:ln>
                      <a:noFill/>
                    </a:ln>
                  </pic:spPr>
                </pic:pic>
              </a:graphicData>
            </a:graphic>
          </wp:inline>
        </w:drawing>
      </w:r>
    </w:p>
    <w:p w:rsidR="004F71AD" w:rsidRDefault="004F71AD" w:rsidP="0029193E">
      <w:pPr>
        <w:pStyle w:val="texto"/>
        <w:tabs>
          <w:tab w:val="clear" w:pos="2835"/>
          <w:tab w:val="clear" w:pos="3969"/>
          <w:tab w:val="clear" w:pos="5103"/>
          <w:tab w:val="clear" w:pos="6237"/>
          <w:tab w:val="clear" w:pos="7371"/>
        </w:tabs>
        <w:spacing w:after="0"/>
        <w:ind w:firstLine="0"/>
        <w:rPr>
          <w:sz w:val="24"/>
        </w:rPr>
      </w:pPr>
    </w:p>
    <w:p w:rsidR="004F71AD" w:rsidRPr="00A0407B" w:rsidRDefault="002A0255" w:rsidP="004F71AD">
      <w:pPr>
        <w:pStyle w:val="texto"/>
        <w:tabs>
          <w:tab w:val="clear" w:pos="2835"/>
          <w:tab w:val="clear" w:pos="3969"/>
          <w:tab w:val="clear" w:pos="5103"/>
          <w:tab w:val="clear" w:pos="6237"/>
          <w:tab w:val="clear" w:pos="7371"/>
        </w:tabs>
        <w:rPr>
          <w:szCs w:val="26"/>
        </w:rPr>
      </w:pPr>
      <w:r w:rsidRPr="00A0407B">
        <w:rPr>
          <w:szCs w:val="26"/>
        </w:rPr>
        <w:t xml:space="preserve">La instalación de este tercer carril puede realizarse sobre una vía ya existente o sobre una nueva vía a construir. </w:t>
      </w:r>
    </w:p>
    <w:p w:rsidR="002A0255" w:rsidRPr="00A0407B" w:rsidRDefault="002A0255" w:rsidP="002A0255">
      <w:pPr>
        <w:pStyle w:val="texto"/>
        <w:tabs>
          <w:tab w:val="clear" w:pos="2835"/>
          <w:tab w:val="clear" w:pos="3969"/>
          <w:tab w:val="clear" w:pos="5103"/>
          <w:tab w:val="clear" w:pos="6237"/>
          <w:tab w:val="clear" w:pos="7371"/>
        </w:tabs>
        <w:rPr>
          <w:szCs w:val="26"/>
        </w:rPr>
      </w:pPr>
      <w:r w:rsidRPr="00A0407B">
        <w:rPr>
          <w:szCs w:val="26"/>
        </w:rPr>
        <w:t>En el supuesto de efectuarse sobre una vía ya existe</w:t>
      </w:r>
      <w:r w:rsidR="00554573" w:rsidRPr="00A0407B">
        <w:rPr>
          <w:szCs w:val="26"/>
        </w:rPr>
        <w:t>nte</w:t>
      </w:r>
      <w:r w:rsidRPr="00A0407B">
        <w:rPr>
          <w:szCs w:val="26"/>
        </w:rPr>
        <w:t>, tal instalación r</w:t>
      </w:r>
      <w:r w:rsidRPr="00A0407B">
        <w:rPr>
          <w:szCs w:val="26"/>
        </w:rPr>
        <w:t>e</w:t>
      </w:r>
      <w:r w:rsidRPr="00A0407B">
        <w:rPr>
          <w:szCs w:val="26"/>
        </w:rPr>
        <w:t xml:space="preserve">quiere la modernización de otros elementos </w:t>
      </w:r>
      <w:r w:rsidR="00A80FEC" w:rsidRPr="00A0407B">
        <w:rPr>
          <w:szCs w:val="26"/>
        </w:rPr>
        <w:t>directamente</w:t>
      </w:r>
      <w:r w:rsidRPr="00A0407B">
        <w:rPr>
          <w:szCs w:val="26"/>
        </w:rPr>
        <w:t xml:space="preserve"> implicados: la ada</w:t>
      </w:r>
      <w:r w:rsidRPr="00A0407B">
        <w:rPr>
          <w:szCs w:val="26"/>
        </w:rPr>
        <w:t>p</w:t>
      </w:r>
      <w:r w:rsidRPr="00A0407B">
        <w:rPr>
          <w:szCs w:val="26"/>
        </w:rPr>
        <w:t>tación de la infraes</w:t>
      </w:r>
      <w:r w:rsidR="000D4B4D" w:rsidRPr="00A0407B">
        <w:rPr>
          <w:szCs w:val="26"/>
        </w:rPr>
        <w:t>tructura</w:t>
      </w:r>
      <w:r w:rsidRPr="00A0407B">
        <w:rPr>
          <w:szCs w:val="26"/>
        </w:rPr>
        <w:t>, desvíos, circuitos de vía, sistemas de señalización, catenarias polivalentes, traviesas de tres carriles, más potencia de electrific</w:t>
      </w:r>
      <w:r w:rsidRPr="00A0407B">
        <w:rPr>
          <w:szCs w:val="26"/>
        </w:rPr>
        <w:t>a</w:t>
      </w:r>
      <w:r w:rsidRPr="00A0407B">
        <w:rPr>
          <w:szCs w:val="26"/>
        </w:rPr>
        <w:t>ción, una nueva generación de enclavamientos; además de un complejo esfue</w:t>
      </w:r>
      <w:r w:rsidRPr="00A0407B">
        <w:rPr>
          <w:szCs w:val="26"/>
        </w:rPr>
        <w:t>r</w:t>
      </w:r>
      <w:r w:rsidRPr="00A0407B">
        <w:rPr>
          <w:szCs w:val="26"/>
        </w:rPr>
        <w:t>zo técnico y de gestión para garantizar la operación comercial de las circul</w:t>
      </w:r>
      <w:r w:rsidRPr="00A0407B">
        <w:rPr>
          <w:szCs w:val="26"/>
        </w:rPr>
        <w:t>a</w:t>
      </w:r>
      <w:r w:rsidRPr="00A0407B">
        <w:rPr>
          <w:szCs w:val="26"/>
        </w:rPr>
        <w:t xml:space="preserve">ciones en las máximas condiciones de seguridad y eficiencia. </w:t>
      </w:r>
    </w:p>
    <w:p w:rsidR="00D05AA7" w:rsidRPr="009729B8" w:rsidRDefault="002A0255" w:rsidP="00D05AA7">
      <w:pPr>
        <w:pStyle w:val="texto"/>
        <w:tabs>
          <w:tab w:val="clear" w:pos="2835"/>
          <w:tab w:val="clear" w:pos="3969"/>
          <w:tab w:val="clear" w:pos="5103"/>
          <w:tab w:val="clear" w:pos="6237"/>
          <w:tab w:val="clear" w:pos="7371"/>
        </w:tabs>
        <w:rPr>
          <w:szCs w:val="26"/>
        </w:rPr>
      </w:pPr>
      <w:r w:rsidRPr="00A0407B">
        <w:rPr>
          <w:szCs w:val="26"/>
        </w:rPr>
        <w:t>En la construcción de las líneas de alta velocidad con ancho de vía intern</w:t>
      </w:r>
      <w:r w:rsidRPr="00A0407B">
        <w:rPr>
          <w:szCs w:val="26"/>
        </w:rPr>
        <w:t>a</w:t>
      </w:r>
      <w:r w:rsidRPr="00A0407B">
        <w:rPr>
          <w:szCs w:val="26"/>
        </w:rPr>
        <w:t>cional se ha contemplado</w:t>
      </w:r>
      <w:r w:rsidR="00554573" w:rsidRPr="00A0407B">
        <w:rPr>
          <w:szCs w:val="26"/>
        </w:rPr>
        <w:t xml:space="preserve"> el tercer carril</w:t>
      </w:r>
      <w:r w:rsidRPr="00A0407B">
        <w:rPr>
          <w:szCs w:val="26"/>
        </w:rPr>
        <w:t xml:space="preserve"> en algunos trazados con tráfico mixto: viajeros y mercancías, es decir, el paso de trenes mercan</w:t>
      </w:r>
      <w:r w:rsidR="00554573" w:rsidRPr="00A0407B">
        <w:rPr>
          <w:szCs w:val="26"/>
        </w:rPr>
        <w:t>c</w:t>
      </w:r>
      <w:r w:rsidR="00A80FEC" w:rsidRPr="00A0407B">
        <w:rPr>
          <w:szCs w:val="26"/>
        </w:rPr>
        <w:t>ías</w:t>
      </w:r>
      <w:r w:rsidRPr="00A0407B">
        <w:rPr>
          <w:szCs w:val="26"/>
        </w:rPr>
        <w:t xml:space="preserve"> por vías de ancho internacional. El tercer carril permite la explotación de las vías en los dos a</w:t>
      </w:r>
      <w:r w:rsidRPr="00A0407B">
        <w:rPr>
          <w:szCs w:val="26"/>
        </w:rPr>
        <w:t>n</w:t>
      </w:r>
      <w:r w:rsidRPr="00A0407B">
        <w:rPr>
          <w:szCs w:val="26"/>
        </w:rPr>
        <w:lastRenderedPageBreak/>
        <w:t xml:space="preserve">chos con altas prestaciones. El modelo de vía de tres carriles desarrollado por ADIF permite la circulación </w:t>
      </w:r>
      <w:r w:rsidRPr="009729B8">
        <w:rPr>
          <w:szCs w:val="26"/>
        </w:rPr>
        <w:t>de trenes de viajeros con grandes prestaciones, es decir, velocidades superiores a 200 km/h en ambos anchos</w:t>
      </w:r>
      <w:r w:rsidR="009030D3" w:rsidRPr="009729B8">
        <w:rPr>
          <w:szCs w:val="26"/>
        </w:rPr>
        <w:t>, aunque depende del trazado original de la vía</w:t>
      </w:r>
      <w:r w:rsidRPr="009729B8">
        <w:rPr>
          <w:szCs w:val="26"/>
        </w:rPr>
        <w:t>.</w:t>
      </w:r>
      <w:r w:rsidR="00D05AA7" w:rsidRPr="009729B8">
        <w:rPr>
          <w:szCs w:val="26"/>
        </w:rPr>
        <w:t xml:space="preserve"> </w:t>
      </w:r>
    </w:p>
    <w:p w:rsidR="002A0255" w:rsidRPr="00A0407B" w:rsidRDefault="00D05AA7" w:rsidP="00D05AA7">
      <w:pPr>
        <w:pStyle w:val="texto"/>
        <w:tabs>
          <w:tab w:val="clear" w:pos="2835"/>
          <w:tab w:val="clear" w:pos="3969"/>
          <w:tab w:val="clear" w:pos="5103"/>
          <w:tab w:val="clear" w:pos="6237"/>
          <w:tab w:val="clear" w:pos="7371"/>
        </w:tabs>
        <w:rPr>
          <w:szCs w:val="26"/>
        </w:rPr>
      </w:pPr>
      <w:r w:rsidRPr="00A0407B">
        <w:rPr>
          <w:szCs w:val="26"/>
        </w:rPr>
        <w:t>Sin embargo, en zonas de desvíos, la materialización del cruce de las vías supone en la mayor parte de los casos una restricción técnica que limita la v</w:t>
      </w:r>
      <w:r w:rsidRPr="00A0407B">
        <w:rPr>
          <w:szCs w:val="26"/>
        </w:rPr>
        <w:t>e</w:t>
      </w:r>
      <w:r w:rsidRPr="00A0407B">
        <w:rPr>
          <w:szCs w:val="26"/>
        </w:rPr>
        <w:t>locidad a 200 Km/h. Además</w:t>
      </w:r>
      <w:r w:rsidR="00A878A1">
        <w:rPr>
          <w:szCs w:val="26"/>
        </w:rPr>
        <w:t>,</w:t>
      </w:r>
      <w:r w:rsidRPr="00A0407B">
        <w:rPr>
          <w:szCs w:val="26"/>
        </w:rPr>
        <w:t xml:space="preserve"> se plantea un reto</w:t>
      </w:r>
      <w:r w:rsidR="002D37D7">
        <w:rPr>
          <w:szCs w:val="26"/>
        </w:rPr>
        <w:t xml:space="preserve"> técnico</w:t>
      </w:r>
      <w:r w:rsidRPr="00A0407B">
        <w:rPr>
          <w:szCs w:val="26"/>
        </w:rPr>
        <w:t xml:space="preserve"> importante en los de</w:t>
      </w:r>
      <w:r w:rsidRPr="00A0407B">
        <w:rPr>
          <w:szCs w:val="26"/>
        </w:rPr>
        <w:t>s</w:t>
      </w:r>
      <w:r w:rsidRPr="00A0407B">
        <w:rPr>
          <w:szCs w:val="26"/>
        </w:rPr>
        <w:t>víos</w:t>
      </w:r>
      <w:r w:rsidR="002D37D7" w:rsidRPr="002D37D7">
        <w:rPr>
          <w:szCs w:val="26"/>
        </w:rPr>
        <w:t xml:space="preserve"> </w:t>
      </w:r>
      <w:r w:rsidR="002D37D7" w:rsidRPr="00A0407B">
        <w:rPr>
          <w:szCs w:val="26"/>
        </w:rPr>
        <w:t>en doble vía</w:t>
      </w:r>
      <w:r w:rsidRPr="00A0407B">
        <w:rPr>
          <w:szCs w:val="26"/>
        </w:rPr>
        <w:t xml:space="preserve">, </w:t>
      </w:r>
      <w:r w:rsidR="002D37D7">
        <w:rPr>
          <w:szCs w:val="26"/>
        </w:rPr>
        <w:t xml:space="preserve">resultando necesario </w:t>
      </w:r>
      <w:r w:rsidR="002D37D7" w:rsidRPr="00A0407B">
        <w:rPr>
          <w:szCs w:val="26"/>
        </w:rPr>
        <w:t>instalar un cambiador de hilo para pe</w:t>
      </w:r>
      <w:r w:rsidR="002D37D7" w:rsidRPr="00A0407B">
        <w:rPr>
          <w:szCs w:val="26"/>
        </w:rPr>
        <w:t>r</w:t>
      </w:r>
      <w:r w:rsidR="002D37D7" w:rsidRPr="00A0407B">
        <w:rPr>
          <w:szCs w:val="26"/>
        </w:rPr>
        <w:t xml:space="preserve">mitir </w:t>
      </w:r>
      <w:r w:rsidR="00CF4A2F">
        <w:rPr>
          <w:szCs w:val="26"/>
        </w:rPr>
        <w:t>los correspondientes desvíos</w:t>
      </w:r>
      <w:r w:rsidR="002D37D7">
        <w:rPr>
          <w:szCs w:val="26"/>
        </w:rPr>
        <w:t>.</w:t>
      </w:r>
      <w:r w:rsidRPr="00A0407B">
        <w:rPr>
          <w:szCs w:val="26"/>
        </w:rPr>
        <w:t xml:space="preserve"> </w:t>
      </w:r>
    </w:p>
    <w:p w:rsidR="00745527" w:rsidRPr="00A0407B" w:rsidRDefault="00745527" w:rsidP="00745527">
      <w:pPr>
        <w:pStyle w:val="texto"/>
        <w:tabs>
          <w:tab w:val="clear" w:pos="2835"/>
          <w:tab w:val="clear" w:pos="3969"/>
          <w:tab w:val="clear" w:pos="5103"/>
          <w:tab w:val="clear" w:pos="6237"/>
          <w:tab w:val="clear" w:pos="7371"/>
        </w:tabs>
        <w:rPr>
          <w:szCs w:val="26"/>
        </w:rPr>
      </w:pPr>
      <w:r w:rsidRPr="00A0407B">
        <w:rPr>
          <w:szCs w:val="26"/>
        </w:rPr>
        <w:t>Las líneas dotadas con vías de tres carriles conllevan asimismo una mayor complejidad, no solo por la coexistencia de distintos anchos de vía, sino ta</w:t>
      </w:r>
      <w:r w:rsidRPr="00A0407B">
        <w:rPr>
          <w:szCs w:val="26"/>
        </w:rPr>
        <w:t>m</w:t>
      </w:r>
      <w:r w:rsidRPr="00A0407B">
        <w:rPr>
          <w:szCs w:val="26"/>
        </w:rPr>
        <w:t>bién por la necesidad de compatibilizar tráficos muy densos, y de trenes de mercancías con más carga por eje y potencia eléctrica de tracción con tráficos de trenes más rápidos y ligeros, lo que exige a la infraestructura y a los sist</w:t>
      </w:r>
      <w:r w:rsidRPr="00A0407B">
        <w:rPr>
          <w:szCs w:val="26"/>
        </w:rPr>
        <w:t>e</w:t>
      </w:r>
      <w:r w:rsidRPr="00A0407B">
        <w:rPr>
          <w:szCs w:val="26"/>
        </w:rPr>
        <w:t>mas de gestión de tráfico innovadoras prácticas de operación y explotación.</w:t>
      </w:r>
    </w:p>
    <w:p w:rsidR="00F03A41" w:rsidRPr="00A0407B" w:rsidRDefault="00F03A41" w:rsidP="00D05AA7">
      <w:pPr>
        <w:pStyle w:val="texto"/>
        <w:tabs>
          <w:tab w:val="clear" w:pos="2835"/>
          <w:tab w:val="clear" w:pos="3969"/>
          <w:tab w:val="clear" w:pos="5103"/>
          <w:tab w:val="clear" w:pos="6237"/>
          <w:tab w:val="clear" w:pos="7371"/>
        </w:tabs>
        <w:rPr>
          <w:szCs w:val="26"/>
        </w:rPr>
      </w:pPr>
      <w:r w:rsidRPr="00A0407B">
        <w:rPr>
          <w:szCs w:val="26"/>
        </w:rPr>
        <w:t>La solución del tercer carril ha sido adoptad</w:t>
      </w:r>
      <w:r w:rsidR="00177149" w:rsidRPr="00A0407B">
        <w:rPr>
          <w:szCs w:val="26"/>
        </w:rPr>
        <w:t>a</w:t>
      </w:r>
      <w:r w:rsidRPr="00A0407B">
        <w:rPr>
          <w:szCs w:val="26"/>
        </w:rPr>
        <w:t xml:space="preserve"> </w:t>
      </w:r>
      <w:r w:rsidR="00745527" w:rsidRPr="00A0407B">
        <w:rPr>
          <w:szCs w:val="26"/>
        </w:rPr>
        <w:t xml:space="preserve">ya </w:t>
      </w:r>
      <w:r w:rsidRPr="00A0407B">
        <w:rPr>
          <w:szCs w:val="26"/>
        </w:rPr>
        <w:t>con cierta frecuencia para tramos cor</w:t>
      </w:r>
      <w:r w:rsidR="00745527" w:rsidRPr="00A0407B">
        <w:rPr>
          <w:szCs w:val="26"/>
        </w:rPr>
        <w:t>t</w:t>
      </w:r>
      <w:r w:rsidRPr="00A0407B">
        <w:rPr>
          <w:szCs w:val="26"/>
        </w:rPr>
        <w:t>os en estaciones, puentes, túnel</w:t>
      </w:r>
      <w:r w:rsidR="00177149" w:rsidRPr="00A0407B">
        <w:rPr>
          <w:szCs w:val="26"/>
        </w:rPr>
        <w:t>es</w:t>
      </w:r>
      <w:r w:rsidR="00745527" w:rsidRPr="00A0407B">
        <w:rPr>
          <w:szCs w:val="26"/>
        </w:rPr>
        <w:t>, zonas fronterizas</w:t>
      </w:r>
      <w:r w:rsidRPr="00A0407B">
        <w:rPr>
          <w:szCs w:val="26"/>
        </w:rPr>
        <w:t xml:space="preserve"> y otros puntos singulares</w:t>
      </w:r>
      <w:r w:rsidR="00177149" w:rsidRPr="00A0407B">
        <w:rPr>
          <w:szCs w:val="26"/>
        </w:rPr>
        <w:t>. En</w:t>
      </w:r>
      <w:r w:rsidR="00A878A1">
        <w:rPr>
          <w:szCs w:val="26"/>
        </w:rPr>
        <w:t xml:space="preserve"> </w:t>
      </w:r>
      <w:r w:rsidR="00177149" w:rsidRPr="00A0407B">
        <w:rPr>
          <w:szCs w:val="26"/>
        </w:rPr>
        <w:t xml:space="preserve">tramos más largos o redes se ha iniciado más recientemente, existiendo en España diversos ejemplos, y de los que destaca en este momento </w:t>
      </w:r>
      <w:r w:rsidR="00745527" w:rsidRPr="00A0407B">
        <w:rPr>
          <w:szCs w:val="26"/>
        </w:rPr>
        <w:t xml:space="preserve">el tramo desde la zona Franca de Barcelona hasta la frontera francesa y </w:t>
      </w:r>
      <w:r w:rsidR="00177149" w:rsidRPr="00A0407B">
        <w:rPr>
          <w:szCs w:val="26"/>
        </w:rPr>
        <w:t>el plan de extensión de un tercer carril en buena parte del Corredor del Mediterráneo.</w:t>
      </w:r>
      <w:r w:rsidR="00745527" w:rsidRPr="00A0407B">
        <w:rPr>
          <w:szCs w:val="26"/>
        </w:rPr>
        <w:t xml:space="preserve"> </w:t>
      </w:r>
    </w:p>
    <w:p w:rsidR="00745527" w:rsidRPr="00A0407B" w:rsidRDefault="00745527" w:rsidP="00D05AA7">
      <w:pPr>
        <w:pStyle w:val="texto"/>
        <w:tabs>
          <w:tab w:val="clear" w:pos="2835"/>
          <w:tab w:val="clear" w:pos="3969"/>
          <w:tab w:val="clear" w:pos="5103"/>
          <w:tab w:val="clear" w:pos="6237"/>
          <w:tab w:val="clear" w:pos="7371"/>
        </w:tabs>
        <w:rPr>
          <w:szCs w:val="26"/>
        </w:rPr>
      </w:pPr>
      <w:r w:rsidRPr="00A0407B">
        <w:rPr>
          <w:szCs w:val="26"/>
        </w:rPr>
        <w:t>Con carácter general la instalación del tercer carril se ha efectuado pensando en el transporte de mercancías internacional, al objeto de facilitar ese transporte hacia Europa.</w:t>
      </w:r>
    </w:p>
    <w:p w:rsidR="000A5621" w:rsidRPr="00A0407B" w:rsidRDefault="000A5621" w:rsidP="00D05AA7">
      <w:pPr>
        <w:pStyle w:val="texto"/>
        <w:tabs>
          <w:tab w:val="clear" w:pos="2835"/>
          <w:tab w:val="clear" w:pos="3969"/>
          <w:tab w:val="clear" w:pos="5103"/>
          <w:tab w:val="clear" w:pos="6237"/>
          <w:tab w:val="clear" w:pos="7371"/>
        </w:tabs>
        <w:rPr>
          <w:szCs w:val="26"/>
        </w:rPr>
      </w:pPr>
      <w:r w:rsidRPr="00A0407B">
        <w:rPr>
          <w:szCs w:val="26"/>
        </w:rPr>
        <w:t>Las desventajas observadas sobre el tercer carril, las resumimos a continu</w:t>
      </w:r>
      <w:r w:rsidRPr="00A0407B">
        <w:rPr>
          <w:szCs w:val="26"/>
        </w:rPr>
        <w:t>a</w:t>
      </w:r>
      <w:r w:rsidRPr="00A0407B">
        <w:rPr>
          <w:szCs w:val="26"/>
        </w:rPr>
        <w:t>ción:</w:t>
      </w:r>
    </w:p>
    <w:p w:rsidR="00194D8A" w:rsidRPr="00A0407B" w:rsidRDefault="00194D8A" w:rsidP="00233A5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No todas las vías tradicionales pueden soportar la instalación de un tercer carril, sino que es preciso levantar las traviesas existentes y colocar otras nu</w:t>
      </w:r>
      <w:r w:rsidRPr="00A0407B">
        <w:rPr>
          <w:szCs w:val="26"/>
        </w:rPr>
        <w:t>e</w:t>
      </w:r>
      <w:r w:rsidRPr="00A0407B">
        <w:rPr>
          <w:szCs w:val="26"/>
        </w:rPr>
        <w:t>vas para soportar las exigencias</w:t>
      </w:r>
      <w:r w:rsidR="00233A58" w:rsidRPr="00A0407B">
        <w:rPr>
          <w:szCs w:val="26"/>
        </w:rPr>
        <w:t xml:space="preserve"> técnicas</w:t>
      </w:r>
      <w:r w:rsidRPr="00A0407B">
        <w:rPr>
          <w:szCs w:val="26"/>
        </w:rPr>
        <w:t xml:space="preserve"> del mismo</w:t>
      </w:r>
      <w:r w:rsidR="00521CF3" w:rsidRPr="00A0407B">
        <w:rPr>
          <w:szCs w:val="26"/>
        </w:rPr>
        <w:t>; n</w:t>
      </w:r>
      <w:r w:rsidRPr="00A0407B">
        <w:rPr>
          <w:szCs w:val="26"/>
        </w:rPr>
        <w:t xml:space="preserve">o obstante, parece que </w:t>
      </w:r>
      <w:r w:rsidR="001C681C" w:rsidRPr="00A0407B">
        <w:rPr>
          <w:szCs w:val="26"/>
        </w:rPr>
        <w:t xml:space="preserve">actualmente </w:t>
      </w:r>
      <w:r w:rsidRPr="00A0407B">
        <w:rPr>
          <w:szCs w:val="26"/>
        </w:rPr>
        <w:t>se están desarrollando soluciones técnicas para solventar este pr</w:t>
      </w:r>
      <w:r w:rsidRPr="00A0407B">
        <w:rPr>
          <w:szCs w:val="26"/>
        </w:rPr>
        <w:t>o</w:t>
      </w:r>
      <w:r w:rsidRPr="00A0407B">
        <w:rPr>
          <w:szCs w:val="26"/>
        </w:rPr>
        <w:t>blema.</w:t>
      </w:r>
      <w:r w:rsidR="00521CF3" w:rsidRPr="00A0407B">
        <w:rPr>
          <w:szCs w:val="26"/>
        </w:rPr>
        <w:t xml:space="preserve"> Así mismo</w:t>
      </w:r>
      <w:r w:rsidR="00A878A1">
        <w:rPr>
          <w:szCs w:val="26"/>
        </w:rPr>
        <w:t>,</w:t>
      </w:r>
      <w:r w:rsidR="00521CF3" w:rsidRPr="00A0407B">
        <w:rPr>
          <w:szCs w:val="26"/>
        </w:rPr>
        <w:t xml:space="preserve"> es preciso modificar las catenarias</w:t>
      </w:r>
      <w:r w:rsidR="00F67036">
        <w:rPr>
          <w:szCs w:val="26"/>
        </w:rPr>
        <w:t xml:space="preserve"> y ampliar los túneles</w:t>
      </w:r>
      <w:r w:rsidR="00D86F7D" w:rsidRPr="00A0407B">
        <w:rPr>
          <w:szCs w:val="26"/>
        </w:rPr>
        <w:t xml:space="preserve"> p</w:t>
      </w:r>
      <w:r w:rsidR="00D86F7D" w:rsidRPr="00A0407B">
        <w:rPr>
          <w:szCs w:val="26"/>
        </w:rPr>
        <w:t>a</w:t>
      </w:r>
      <w:r w:rsidR="00D86F7D" w:rsidRPr="00A0407B">
        <w:rPr>
          <w:szCs w:val="26"/>
        </w:rPr>
        <w:t>ra su adaptación al tercer carril</w:t>
      </w:r>
      <w:r w:rsidR="00521CF3" w:rsidRPr="00A0407B">
        <w:rPr>
          <w:szCs w:val="26"/>
        </w:rPr>
        <w:t xml:space="preserve">. </w:t>
      </w:r>
    </w:p>
    <w:p w:rsidR="000A5621" w:rsidRPr="00A0407B" w:rsidRDefault="000A5621" w:rsidP="00233A5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Desgaste desigual de la vía, ya que uno de los carriles tiene el doble de tr</w:t>
      </w:r>
      <w:r w:rsidRPr="00A0407B">
        <w:rPr>
          <w:szCs w:val="26"/>
        </w:rPr>
        <w:t>á</w:t>
      </w:r>
      <w:r w:rsidRPr="00A0407B">
        <w:rPr>
          <w:szCs w:val="26"/>
        </w:rPr>
        <w:t xml:space="preserve">fico que los demás presionando, además, las traviesas correspondientes. Por tanto ese carril y traviesas </w:t>
      </w:r>
      <w:r w:rsidR="00194D8A" w:rsidRPr="00A0407B">
        <w:rPr>
          <w:szCs w:val="26"/>
        </w:rPr>
        <w:t>demandan</w:t>
      </w:r>
      <w:r w:rsidRPr="00A0407B">
        <w:rPr>
          <w:szCs w:val="26"/>
        </w:rPr>
        <w:t xml:space="preserve"> un mantenimiento especial</w:t>
      </w:r>
      <w:r w:rsidR="00194D8A" w:rsidRPr="00A0407B">
        <w:rPr>
          <w:szCs w:val="26"/>
        </w:rPr>
        <w:t xml:space="preserve"> que debe i</w:t>
      </w:r>
      <w:r w:rsidR="00194D8A" w:rsidRPr="00A0407B">
        <w:rPr>
          <w:szCs w:val="26"/>
        </w:rPr>
        <w:t>n</w:t>
      </w:r>
      <w:r w:rsidR="00194D8A" w:rsidRPr="00A0407B">
        <w:rPr>
          <w:szCs w:val="26"/>
        </w:rPr>
        <w:t>cluir también el asentamiento</w:t>
      </w:r>
      <w:r w:rsidR="00A80FEC" w:rsidRPr="00A0407B">
        <w:rPr>
          <w:szCs w:val="26"/>
        </w:rPr>
        <w:t xml:space="preserve"> especial</w:t>
      </w:r>
      <w:r w:rsidR="00194D8A" w:rsidRPr="00A0407B">
        <w:rPr>
          <w:szCs w:val="26"/>
        </w:rPr>
        <w:t xml:space="preserve"> de la plataforma</w:t>
      </w:r>
      <w:r w:rsidRPr="00A0407B">
        <w:rPr>
          <w:szCs w:val="26"/>
        </w:rPr>
        <w:t>.</w:t>
      </w:r>
    </w:p>
    <w:p w:rsidR="00194D8A" w:rsidRPr="00A0407B" w:rsidRDefault="00194D8A" w:rsidP="00233A5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Los trenes que circulen por el tercer carril quedan lejos de los andenes de las estaciones</w:t>
      </w:r>
      <w:r w:rsidR="00233A58" w:rsidRPr="00A0407B">
        <w:rPr>
          <w:szCs w:val="26"/>
        </w:rPr>
        <w:t xml:space="preserve">, lo que </w:t>
      </w:r>
      <w:r w:rsidR="00A0228A">
        <w:rPr>
          <w:szCs w:val="26"/>
        </w:rPr>
        <w:t>exige su adaptación para evitar</w:t>
      </w:r>
      <w:r w:rsidR="00233A58" w:rsidRPr="00A0407B">
        <w:rPr>
          <w:szCs w:val="26"/>
        </w:rPr>
        <w:t xml:space="preserve"> problemas de seguridad</w:t>
      </w:r>
      <w:r w:rsidR="00A0228A">
        <w:rPr>
          <w:szCs w:val="26"/>
        </w:rPr>
        <w:t xml:space="preserve"> a los viajeros</w:t>
      </w:r>
      <w:r w:rsidR="00233A58" w:rsidRPr="00A0407B">
        <w:rPr>
          <w:szCs w:val="26"/>
        </w:rPr>
        <w:t>.</w:t>
      </w:r>
    </w:p>
    <w:p w:rsidR="00233A58" w:rsidRPr="00A0407B" w:rsidRDefault="00233A58" w:rsidP="00233A5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lastRenderedPageBreak/>
        <w:t>Los ya citados problemas de los cambios de hilos, su coste</w:t>
      </w:r>
      <w:r w:rsidR="002734C6" w:rsidRPr="00A0407B">
        <w:rPr>
          <w:szCs w:val="26"/>
        </w:rPr>
        <w:t>,</w:t>
      </w:r>
      <w:r w:rsidRPr="00A0407B">
        <w:rPr>
          <w:szCs w:val="26"/>
        </w:rPr>
        <w:t xml:space="preserve"> mantenimiento</w:t>
      </w:r>
      <w:r w:rsidR="002734C6" w:rsidRPr="00A0407B">
        <w:rPr>
          <w:szCs w:val="26"/>
        </w:rPr>
        <w:t xml:space="preserve"> e incidencia sobre la velocidad de los trenes.</w:t>
      </w:r>
    </w:p>
    <w:p w:rsidR="002734C6" w:rsidRPr="00A0407B" w:rsidRDefault="00A878A1" w:rsidP="00233A58">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Pr>
          <w:szCs w:val="26"/>
        </w:rPr>
        <w:t>Para algunos expertos, esta</w:t>
      </w:r>
      <w:r w:rsidR="002734C6" w:rsidRPr="00A0407B">
        <w:rPr>
          <w:szCs w:val="26"/>
        </w:rPr>
        <w:t xml:space="preserve"> instalación aún está en fase muy experimental, observándose importantes discrepancias</w:t>
      </w:r>
      <w:r w:rsidR="005B06E4" w:rsidRPr="00A0407B">
        <w:rPr>
          <w:szCs w:val="26"/>
        </w:rPr>
        <w:t xml:space="preserve"> técnicas</w:t>
      </w:r>
      <w:r w:rsidR="002734C6" w:rsidRPr="00A0407B">
        <w:rPr>
          <w:szCs w:val="26"/>
        </w:rPr>
        <w:t xml:space="preserve"> sobre su utilidad real.</w:t>
      </w:r>
    </w:p>
    <w:p w:rsidR="00AC6F58" w:rsidRPr="008341D1" w:rsidRDefault="00AC6F58" w:rsidP="008341D1">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Para el corredor navarro, además, la instalación de un tercer carril sobre la vía convencional, implicaría que no se resuelve el problema histórico</w:t>
      </w:r>
      <w:r w:rsidR="00D104A3" w:rsidRPr="00A0407B">
        <w:rPr>
          <w:szCs w:val="26"/>
        </w:rPr>
        <w:t xml:space="preserve"> existente</w:t>
      </w:r>
      <w:r w:rsidRPr="00A0407B">
        <w:rPr>
          <w:szCs w:val="26"/>
        </w:rPr>
        <w:t xml:space="preserve"> de </w:t>
      </w:r>
      <w:r w:rsidR="00D86F7D" w:rsidRPr="00A0407B">
        <w:rPr>
          <w:szCs w:val="26"/>
        </w:rPr>
        <w:t xml:space="preserve">una </w:t>
      </w:r>
      <w:r w:rsidRPr="00A0407B">
        <w:rPr>
          <w:szCs w:val="26"/>
        </w:rPr>
        <w:t>vía única</w:t>
      </w:r>
      <w:r w:rsidR="008341D1">
        <w:rPr>
          <w:szCs w:val="26"/>
        </w:rPr>
        <w:t>;</w:t>
      </w:r>
      <w:r w:rsidR="00E704A2" w:rsidRPr="00E704A2">
        <w:rPr>
          <w:szCs w:val="26"/>
        </w:rPr>
        <w:t xml:space="preserve"> </w:t>
      </w:r>
      <w:r w:rsidR="008341D1">
        <w:rPr>
          <w:szCs w:val="26"/>
        </w:rPr>
        <w:t>a</w:t>
      </w:r>
      <w:r w:rsidR="00E704A2">
        <w:rPr>
          <w:szCs w:val="26"/>
        </w:rPr>
        <w:t xml:space="preserve">l respecto, </w:t>
      </w:r>
      <w:r w:rsidR="003C6AC1">
        <w:rPr>
          <w:szCs w:val="26"/>
        </w:rPr>
        <w:t xml:space="preserve">cabe señalar que el </w:t>
      </w:r>
      <w:r w:rsidR="00E704A2" w:rsidRPr="00E704A2">
        <w:rPr>
          <w:szCs w:val="26"/>
        </w:rPr>
        <w:t xml:space="preserve">trazado de </w:t>
      </w:r>
      <w:r w:rsidR="008341D1">
        <w:rPr>
          <w:szCs w:val="26"/>
        </w:rPr>
        <w:t>esa</w:t>
      </w:r>
      <w:r w:rsidR="00E704A2" w:rsidRPr="00E704A2">
        <w:rPr>
          <w:szCs w:val="26"/>
        </w:rPr>
        <w:t xml:space="preserve"> vía se diseñó </w:t>
      </w:r>
      <w:r w:rsidR="008341D1">
        <w:rPr>
          <w:szCs w:val="26"/>
        </w:rPr>
        <w:t xml:space="preserve">básicamente </w:t>
      </w:r>
      <w:r w:rsidR="00E704A2" w:rsidRPr="00E704A2">
        <w:rPr>
          <w:szCs w:val="26"/>
        </w:rPr>
        <w:t xml:space="preserve">a finales del siglo XIX. </w:t>
      </w:r>
      <w:r w:rsidR="00F67036">
        <w:rPr>
          <w:szCs w:val="26"/>
        </w:rPr>
        <w:t>Estas</w:t>
      </w:r>
      <w:r w:rsidR="003C6AC1">
        <w:rPr>
          <w:szCs w:val="26"/>
        </w:rPr>
        <w:t xml:space="preserve"> circunstancias </w:t>
      </w:r>
      <w:r w:rsidR="00E704A2" w:rsidRPr="00E704A2">
        <w:rPr>
          <w:szCs w:val="26"/>
        </w:rPr>
        <w:t xml:space="preserve">ponen de relieve la necesidad inaplazable de su adecuación a las actuales exigencias técnicas del tráfico ferroviario. </w:t>
      </w:r>
    </w:p>
    <w:p w:rsidR="000A5621" w:rsidRPr="00A0407B" w:rsidRDefault="002734C6" w:rsidP="00D05AA7">
      <w:pPr>
        <w:pStyle w:val="texto"/>
        <w:tabs>
          <w:tab w:val="clear" w:pos="2835"/>
          <w:tab w:val="clear" w:pos="3969"/>
          <w:tab w:val="clear" w:pos="5103"/>
          <w:tab w:val="clear" w:pos="6237"/>
          <w:tab w:val="clear" w:pos="7371"/>
        </w:tabs>
        <w:rPr>
          <w:szCs w:val="26"/>
        </w:rPr>
      </w:pPr>
      <w:r w:rsidRPr="00A0407B">
        <w:rPr>
          <w:szCs w:val="26"/>
        </w:rPr>
        <w:t>Como ventajas que se observan en la instalación de un tercer carril, señal</w:t>
      </w:r>
      <w:r w:rsidRPr="00A0407B">
        <w:rPr>
          <w:szCs w:val="26"/>
        </w:rPr>
        <w:t>a</w:t>
      </w:r>
      <w:r w:rsidRPr="00A0407B">
        <w:rPr>
          <w:szCs w:val="26"/>
        </w:rPr>
        <w:t>mos:</w:t>
      </w:r>
    </w:p>
    <w:p w:rsidR="002734C6" w:rsidRPr="00A0407B" w:rsidRDefault="002734C6" w:rsidP="002734C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La primordial es su coste, que se estima, según diversas fuentes, entre </w:t>
      </w:r>
      <w:r w:rsidR="009D6BBA" w:rsidRPr="00A0407B">
        <w:rPr>
          <w:szCs w:val="26"/>
        </w:rPr>
        <w:t>2</w:t>
      </w:r>
      <w:r w:rsidRPr="00A0407B">
        <w:rPr>
          <w:szCs w:val="26"/>
        </w:rPr>
        <w:t xml:space="preserve"> y 3 millones por km, si se instala sobre una plataforma convencional existente.</w:t>
      </w:r>
      <w:r w:rsidR="00952797">
        <w:rPr>
          <w:szCs w:val="26"/>
        </w:rPr>
        <w:t xml:space="preserve"> El coste por kilómetro de línea AVE </w:t>
      </w:r>
      <w:r w:rsidR="00A878A1">
        <w:rPr>
          <w:szCs w:val="26"/>
        </w:rPr>
        <w:t>ronda</w:t>
      </w:r>
      <w:r w:rsidR="00952797">
        <w:rPr>
          <w:szCs w:val="26"/>
        </w:rPr>
        <w:t xml:space="preserve"> los 15 millones de euros</w:t>
      </w:r>
      <w:r w:rsidR="00AA5029">
        <w:rPr>
          <w:szCs w:val="26"/>
        </w:rPr>
        <w:t>, si bien su cuantificación está en función de las especiales condiciones orográficas del t</w:t>
      </w:r>
      <w:r w:rsidR="00AA5029">
        <w:rPr>
          <w:szCs w:val="26"/>
        </w:rPr>
        <w:t>e</w:t>
      </w:r>
      <w:r w:rsidR="00AA5029">
        <w:rPr>
          <w:szCs w:val="26"/>
        </w:rPr>
        <w:t>rreno.</w:t>
      </w:r>
    </w:p>
    <w:p w:rsidR="005B06E4" w:rsidRPr="00A0407B" w:rsidRDefault="005B06E4" w:rsidP="002734C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Facilita el transporte de mercancías, </w:t>
      </w:r>
      <w:r w:rsidR="00405260">
        <w:rPr>
          <w:szCs w:val="26"/>
        </w:rPr>
        <w:t>aunque</w:t>
      </w:r>
      <w:r w:rsidRPr="00A0407B">
        <w:rPr>
          <w:szCs w:val="26"/>
        </w:rPr>
        <w:t xml:space="preserve"> la prioridad en su uso </w:t>
      </w:r>
      <w:r w:rsidR="00A80FEC" w:rsidRPr="00A0407B">
        <w:rPr>
          <w:szCs w:val="26"/>
        </w:rPr>
        <w:t>siempre es</w:t>
      </w:r>
      <w:r w:rsidRPr="00A0407B">
        <w:rPr>
          <w:szCs w:val="26"/>
        </w:rPr>
        <w:t xml:space="preserve"> el de viajeros</w:t>
      </w:r>
      <w:r w:rsidR="00A80FEC" w:rsidRPr="00A0407B">
        <w:rPr>
          <w:szCs w:val="26"/>
        </w:rPr>
        <w:t>.</w:t>
      </w:r>
    </w:p>
    <w:p w:rsidR="002734C6" w:rsidRPr="00A0407B" w:rsidRDefault="002734C6" w:rsidP="005B06E4">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Puede resultar una buena solución con carácter provisional a medio plazo, en tanto no se ejecuten la construcción de nuevas vías.</w:t>
      </w:r>
    </w:p>
    <w:p w:rsidR="00303B0F" w:rsidRPr="00A0407B" w:rsidRDefault="00303B0F" w:rsidP="005B06E4">
      <w:pPr>
        <w:pStyle w:val="texto"/>
        <w:tabs>
          <w:tab w:val="clear" w:pos="2835"/>
          <w:tab w:val="clear" w:pos="3969"/>
          <w:tab w:val="clear" w:pos="5103"/>
          <w:tab w:val="clear" w:pos="6237"/>
          <w:tab w:val="clear" w:pos="7371"/>
        </w:tabs>
        <w:rPr>
          <w:szCs w:val="26"/>
        </w:rPr>
      </w:pPr>
      <w:r w:rsidRPr="00A0407B">
        <w:rPr>
          <w:szCs w:val="26"/>
        </w:rPr>
        <w:t>La actual plataforma del corredor navarro que se está construyendo admite tanto la instalación de una doble vía de ancho internacional como de una vía con tercer carril.</w:t>
      </w:r>
      <w:r w:rsidR="005C5878" w:rsidRPr="00A0407B">
        <w:rPr>
          <w:szCs w:val="26"/>
        </w:rPr>
        <w:t xml:space="preserve"> Sin </w:t>
      </w:r>
      <w:r w:rsidR="002E52E2" w:rsidRPr="00A0407B">
        <w:rPr>
          <w:szCs w:val="26"/>
        </w:rPr>
        <w:t>e</w:t>
      </w:r>
      <w:r w:rsidR="005C5878" w:rsidRPr="00A0407B">
        <w:rPr>
          <w:szCs w:val="26"/>
        </w:rPr>
        <w:t>mb</w:t>
      </w:r>
      <w:r w:rsidR="002E52E2" w:rsidRPr="00A0407B">
        <w:rPr>
          <w:szCs w:val="26"/>
        </w:rPr>
        <w:t>a</w:t>
      </w:r>
      <w:r w:rsidR="005C5878" w:rsidRPr="00A0407B">
        <w:rPr>
          <w:szCs w:val="26"/>
        </w:rPr>
        <w:t>rgo, desde el Gobierno de Navarra nunca se ha pl</w:t>
      </w:r>
      <w:r w:rsidR="005C5878" w:rsidRPr="00A0407B">
        <w:rPr>
          <w:szCs w:val="26"/>
        </w:rPr>
        <w:t>a</w:t>
      </w:r>
      <w:r w:rsidR="005C5878" w:rsidRPr="00A0407B">
        <w:rPr>
          <w:szCs w:val="26"/>
        </w:rPr>
        <w:t xml:space="preserve">neado la opción de hacer </w:t>
      </w:r>
      <w:r w:rsidR="005B06E4" w:rsidRPr="00A0407B">
        <w:rPr>
          <w:szCs w:val="26"/>
        </w:rPr>
        <w:t xml:space="preserve">todo el tramo </w:t>
      </w:r>
      <w:r w:rsidR="002E52E2" w:rsidRPr="00A0407B">
        <w:rPr>
          <w:szCs w:val="26"/>
        </w:rPr>
        <w:t>Castejón-Pamplona con un tercer carril.</w:t>
      </w:r>
      <w:r w:rsidR="005B06E4" w:rsidRPr="00A0407B">
        <w:rPr>
          <w:szCs w:val="26"/>
        </w:rPr>
        <w:t xml:space="preserve"> En este contexto, observamos </w:t>
      </w:r>
      <w:r w:rsidR="0050206D" w:rsidRPr="00A0407B">
        <w:rPr>
          <w:szCs w:val="26"/>
        </w:rPr>
        <w:t xml:space="preserve">que en el corredor navarro </w:t>
      </w:r>
      <w:r w:rsidR="005B06E4" w:rsidRPr="00A0407B">
        <w:rPr>
          <w:szCs w:val="26"/>
        </w:rPr>
        <w:t xml:space="preserve">se </w:t>
      </w:r>
      <w:r w:rsidR="0050206D" w:rsidRPr="00A0407B">
        <w:rPr>
          <w:szCs w:val="26"/>
        </w:rPr>
        <w:t>ha planteado</w:t>
      </w:r>
      <w:r w:rsidR="00AE0B30" w:rsidRPr="00A0407B">
        <w:rPr>
          <w:szCs w:val="26"/>
        </w:rPr>
        <w:t xml:space="preserve"> o e</w:t>
      </w:r>
      <w:r w:rsidR="00AE0B30" w:rsidRPr="00A0407B">
        <w:rPr>
          <w:szCs w:val="26"/>
        </w:rPr>
        <w:t>s</w:t>
      </w:r>
      <w:r w:rsidR="00AE0B30" w:rsidRPr="00A0407B">
        <w:rPr>
          <w:szCs w:val="26"/>
        </w:rPr>
        <w:t>tudia</w:t>
      </w:r>
      <w:r w:rsidR="00DF6EA2" w:rsidRPr="00A0407B">
        <w:rPr>
          <w:szCs w:val="26"/>
        </w:rPr>
        <w:t>do</w:t>
      </w:r>
      <w:r w:rsidR="005B06E4" w:rsidRPr="00A0407B">
        <w:rPr>
          <w:szCs w:val="26"/>
        </w:rPr>
        <w:t xml:space="preserve"> la solución del tercer carril </w:t>
      </w:r>
      <w:r w:rsidR="002B6E3C" w:rsidRPr="00A0407B">
        <w:rPr>
          <w:szCs w:val="26"/>
        </w:rPr>
        <w:t>como medida provisional para agilizar la construcción del mismo</w:t>
      </w:r>
      <w:r w:rsidR="00DF6EA2" w:rsidRPr="00A0407B">
        <w:rPr>
          <w:szCs w:val="26"/>
        </w:rPr>
        <w:t xml:space="preserve"> y para garantizar su conexión con el corredor europeo de alta velocidad</w:t>
      </w:r>
      <w:r w:rsidR="005B06E4" w:rsidRPr="00A0407B">
        <w:rPr>
          <w:szCs w:val="26"/>
        </w:rPr>
        <w:t>:</w:t>
      </w:r>
    </w:p>
    <w:p w:rsidR="002734C6" w:rsidRPr="00A0407B" w:rsidRDefault="002734C6" w:rsidP="00CC4BC9">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En tanto no se haga el tramo de vía internacional Plasencia de Jalón-Castejón, conectar el tramo navarro en esta última población con la línea co</w:t>
      </w:r>
      <w:r w:rsidRPr="00A0407B">
        <w:rPr>
          <w:szCs w:val="26"/>
        </w:rPr>
        <w:t>n</w:t>
      </w:r>
      <w:r w:rsidRPr="00A0407B">
        <w:rPr>
          <w:szCs w:val="26"/>
        </w:rPr>
        <w:t>vencional de Zaragoza en la que previamente debe instalarse un tercer carril.</w:t>
      </w:r>
      <w:r w:rsidR="000C03F5" w:rsidRPr="00A0407B">
        <w:rPr>
          <w:szCs w:val="26"/>
        </w:rPr>
        <w:t xml:space="preserve"> Esta opción parece que es </w:t>
      </w:r>
      <w:r w:rsidR="00B02546" w:rsidRPr="00A0407B">
        <w:rPr>
          <w:szCs w:val="26"/>
        </w:rPr>
        <w:t xml:space="preserve">por </w:t>
      </w:r>
      <w:r w:rsidR="000C03F5" w:rsidRPr="00A0407B">
        <w:rPr>
          <w:szCs w:val="26"/>
        </w:rPr>
        <w:t xml:space="preserve">la que se </w:t>
      </w:r>
      <w:r w:rsidR="00A0228A">
        <w:rPr>
          <w:szCs w:val="26"/>
        </w:rPr>
        <w:t>está</w:t>
      </w:r>
      <w:r w:rsidR="000C03F5" w:rsidRPr="00A0407B">
        <w:rPr>
          <w:szCs w:val="26"/>
        </w:rPr>
        <w:t xml:space="preserve"> decantado ADIF.</w:t>
      </w:r>
    </w:p>
    <w:p w:rsidR="004F71AD" w:rsidRPr="00A0407B" w:rsidRDefault="009F7283" w:rsidP="00DF71D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Según nos indican desde </w:t>
      </w:r>
      <w:r w:rsidR="001C7B9F" w:rsidRPr="00A0407B">
        <w:rPr>
          <w:szCs w:val="26"/>
        </w:rPr>
        <w:t xml:space="preserve">la Dirección </w:t>
      </w:r>
      <w:r w:rsidR="00FE740F" w:rsidRPr="00A0407B">
        <w:rPr>
          <w:szCs w:val="26"/>
        </w:rPr>
        <w:t>G</w:t>
      </w:r>
      <w:r w:rsidR="001C7B9F" w:rsidRPr="00A0407B">
        <w:rPr>
          <w:szCs w:val="26"/>
        </w:rPr>
        <w:t>eneral de Obras Públicas</w:t>
      </w:r>
      <w:r w:rsidRPr="00A0407B">
        <w:rPr>
          <w:szCs w:val="26"/>
        </w:rPr>
        <w:t>, la pr</w:t>
      </w:r>
      <w:r w:rsidRPr="00A0407B">
        <w:rPr>
          <w:szCs w:val="26"/>
        </w:rPr>
        <w:t>e</w:t>
      </w:r>
      <w:r w:rsidRPr="00A0407B">
        <w:rPr>
          <w:szCs w:val="26"/>
        </w:rPr>
        <w:t>tensión del Estado es no modificar la cuantía económica total del tramo de Ca</w:t>
      </w:r>
      <w:r w:rsidRPr="00A0407B">
        <w:rPr>
          <w:szCs w:val="26"/>
        </w:rPr>
        <w:t>s</w:t>
      </w:r>
      <w:r w:rsidRPr="00A0407B">
        <w:rPr>
          <w:szCs w:val="26"/>
        </w:rPr>
        <w:t xml:space="preserve">tejón-Comarca de Pamplona, cuantificada en 675 millones. Por ello, desde el Departamento se está estudiando una reestructuración del gasto previsto en ese tramo teniendo en cuenta los costes reales y compensarlos con un menor gasto en el subtramo 5 Campanas-Esquiroz. </w:t>
      </w:r>
      <w:r w:rsidR="001C7B9F" w:rsidRPr="00A0407B">
        <w:rPr>
          <w:szCs w:val="26"/>
        </w:rPr>
        <w:t xml:space="preserve">Esta </w:t>
      </w:r>
      <w:r w:rsidRPr="00A0407B">
        <w:rPr>
          <w:szCs w:val="26"/>
        </w:rPr>
        <w:t>reducción de gasto</w:t>
      </w:r>
      <w:r w:rsidR="00CC4BC9" w:rsidRPr="00A0407B">
        <w:rPr>
          <w:szCs w:val="26"/>
        </w:rPr>
        <w:t xml:space="preserve"> </w:t>
      </w:r>
      <w:r w:rsidR="00D104A3" w:rsidRPr="00A0407B">
        <w:rPr>
          <w:szCs w:val="26"/>
        </w:rPr>
        <w:t xml:space="preserve">en este </w:t>
      </w:r>
      <w:r w:rsidRPr="00A0407B">
        <w:rPr>
          <w:szCs w:val="26"/>
        </w:rPr>
        <w:t>subtr</w:t>
      </w:r>
      <w:r w:rsidRPr="00A0407B">
        <w:rPr>
          <w:szCs w:val="26"/>
        </w:rPr>
        <w:t>a</w:t>
      </w:r>
      <w:r w:rsidR="00D104A3" w:rsidRPr="00A0407B">
        <w:rPr>
          <w:szCs w:val="26"/>
        </w:rPr>
        <w:lastRenderedPageBreak/>
        <w:t>mo</w:t>
      </w:r>
      <w:r w:rsidRPr="00A0407B">
        <w:rPr>
          <w:szCs w:val="26"/>
        </w:rPr>
        <w:t xml:space="preserve">, </w:t>
      </w:r>
      <w:r w:rsidR="00CC4BC9" w:rsidRPr="00A0407B">
        <w:rPr>
          <w:szCs w:val="26"/>
        </w:rPr>
        <w:t xml:space="preserve">y </w:t>
      </w:r>
      <w:r w:rsidRPr="00A0407B">
        <w:rPr>
          <w:szCs w:val="26"/>
        </w:rPr>
        <w:t>dado que es el que presenta un mayor coste por sus especiales condici</w:t>
      </w:r>
      <w:r w:rsidRPr="00A0407B">
        <w:rPr>
          <w:szCs w:val="26"/>
        </w:rPr>
        <w:t>o</w:t>
      </w:r>
      <w:r w:rsidRPr="00A0407B">
        <w:rPr>
          <w:szCs w:val="26"/>
        </w:rPr>
        <w:t>nes geológicas y técnicas, adaptar la vía existente a una vía con tercer carril. Esta solución implica que no se resolvería el problema de vía única al menos en ese subtra</w:t>
      </w:r>
      <w:r w:rsidR="00CC4BC9" w:rsidRPr="00A0407B">
        <w:rPr>
          <w:szCs w:val="26"/>
        </w:rPr>
        <w:t xml:space="preserve">mo </w:t>
      </w:r>
      <w:r w:rsidR="00677FCC" w:rsidRPr="00A0407B">
        <w:rPr>
          <w:szCs w:val="26"/>
        </w:rPr>
        <w:t xml:space="preserve">y </w:t>
      </w:r>
      <w:r w:rsidR="00CC4BC9" w:rsidRPr="00A0407B">
        <w:rPr>
          <w:szCs w:val="26"/>
        </w:rPr>
        <w:t>también</w:t>
      </w:r>
      <w:r w:rsidR="00677FCC" w:rsidRPr="00A0407B">
        <w:rPr>
          <w:szCs w:val="26"/>
        </w:rPr>
        <w:t>,</w:t>
      </w:r>
      <w:r w:rsidR="00CC4BC9" w:rsidRPr="00A0407B">
        <w:rPr>
          <w:szCs w:val="26"/>
        </w:rPr>
        <w:t xml:space="preserve"> según nos indica</w:t>
      </w:r>
      <w:r w:rsidR="00677FCC" w:rsidRPr="00A0407B">
        <w:rPr>
          <w:szCs w:val="26"/>
        </w:rPr>
        <w:t>n</w:t>
      </w:r>
      <w:r w:rsidR="00CC4BC9" w:rsidRPr="00A0407B">
        <w:rPr>
          <w:szCs w:val="26"/>
        </w:rPr>
        <w:t>, podrían plantearse problemas té</w:t>
      </w:r>
      <w:r w:rsidR="00CC4BC9" w:rsidRPr="00A0407B">
        <w:rPr>
          <w:szCs w:val="26"/>
        </w:rPr>
        <w:t>c</w:t>
      </w:r>
      <w:r w:rsidR="00CC4BC9" w:rsidRPr="00A0407B">
        <w:rPr>
          <w:szCs w:val="26"/>
        </w:rPr>
        <w:t>nicos relevantes para conectar la actual vía convencional con tercer carril con las instaladas en la nueva plataforma del corredor navarro.</w:t>
      </w:r>
    </w:p>
    <w:p w:rsidR="00847C26" w:rsidRPr="00A0407B" w:rsidRDefault="00847C26" w:rsidP="00DF71DE">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Así mis</w:t>
      </w:r>
      <w:r w:rsidR="00AE0B30" w:rsidRPr="00A0407B">
        <w:rPr>
          <w:szCs w:val="26"/>
        </w:rPr>
        <w:t xml:space="preserve">mo se ha </w:t>
      </w:r>
      <w:r w:rsidR="00144D15" w:rsidRPr="00A0407B">
        <w:rPr>
          <w:szCs w:val="26"/>
        </w:rPr>
        <w:t>lanzado</w:t>
      </w:r>
      <w:r w:rsidR="00AE0B30" w:rsidRPr="00A0407B">
        <w:rPr>
          <w:szCs w:val="26"/>
        </w:rPr>
        <w:t xml:space="preserve"> la posibilidad de instalar un tercer carril en el tramo Zuasti-Vitoria, con el fin de agilizar la conexión con la Y vasca.</w:t>
      </w:r>
    </w:p>
    <w:p w:rsidR="009D6BBA" w:rsidRPr="00A0407B" w:rsidRDefault="009D6BBA" w:rsidP="00A95DE6">
      <w:pPr>
        <w:pStyle w:val="texto"/>
        <w:tabs>
          <w:tab w:val="clear" w:pos="2835"/>
          <w:tab w:val="clear" w:pos="3969"/>
          <w:tab w:val="clear" w:pos="5103"/>
          <w:tab w:val="clear" w:pos="6237"/>
          <w:tab w:val="clear" w:pos="7371"/>
        </w:tabs>
        <w:spacing w:after="240"/>
        <w:rPr>
          <w:szCs w:val="26"/>
        </w:rPr>
      </w:pPr>
      <w:r w:rsidRPr="00A0407B">
        <w:rPr>
          <w:szCs w:val="26"/>
        </w:rPr>
        <w:t>Por último, desde ADIF se está estudiando</w:t>
      </w:r>
      <w:r w:rsidR="00DF5923" w:rsidRPr="00A0407B">
        <w:rPr>
          <w:szCs w:val="26"/>
        </w:rPr>
        <w:t>,</w:t>
      </w:r>
      <w:r w:rsidRPr="00A0407B">
        <w:rPr>
          <w:szCs w:val="26"/>
        </w:rPr>
        <w:t xml:space="preserve"> como otra alternativa</w:t>
      </w:r>
      <w:r w:rsidR="00DF5923" w:rsidRPr="00A0407B">
        <w:rPr>
          <w:szCs w:val="26"/>
        </w:rPr>
        <w:t xml:space="preserve">, que se </w:t>
      </w:r>
      <w:r w:rsidRPr="00A0407B">
        <w:rPr>
          <w:szCs w:val="26"/>
        </w:rPr>
        <w:t>d</w:t>
      </w:r>
      <w:r w:rsidRPr="00A0407B">
        <w:rPr>
          <w:szCs w:val="26"/>
        </w:rPr>
        <w:t>o</w:t>
      </w:r>
      <w:r w:rsidRPr="00A0407B">
        <w:rPr>
          <w:szCs w:val="26"/>
        </w:rPr>
        <w:t>te</w:t>
      </w:r>
      <w:r w:rsidR="00DF5923" w:rsidRPr="00A0407B">
        <w:rPr>
          <w:szCs w:val="26"/>
        </w:rPr>
        <w:t xml:space="preserve"> a los propios trenes </w:t>
      </w:r>
      <w:r w:rsidRPr="00A0407B">
        <w:rPr>
          <w:szCs w:val="26"/>
        </w:rPr>
        <w:t>de</w:t>
      </w:r>
      <w:r w:rsidR="00DF5923" w:rsidRPr="00A0407B">
        <w:rPr>
          <w:szCs w:val="26"/>
        </w:rPr>
        <w:t xml:space="preserve"> intercambiadores automáticos de tecnología avanzada para circular por las vías de dis</w:t>
      </w:r>
      <w:r w:rsidR="004D47CA" w:rsidRPr="00A0407B">
        <w:rPr>
          <w:szCs w:val="26"/>
        </w:rPr>
        <w:t>tinto ancho. En este supuesto</w:t>
      </w:r>
      <w:r w:rsidR="00A46E3A" w:rsidRPr="00A0407B">
        <w:rPr>
          <w:szCs w:val="26"/>
        </w:rPr>
        <w:t>,</w:t>
      </w:r>
      <w:r w:rsidR="004D47CA" w:rsidRPr="00A0407B">
        <w:rPr>
          <w:szCs w:val="26"/>
        </w:rPr>
        <w:t xml:space="preserve"> </w:t>
      </w:r>
      <w:r w:rsidR="00D86F7D" w:rsidRPr="00A0407B">
        <w:rPr>
          <w:szCs w:val="26"/>
        </w:rPr>
        <w:t>el coste de tal adaptación se traslada al operador ferroviario</w:t>
      </w:r>
      <w:r w:rsidR="00DF5923" w:rsidRPr="00A0407B">
        <w:rPr>
          <w:szCs w:val="26"/>
        </w:rPr>
        <w:t>.</w:t>
      </w:r>
    </w:p>
    <w:p w:rsidR="00757C0A" w:rsidRPr="00F845BD" w:rsidRDefault="00757C0A" w:rsidP="00F845BD">
      <w:pPr>
        <w:pStyle w:val="texto"/>
        <w:tabs>
          <w:tab w:val="clear" w:pos="2835"/>
          <w:tab w:val="clear" w:pos="3969"/>
          <w:tab w:val="clear" w:pos="5103"/>
          <w:tab w:val="clear" w:pos="6237"/>
          <w:tab w:val="clear" w:pos="7371"/>
        </w:tabs>
        <w:spacing w:after="240"/>
        <w:rPr>
          <w:szCs w:val="26"/>
        </w:rPr>
      </w:pPr>
      <w:r>
        <w:br w:type="page"/>
      </w:r>
    </w:p>
    <w:p w:rsidR="00D47E15" w:rsidRDefault="000F0638" w:rsidP="000F0638">
      <w:pPr>
        <w:pStyle w:val="atitulo1"/>
      </w:pPr>
      <w:bookmarkStart w:id="29" w:name="_Toc467480860"/>
      <w:r>
        <w:lastRenderedPageBreak/>
        <w:t xml:space="preserve">V. </w:t>
      </w:r>
      <w:r w:rsidR="00E2727A">
        <w:t>Conclusi</w:t>
      </w:r>
      <w:r w:rsidR="004B619E">
        <w:t xml:space="preserve">ón </w:t>
      </w:r>
      <w:r w:rsidR="00E2727A">
        <w:t>y r</w:t>
      </w:r>
      <w:r w:rsidR="00D47E15" w:rsidRPr="00D47E15">
        <w:t>eflexiones finales</w:t>
      </w:r>
      <w:bookmarkEnd w:id="29"/>
    </w:p>
    <w:p w:rsidR="00D0272C" w:rsidRPr="00A0228A" w:rsidRDefault="00D0272C" w:rsidP="00D47E15">
      <w:pPr>
        <w:pStyle w:val="texto"/>
        <w:tabs>
          <w:tab w:val="clear" w:pos="2835"/>
          <w:tab w:val="clear" w:pos="3969"/>
          <w:tab w:val="clear" w:pos="5103"/>
          <w:tab w:val="clear" w:pos="6237"/>
          <w:tab w:val="clear" w:pos="7371"/>
        </w:tabs>
        <w:rPr>
          <w:szCs w:val="26"/>
        </w:rPr>
      </w:pPr>
      <w:r w:rsidRPr="00A0228A">
        <w:rPr>
          <w:szCs w:val="26"/>
        </w:rPr>
        <w:t>A modo de resumen a continuación se emiten una serie de conclusiones s</w:t>
      </w:r>
      <w:r w:rsidRPr="00A0228A">
        <w:rPr>
          <w:szCs w:val="26"/>
        </w:rPr>
        <w:t>o</w:t>
      </w:r>
      <w:r w:rsidRPr="00A0228A">
        <w:rPr>
          <w:szCs w:val="26"/>
        </w:rPr>
        <w:t>bre la situación de las obras del corredor navarr</w:t>
      </w:r>
      <w:r w:rsidR="00E2727A" w:rsidRPr="00A0228A">
        <w:rPr>
          <w:szCs w:val="26"/>
        </w:rPr>
        <w:t>o</w:t>
      </w:r>
      <w:r w:rsidRPr="00A0228A">
        <w:rPr>
          <w:szCs w:val="26"/>
        </w:rPr>
        <w:t xml:space="preserve"> del TAV</w:t>
      </w:r>
      <w:r w:rsidR="00A878A1">
        <w:rPr>
          <w:szCs w:val="26"/>
        </w:rPr>
        <w:t>,</w:t>
      </w:r>
      <w:r w:rsidRPr="00A0228A">
        <w:rPr>
          <w:szCs w:val="26"/>
        </w:rPr>
        <w:t xml:space="preserve"> así como unas r</w:t>
      </w:r>
      <w:r w:rsidRPr="00A0228A">
        <w:rPr>
          <w:szCs w:val="26"/>
        </w:rPr>
        <w:t>e</w:t>
      </w:r>
      <w:r w:rsidRPr="00A0228A">
        <w:rPr>
          <w:szCs w:val="26"/>
        </w:rPr>
        <w:t>flexiones finales sobre las mismas.</w:t>
      </w:r>
      <w:r w:rsidR="000C03F5" w:rsidRPr="00A0228A">
        <w:rPr>
          <w:szCs w:val="26"/>
        </w:rPr>
        <w:t xml:space="preserve"> Así, </w:t>
      </w:r>
    </w:p>
    <w:p w:rsidR="00194E92" w:rsidRPr="00A0407B" w:rsidRDefault="00D0272C" w:rsidP="00D47E15">
      <w:pPr>
        <w:pStyle w:val="texto"/>
        <w:tabs>
          <w:tab w:val="clear" w:pos="2835"/>
          <w:tab w:val="clear" w:pos="3969"/>
          <w:tab w:val="clear" w:pos="5103"/>
          <w:tab w:val="clear" w:pos="6237"/>
          <w:tab w:val="clear" w:pos="7371"/>
        </w:tabs>
        <w:rPr>
          <w:szCs w:val="26"/>
        </w:rPr>
      </w:pPr>
      <w:r w:rsidRPr="00A878A1">
        <w:rPr>
          <w:b/>
          <w:szCs w:val="26"/>
        </w:rPr>
        <w:t>1</w:t>
      </w:r>
      <w:r w:rsidR="00A878A1" w:rsidRPr="00A878A1">
        <w:rPr>
          <w:b/>
          <w:szCs w:val="26"/>
        </w:rPr>
        <w:t>.</w:t>
      </w:r>
      <w:r w:rsidRPr="00A878A1">
        <w:rPr>
          <w:b/>
          <w:szCs w:val="26"/>
        </w:rPr>
        <w:t>ª</w:t>
      </w:r>
      <w:r w:rsidRPr="00A0407B">
        <w:rPr>
          <w:szCs w:val="26"/>
        </w:rPr>
        <w:t xml:space="preserve"> </w:t>
      </w:r>
      <w:r w:rsidR="00194E92" w:rsidRPr="00A0407B">
        <w:rPr>
          <w:szCs w:val="26"/>
        </w:rPr>
        <w:t>Las decisiones fundamentales</w:t>
      </w:r>
      <w:r w:rsidR="00C12516" w:rsidRPr="00A0407B">
        <w:rPr>
          <w:szCs w:val="26"/>
        </w:rPr>
        <w:t xml:space="preserve"> a todos los niveles</w:t>
      </w:r>
      <w:r w:rsidR="00194E92" w:rsidRPr="00A0407B">
        <w:rPr>
          <w:szCs w:val="26"/>
        </w:rPr>
        <w:t xml:space="preserve"> sobre esta infraestruct</w:t>
      </w:r>
      <w:r w:rsidR="00194E92" w:rsidRPr="00A0407B">
        <w:rPr>
          <w:szCs w:val="26"/>
        </w:rPr>
        <w:t>u</w:t>
      </w:r>
      <w:r w:rsidR="00194E92" w:rsidRPr="00A0407B">
        <w:rPr>
          <w:szCs w:val="26"/>
        </w:rPr>
        <w:t>ra son competencia del Estado</w:t>
      </w:r>
      <w:r w:rsidR="00C12516" w:rsidRPr="00A0407B">
        <w:rPr>
          <w:szCs w:val="26"/>
        </w:rPr>
        <w:t>, quedando escaso margen de maniobra al G</w:t>
      </w:r>
      <w:r w:rsidR="00C12516" w:rsidRPr="00A0407B">
        <w:rPr>
          <w:szCs w:val="26"/>
        </w:rPr>
        <w:t>o</w:t>
      </w:r>
      <w:r w:rsidR="00C12516" w:rsidRPr="00A0407B">
        <w:rPr>
          <w:szCs w:val="26"/>
        </w:rPr>
        <w:t>bierno de Navarra</w:t>
      </w:r>
      <w:r w:rsidR="001C7B9F" w:rsidRPr="00A0407B">
        <w:rPr>
          <w:szCs w:val="26"/>
        </w:rPr>
        <w:t xml:space="preserve"> en función de su capacidad de negociación</w:t>
      </w:r>
      <w:r w:rsidR="00C12516" w:rsidRPr="00A0407B">
        <w:rPr>
          <w:szCs w:val="26"/>
        </w:rPr>
        <w:t>.</w:t>
      </w:r>
    </w:p>
    <w:p w:rsidR="00C12516" w:rsidRPr="00A0407B" w:rsidRDefault="00C12516" w:rsidP="00D47E15">
      <w:pPr>
        <w:pStyle w:val="texto"/>
        <w:tabs>
          <w:tab w:val="clear" w:pos="2835"/>
          <w:tab w:val="clear" w:pos="3969"/>
          <w:tab w:val="clear" w:pos="5103"/>
          <w:tab w:val="clear" w:pos="6237"/>
          <w:tab w:val="clear" w:pos="7371"/>
        </w:tabs>
        <w:rPr>
          <w:szCs w:val="26"/>
        </w:rPr>
      </w:pPr>
      <w:r w:rsidRPr="00A878A1">
        <w:rPr>
          <w:b/>
          <w:szCs w:val="26"/>
        </w:rPr>
        <w:t>2</w:t>
      </w:r>
      <w:r w:rsidR="00A878A1" w:rsidRPr="00A878A1">
        <w:rPr>
          <w:b/>
          <w:szCs w:val="26"/>
        </w:rPr>
        <w:t>.</w:t>
      </w:r>
      <w:r w:rsidRPr="00A878A1">
        <w:rPr>
          <w:b/>
          <w:szCs w:val="26"/>
        </w:rPr>
        <w:t>ª</w:t>
      </w:r>
      <w:r w:rsidRPr="00A0407B">
        <w:rPr>
          <w:szCs w:val="26"/>
        </w:rPr>
        <w:t xml:space="preserve"> El corredor navarro</w:t>
      </w:r>
      <w:r w:rsidR="001C7B9F" w:rsidRPr="00A0407B">
        <w:rPr>
          <w:szCs w:val="26"/>
        </w:rPr>
        <w:t xml:space="preserve">, como el </w:t>
      </w:r>
      <w:r w:rsidRPr="00A0407B">
        <w:rPr>
          <w:szCs w:val="26"/>
        </w:rPr>
        <w:t>resto de obras del AVE en el conjunto del Estado</w:t>
      </w:r>
      <w:r w:rsidR="001C7B9F" w:rsidRPr="00A0407B">
        <w:rPr>
          <w:szCs w:val="26"/>
        </w:rPr>
        <w:t>,</w:t>
      </w:r>
      <w:r w:rsidRPr="00A0407B">
        <w:rPr>
          <w:szCs w:val="26"/>
        </w:rPr>
        <w:t xml:space="preserve"> se </w:t>
      </w:r>
      <w:r w:rsidR="004D4D07" w:rsidRPr="00A0407B">
        <w:rPr>
          <w:szCs w:val="26"/>
        </w:rPr>
        <w:t>plante</w:t>
      </w:r>
      <w:r w:rsidR="001C7B9F" w:rsidRPr="00A0407B">
        <w:rPr>
          <w:szCs w:val="26"/>
        </w:rPr>
        <w:t>ó</w:t>
      </w:r>
      <w:r w:rsidR="004D4D07" w:rsidRPr="00A0407B">
        <w:rPr>
          <w:szCs w:val="26"/>
        </w:rPr>
        <w:t xml:space="preserve"> o diseñ</w:t>
      </w:r>
      <w:r w:rsidR="001C7B9F" w:rsidRPr="00A0407B">
        <w:rPr>
          <w:szCs w:val="26"/>
        </w:rPr>
        <w:t>ó</w:t>
      </w:r>
      <w:r w:rsidRPr="00A0407B">
        <w:rPr>
          <w:szCs w:val="26"/>
        </w:rPr>
        <w:t xml:space="preserve"> en una época de bonanza económica en las finanzas públicas. Los efectos </w:t>
      </w:r>
      <w:r w:rsidR="00103B8A" w:rsidRPr="00A0407B">
        <w:rPr>
          <w:szCs w:val="26"/>
        </w:rPr>
        <w:t>que sobre</w:t>
      </w:r>
      <w:r w:rsidR="004D4D07" w:rsidRPr="00A0407B">
        <w:rPr>
          <w:szCs w:val="26"/>
        </w:rPr>
        <w:t xml:space="preserve"> estas finanzas </w:t>
      </w:r>
      <w:r w:rsidR="00103B8A" w:rsidRPr="00A0407B">
        <w:rPr>
          <w:szCs w:val="26"/>
        </w:rPr>
        <w:t>ha provocado</w:t>
      </w:r>
      <w:r w:rsidRPr="00A0407B">
        <w:rPr>
          <w:szCs w:val="26"/>
        </w:rPr>
        <w:t xml:space="preserve"> la crisis económica general y las exigencias de la normativa europea de estabilidad presupuestaria</w:t>
      </w:r>
      <w:r w:rsidR="00103B8A" w:rsidRPr="00A0407B">
        <w:rPr>
          <w:szCs w:val="26"/>
        </w:rPr>
        <w:t>,</w:t>
      </w:r>
      <w:r w:rsidRPr="00A0407B">
        <w:rPr>
          <w:szCs w:val="26"/>
        </w:rPr>
        <w:t xml:space="preserve"> han incidido de manera relevante en </w:t>
      </w:r>
      <w:r w:rsidR="00F23A10" w:rsidRPr="00A0407B">
        <w:rPr>
          <w:szCs w:val="26"/>
        </w:rPr>
        <w:t>su</w:t>
      </w:r>
      <w:r w:rsidRPr="00A0407B">
        <w:rPr>
          <w:szCs w:val="26"/>
        </w:rPr>
        <w:t xml:space="preserve"> ralentización</w:t>
      </w:r>
      <w:r w:rsidR="00F23A10" w:rsidRPr="00A0407B">
        <w:rPr>
          <w:szCs w:val="26"/>
        </w:rPr>
        <w:t xml:space="preserve"> y/o paralización</w:t>
      </w:r>
      <w:r w:rsidR="00A878A1">
        <w:rPr>
          <w:szCs w:val="26"/>
        </w:rPr>
        <w:t>, lo mi</w:t>
      </w:r>
      <w:r w:rsidR="00A878A1">
        <w:rPr>
          <w:szCs w:val="26"/>
        </w:rPr>
        <w:t>s</w:t>
      </w:r>
      <w:r w:rsidR="00A878A1">
        <w:rPr>
          <w:szCs w:val="26"/>
        </w:rPr>
        <w:t>mos que en e</w:t>
      </w:r>
      <w:r w:rsidRPr="00A0407B">
        <w:rPr>
          <w:szCs w:val="26"/>
        </w:rPr>
        <w:t>l resto de obra</w:t>
      </w:r>
      <w:r w:rsidR="00A878A1">
        <w:rPr>
          <w:szCs w:val="26"/>
        </w:rPr>
        <w:t>s</w:t>
      </w:r>
      <w:r w:rsidRPr="00A0407B">
        <w:rPr>
          <w:szCs w:val="26"/>
        </w:rPr>
        <w:t xml:space="preserve"> pública</w:t>
      </w:r>
      <w:r w:rsidR="00A878A1">
        <w:rPr>
          <w:szCs w:val="26"/>
        </w:rPr>
        <w:t>s.</w:t>
      </w:r>
      <w:r w:rsidR="004D4D07" w:rsidRPr="00A0407B">
        <w:rPr>
          <w:szCs w:val="26"/>
        </w:rPr>
        <w:t xml:space="preserve"> </w:t>
      </w:r>
    </w:p>
    <w:p w:rsidR="004D4D07" w:rsidRPr="00A0407B" w:rsidRDefault="004D4D07" w:rsidP="00D47E15">
      <w:pPr>
        <w:pStyle w:val="texto"/>
        <w:tabs>
          <w:tab w:val="clear" w:pos="2835"/>
          <w:tab w:val="clear" w:pos="3969"/>
          <w:tab w:val="clear" w:pos="5103"/>
          <w:tab w:val="clear" w:pos="6237"/>
          <w:tab w:val="clear" w:pos="7371"/>
        </w:tabs>
        <w:rPr>
          <w:szCs w:val="26"/>
        </w:rPr>
      </w:pPr>
      <w:r w:rsidRPr="00A878A1">
        <w:rPr>
          <w:b/>
          <w:szCs w:val="26"/>
        </w:rPr>
        <w:t>3</w:t>
      </w:r>
      <w:r w:rsidR="00A878A1" w:rsidRPr="00A878A1">
        <w:rPr>
          <w:b/>
          <w:szCs w:val="26"/>
        </w:rPr>
        <w:t>.</w:t>
      </w:r>
      <w:r w:rsidR="00194E92" w:rsidRPr="00A878A1">
        <w:rPr>
          <w:b/>
          <w:szCs w:val="26"/>
        </w:rPr>
        <w:t>ª</w:t>
      </w:r>
      <w:r w:rsidR="00194E92" w:rsidRPr="00A0407B">
        <w:rPr>
          <w:szCs w:val="26"/>
        </w:rPr>
        <w:t xml:space="preserve"> </w:t>
      </w:r>
      <w:r w:rsidR="00D0272C" w:rsidRPr="00A0407B">
        <w:rPr>
          <w:szCs w:val="26"/>
        </w:rPr>
        <w:t xml:space="preserve">El </w:t>
      </w:r>
      <w:r w:rsidRPr="00A0407B">
        <w:rPr>
          <w:szCs w:val="26"/>
        </w:rPr>
        <w:t>vigente</w:t>
      </w:r>
      <w:r w:rsidR="00D0272C" w:rsidRPr="00A0407B">
        <w:rPr>
          <w:szCs w:val="26"/>
        </w:rPr>
        <w:t xml:space="preserve"> marco regulador</w:t>
      </w:r>
      <w:r w:rsidRPr="00A0407B">
        <w:rPr>
          <w:szCs w:val="26"/>
        </w:rPr>
        <w:t xml:space="preserve"> entre el Estado y Navarra para</w:t>
      </w:r>
      <w:r w:rsidR="00D0272C" w:rsidRPr="00A0407B">
        <w:rPr>
          <w:szCs w:val="26"/>
        </w:rPr>
        <w:t xml:space="preserve"> las obras del citado corredor</w:t>
      </w:r>
      <w:r w:rsidR="00392690">
        <w:rPr>
          <w:szCs w:val="26"/>
        </w:rPr>
        <w:t xml:space="preserve"> </w:t>
      </w:r>
      <w:r w:rsidR="00D0272C" w:rsidRPr="00A0407B">
        <w:rPr>
          <w:szCs w:val="26"/>
        </w:rPr>
        <w:t xml:space="preserve"> es incompleto, está desfasado en cuanto a plazos y costes</w:t>
      </w:r>
      <w:r w:rsidRPr="00A0407B">
        <w:rPr>
          <w:szCs w:val="26"/>
        </w:rPr>
        <w:t xml:space="preserve"> y r</w:t>
      </w:r>
      <w:r w:rsidRPr="00A0407B">
        <w:rPr>
          <w:szCs w:val="26"/>
        </w:rPr>
        <w:t>e</w:t>
      </w:r>
      <w:r w:rsidRPr="00A0407B">
        <w:rPr>
          <w:szCs w:val="26"/>
        </w:rPr>
        <w:t>sulta de imposible cumplimiento. Así:</w:t>
      </w:r>
    </w:p>
    <w:p w:rsidR="00191711" w:rsidRPr="00F845BD" w:rsidRDefault="004D4D07" w:rsidP="00F845BD">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spacing w:after="0"/>
        <w:ind w:left="0" w:firstLine="289"/>
        <w:rPr>
          <w:szCs w:val="26"/>
        </w:rPr>
      </w:pPr>
      <w:r w:rsidRPr="00A0407B">
        <w:rPr>
          <w:szCs w:val="26"/>
        </w:rPr>
        <w:t>Es incompleto, dado que solo el tramo Castejón-Comarca de Pamplona ti</w:t>
      </w:r>
      <w:r w:rsidRPr="00A0407B">
        <w:rPr>
          <w:szCs w:val="26"/>
        </w:rPr>
        <w:t>e</w:t>
      </w:r>
      <w:r w:rsidRPr="00A0407B">
        <w:rPr>
          <w:szCs w:val="26"/>
        </w:rPr>
        <w:t>ne definidos plazos y dotaciones económicas. El tramo de</w:t>
      </w:r>
      <w:r w:rsidR="00392690">
        <w:rPr>
          <w:szCs w:val="26"/>
        </w:rPr>
        <w:t xml:space="preserve"> la Comarca de</w:t>
      </w:r>
      <w:r w:rsidRPr="00A0407B">
        <w:rPr>
          <w:szCs w:val="26"/>
        </w:rPr>
        <w:t xml:space="preserve"> Pa</w:t>
      </w:r>
      <w:r w:rsidRPr="00A0407B">
        <w:rPr>
          <w:szCs w:val="26"/>
        </w:rPr>
        <w:t>m</w:t>
      </w:r>
      <w:r w:rsidRPr="00A0407B">
        <w:rPr>
          <w:szCs w:val="26"/>
        </w:rPr>
        <w:t>plona se limita a un mero protocolo de intenciones</w:t>
      </w:r>
      <w:r w:rsidR="009A61BF">
        <w:rPr>
          <w:szCs w:val="26"/>
        </w:rPr>
        <w:t xml:space="preserve">, aunque se ha presentado una </w:t>
      </w:r>
      <w:r w:rsidR="005402DC">
        <w:rPr>
          <w:szCs w:val="26"/>
        </w:rPr>
        <w:t>estimación del importe</w:t>
      </w:r>
      <w:r w:rsidR="009A61BF">
        <w:rPr>
          <w:szCs w:val="26"/>
        </w:rPr>
        <w:t xml:space="preserve"> de la inversión precisa</w:t>
      </w:r>
      <w:r w:rsidRPr="00A0407B">
        <w:rPr>
          <w:szCs w:val="26"/>
        </w:rPr>
        <w:t>. Y las conexiones sur y norte del corredor navarro, fundamental</w:t>
      </w:r>
      <w:r w:rsidR="00790C12" w:rsidRPr="00A0407B">
        <w:rPr>
          <w:szCs w:val="26"/>
        </w:rPr>
        <w:t>es</w:t>
      </w:r>
      <w:r w:rsidRPr="00A0407B">
        <w:rPr>
          <w:szCs w:val="26"/>
        </w:rPr>
        <w:t xml:space="preserve"> para rentabilizar</w:t>
      </w:r>
      <w:r w:rsidR="00F23A10" w:rsidRPr="00A0407B">
        <w:rPr>
          <w:szCs w:val="26"/>
        </w:rPr>
        <w:t xml:space="preserve"> social y económicamente</w:t>
      </w:r>
      <w:r w:rsidRPr="00A0407B">
        <w:rPr>
          <w:szCs w:val="26"/>
        </w:rPr>
        <w:t xml:space="preserve"> y dar </w:t>
      </w:r>
      <w:r w:rsidR="00AE60CB" w:rsidRPr="00A0407B">
        <w:rPr>
          <w:szCs w:val="26"/>
        </w:rPr>
        <w:t>coherencia</w:t>
      </w:r>
      <w:r w:rsidRPr="00A0407B">
        <w:rPr>
          <w:szCs w:val="26"/>
        </w:rPr>
        <w:t xml:space="preserve"> a la inversión, no están en absoluto concretad</w:t>
      </w:r>
      <w:r w:rsidR="00790C12" w:rsidRPr="00A0407B">
        <w:rPr>
          <w:szCs w:val="26"/>
        </w:rPr>
        <w:t>as</w:t>
      </w:r>
      <w:r w:rsidR="00AE60CB" w:rsidRPr="00A0407B">
        <w:rPr>
          <w:szCs w:val="26"/>
        </w:rPr>
        <w:t xml:space="preserve"> o desarroll</w:t>
      </w:r>
      <w:r w:rsidR="00AE60CB" w:rsidRPr="00A0407B">
        <w:rPr>
          <w:szCs w:val="26"/>
        </w:rPr>
        <w:t>a</w:t>
      </w:r>
      <w:r w:rsidR="00AE60CB" w:rsidRPr="00A0407B">
        <w:rPr>
          <w:szCs w:val="26"/>
        </w:rPr>
        <w:t>d</w:t>
      </w:r>
      <w:r w:rsidR="00694BB0" w:rsidRPr="00A0407B">
        <w:rPr>
          <w:szCs w:val="26"/>
        </w:rPr>
        <w:t>as</w:t>
      </w:r>
      <w:r w:rsidRPr="00A0407B">
        <w:rPr>
          <w:szCs w:val="26"/>
        </w:rPr>
        <w:t>.</w:t>
      </w:r>
      <w:r w:rsidR="00191711">
        <w:rPr>
          <w:szCs w:val="26"/>
        </w:rPr>
        <w:t xml:space="preserve"> En resumen</w:t>
      </w:r>
      <w:r w:rsidR="00191711">
        <w:rPr>
          <w:szCs w:val="26"/>
          <w:lang w:val="es-ES"/>
        </w:rPr>
        <w:t>, los tramos navarros presentan la siguiente situación</w:t>
      </w:r>
      <w:r w:rsidR="00CF4A2F">
        <w:rPr>
          <w:szCs w:val="26"/>
          <w:lang w:val="es-ES"/>
        </w:rPr>
        <w:t xml:space="preserve"> en cuanto a dotación económica</w:t>
      </w:r>
      <w:r w:rsidR="007C49A1">
        <w:rPr>
          <w:szCs w:val="26"/>
          <w:lang w:val="es-ES"/>
        </w:rPr>
        <w:t xml:space="preserve"> y plazos</w:t>
      </w:r>
      <w:r w:rsidR="009A61BF">
        <w:rPr>
          <w:szCs w:val="26"/>
          <w:lang w:val="es-ES"/>
        </w:rPr>
        <w:t>:</w:t>
      </w:r>
    </w:p>
    <w:p w:rsidR="00F845BD" w:rsidRPr="00F845BD" w:rsidRDefault="00F845BD" w:rsidP="00F845BD">
      <w:pPr>
        <w:pStyle w:val="texto"/>
        <w:tabs>
          <w:tab w:val="clear" w:pos="2835"/>
          <w:tab w:val="clear" w:pos="3969"/>
          <w:tab w:val="clear" w:pos="5103"/>
          <w:tab w:val="clear" w:pos="6237"/>
          <w:tab w:val="clear" w:pos="7371"/>
          <w:tab w:val="left" w:pos="480"/>
          <w:tab w:val="num" w:pos="4920"/>
        </w:tabs>
        <w:spacing w:after="40"/>
        <w:jc w:val="right"/>
        <w:rPr>
          <w:rFonts w:ascii="Arial Narrow" w:hAnsi="Arial Narrow"/>
          <w:sz w:val="18"/>
          <w:szCs w:val="18"/>
        </w:rPr>
      </w:pPr>
    </w:p>
    <w:tbl>
      <w:tblPr>
        <w:tblW w:w="8929" w:type="dxa"/>
        <w:jc w:val="center"/>
        <w:tblCellMar>
          <w:left w:w="70" w:type="dxa"/>
          <w:right w:w="70" w:type="dxa"/>
        </w:tblCellMar>
        <w:tblLook w:val="04A0" w:firstRow="1" w:lastRow="0" w:firstColumn="1" w:lastColumn="0" w:noHBand="0" w:noVBand="1"/>
      </w:tblPr>
      <w:tblGrid>
        <w:gridCol w:w="4323"/>
        <w:gridCol w:w="2410"/>
        <w:gridCol w:w="2196"/>
      </w:tblGrid>
      <w:tr w:rsidR="00F67036" w:rsidRPr="00393628" w:rsidTr="00F67036">
        <w:trPr>
          <w:trHeight w:val="284"/>
          <w:jc w:val="center"/>
        </w:trPr>
        <w:tc>
          <w:tcPr>
            <w:tcW w:w="4323" w:type="dxa"/>
            <w:tcBorders>
              <w:top w:val="single" w:sz="4" w:space="0" w:color="auto"/>
              <w:bottom w:val="single" w:sz="4" w:space="0" w:color="auto"/>
            </w:tcBorders>
            <w:shd w:val="clear" w:color="auto" w:fill="A8CBEE" w:themeFill="accent2" w:themeFillTint="66"/>
            <w:vAlign w:val="center"/>
            <w:hideMark/>
          </w:tcPr>
          <w:p w:rsidR="00F67036" w:rsidRPr="00393628" w:rsidRDefault="00F67036" w:rsidP="00191711">
            <w:pPr>
              <w:pStyle w:val="cuadroCabe"/>
              <w:jc w:val="left"/>
              <w:rPr>
                <w:rFonts w:cs="Arial"/>
              </w:rPr>
            </w:pPr>
            <w:r>
              <w:rPr>
                <w:rFonts w:cs="Arial"/>
              </w:rPr>
              <w:t>Tramo TAV corredor navarro</w:t>
            </w:r>
          </w:p>
        </w:tc>
        <w:tc>
          <w:tcPr>
            <w:tcW w:w="2410" w:type="dxa"/>
            <w:tcBorders>
              <w:top w:val="single" w:sz="4" w:space="0" w:color="auto"/>
              <w:bottom w:val="single" w:sz="4" w:space="0" w:color="auto"/>
            </w:tcBorders>
            <w:shd w:val="clear" w:color="auto" w:fill="A8CBEE" w:themeFill="accent2" w:themeFillTint="66"/>
            <w:vAlign w:val="center"/>
            <w:hideMark/>
          </w:tcPr>
          <w:p w:rsidR="00F67036" w:rsidRDefault="00F67036" w:rsidP="002E3750">
            <w:pPr>
              <w:pStyle w:val="cuadroCabe"/>
              <w:jc w:val="right"/>
              <w:rPr>
                <w:rFonts w:cs="Arial"/>
              </w:rPr>
            </w:pPr>
            <w:r>
              <w:rPr>
                <w:rFonts w:cs="Arial"/>
              </w:rPr>
              <w:t>Dotación económica</w:t>
            </w:r>
          </w:p>
          <w:p w:rsidR="00F67036" w:rsidRPr="00393628" w:rsidRDefault="00F67036" w:rsidP="002E3750">
            <w:pPr>
              <w:pStyle w:val="cuadroCabe"/>
              <w:jc w:val="right"/>
              <w:rPr>
                <w:rFonts w:cs="Arial"/>
              </w:rPr>
            </w:pPr>
            <w:r>
              <w:rPr>
                <w:rFonts w:cs="Arial"/>
              </w:rPr>
              <w:t>(en millones)</w:t>
            </w:r>
          </w:p>
        </w:tc>
        <w:tc>
          <w:tcPr>
            <w:tcW w:w="2196" w:type="dxa"/>
            <w:tcBorders>
              <w:top w:val="single" w:sz="4" w:space="0" w:color="auto"/>
              <w:bottom w:val="single" w:sz="4" w:space="0" w:color="auto"/>
            </w:tcBorders>
            <w:shd w:val="clear" w:color="auto" w:fill="A8CBEE" w:themeFill="accent2" w:themeFillTint="66"/>
            <w:vAlign w:val="center"/>
          </w:tcPr>
          <w:p w:rsidR="00F67036" w:rsidRDefault="00F67036" w:rsidP="002E3750">
            <w:pPr>
              <w:pStyle w:val="cuadroCabe"/>
              <w:jc w:val="right"/>
              <w:rPr>
                <w:rFonts w:cs="Arial"/>
              </w:rPr>
            </w:pPr>
            <w:r>
              <w:rPr>
                <w:rFonts w:cs="Arial"/>
              </w:rPr>
              <w:t>Plazo de ejecución</w:t>
            </w:r>
          </w:p>
          <w:p w:rsidR="00F67036" w:rsidRDefault="00F67036" w:rsidP="002E3750">
            <w:pPr>
              <w:pStyle w:val="cuadroCabe"/>
              <w:jc w:val="right"/>
              <w:rPr>
                <w:rFonts w:cs="Arial"/>
              </w:rPr>
            </w:pPr>
            <w:r>
              <w:rPr>
                <w:rFonts w:cs="Arial"/>
              </w:rPr>
              <w:t>previsto</w:t>
            </w:r>
          </w:p>
        </w:tc>
      </w:tr>
      <w:tr w:rsidR="00F67036" w:rsidRPr="00393628" w:rsidTr="00F67036">
        <w:trPr>
          <w:trHeight w:val="284"/>
          <w:jc w:val="center"/>
        </w:trPr>
        <w:tc>
          <w:tcPr>
            <w:tcW w:w="4323" w:type="dxa"/>
            <w:tcBorders>
              <w:top w:val="single" w:sz="4" w:space="0" w:color="auto"/>
              <w:bottom w:val="single" w:sz="2" w:space="0" w:color="auto"/>
            </w:tcBorders>
            <w:noWrap/>
            <w:vAlign w:val="center"/>
          </w:tcPr>
          <w:p w:rsidR="00F67036" w:rsidRPr="00191711" w:rsidRDefault="00F67036" w:rsidP="00191711">
            <w:pPr>
              <w:spacing w:after="0"/>
              <w:ind w:firstLine="0"/>
              <w:jc w:val="left"/>
              <w:rPr>
                <w:rFonts w:ascii="Arial Narrow" w:hAnsi="Arial Narrow" w:cs="Arial"/>
                <w:lang w:val="es-ES" w:eastAsia="es-ES"/>
              </w:rPr>
            </w:pPr>
            <w:r w:rsidRPr="00191711">
              <w:rPr>
                <w:rFonts w:ascii="Arial Narrow" w:hAnsi="Arial Narrow" w:cs="Arial"/>
                <w:lang w:val="es-ES" w:eastAsia="es-ES"/>
              </w:rPr>
              <w:t>Tramo Plasencia de Jalón (Zaragoza)-Castejón</w:t>
            </w:r>
          </w:p>
        </w:tc>
        <w:tc>
          <w:tcPr>
            <w:tcW w:w="2410" w:type="dxa"/>
            <w:tcBorders>
              <w:top w:val="single" w:sz="4" w:space="0" w:color="auto"/>
              <w:bottom w:val="single" w:sz="2" w:space="0" w:color="auto"/>
            </w:tcBorders>
            <w:noWrap/>
            <w:vAlign w:val="center"/>
          </w:tcPr>
          <w:p w:rsidR="00F67036" w:rsidRPr="00393628"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Sin dotación</w:t>
            </w:r>
          </w:p>
        </w:tc>
        <w:tc>
          <w:tcPr>
            <w:tcW w:w="2196" w:type="dxa"/>
            <w:tcBorders>
              <w:top w:val="single" w:sz="4" w:space="0" w:color="auto"/>
              <w:bottom w:val="single" w:sz="2" w:space="0" w:color="auto"/>
            </w:tcBorders>
            <w:vAlign w:val="center"/>
          </w:tcPr>
          <w:p w:rsidR="00F67036"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Sin plazo</w:t>
            </w:r>
            <w:r w:rsidR="00DD2184">
              <w:rPr>
                <w:rFonts w:ascii="Arial Narrow" w:hAnsi="Arial Narrow" w:cs="Arial"/>
                <w:sz w:val="18"/>
                <w:szCs w:val="18"/>
                <w:lang w:val="es-ES" w:eastAsia="es-ES"/>
              </w:rPr>
              <w:t xml:space="preserve"> fijado</w:t>
            </w:r>
          </w:p>
        </w:tc>
      </w:tr>
      <w:tr w:rsidR="00F67036" w:rsidRPr="00393628" w:rsidTr="00F67036">
        <w:trPr>
          <w:trHeight w:val="284"/>
          <w:jc w:val="center"/>
        </w:trPr>
        <w:tc>
          <w:tcPr>
            <w:tcW w:w="4323" w:type="dxa"/>
            <w:tcBorders>
              <w:top w:val="single" w:sz="2" w:space="0" w:color="auto"/>
              <w:bottom w:val="single" w:sz="2" w:space="0" w:color="auto"/>
            </w:tcBorders>
            <w:noWrap/>
            <w:vAlign w:val="center"/>
          </w:tcPr>
          <w:p w:rsidR="00F67036" w:rsidRPr="00191711" w:rsidRDefault="00F67036" w:rsidP="00191711">
            <w:pPr>
              <w:spacing w:after="0"/>
              <w:ind w:firstLine="0"/>
              <w:jc w:val="left"/>
              <w:rPr>
                <w:rFonts w:ascii="Arial Narrow" w:hAnsi="Arial Narrow" w:cs="Arial"/>
                <w:lang w:val="es-ES" w:eastAsia="es-ES"/>
              </w:rPr>
            </w:pPr>
            <w:r w:rsidRPr="00191711">
              <w:rPr>
                <w:rFonts w:ascii="Arial Narrow" w:hAnsi="Arial Narrow" w:cs="Arial"/>
                <w:lang w:val="es-ES" w:eastAsia="es-ES"/>
              </w:rPr>
              <w:t>Tramo Castejón-Comarca de Pamplona (Esquiroz)</w:t>
            </w:r>
          </w:p>
        </w:tc>
        <w:tc>
          <w:tcPr>
            <w:tcW w:w="2410" w:type="dxa"/>
            <w:tcBorders>
              <w:top w:val="single" w:sz="2" w:space="0" w:color="auto"/>
              <w:bottom w:val="single" w:sz="2" w:space="0" w:color="auto"/>
            </w:tcBorders>
            <w:noWrap/>
            <w:vAlign w:val="center"/>
          </w:tcPr>
          <w:p w:rsidR="00F67036" w:rsidRPr="00393628"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675</w:t>
            </w:r>
          </w:p>
        </w:tc>
        <w:tc>
          <w:tcPr>
            <w:tcW w:w="2196" w:type="dxa"/>
            <w:tcBorders>
              <w:top w:val="single" w:sz="2" w:space="0" w:color="auto"/>
              <w:bottom w:val="single" w:sz="2" w:space="0" w:color="auto"/>
            </w:tcBorders>
            <w:vAlign w:val="center"/>
          </w:tcPr>
          <w:p w:rsidR="00F67036"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2015</w:t>
            </w:r>
          </w:p>
        </w:tc>
      </w:tr>
      <w:tr w:rsidR="00F67036" w:rsidRPr="00393628" w:rsidTr="00F67036">
        <w:trPr>
          <w:trHeight w:val="284"/>
          <w:jc w:val="center"/>
        </w:trPr>
        <w:tc>
          <w:tcPr>
            <w:tcW w:w="4323" w:type="dxa"/>
            <w:tcBorders>
              <w:top w:val="single" w:sz="2" w:space="0" w:color="auto"/>
              <w:bottom w:val="single" w:sz="2" w:space="0" w:color="auto"/>
            </w:tcBorders>
            <w:noWrap/>
            <w:vAlign w:val="center"/>
          </w:tcPr>
          <w:p w:rsidR="00F67036" w:rsidRPr="00191711" w:rsidRDefault="00F67036" w:rsidP="00191711">
            <w:pPr>
              <w:spacing w:after="0"/>
              <w:ind w:firstLine="0"/>
              <w:jc w:val="left"/>
              <w:rPr>
                <w:rFonts w:ascii="Arial Narrow" w:hAnsi="Arial Narrow" w:cs="Arial"/>
                <w:lang w:val="es-ES" w:eastAsia="es-ES"/>
              </w:rPr>
            </w:pPr>
            <w:r w:rsidRPr="00191711">
              <w:rPr>
                <w:rFonts w:ascii="Arial Narrow" w:hAnsi="Arial Narrow" w:cs="Arial"/>
                <w:lang w:val="es-ES" w:eastAsia="es-ES"/>
              </w:rPr>
              <w:t>Comarca de Pamplona</w:t>
            </w:r>
          </w:p>
        </w:tc>
        <w:tc>
          <w:tcPr>
            <w:tcW w:w="2410" w:type="dxa"/>
            <w:tcBorders>
              <w:top w:val="single" w:sz="2" w:space="0" w:color="auto"/>
              <w:bottom w:val="single" w:sz="2" w:space="0" w:color="auto"/>
            </w:tcBorders>
            <w:noWrap/>
            <w:vAlign w:val="center"/>
          </w:tcPr>
          <w:p w:rsidR="00F67036" w:rsidRPr="00393628"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110</w:t>
            </w:r>
          </w:p>
        </w:tc>
        <w:tc>
          <w:tcPr>
            <w:tcW w:w="2196" w:type="dxa"/>
            <w:tcBorders>
              <w:top w:val="single" w:sz="2" w:space="0" w:color="auto"/>
              <w:bottom w:val="single" w:sz="2" w:space="0" w:color="auto"/>
            </w:tcBorders>
            <w:vAlign w:val="center"/>
          </w:tcPr>
          <w:p w:rsidR="00F67036"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Sin plazo</w:t>
            </w:r>
            <w:r w:rsidR="00DD2184">
              <w:rPr>
                <w:rFonts w:ascii="Arial Narrow" w:hAnsi="Arial Narrow" w:cs="Arial"/>
                <w:sz w:val="18"/>
                <w:szCs w:val="18"/>
                <w:lang w:val="es-ES" w:eastAsia="es-ES"/>
              </w:rPr>
              <w:t xml:space="preserve"> fijado</w:t>
            </w:r>
          </w:p>
        </w:tc>
      </w:tr>
      <w:tr w:rsidR="00F67036" w:rsidRPr="00393628" w:rsidTr="00F67036">
        <w:trPr>
          <w:trHeight w:val="284"/>
          <w:jc w:val="center"/>
        </w:trPr>
        <w:tc>
          <w:tcPr>
            <w:tcW w:w="4323" w:type="dxa"/>
            <w:tcBorders>
              <w:top w:val="single" w:sz="2" w:space="0" w:color="auto"/>
              <w:bottom w:val="single" w:sz="2" w:space="0" w:color="auto"/>
            </w:tcBorders>
            <w:noWrap/>
            <w:vAlign w:val="center"/>
          </w:tcPr>
          <w:p w:rsidR="00F67036" w:rsidRPr="00191711" w:rsidRDefault="00F67036" w:rsidP="00191711">
            <w:pPr>
              <w:spacing w:after="0"/>
              <w:ind w:firstLine="0"/>
              <w:jc w:val="left"/>
              <w:rPr>
                <w:rFonts w:ascii="Arial Narrow" w:hAnsi="Arial Narrow" w:cs="Arial"/>
                <w:lang w:val="es-ES" w:eastAsia="es-ES"/>
              </w:rPr>
            </w:pPr>
            <w:r w:rsidRPr="00191711">
              <w:rPr>
                <w:rFonts w:ascii="Arial Narrow" w:hAnsi="Arial Narrow" w:cs="Arial"/>
                <w:lang w:val="es-ES" w:eastAsia="es-ES"/>
              </w:rPr>
              <w:t>Pamplona (Zuasti) con la “Y” vasca</w:t>
            </w:r>
          </w:p>
        </w:tc>
        <w:tc>
          <w:tcPr>
            <w:tcW w:w="2410" w:type="dxa"/>
            <w:tcBorders>
              <w:top w:val="single" w:sz="2" w:space="0" w:color="auto"/>
              <w:bottom w:val="single" w:sz="2" w:space="0" w:color="auto"/>
            </w:tcBorders>
            <w:noWrap/>
            <w:vAlign w:val="center"/>
          </w:tcPr>
          <w:p w:rsidR="00F67036" w:rsidRPr="00393628"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Sin dotación</w:t>
            </w:r>
          </w:p>
        </w:tc>
        <w:tc>
          <w:tcPr>
            <w:tcW w:w="2196" w:type="dxa"/>
            <w:tcBorders>
              <w:top w:val="single" w:sz="2" w:space="0" w:color="auto"/>
              <w:bottom w:val="single" w:sz="2" w:space="0" w:color="auto"/>
            </w:tcBorders>
            <w:vAlign w:val="center"/>
          </w:tcPr>
          <w:p w:rsidR="00F67036" w:rsidRDefault="00F67036" w:rsidP="00191711">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Sin plazo</w:t>
            </w:r>
            <w:r w:rsidR="00DD2184">
              <w:rPr>
                <w:rFonts w:ascii="Arial Narrow" w:hAnsi="Arial Narrow" w:cs="Arial"/>
                <w:sz w:val="18"/>
                <w:szCs w:val="18"/>
                <w:lang w:val="es-ES" w:eastAsia="es-ES"/>
              </w:rPr>
              <w:t xml:space="preserve"> fijado</w:t>
            </w:r>
          </w:p>
        </w:tc>
      </w:tr>
    </w:tbl>
    <w:p w:rsidR="00191711" w:rsidRPr="00191711" w:rsidRDefault="00191711" w:rsidP="00F845BD">
      <w:pPr>
        <w:pStyle w:val="texto"/>
        <w:tabs>
          <w:tab w:val="clear" w:pos="2835"/>
          <w:tab w:val="clear" w:pos="3969"/>
          <w:tab w:val="clear" w:pos="5103"/>
          <w:tab w:val="clear" w:pos="6237"/>
          <w:tab w:val="clear" w:pos="7371"/>
          <w:tab w:val="left" w:pos="480"/>
          <w:tab w:val="num" w:pos="4920"/>
        </w:tabs>
        <w:spacing w:after="0"/>
        <w:ind w:left="289" w:firstLine="0"/>
        <w:rPr>
          <w:szCs w:val="26"/>
          <w:lang w:val="es-ES"/>
        </w:rPr>
      </w:pPr>
    </w:p>
    <w:p w:rsidR="00AE60CB" w:rsidRPr="00A0407B" w:rsidRDefault="00AE60CB" w:rsidP="00727B1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 xml:space="preserve">La estimación de costes </w:t>
      </w:r>
      <w:r w:rsidR="00694BB0" w:rsidRPr="00A0407B">
        <w:rPr>
          <w:szCs w:val="26"/>
        </w:rPr>
        <w:t xml:space="preserve">esbozada </w:t>
      </w:r>
      <w:r w:rsidRPr="00A0407B">
        <w:rPr>
          <w:szCs w:val="26"/>
        </w:rPr>
        <w:t>en el tramo de Castejón-Comarca de Pamplona se hizo mediante estudios previos in</w:t>
      </w:r>
      <w:r w:rsidR="007308FE" w:rsidRPr="00A0407B">
        <w:rPr>
          <w:szCs w:val="26"/>
        </w:rPr>
        <w:t>i</w:t>
      </w:r>
      <w:r w:rsidRPr="00A0407B">
        <w:rPr>
          <w:szCs w:val="26"/>
        </w:rPr>
        <w:t>ciales que contemplaban excl</w:t>
      </w:r>
      <w:r w:rsidRPr="00A0407B">
        <w:rPr>
          <w:szCs w:val="26"/>
        </w:rPr>
        <w:t>u</w:t>
      </w:r>
      <w:r w:rsidRPr="00A0407B">
        <w:rPr>
          <w:szCs w:val="26"/>
        </w:rPr>
        <w:t>sivamente el transpor</w:t>
      </w:r>
      <w:r w:rsidR="00727B16" w:rsidRPr="00A0407B">
        <w:rPr>
          <w:szCs w:val="26"/>
        </w:rPr>
        <w:t>te</w:t>
      </w:r>
      <w:r w:rsidRPr="00A0407B">
        <w:rPr>
          <w:szCs w:val="26"/>
        </w:rPr>
        <w:t xml:space="preserve"> de viajeros, cuando todo el corredor se ha planteado</w:t>
      </w:r>
      <w:r w:rsidR="00727B16" w:rsidRPr="00A0407B">
        <w:rPr>
          <w:szCs w:val="26"/>
        </w:rPr>
        <w:t xml:space="preserve"> y proyectado</w:t>
      </w:r>
      <w:r w:rsidRPr="00A0407B">
        <w:rPr>
          <w:szCs w:val="26"/>
        </w:rPr>
        <w:t xml:space="preserve"> además para mercancías</w:t>
      </w:r>
      <w:r w:rsidR="00727B16" w:rsidRPr="00A0407B">
        <w:rPr>
          <w:szCs w:val="26"/>
        </w:rPr>
        <w:t>, lo que incrementa</w:t>
      </w:r>
      <w:r w:rsidR="002261A0" w:rsidRPr="00A0407B">
        <w:rPr>
          <w:szCs w:val="26"/>
        </w:rPr>
        <w:t xml:space="preserve"> ese coste inicial</w:t>
      </w:r>
      <w:r w:rsidR="00727B16" w:rsidRPr="00A0407B">
        <w:rPr>
          <w:szCs w:val="26"/>
        </w:rPr>
        <w:t xml:space="preserve"> de forma relevante</w:t>
      </w:r>
      <w:r w:rsidR="00790C12" w:rsidRPr="00A0407B">
        <w:rPr>
          <w:szCs w:val="26"/>
        </w:rPr>
        <w:t>; a</w:t>
      </w:r>
      <w:r w:rsidRPr="00A0407B">
        <w:rPr>
          <w:szCs w:val="26"/>
        </w:rPr>
        <w:t>sí mismo ha incidido en este desfase de costes, los dos a</w:t>
      </w:r>
      <w:r w:rsidRPr="00A0407B">
        <w:rPr>
          <w:szCs w:val="26"/>
        </w:rPr>
        <w:t>u</w:t>
      </w:r>
      <w:r w:rsidRPr="00A0407B">
        <w:rPr>
          <w:szCs w:val="26"/>
        </w:rPr>
        <w:t>mentos del tipo de IVA aplicados en los últimos años</w:t>
      </w:r>
      <w:r w:rsidR="001B7B59">
        <w:rPr>
          <w:szCs w:val="26"/>
        </w:rPr>
        <w:t xml:space="preserve"> </w:t>
      </w:r>
      <w:r w:rsidR="001B7B59" w:rsidRPr="009729B8">
        <w:rPr>
          <w:szCs w:val="26"/>
        </w:rPr>
        <w:t>así como las exigencias derivadas de la Declaración de Impacto Ambiental</w:t>
      </w:r>
      <w:r w:rsidRPr="009729B8">
        <w:rPr>
          <w:szCs w:val="26"/>
        </w:rPr>
        <w:t>.</w:t>
      </w:r>
      <w:r w:rsidR="00965AB4" w:rsidRPr="00A0407B">
        <w:rPr>
          <w:szCs w:val="26"/>
        </w:rPr>
        <w:t xml:space="preserve"> No obstante, se ha observ</w:t>
      </w:r>
      <w:r w:rsidR="00965AB4" w:rsidRPr="00A0407B">
        <w:rPr>
          <w:szCs w:val="26"/>
        </w:rPr>
        <w:t>a</w:t>
      </w:r>
      <w:r w:rsidR="00965AB4" w:rsidRPr="00A0407B">
        <w:rPr>
          <w:szCs w:val="26"/>
        </w:rPr>
        <w:t>do que</w:t>
      </w:r>
      <w:r w:rsidR="00790C12" w:rsidRPr="00A0407B">
        <w:rPr>
          <w:szCs w:val="26"/>
        </w:rPr>
        <w:t>,</w:t>
      </w:r>
      <w:r w:rsidR="00965AB4" w:rsidRPr="00A0407B">
        <w:rPr>
          <w:szCs w:val="26"/>
        </w:rPr>
        <w:t xml:space="preserve"> en el único tramo concluido, el gasto real ha sido inferior al previsto</w:t>
      </w:r>
      <w:r w:rsidR="00790C12" w:rsidRPr="00A0407B">
        <w:rPr>
          <w:szCs w:val="26"/>
        </w:rPr>
        <w:t>; tal situación viene justificada</w:t>
      </w:r>
      <w:r w:rsidR="00965AB4" w:rsidRPr="00A0407B">
        <w:rPr>
          <w:szCs w:val="26"/>
        </w:rPr>
        <w:t>, básicamente, por las bajas en las ofertas que r</w:t>
      </w:r>
      <w:r w:rsidR="00965AB4" w:rsidRPr="00A0407B">
        <w:rPr>
          <w:szCs w:val="26"/>
        </w:rPr>
        <w:t>e</w:t>
      </w:r>
      <w:r w:rsidR="00965AB4" w:rsidRPr="00A0407B">
        <w:rPr>
          <w:szCs w:val="26"/>
        </w:rPr>
        <w:lastRenderedPageBreak/>
        <w:t>sultaron adjudicatarias de las obras</w:t>
      </w:r>
      <w:r w:rsidR="00790C12" w:rsidRPr="00A0407B">
        <w:rPr>
          <w:szCs w:val="26"/>
        </w:rPr>
        <w:t>; en el actual contexto del sector de la con</w:t>
      </w:r>
      <w:r w:rsidR="00790C12" w:rsidRPr="00A0407B">
        <w:rPr>
          <w:szCs w:val="26"/>
        </w:rPr>
        <w:t>s</w:t>
      </w:r>
      <w:r w:rsidR="00790C12" w:rsidRPr="00A0407B">
        <w:rPr>
          <w:szCs w:val="26"/>
        </w:rPr>
        <w:t>trucción de obra pública, esta cuestión puede resultar relevante para compensar los defectos en el cálculo de las previsiones de coste</w:t>
      </w:r>
      <w:r w:rsidR="00965AB4" w:rsidRPr="00A0407B">
        <w:rPr>
          <w:szCs w:val="26"/>
        </w:rPr>
        <w:t xml:space="preserve">. </w:t>
      </w:r>
    </w:p>
    <w:p w:rsidR="00AE60CB" w:rsidRPr="006665E3" w:rsidRDefault="00AE60CB" w:rsidP="00727B1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pacing w:val="2"/>
          <w:szCs w:val="26"/>
        </w:rPr>
      </w:pPr>
      <w:r w:rsidRPr="006665E3">
        <w:rPr>
          <w:spacing w:val="2"/>
          <w:szCs w:val="26"/>
        </w:rPr>
        <w:t>La estimación de plazos no tuvo en cuenta los trámites administrativos prec</w:t>
      </w:r>
      <w:r w:rsidRPr="006665E3">
        <w:rPr>
          <w:spacing w:val="2"/>
          <w:szCs w:val="26"/>
        </w:rPr>
        <w:t>i</w:t>
      </w:r>
      <w:r w:rsidRPr="006665E3">
        <w:rPr>
          <w:spacing w:val="2"/>
          <w:szCs w:val="26"/>
        </w:rPr>
        <w:t>sos para el desarrollo y ejecución de una infraestructura de esta envergadura.</w:t>
      </w:r>
    </w:p>
    <w:p w:rsidR="00D7031C" w:rsidRPr="009729B8" w:rsidRDefault="0073016A" w:rsidP="00727B16">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9729B8">
        <w:rPr>
          <w:szCs w:val="26"/>
        </w:rPr>
        <w:t>E</w:t>
      </w:r>
      <w:r w:rsidR="00D7031C" w:rsidRPr="009729B8">
        <w:rPr>
          <w:szCs w:val="26"/>
        </w:rPr>
        <w:t>n tanto el Estado no apruebe el resto de proyectos básicos</w:t>
      </w:r>
      <w:r w:rsidR="008A1B9B" w:rsidRPr="009729B8">
        <w:rPr>
          <w:szCs w:val="26"/>
        </w:rPr>
        <w:t xml:space="preserve"> y </w:t>
      </w:r>
      <w:r w:rsidR="009729B8">
        <w:rPr>
          <w:szCs w:val="26"/>
        </w:rPr>
        <w:t>constructivos</w:t>
      </w:r>
      <w:r w:rsidR="00D7031C" w:rsidRPr="009729B8">
        <w:rPr>
          <w:szCs w:val="26"/>
        </w:rPr>
        <w:t xml:space="preserve"> de los tramos pendientes, </w:t>
      </w:r>
      <w:r w:rsidR="008A1988">
        <w:rPr>
          <w:szCs w:val="26"/>
        </w:rPr>
        <w:t xml:space="preserve">el Gobierno de Navarra no </w:t>
      </w:r>
      <w:r w:rsidR="00D7031C" w:rsidRPr="009729B8">
        <w:rPr>
          <w:szCs w:val="26"/>
        </w:rPr>
        <w:t xml:space="preserve">puede </w:t>
      </w:r>
      <w:r w:rsidR="008A1988">
        <w:rPr>
          <w:szCs w:val="26"/>
        </w:rPr>
        <w:t>continuar con la ejecución de las</w:t>
      </w:r>
      <w:r w:rsidR="00D7031C" w:rsidRPr="009729B8">
        <w:rPr>
          <w:szCs w:val="26"/>
        </w:rPr>
        <w:t xml:space="preserve"> obras de la plataforma</w:t>
      </w:r>
      <w:r w:rsidR="001E1A1C">
        <w:rPr>
          <w:szCs w:val="26"/>
        </w:rPr>
        <w:t xml:space="preserve"> en el tramo de Castejón-Comarca de Pamplona</w:t>
      </w:r>
      <w:r w:rsidR="008A1988">
        <w:rPr>
          <w:szCs w:val="26"/>
        </w:rPr>
        <w:t>.</w:t>
      </w:r>
    </w:p>
    <w:p w:rsidR="00727B16" w:rsidRPr="00A0407B" w:rsidRDefault="00727B16" w:rsidP="00E6105E">
      <w:pPr>
        <w:pStyle w:val="texto"/>
        <w:tabs>
          <w:tab w:val="clear" w:pos="2835"/>
          <w:tab w:val="clear" w:pos="3969"/>
          <w:tab w:val="clear" w:pos="5103"/>
          <w:tab w:val="clear" w:pos="6237"/>
          <w:tab w:val="clear" w:pos="7371"/>
        </w:tabs>
        <w:rPr>
          <w:szCs w:val="26"/>
        </w:rPr>
      </w:pPr>
      <w:r w:rsidRPr="00A0407B">
        <w:rPr>
          <w:szCs w:val="26"/>
        </w:rPr>
        <w:t>Como resultado final, se han incumplido los plazos en la ejecución del tramo Castejón-Comarca de Pamplona de forma taxativa y concluyente.</w:t>
      </w:r>
    </w:p>
    <w:p w:rsidR="00DD069C" w:rsidRDefault="00800E04" w:rsidP="002E3750">
      <w:pPr>
        <w:pStyle w:val="texto"/>
        <w:tabs>
          <w:tab w:val="clear" w:pos="2835"/>
          <w:tab w:val="clear" w:pos="3969"/>
          <w:tab w:val="clear" w:pos="5103"/>
          <w:tab w:val="clear" w:pos="6237"/>
          <w:tab w:val="clear" w:pos="7371"/>
        </w:tabs>
        <w:spacing w:after="240"/>
        <w:rPr>
          <w:szCs w:val="26"/>
        </w:rPr>
      </w:pPr>
      <w:r w:rsidRPr="00A878A1">
        <w:rPr>
          <w:b/>
          <w:szCs w:val="26"/>
        </w:rPr>
        <w:t>4</w:t>
      </w:r>
      <w:r w:rsidR="00A878A1" w:rsidRPr="00A878A1">
        <w:rPr>
          <w:b/>
          <w:szCs w:val="26"/>
        </w:rPr>
        <w:t>.</w:t>
      </w:r>
      <w:r w:rsidRPr="00A878A1">
        <w:rPr>
          <w:b/>
          <w:szCs w:val="26"/>
        </w:rPr>
        <w:t>ª</w:t>
      </w:r>
      <w:r w:rsidRPr="00A0407B">
        <w:rPr>
          <w:szCs w:val="26"/>
        </w:rPr>
        <w:t xml:space="preserve"> Hasta el 31 de diciembre de 2015, el Gobierno de Navarra h</w:t>
      </w:r>
      <w:r w:rsidR="001C7B9F" w:rsidRPr="00A0407B">
        <w:rPr>
          <w:szCs w:val="26"/>
        </w:rPr>
        <w:t>a realizado un</w:t>
      </w:r>
      <w:r w:rsidR="001F304F">
        <w:rPr>
          <w:szCs w:val="26"/>
        </w:rPr>
        <w:t>a inversión en la plataforma del TAV</w:t>
      </w:r>
      <w:r w:rsidR="001C7B9F" w:rsidRPr="00A0407B">
        <w:rPr>
          <w:szCs w:val="26"/>
        </w:rPr>
        <w:t xml:space="preserve"> </w:t>
      </w:r>
      <w:r w:rsidRPr="00A0407B">
        <w:rPr>
          <w:szCs w:val="26"/>
        </w:rPr>
        <w:t>de 81 millones</w:t>
      </w:r>
      <w:r w:rsidR="00DD069C">
        <w:rPr>
          <w:szCs w:val="26"/>
        </w:rPr>
        <w:t>; además</w:t>
      </w:r>
      <w:r w:rsidR="00D0285A" w:rsidRPr="00A0407B">
        <w:rPr>
          <w:szCs w:val="26"/>
        </w:rPr>
        <w:t xml:space="preserve"> ha asumido unos gastos financieros –no reintegrables por ADIF</w:t>
      </w:r>
      <w:r w:rsidR="00F845BD">
        <w:rPr>
          <w:szCs w:val="26"/>
        </w:rPr>
        <w:t>–</w:t>
      </w:r>
      <w:r w:rsidR="00D0285A" w:rsidRPr="00A0407B">
        <w:rPr>
          <w:szCs w:val="26"/>
        </w:rPr>
        <w:t xml:space="preserve"> estimados en cinco mill</w:t>
      </w:r>
      <w:r w:rsidR="00D0285A" w:rsidRPr="00A0407B">
        <w:rPr>
          <w:szCs w:val="26"/>
        </w:rPr>
        <w:t>o</w:t>
      </w:r>
      <w:r w:rsidR="00D0285A" w:rsidRPr="00A0407B">
        <w:rPr>
          <w:szCs w:val="26"/>
        </w:rPr>
        <w:t>nes de euros.</w:t>
      </w:r>
      <w:r w:rsidR="001F304F">
        <w:rPr>
          <w:szCs w:val="26"/>
        </w:rPr>
        <w:t xml:space="preserve"> Así, en el cuadro siguiente se muestra</w:t>
      </w:r>
      <w:r w:rsidR="002E3750">
        <w:rPr>
          <w:szCs w:val="26"/>
        </w:rPr>
        <w:t>n</w:t>
      </w:r>
      <w:r w:rsidR="001F304F">
        <w:rPr>
          <w:szCs w:val="26"/>
        </w:rPr>
        <w:t xml:space="preserve">, en millones, tales gastos: </w:t>
      </w:r>
      <w:r w:rsidR="00AE60CB" w:rsidRPr="00A0407B">
        <w:rPr>
          <w:szCs w:val="26"/>
        </w:rPr>
        <w:t xml:space="preserve"> </w:t>
      </w:r>
    </w:p>
    <w:tbl>
      <w:tblPr>
        <w:tblW w:w="8702" w:type="dxa"/>
        <w:jc w:val="center"/>
        <w:tblCellMar>
          <w:left w:w="70" w:type="dxa"/>
          <w:right w:w="70" w:type="dxa"/>
        </w:tblCellMar>
        <w:tblLook w:val="04A0" w:firstRow="1" w:lastRow="0" w:firstColumn="1" w:lastColumn="0" w:noHBand="0" w:noVBand="1"/>
      </w:tblPr>
      <w:tblGrid>
        <w:gridCol w:w="6850"/>
        <w:gridCol w:w="1852"/>
      </w:tblGrid>
      <w:tr w:rsidR="001F304F" w:rsidRPr="00393628" w:rsidTr="002E3750">
        <w:trPr>
          <w:trHeight w:val="255"/>
          <w:jc w:val="center"/>
        </w:trPr>
        <w:tc>
          <w:tcPr>
            <w:tcW w:w="6850" w:type="dxa"/>
            <w:tcBorders>
              <w:top w:val="single" w:sz="4" w:space="0" w:color="auto"/>
              <w:bottom w:val="single" w:sz="4" w:space="0" w:color="auto"/>
            </w:tcBorders>
            <w:shd w:val="clear" w:color="auto" w:fill="A8CBEE" w:themeFill="accent2" w:themeFillTint="66"/>
            <w:vAlign w:val="center"/>
            <w:hideMark/>
          </w:tcPr>
          <w:p w:rsidR="001F304F" w:rsidRPr="00393628" w:rsidRDefault="00103B8A" w:rsidP="00DD069C">
            <w:pPr>
              <w:pStyle w:val="cuadroCabe"/>
              <w:jc w:val="left"/>
              <w:rPr>
                <w:rFonts w:cs="Arial"/>
              </w:rPr>
            </w:pPr>
            <w:r w:rsidRPr="00A0407B">
              <w:rPr>
                <w:szCs w:val="26"/>
              </w:rPr>
              <w:t xml:space="preserve"> </w:t>
            </w:r>
            <w:r w:rsidR="001F304F">
              <w:rPr>
                <w:rFonts w:cs="Arial"/>
              </w:rPr>
              <w:t>Gasto en el TAV del Gobierno de Navarra hasta 2015</w:t>
            </w:r>
          </w:p>
        </w:tc>
        <w:tc>
          <w:tcPr>
            <w:tcW w:w="1852" w:type="dxa"/>
            <w:tcBorders>
              <w:top w:val="single" w:sz="4" w:space="0" w:color="auto"/>
              <w:bottom w:val="single" w:sz="4" w:space="0" w:color="auto"/>
            </w:tcBorders>
            <w:shd w:val="clear" w:color="auto" w:fill="A8CBEE" w:themeFill="accent2" w:themeFillTint="66"/>
            <w:vAlign w:val="center"/>
            <w:hideMark/>
          </w:tcPr>
          <w:p w:rsidR="001F304F" w:rsidRPr="00393628" w:rsidRDefault="001F304F" w:rsidP="00DD069C">
            <w:pPr>
              <w:pStyle w:val="cuadroCabe"/>
              <w:jc w:val="right"/>
              <w:rPr>
                <w:rFonts w:cs="Arial"/>
              </w:rPr>
            </w:pPr>
            <w:r>
              <w:rPr>
                <w:rFonts w:cs="Arial"/>
              </w:rPr>
              <w:t>Importe</w:t>
            </w:r>
          </w:p>
        </w:tc>
      </w:tr>
      <w:tr w:rsidR="001F304F" w:rsidRPr="0027487F" w:rsidTr="002E3750">
        <w:trPr>
          <w:trHeight w:val="300"/>
          <w:jc w:val="center"/>
        </w:trPr>
        <w:tc>
          <w:tcPr>
            <w:tcW w:w="6850" w:type="dxa"/>
            <w:tcBorders>
              <w:top w:val="single" w:sz="4" w:space="0" w:color="auto"/>
              <w:bottom w:val="single" w:sz="4" w:space="0" w:color="auto"/>
            </w:tcBorders>
            <w:noWrap/>
            <w:vAlign w:val="center"/>
          </w:tcPr>
          <w:p w:rsidR="001F304F" w:rsidRPr="0027487F" w:rsidRDefault="001F304F" w:rsidP="00DD069C">
            <w:pPr>
              <w:spacing w:after="0"/>
              <w:ind w:firstLine="0"/>
              <w:jc w:val="left"/>
              <w:rPr>
                <w:rFonts w:ascii="Arial Narrow" w:hAnsi="Arial Narrow" w:cs="Arial"/>
                <w:lang w:val="es-ES" w:eastAsia="es-ES"/>
              </w:rPr>
            </w:pPr>
            <w:r w:rsidRPr="0027487F">
              <w:rPr>
                <w:rFonts w:ascii="Arial Narrow" w:hAnsi="Arial Narrow" w:cs="Arial"/>
                <w:lang w:val="es-ES" w:eastAsia="es-ES"/>
              </w:rPr>
              <w:t xml:space="preserve">Inversión </w:t>
            </w:r>
            <w:r>
              <w:rPr>
                <w:rFonts w:ascii="Arial Narrow" w:hAnsi="Arial Narrow" w:cs="Arial"/>
                <w:lang w:val="es-ES" w:eastAsia="es-ES"/>
              </w:rPr>
              <w:t>plataforma</w:t>
            </w:r>
            <w:r w:rsidRPr="0027487F">
              <w:rPr>
                <w:rFonts w:ascii="Arial Narrow" w:hAnsi="Arial Narrow" w:cs="Arial"/>
                <w:lang w:val="es-ES" w:eastAsia="es-ES"/>
              </w:rPr>
              <w:t xml:space="preserve"> TAV ejecutada por el Gobierno de Navarra </w:t>
            </w:r>
          </w:p>
        </w:tc>
        <w:tc>
          <w:tcPr>
            <w:tcW w:w="1852" w:type="dxa"/>
            <w:tcBorders>
              <w:top w:val="single" w:sz="4" w:space="0" w:color="auto"/>
              <w:bottom w:val="single" w:sz="4" w:space="0" w:color="auto"/>
            </w:tcBorders>
            <w:noWrap/>
            <w:vAlign w:val="center"/>
          </w:tcPr>
          <w:p w:rsidR="001F304F" w:rsidRPr="0027487F" w:rsidRDefault="001F304F" w:rsidP="00DD069C">
            <w:pPr>
              <w:spacing w:after="0"/>
              <w:ind w:firstLine="0"/>
              <w:jc w:val="right"/>
              <w:rPr>
                <w:rFonts w:ascii="Arial Narrow" w:hAnsi="Arial Narrow" w:cs="Arial"/>
                <w:lang w:val="es-ES" w:eastAsia="es-ES"/>
              </w:rPr>
            </w:pPr>
            <w:r>
              <w:rPr>
                <w:rFonts w:ascii="Arial Narrow" w:hAnsi="Arial Narrow" w:cs="Arial"/>
                <w:lang w:val="es-ES" w:eastAsia="es-ES"/>
              </w:rPr>
              <w:t>81,09</w:t>
            </w:r>
          </w:p>
        </w:tc>
      </w:tr>
      <w:tr w:rsidR="001F304F" w:rsidRPr="0027487F" w:rsidTr="002E3750">
        <w:trPr>
          <w:trHeight w:val="300"/>
          <w:jc w:val="center"/>
        </w:trPr>
        <w:tc>
          <w:tcPr>
            <w:tcW w:w="6850" w:type="dxa"/>
            <w:tcBorders>
              <w:top w:val="single" w:sz="4" w:space="0" w:color="auto"/>
              <w:bottom w:val="single" w:sz="4" w:space="0" w:color="auto"/>
            </w:tcBorders>
            <w:noWrap/>
            <w:vAlign w:val="center"/>
          </w:tcPr>
          <w:p w:rsidR="001F304F" w:rsidRPr="0027487F" w:rsidRDefault="001F304F" w:rsidP="00DD069C">
            <w:pPr>
              <w:spacing w:after="0"/>
              <w:ind w:firstLine="0"/>
              <w:jc w:val="left"/>
              <w:rPr>
                <w:rFonts w:ascii="Arial Narrow" w:hAnsi="Arial Narrow" w:cs="Arial"/>
                <w:lang w:val="es-ES" w:eastAsia="es-ES"/>
              </w:rPr>
            </w:pPr>
            <w:r>
              <w:rPr>
                <w:rFonts w:ascii="Arial Narrow" w:hAnsi="Arial Narrow" w:cs="Arial"/>
                <w:lang w:val="es-ES" w:eastAsia="es-ES"/>
              </w:rPr>
              <w:t>Estimación del gasto financiero</w:t>
            </w:r>
          </w:p>
        </w:tc>
        <w:tc>
          <w:tcPr>
            <w:tcW w:w="1852" w:type="dxa"/>
            <w:tcBorders>
              <w:top w:val="single" w:sz="4" w:space="0" w:color="auto"/>
              <w:bottom w:val="single" w:sz="4" w:space="0" w:color="auto"/>
            </w:tcBorders>
            <w:noWrap/>
            <w:vAlign w:val="center"/>
          </w:tcPr>
          <w:p w:rsidR="001F304F" w:rsidRPr="0027487F" w:rsidRDefault="001F304F" w:rsidP="00DD069C">
            <w:pPr>
              <w:spacing w:after="0"/>
              <w:ind w:firstLine="0"/>
              <w:jc w:val="right"/>
              <w:rPr>
                <w:rFonts w:ascii="Arial Narrow" w:hAnsi="Arial Narrow" w:cs="Arial"/>
                <w:lang w:val="es-ES" w:eastAsia="es-ES"/>
              </w:rPr>
            </w:pPr>
            <w:r>
              <w:rPr>
                <w:rFonts w:ascii="Arial Narrow" w:hAnsi="Arial Narrow" w:cs="Arial"/>
                <w:lang w:val="es-ES" w:eastAsia="es-ES"/>
              </w:rPr>
              <w:t>5,12</w:t>
            </w:r>
          </w:p>
        </w:tc>
      </w:tr>
      <w:tr w:rsidR="001F304F" w:rsidRPr="00393628" w:rsidTr="002E3750">
        <w:trPr>
          <w:trHeight w:val="255"/>
          <w:jc w:val="center"/>
        </w:trPr>
        <w:tc>
          <w:tcPr>
            <w:tcW w:w="6850" w:type="dxa"/>
            <w:tcBorders>
              <w:top w:val="single" w:sz="4" w:space="0" w:color="auto"/>
              <w:bottom w:val="single" w:sz="4" w:space="0" w:color="auto"/>
            </w:tcBorders>
            <w:shd w:val="clear" w:color="auto" w:fill="ACCBF9" w:themeFill="background2"/>
            <w:noWrap/>
            <w:vAlign w:val="center"/>
          </w:tcPr>
          <w:p w:rsidR="001F304F" w:rsidRPr="00A175DA" w:rsidRDefault="001F304F" w:rsidP="00DD069C">
            <w:pPr>
              <w:pStyle w:val="cuadroCabe"/>
              <w:jc w:val="left"/>
              <w:rPr>
                <w:rFonts w:cs="Arial"/>
              </w:rPr>
            </w:pPr>
            <w:r w:rsidRPr="00A175DA">
              <w:rPr>
                <w:rFonts w:cs="Arial"/>
              </w:rPr>
              <w:t>Total</w:t>
            </w:r>
          </w:p>
        </w:tc>
        <w:tc>
          <w:tcPr>
            <w:tcW w:w="1852" w:type="dxa"/>
            <w:tcBorders>
              <w:top w:val="single" w:sz="4" w:space="0" w:color="auto"/>
              <w:bottom w:val="single" w:sz="4" w:space="0" w:color="auto"/>
            </w:tcBorders>
            <w:shd w:val="clear" w:color="auto" w:fill="ACCBF9" w:themeFill="background2"/>
            <w:noWrap/>
            <w:vAlign w:val="center"/>
          </w:tcPr>
          <w:p w:rsidR="001F304F" w:rsidRPr="00A175DA" w:rsidRDefault="001F304F" w:rsidP="00DD069C">
            <w:pPr>
              <w:pStyle w:val="cuadroCabe"/>
              <w:jc w:val="right"/>
              <w:rPr>
                <w:rFonts w:cs="Arial"/>
              </w:rPr>
            </w:pPr>
            <w:r>
              <w:rPr>
                <w:rFonts w:cs="Arial"/>
              </w:rPr>
              <w:t>86,21</w:t>
            </w:r>
          </w:p>
        </w:tc>
      </w:tr>
    </w:tbl>
    <w:p w:rsidR="00DD069C" w:rsidRDefault="001F304F" w:rsidP="002E3750">
      <w:pPr>
        <w:pStyle w:val="texto"/>
        <w:tabs>
          <w:tab w:val="clear" w:pos="2835"/>
          <w:tab w:val="clear" w:pos="3969"/>
          <w:tab w:val="clear" w:pos="5103"/>
          <w:tab w:val="clear" w:pos="6237"/>
          <w:tab w:val="clear" w:pos="7371"/>
        </w:tabs>
        <w:spacing w:before="180"/>
        <w:rPr>
          <w:szCs w:val="26"/>
        </w:rPr>
      </w:pPr>
      <w:r>
        <w:rPr>
          <w:szCs w:val="26"/>
        </w:rPr>
        <w:t>La entidad ADIF</w:t>
      </w:r>
      <w:r w:rsidRPr="00A0407B">
        <w:rPr>
          <w:szCs w:val="26"/>
        </w:rPr>
        <w:t xml:space="preserve"> ha reintegrado</w:t>
      </w:r>
      <w:r>
        <w:rPr>
          <w:szCs w:val="26"/>
        </w:rPr>
        <w:t xml:space="preserve"> hasta la fecha</w:t>
      </w:r>
      <w:r w:rsidRPr="00A0407B">
        <w:rPr>
          <w:szCs w:val="26"/>
        </w:rPr>
        <w:t xml:space="preserve"> un total de 35,65 millones</w:t>
      </w:r>
      <w:r w:rsidR="008F691D">
        <w:rPr>
          <w:szCs w:val="26"/>
        </w:rPr>
        <w:t>.</w:t>
      </w:r>
    </w:p>
    <w:p w:rsidR="000C03F5" w:rsidRPr="006665E3" w:rsidRDefault="00800E04" w:rsidP="007E0505">
      <w:pPr>
        <w:pStyle w:val="texto"/>
        <w:tabs>
          <w:tab w:val="clear" w:pos="2835"/>
          <w:tab w:val="clear" w:pos="3969"/>
          <w:tab w:val="clear" w:pos="5103"/>
          <w:tab w:val="clear" w:pos="6237"/>
          <w:tab w:val="clear" w:pos="7371"/>
        </w:tabs>
        <w:rPr>
          <w:spacing w:val="4"/>
          <w:szCs w:val="26"/>
        </w:rPr>
      </w:pPr>
      <w:r w:rsidRPr="00A878A1">
        <w:rPr>
          <w:b/>
          <w:szCs w:val="26"/>
        </w:rPr>
        <w:t>5</w:t>
      </w:r>
      <w:r w:rsidR="00A878A1" w:rsidRPr="00A878A1">
        <w:rPr>
          <w:b/>
          <w:szCs w:val="26"/>
        </w:rPr>
        <w:t>.</w:t>
      </w:r>
      <w:r w:rsidR="000C03F5" w:rsidRPr="00A878A1">
        <w:rPr>
          <w:b/>
          <w:szCs w:val="26"/>
        </w:rPr>
        <w:t>ª</w:t>
      </w:r>
      <w:r w:rsidR="000C03F5" w:rsidRPr="00A0407B">
        <w:rPr>
          <w:szCs w:val="26"/>
        </w:rPr>
        <w:t xml:space="preserve"> </w:t>
      </w:r>
      <w:r w:rsidR="001F304F" w:rsidRPr="006665E3">
        <w:rPr>
          <w:spacing w:val="4"/>
          <w:szCs w:val="26"/>
        </w:rPr>
        <w:t xml:space="preserve">A 31 de diciembre de 2015, </w:t>
      </w:r>
      <w:r w:rsidR="000C03F5" w:rsidRPr="006665E3">
        <w:rPr>
          <w:spacing w:val="4"/>
          <w:szCs w:val="26"/>
        </w:rPr>
        <w:t>las administraciones públicas</w:t>
      </w:r>
      <w:r w:rsidR="006A6480" w:rsidRPr="006665E3">
        <w:rPr>
          <w:rStyle w:val="Refdenotaalpie"/>
          <w:spacing w:val="4"/>
          <w:szCs w:val="26"/>
        </w:rPr>
        <w:footnoteReference w:id="5"/>
      </w:r>
      <w:r w:rsidR="000C03F5" w:rsidRPr="006665E3">
        <w:rPr>
          <w:spacing w:val="4"/>
          <w:szCs w:val="26"/>
        </w:rPr>
        <w:t xml:space="preserve">, especialmente el Gobierno de Navarra, </w:t>
      </w:r>
      <w:r w:rsidR="00D104A3" w:rsidRPr="006665E3">
        <w:rPr>
          <w:spacing w:val="4"/>
          <w:szCs w:val="26"/>
        </w:rPr>
        <w:t>han invertido</w:t>
      </w:r>
      <w:r w:rsidR="000C03F5" w:rsidRPr="006665E3">
        <w:rPr>
          <w:spacing w:val="4"/>
          <w:szCs w:val="26"/>
        </w:rPr>
        <w:t xml:space="preserve"> </w:t>
      </w:r>
      <w:r w:rsidR="006A6480" w:rsidRPr="006665E3">
        <w:rPr>
          <w:spacing w:val="4"/>
          <w:szCs w:val="26"/>
        </w:rPr>
        <w:t xml:space="preserve">al menos </w:t>
      </w:r>
      <w:r w:rsidR="000C03F5" w:rsidRPr="006665E3">
        <w:rPr>
          <w:spacing w:val="4"/>
          <w:szCs w:val="26"/>
        </w:rPr>
        <w:t>8</w:t>
      </w:r>
      <w:r w:rsidRPr="006665E3">
        <w:rPr>
          <w:spacing w:val="4"/>
          <w:szCs w:val="26"/>
        </w:rPr>
        <w:t>6</w:t>
      </w:r>
      <w:r w:rsidR="000C03F5" w:rsidRPr="006665E3">
        <w:rPr>
          <w:spacing w:val="4"/>
          <w:szCs w:val="26"/>
        </w:rPr>
        <w:t xml:space="preserve"> millones de los contribuye</w:t>
      </w:r>
      <w:r w:rsidR="000C03F5" w:rsidRPr="006665E3">
        <w:rPr>
          <w:spacing w:val="4"/>
          <w:szCs w:val="26"/>
        </w:rPr>
        <w:t>n</w:t>
      </w:r>
      <w:r w:rsidR="000C03F5" w:rsidRPr="006665E3">
        <w:rPr>
          <w:spacing w:val="4"/>
          <w:szCs w:val="26"/>
        </w:rPr>
        <w:t>tes en esta infraestructura. El volumen de esta inversión exige una respuesta ad</w:t>
      </w:r>
      <w:r w:rsidR="000C03F5" w:rsidRPr="006665E3">
        <w:rPr>
          <w:spacing w:val="4"/>
          <w:szCs w:val="26"/>
        </w:rPr>
        <w:t>e</w:t>
      </w:r>
      <w:r w:rsidR="000C03F5" w:rsidRPr="006665E3">
        <w:rPr>
          <w:spacing w:val="4"/>
          <w:szCs w:val="26"/>
        </w:rPr>
        <w:t xml:space="preserve">cuada de las </w:t>
      </w:r>
      <w:r w:rsidR="00A878A1" w:rsidRPr="006665E3">
        <w:rPr>
          <w:spacing w:val="4"/>
          <w:szCs w:val="26"/>
        </w:rPr>
        <w:t>administraciones implicadas s</w:t>
      </w:r>
      <w:r w:rsidR="000C03F5" w:rsidRPr="006665E3">
        <w:rPr>
          <w:spacing w:val="4"/>
          <w:szCs w:val="26"/>
        </w:rPr>
        <w:t xml:space="preserve">obre su continuidad o </w:t>
      </w:r>
      <w:r w:rsidR="00F23A10" w:rsidRPr="006665E3">
        <w:rPr>
          <w:spacing w:val="4"/>
          <w:szCs w:val="26"/>
        </w:rPr>
        <w:t>ralentización</w:t>
      </w:r>
      <w:r w:rsidR="000C03F5" w:rsidRPr="006665E3">
        <w:rPr>
          <w:spacing w:val="4"/>
          <w:szCs w:val="26"/>
        </w:rPr>
        <w:t xml:space="preserve">. </w:t>
      </w:r>
    </w:p>
    <w:p w:rsidR="005A7AF5" w:rsidRPr="00A0407B" w:rsidRDefault="00103B8A" w:rsidP="00D47E15">
      <w:pPr>
        <w:pStyle w:val="texto"/>
        <w:tabs>
          <w:tab w:val="clear" w:pos="2835"/>
          <w:tab w:val="clear" w:pos="3969"/>
          <w:tab w:val="clear" w:pos="5103"/>
          <w:tab w:val="clear" w:pos="6237"/>
          <w:tab w:val="clear" w:pos="7371"/>
        </w:tabs>
        <w:rPr>
          <w:szCs w:val="26"/>
        </w:rPr>
      </w:pPr>
      <w:r w:rsidRPr="00A0407B">
        <w:rPr>
          <w:szCs w:val="26"/>
        </w:rPr>
        <w:t>Para solventar la actual situación cabe</w:t>
      </w:r>
      <w:r w:rsidR="004B3BD5">
        <w:rPr>
          <w:szCs w:val="26"/>
        </w:rPr>
        <w:t>n</w:t>
      </w:r>
      <w:r w:rsidRPr="00A0407B">
        <w:rPr>
          <w:szCs w:val="26"/>
        </w:rPr>
        <w:t>, en nuestra opinión,</w:t>
      </w:r>
      <w:r w:rsidR="005A7AF5" w:rsidRPr="00A0407B">
        <w:rPr>
          <w:szCs w:val="26"/>
        </w:rPr>
        <w:t xml:space="preserve"> básicamente</w:t>
      </w:r>
      <w:r w:rsidRPr="00A0407B">
        <w:rPr>
          <w:szCs w:val="26"/>
        </w:rPr>
        <w:t xml:space="preserve"> dos opciones</w:t>
      </w:r>
      <w:r w:rsidR="005A7AF5" w:rsidRPr="00A0407B">
        <w:rPr>
          <w:szCs w:val="26"/>
        </w:rPr>
        <w:t>:</w:t>
      </w:r>
    </w:p>
    <w:p w:rsidR="00D47E15" w:rsidRPr="00A0407B" w:rsidRDefault="004F0006" w:rsidP="004F0006">
      <w:pPr>
        <w:pStyle w:val="texto"/>
        <w:tabs>
          <w:tab w:val="clear" w:pos="2835"/>
          <w:tab w:val="clear" w:pos="3969"/>
          <w:tab w:val="clear" w:pos="5103"/>
          <w:tab w:val="clear" w:pos="6237"/>
          <w:tab w:val="clear" w:pos="7371"/>
          <w:tab w:val="num" w:pos="4920"/>
        </w:tabs>
        <w:rPr>
          <w:szCs w:val="26"/>
        </w:rPr>
      </w:pPr>
      <w:r>
        <w:rPr>
          <w:szCs w:val="26"/>
        </w:rPr>
        <w:t xml:space="preserve">a) </w:t>
      </w:r>
      <w:r w:rsidR="004B3BD5">
        <w:rPr>
          <w:szCs w:val="26"/>
        </w:rPr>
        <w:t xml:space="preserve">Dejar en </w:t>
      </w:r>
      <w:r>
        <w:rPr>
          <w:szCs w:val="26"/>
        </w:rPr>
        <w:t>el Ministerio/</w:t>
      </w:r>
      <w:r w:rsidR="004B3BD5">
        <w:rPr>
          <w:szCs w:val="26"/>
        </w:rPr>
        <w:t xml:space="preserve">ADIF toda la responsabilidad </w:t>
      </w:r>
      <w:r w:rsidR="00A878A1">
        <w:rPr>
          <w:szCs w:val="26"/>
        </w:rPr>
        <w:t>de</w:t>
      </w:r>
      <w:r w:rsidR="004B3BD5">
        <w:rPr>
          <w:szCs w:val="26"/>
        </w:rPr>
        <w:t xml:space="preserve"> la realización de las obras</w:t>
      </w:r>
      <w:r w:rsidR="005A7AF5" w:rsidRPr="00A0407B">
        <w:rPr>
          <w:szCs w:val="26"/>
        </w:rPr>
        <w:t xml:space="preserve"> de</w:t>
      </w:r>
      <w:r w:rsidR="005402DC">
        <w:rPr>
          <w:szCs w:val="26"/>
        </w:rPr>
        <w:t xml:space="preserve"> las obras del corredor navarro</w:t>
      </w:r>
      <w:r w:rsidR="00637D65">
        <w:rPr>
          <w:szCs w:val="26"/>
        </w:rPr>
        <w:t xml:space="preserve"> del TAV</w:t>
      </w:r>
      <w:r w:rsidR="00A878A1">
        <w:rPr>
          <w:szCs w:val="26"/>
        </w:rPr>
        <w:t>,</w:t>
      </w:r>
      <w:r w:rsidR="005402DC">
        <w:rPr>
          <w:szCs w:val="26"/>
        </w:rPr>
        <w:t xml:space="preserve"> sin intervención de</w:t>
      </w:r>
      <w:r w:rsidR="004B3BD5">
        <w:rPr>
          <w:szCs w:val="26"/>
        </w:rPr>
        <w:t>l G</w:t>
      </w:r>
      <w:r w:rsidR="004B3BD5">
        <w:rPr>
          <w:szCs w:val="26"/>
        </w:rPr>
        <w:t>o</w:t>
      </w:r>
      <w:r w:rsidR="004B3BD5">
        <w:rPr>
          <w:szCs w:val="26"/>
        </w:rPr>
        <w:t xml:space="preserve">bierno de Navarra en su ejecución y </w:t>
      </w:r>
      <w:r w:rsidR="009A61BF">
        <w:rPr>
          <w:szCs w:val="26"/>
        </w:rPr>
        <w:t xml:space="preserve">adelanto de la </w:t>
      </w:r>
      <w:r w:rsidR="004B3BD5">
        <w:rPr>
          <w:szCs w:val="26"/>
        </w:rPr>
        <w:t>financiación.</w:t>
      </w:r>
    </w:p>
    <w:p w:rsidR="00103B8A" w:rsidRPr="006665E3" w:rsidRDefault="004F0006" w:rsidP="004F0006">
      <w:pPr>
        <w:pStyle w:val="texto"/>
        <w:tabs>
          <w:tab w:val="clear" w:pos="2835"/>
          <w:tab w:val="clear" w:pos="3969"/>
          <w:tab w:val="clear" w:pos="5103"/>
          <w:tab w:val="clear" w:pos="6237"/>
          <w:tab w:val="clear" w:pos="7371"/>
          <w:tab w:val="num" w:pos="4920"/>
        </w:tabs>
        <w:rPr>
          <w:spacing w:val="0"/>
          <w:szCs w:val="26"/>
        </w:rPr>
      </w:pPr>
      <w:r>
        <w:rPr>
          <w:szCs w:val="26"/>
        </w:rPr>
        <w:t xml:space="preserve">b) </w:t>
      </w:r>
      <w:r w:rsidR="005A7AF5" w:rsidRPr="006665E3">
        <w:rPr>
          <w:spacing w:val="0"/>
          <w:szCs w:val="26"/>
        </w:rPr>
        <w:t>Negociar ambas administraciones para definir un nuevo convenio regulador de las citadas obras</w:t>
      </w:r>
      <w:r w:rsidR="001C7B9F" w:rsidRPr="006665E3">
        <w:rPr>
          <w:spacing w:val="0"/>
          <w:szCs w:val="26"/>
        </w:rPr>
        <w:t xml:space="preserve"> que analice, revise, actualice y complete el convenio vigente</w:t>
      </w:r>
      <w:r w:rsidR="005A7AF5" w:rsidRPr="006665E3">
        <w:rPr>
          <w:spacing w:val="0"/>
          <w:szCs w:val="26"/>
        </w:rPr>
        <w:t>.</w:t>
      </w:r>
    </w:p>
    <w:p w:rsidR="00103B8A" w:rsidRPr="00A0407B" w:rsidRDefault="00103B8A" w:rsidP="00D47E15">
      <w:pPr>
        <w:pStyle w:val="texto"/>
        <w:tabs>
          <w:tab w:val="clear" w:pos="2835"/>
          <w:tab w:val="clear" w:pos="3969"/>
          <w:tab w:val="clear" w:pos="5103"/>
          <w:tab w:val="clear" w:pos="6237"/>
          <w:tab w:val="clear" w:pos="7371"/>
        </w:tabs>
        <w:rPr>
          <w:szCs w:val="26"/>
        </w:rPr>
      </w:pPr>
      <w:r w:rsidRPr="00A0407B">
        <w:rPr>
          <w:szCs w:val="26"/>
        </w:rPr>
        <w:t>Estas opciones serán válidas siempre que exista voluntad</w:t>
      </w:r>
      <w:r w:rsidR="005A7AF5" w:rsidRPr="00A0407B">
        <w:rPr>
          <w:szCs w:val="26"/>
        </w:rPr>
        <w:t xml:space="preserve"> real</w:t>
      </w:r>
      <w:r w:rsidRPr="00A0407B">
        <w:rPr>
          <w:szCs w:val="26"/>
        </w:rPr>
        <w:t xml:space="preserve"> en ambas a</w:t>
      </w:r>
      <w:r w:rsidRPr="00A0407B">
        <w:rPr>
          <w:szCs w:val="26"/>
        </w:rPr>
        <w:t>d</w:t>
      </w:r>
      <w:r w:rsidRPr="00A0407B">
        <w:rPr>
          <w:szCs w:val="26"/>
        </w:rPr>
        <w:t>m</w:t>
      </w:r>
      <w:r w:rsidR="005A7AF5" w:rsidRPr="00A0407B">
        <w:rPr>
          <w:szCs w:val="26"/>
        </w:rPr>
        <w:t>i</w:t>
      </w:r>
      <w:r w:rsidRPr="00A0407B">
        <w:rPr>
          <w:szCs w:val="26"/>
        </w:rPr>
        <w:t xml:space="preserve">nistraciones </w:t>
      </w:r>
      <w:r w:rsidR="005A7AF5" w:rsidRPr="00A0407B">
        <w:rPr>
          <w:szCs w:val="26"/>
        </w:rPr>
        <w:t>de</w:t>
      </w:r>
      <w:r w:rsidRPr="00A0407B">
        <w:rPr>
          <w:szCs w:val="26"/>
        </w:rPr>
        <w:t xml:space="preserve"> </w:t>
      </w:r>
      <w:r w:rsidR="00F23A10" w:rsidRPr="00A0407B">
        <w:rPr>
          <w:szCs w:val="26"/>
        </w:rPr>
        <w:t>dar continuidad a</w:t>
      </w:r>
      <w:r w:rsidRPr="00A0407B">
        <w:rPr>
          <w:szCs w:val="26"/>
        </w:rPr>
        <w:t xml:space="preserve"> las obras del corredor navarro</w:t>
      </w:r>
      <w:r w:rsidR="005A7AF5" w:rsidRPr="00A0407B">
        <w:rPr>
          <w:szCs w:val="26"/>
        </w:rPr>
        <w:t xml:space="preserve"> del TAV.</w:t>
      </w:r>
    </w:p>
    <w:p w:rsidR="005A7AF5" w:rsidRPr="00A0407B" w:rsidRDefault="005A7AF5" w:rsidP="00D47E15">
      <w:pPr>
        <w:pStyle w:val="texto"/>
        <w:tabs>
          <w:tab w:val="clear" w:pos="2835"/>
          <w:tab w:val="clear" w:pos="3969"/>
          <w:tab w:val="clear" w:pos="5103"/>
          <w:tab w:val="clear" w:pos="6237"/>
          <w:tab w:val="clear" w:pos="7371"/>
        </w:tabs>
        <w:rPr>
          <w:szCs w:val="26"/>
        </w:rPr>
      </w:pPr>
      <w:r w:rsidRPr="00A0407B">
        <w:rPr>
          <w:szCs w:val="26"/>
        </w:rPr>
        <w:t>En el supuesto de decantarse por la redacción de un nuevo convenio, éste debería contemplar básicamente:</w:t>
      </w:r>
    </w:p>
    <w:p w:rsidR="005A7AF5" w:rsidRPr="00A0407B" w:rsidRDefault="005A7AF5" w:rsidP="00AE4AAF">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lastRenderedPageBreak/>
        <w:t xml:space="preserve">Todas las actuaciones del TAV en Navarra, </w:t>
      </w:r>
      <w:r w:rsidR="009A220A">
        <w:rPr>
          <w:szCs w:val="26"/>
        </w:rPr>
        <w:t xml:space="preserve">incluyendo </w:t>
      </w:r>
      <w:r w:rsidRPr="00A0407B">
        <w:rPr>
          <w:szCs w:val="26"/>
        </w:rPr>
        <w:t>las conexiones sur y norte con el corredor Cantábrico-Mediterráneo</w:t>
      </w:r>
      <w:r w:rsidR="001246C8" w:rsidRPr="00A0407B">
        <w:rPr>
          <w:szCs w:val="26"/>
        </w:rPr>
        <w:t>, definiendo y precisando para todas ellas sus determinaciones y características técnicas y funcionales</w:t>
      </w:r>
      <w:r w:rsidR="00AE4AAF" w:rsidRPr="00A0407B">
        <w:rPr>
          <w:szCs w:val="26"/>
        </w:rPr>
        <w:t>, inclu</w:t>
      </w:r>
      <w:r w:rsidR="00AE4AAF" w:rsidRPr="00A0407B">
        <w:rPr>
          <w:szCs w:val="26"/>
        </w:rPr>
        <w:t>i</w:t>
      </w:r>
      <w:r w:rsidR="00AE4AAF" w:rsidRPr="00A0407B">
        <w:rPr>
          <w:szCs w:val="26"/>
        </w:rPr>
        <w:t>da la instala</w:t>
      </w:r>
      <w:r w:rsidR="000165A4" w:rsidRPr="00A0407B">
        <w:rPr>
          <w:szCs w:val="26"/>
        </w:rPr>
        <w:t xml:space="preserve">ción </w:t>
      </w:r>
      <w:r w:rsidR="00AE4AAF" w:rsidRPr="00A0407B">
        <w:rPr>
          <w:szCs w:val="26"/>
        </w:rPr>
        <w:t>de una doble vía</w:t>
      </w:r>
      <w:r w:rsidR="00320BEF" w:rsidRPr="00A0407B">
        <w:rPr>
          <w:szCs w:val="26"/>
        </w:rPr>
        <w:t xml:space="preserve"> o de una</w:t>
      </w:r>
      <w:r w:rsidR="005765CA" w:rsidRPr="00A0407B">
        <w:rPr>
          <w:szCs w:val="26"/>
        </w:rPr>
        <w:t xml:space="preserve"> </w:t>
      </w:r>
      <w:r w:rsidR="004B29EE" w:rsidRPr="00A0407B">
        <w:rPr>
          <w:szCs w:val="26"/>
        </w:rPr>
        <w:t>ú</w:t>
      </w:r>
      <w:r w:rsidR="005765CA" w:rsidRPr="00A0407B">
        <w:rPr>
          <w:szCs w:val="26"/>
        </w:rPr>
        <w:t>nica</w:t>
      </w:r>
      <w:r w:rsidR="00320BEF" w:rsidRPr="00A0407B">
        <w:rPr>
          <w:szCs w:val="26"/>
        </w:rPr>
        <w:t xml:space="preserve"> vía</w:t>
      </w:r>
      <w:r w:rsidRPr="00A0407B">
        <w:rPr>
          <w:szCs w:val="26"/>
        </w:rPr>
        <w:t>.</w:t>
      </w:r>
      <w:r w:rsidR="001246C8" w:rsidRPr="00A0407B">
        <w:rPr>
          <w:szCs w:val="26"/>
        </w:rPr>
        <w:t xml:space="preserve"> </w:t>
      </w:r>
    </w:p>
    <w:p w:rsidR="001246C8" w:rsidRPr="00A0407B" w:rsidRDefault="001246C8" w:rsidP="005A7AF5">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Una definición clara de las competencias y gastos que asume cada admini</w:t>
      </w:r>
      <w:r w:rsidRPr="00A0407B">
        <w:rPr>
          <w:szCs w:val="26"/>
        </w:rPr>
        <w:t>s</w:t>
      </w:r>
      <w:r w:rsidRPr="00A0407B">
        <w:rPr>
          <w:szCs w:val="26"/>
        </w:rPr>
        <w:t>tración.</w:t>
      </w:r>
    </w:p>
    <w:p w:rsidR="00F23A10" w:rsidRPr="00A0407B" w:rsidRDefault="00F23A10" w:rsidP="00F23A1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Una cuantificación de costes basada en criterios realistas, objetivos y a</w:t>
      </w:r>
      <w:r w:rsidRPr="00A0407B">
        <w:rPr>
          <w:szCs w:val="26"/>
        </w:rPr>
        <w:t>c</w:t>
      </w:r>
      <w:r w:rsidRPr="00A0407B">
        <w:rPr>
          <w:szCs w:val="26"/>
        </w:rPr>
        <w:t>tualizables, tanto de la propia plataforma como de la superestructura, incluido un análisis sobre el coste de la nueva estación de Pamplona.</w:t>
      </w:r>
    </w:p>
    <w:p w:rsidR="005A7AF5" w:rsidRPr="00A0407B" w:rsidRDefault="005A7AF5" w:rsidP="005A7AF5">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Una planificación y programación de plazos realista y acorde con las di</w:t>
      </w:r>
      <w:r w:rsidRPr="00A0407B">
        <w:rPr>
          <w:szCs w:val="26"/>
        </w:rPr>
        <w:t>s</w:t>
      </w:r>
      <w:r w:rsidRPr="00A0407B">
        <w:rPr>
          <w:szCs w:val="26"/>
        </w:rPr>
        <w:t>ponibilidades presupuestarias de ambas administraciones y con las exigencias de trámites administrativos precisos.</w:t>
      </w:r>
    </w:p>
    <w:p w:rsidR="009F7283" w:rsidRPr="00A0407B" w:rsidRDefault="009F7283" w:rsidP="009F7283">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Fuentes y fórmulas de financiación de la inversión y reglas apropiadas y oportunas para el reintegro de</w:t>
      </w:r>
      <w:r w:rsidR="00B02546" w:rsidRPr="00A0407B">
        <w:rPr>
          <w:szCs w:val="26"/>
        </w:rPr>
        <w:t xml:space="preserve"> </w:t>
      </w:r>
      <w:r w:rsidRPr="00A0407B">
        <w:rPr>
          <w:szCs w:val="26"/>
        </w:rPr>
        <w:t>l</w:t>
      </w:r>
      <w:r w:rsidR="00B02546" w:rsidRPr="00A0407B">
        <w:rPr>
          <w:szCs w:val="26"/>
        </w:rPr>
        <w:t>os</w:t>
      </w:r>
      <w:r w:rsidRPr="00A0407B">
        <w:rPr>
          <w:szCs w:val="26"/>
        </w:rPr>
        <w:t xml:space="preserve"> gastos adelantados, incluyendo entre éstas últimas la posibilidad de que se descuenten directamente de la aportación a las cargas generales del Estado regulada en el Convenio Económico</w:t>
      </w:r>
      <w:r w:rsidR="00CB56CD" w:rsidRPr="00A0407B">
        <w:rPr>
          <w:rStyle w:val="Refdenotaalpie"/>
          <w:szCs w:val="26"/>
        </w:rPr>
        <w:footnoteReference w:id="6"/>
      </w:r>
      <w:r w:rsidRPr="00A0407B">
        <w:rPr>
          <w:szCs w:val="26"/>
        </w:rPr>
        <w:t>.</w:t>
      </w:r>
    </w:p>
    <w:p w:rsidR="001D03F0" w:rsidRPr="00A0407B" w:rsidRDefault="001D03F0" w:rsidP="001D03F0">
      <w:pPr>
        <w:pStyle w:val="texto"/>
        <w:numPr>
          <w:ilvl w:val="0"/>
          <w:numId w:val="2"/>
        </w:numPr>
        <w:tabs>
          <w:tab w:val="clear" w:pos="1948"/>
          <w:tab w:val="clear" w:pos="2835"/>
          <w:tab w:val="clear" w:pos="3969"/>
          <w:tab w:val="clear" w:pos="5103"/>
          <w:tab w:val="clear" w:pos="6237"/>
          <w:tab w:val="clear" w:pos="7371"/>
          <w:tab w:val="num" w:pos="300"/>
          <w:tab w:val="left" w:pos="480"/>
          <w:tab w:val="num" w:pos="4920"/>
        </w:tabs>
        <w:ind w:left="0" w:firstLine="290"/>
        <w:rPr>
          <w:szCs w:val="26"/>
        </w:rPr>
      </w:pPr>
      <w:r w:rsidRPr="00A0407B">
        <w:rPr>
          <w:szCs w:val="26"/>
        </w:rPr>
        <w:t>Ante las previsiones de que la inversión se ejecute en un plazo amplio de tiempo, analizar la oportunidad de diseñar o desarrollar una política de mant</w:t>
      </w:r>
      <w:r w:rsidRPr="00A0407B">
        <w:rPr>
          <w:szCs w:val="26"/>
        </w:rPr>
        <w:t>e</w:t>
      </w:r>
      <w:r w:rsidRPr="00A0407B">
        <w:rPr>
          <w:szCs w:val="26"/>
        </w:rPr>
        <w:t xml:space="preserve">nimiento de los obras conforme se vayan concluyendo. </w:t>
      </w:r>
    </w:p>
    <w:p w:rsidR="004F71AD" w:rsidRPr="00A0407B" w:rsidRDefault="000C03F5" w:rsidP="00D47E15">
      <w:pPr>
        <w:pStyle w:val="texto"/>
        <w:tabs>
          <w:tab w:val="clear" w:pos="2835"/>
          <w:tab w:val="clear" w:pos="3969"/>
          <w:tab w:val="clear" w:pos="5103"/>
          <w:tab w:val="clear" w:pos="6237"/>
          <w:tab w:val="clear" w:pos="7371"/>
        </w:tabs>
        <w:rPr>
          <w:szCs w:val="26"/>
        </w:rPr>
      </w:pPr>
      <w:r w:rsidRPr="00A0407B">
        <w:rPr>
          <w:szCs w:val="26"/>
        </w:rPr>
        <w:t>To</w:t>
      </w:r>
      <w:r w:rsidR="00F23A10" w:rsidRPr="00A0407B">
        <w:rPr>
          <w:szCs w:val="26"/>
        </w:rPr>
        <w:t>do ello</w:t>
      </w:r>
      <w:r w:rsidRPr="00A0407B">
        <w:rPr>
          <w:szCs w:val="26"/>
        </w:rPr>
        <w:t xml:space="preserve"> sin perjuicio </w:t>
      </w:r>
      <w:r w:rsidR="00A878A1">
        <w:rPr>
          <w:szCs w:val="26"/>
        </w:rPr>
        <w:t xml:space="preserve">de </w:t>
      </w:r>
      <w:r w:rsidRPr="00A0407B">
        <w:rPr>
          <w:szCs w:val="26"/>
        </w:rPr>
        <w:t xml:space="preserve">que las decisiones que finalmente se adopten estén </w:t>
      </w:r>
      <w:r w:rsidR="00F23A10" w:rsidRPr="00A0407B">
        <w:rPr>
          <w:szCs w:val="26"/>
        </w:rPr>
        <w:t>soportadas en el interés general de la sociedad.</w:t>
      </w:r>
    </w:p>
    <w:p w:rsidR="0042319A" w:rsidRDefault="00C23026" w:rsidP="00E51C00">
      <w:pPr>
        <w:pStyle w:val="texto"/>
        <w:tabs>
          <w:tab w:val="clear" w:pos="2835"/>
          <w:tab w:val="clear" w:pos="3969"/>
          <w:tab w:val="clear" w:pos="5103"/>
          <w:tab w:val="clear" w:pos="6237"/>
          <w:tab w:val="clear" w:pos="7371"/>
        </w:tabs>
        <w:rPr>
          <w:szCs w:val="26"/>
        </w:rPr>
      </w:pPr>
      <w:r w:rsidRPr="00A0407B">
        <w:rPr>
          <w:szCs w:val="26"/>
        </w:rPr>
        <w:t>En definitiva y a modo de conclusión final, todas las alternativas fundame</w:t>
      </w:r>
      <w:r w:rsidRPr="00A0407B">
        <w:rPr>
          <w:szCs w:val="26"/>
        </w:rPr>
        <w:t>n</w:t>
      </w:r>
      <w:r w:rsidRPr="00A0407B">
        <w:rPr>
          <w:szCs w:val="26"/>
        </w:rPr>
        <w:t>tales</w:t>
      </w:r>
      <w:r w:rsidR="00B02546" w:rsidRPr="00A0407B">
        <w:rPr>
          <w:szCs w:val="26"/>
        </w:rPr>
        <w:t xml:space="preserve"> del corredor navarro están </w:t>
      </w:r>
      <w:r w:rsidRPr="00A0407B">
        <w:rPr>
          <w:szCs w:val="26"/>
        </w:rPr>
        <w:t>prácticamente por definir</w:t>
      </w:r>
      <w:r w:rsidR="00605B18" w:rsidRPr="00A0407B">
        <w:rPr>
          <w:szCs w:val="26"/>
        </w:rPr>
        <w:t>, siendo tal</w:t>
      </w:r>
      <w:r w:rsidRPr="00A0407B">
        <w:rPr>
          <w:szCs w:val="26"/>
        </w:rPr>
        <w:t xml:space="preserve"> compete</w:t>
      </w:r>
      <w:r w:rsidRPr="00A0407B">
        <w:rPr>
          <w:szCs w:val="26"/>
        </w:rPr>
        <w:t>n</w:t>
      </w:r>
      <w:r w:rsidRPr="00A0407B">
        <w:rPr>
          <w:szCs w:val="26"/>
        </w:rPr>
        <w:t>cia del Estado/ADIF. Es</w:t>
      </w:r>
      <w:r w:rsidR="00605B18" w:rsidRPr="00A0407B">
        <w:rPr>
          <w:szCs w:val="26"/>
        </w:rPr>
        <w:t>ta indefinición</w:t>
      </w:r>
      <w:r w:rsidR="00DA3D72">
        <w:rPr>
          <w:szCs w:val="26"/>
        </w:rPr>
        <w:t>,</w:t>
      </w:r>
      <w:r w:rsidR="00605B18" w:rsidRPr="00A0407B">
        <w:rPr>
          <w:szCs w:val="26"/>
        </w:rPr>
        <w:t xml:space="preserve"> </w:t>
      </w:r>
      <w:r w:rsidR="00DA3D72">
        <w:rPr>
          <w:szCs w:val="26"/>
        </w:rPr>
        <w:t>unida</w:t>
      </w:r>
      <w:r w:rsidRPr="00A0407B">
        <w:rPr>
          <w:szCs w:val="26"/>
        </w:rPr>
        <w:t xml:space="preserve"> a las restricciones presupuest</w:t>
      </w:r>
      <w:r w:rsidRPr="00A0407B">
        <w:rPr>
          <w:szCs w:val="26"/>
        </w:rPr>
        <w:t>a</w:t>
      </w:r>
      <w:r w:rsidRPr="00A0407B">
        <w:rPr>
          <w:szCs w:val="26"/>
        </w:rPr>
        <w:t>rias exis</w:t>
      </w:r>
      <w:r w:rsidR="00A42C12" w:rsidRPr="00A0407B">
        <w:rPr>
          <w:szCs w:val="26"/>
        </w:rPr>
        <w:t>tentes</w:t>
      </w:r>
      <w:r w:rsidR="00E36A2A" w:rsidRPr="00A0407B">
        <w:rPr>
          <w:szCs w:val="26"/>
        </w:rPr>
        <w:t xml:space="preserve"> en las </w:t>
      </w:r>
      <w:r w:rsidR="00605B18" w:rsidRPr="00A0407B">
        <w:rPr>
          <w:szCs w:val="26"/>
        </w:rPr>
        <w:t xml:space="preserve">dos </w:t>
      </w:r>
      <w:r w:rsidR="00E36A2A" w:rsidRPr="00A0407B">
        <w:rPr>
          <w:szCs w:val="26"/>
        </w:rPr>
        <w:t>administraciones públicas</w:t>
      </w:r>
      <w:r w:rsidR="00605B18" w:rsidRPr="00A0407B">
        <w:rPr>
          <w:szCs w:val="26"/>
        </w:rPr>
        <w:t xml:space="preserve"> implicadas</w:t>
      </w:r>
      <w:r w:rsidR="004E1DA3">
        <w:rPr>
          <w:szCs w:val="26"/>
        </w:rPr>
        <w:t xml:space="preserve">, </w:t>
      </w:r>
      <w:r w:rsidR="00FC6874" w:rsidRPr="00A0407B">
        <w:rPr>
          <w:szCs w:val="26"/>
        </w:rPr>
        <w:t>genera</w:t>
      </w:r>
      <w:r w:rsidR="00605B18" w:rsidRPr="00A0407B">
        <w:rPr>
          <w:szCs w:val="26"/>
        </w:rPr>
        <w:t xml:space="preserve"> una gran incertidumbre sobre </w:t>
      </w:r>
      <w:r w:rsidR="00A42C12" w:rsidRPr="00A0407B">
        <w:rPr>
          <w:szCs w:val="26"/>
        </w:rPr>
        <w:t>e</w:t>
      </w:r>
      <w:r w:rsidR="000E361E" w:rsidRPr="00A0407B">
        <w:rPr>
          <w:szCs w:val="26"/>
        </w:rPr>
        <w:t>l desarrollo de</w:t>
      </w:r>
      <w:r w:rsidRPr="00A0407B">
        <w:rPr>
          <w:szCs w:val="26"/>
        </w:rPr>
        <w:t xml:space="preserve"> la obra misma.</w:t>
      </w:r>
    </w:p>
    <w:p w:rsidR="00F845BD" w:rsidRPr="00AF102F" w:rsidRDefault="00F845BD" w:rsidP="00F845BD">
      <w:pPr>
        <w:pStyle w:val="texto"/>
      </w:pPr>
      <w:r w:rsidRPr="00AF102F">
        <w:t>Informe que se emite a propuesta del auditor</w:t>
      </w:r>
      <w:r>
        <w:t xml:space="preserve"> Ignacio Cabeza Del Salvador</w:t>
      </w:r>
      <w:r w:rsidRPr="00AF102F">
        <w:t>, responsable de la realización de este trabajo, una vez cumplimentados los tr</w:t>
      </w:r>
      <w:r w:rsidRPr="00AF102F">
        <w:t>á</w:t>
      </w:r>
      <w:r w:rsidRPr="00AF102F">
        <w:t>mites previstos por la normativa vigente.</w:t>
      </w:r>
    </w:p>
    <w:p w:rsidR="00F845BD" w:rsidRDefault="00975F43" w:rsidP="003C3B3A">
      <w:pPr>
        <w:pStyle w:val="texto"/>
        <w:spacing w:after="120"/>
        <w:ind w:firstLine="0"/>
        <w:jc w:val="center"/>
        <w:rPr>
          <w:lang w:val="es-ES"/>
        </w:rPr>
      </w:pPr>
      <w:r>
        <w:rPr>
          <w:lang w:val="es-ES"/>
        </w:rPr>
        <w:t xml:space="preserve">Pamplona, </w:t>
      </w:r>
      <w:r w:rsidR="002832C2">
        <w:rPr>
          <w:lang w:val="es-ES"/>
        </w:rPr>
        <w:t>2</w:t>
      </w:r>
      <w:r w:rsidR="002E3750">
        <w:rPr>
          <w:lang w:val="es-ES"/>
        </w:rPr>
        <w:t>1</w:t>
      </w:r>
      <w:r>
        <w:rPr>
          <w:lang w:val="es-ES"/>
        </w:rPr>
        <w:t xml:space="preserve"> </w:t>
      </w:r>
      <w:r w:rsidR="00F845BD">
        <w:rPr>
          <w:lang w:val="es-ES"/>
        </w:rPr>
        <w:t xml:space="preserve">de </w:t>
      </w:r>
      <w:r w:rsidR="00004725">
        <w:rPr>
          <w:lang w:val="es-ES"/>
        </w:rPr>
        <w:t>noviembre</w:t>
      </w:r>
      <w:r w:rsidR="00F845BD">
        <w:rPr>
          <w:lang w:val="es-ES"/>
        </w:rPr>
        <w:t xml:space="preserve"> de 2016</w:t>
      </w:r>
    </w:p>
    <w:p w:rsidR="003C3B3A" w:rsidRDefault="00F845BD" w:rsidP="00DA3D72">
      <w:pPr>
        <w:pStyle w:val="texto"/>
        <w:spacing w:after="0"/>
        <w:ind w:firstLine="0"/>
        <w:jc w:val="center"/>
        <w:rPr>
          <w:lang w:val="es-ES"/>
        </w:rPr>
      </w:pPr>
      <w:r>
        <w:rPr>
          <w:lang w:val="es-ES"/>
        </w:rPr>
        <w:t>Asunción Olaechea Estanga</w:t>
      </w:r>
      <w:r w:rsidR="003C3B3A">
        <w:rPr>
          <w:lang w:val="es-ES"/>
        </w:rPr>
        <w:t xml:space="preserve"> </w:t>
      </w:r>
    </w:p>
    <w:p w:rsidR="00F845BD" w:rsidRPr="0067400E" w:rsidRDefault="00F845BD" w:rsidP="00DA3D72">
      <w:pPr>
        <w:pStyle w:val="texto"/>
        <w:spacing w:after="0"/>
        <w:ind w:firstLine="0"/>
        <w:jc w:val="center"/>
        <w:rPr>
          <w:lang w:val="es-ES"/>
        </w:rPr>
      </w:pPr>
      <w:r>
        <w:rPr>
          <w:lang w:val="es-ES"/>
        </w:rPr>
        <w:t>Presidenta de la Cámara de Comptos de Navarra</w:t>
      </w:r>
    </w:p>
    <w:p w:rsidR="00A435D9" w:rsidRDefault="00A435D9">
      <w:pPr>
        <w:spacing w:after="0"/>
        <w:ind w:firstLine="0"/>
        <w:jc w:val="left"/>
        <w:rPr>
          <w:spacing w:val="6"/>
          <w:sz w:val="24"/>
          <w:szCs w:val="24"/>
          <w:lang w:val="es-ES"/>
        </w:rPr>
      </w:pPr>
    </w:p>
    <w:sectPr w:rsidR="00A435D9" w:rsidSect="00482F67">
      <w:footerReference w:type="default" r:id="rId18"/>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60F" w:rsidRDefault="00F0660F">
      <w:r>
        <w:separator/>
      </w:r>
    </w:p>
    <w:p w:rsidR="00F0660F" w:rsidRDefault="00F0660F"/>
    <w:p w:rsidR="00F0660F" w:rsidRDefault="00F0660F"/>
    <w:p w:rsidR="00F0660F" w:rsidRDefault="00F0660F"/>
  </w:endnote>
  <w:endnote w:type="continuationSeparator" w:id="0">
    <w:p w:rsidR="00F0660F" w:rsidRDefault="00F0660F">
      <w:r>
        <w:continuationSeparator/>
      </w:r>
    </w:p>
    <w:p w:rsidR="00F0660F" w:rsidRDefault="00F0660F"/>
    <w:p w:rsidR="00F0660F" w:rsidRDefault="00F0660F"/>
    <w:p w:rsidR="00F0660F" w:rsidRDefault="00F06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altName w:val="Century Gothic"/>
    <w:charset w:val="00"/>
    <w:family w:val="swiss"/>
    <w:pitch w:val="variable"/>
    <w:sig w:usb0="00000007" w:usb1="00000000"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Default="00F0660F"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0660F" w:rsidRDefault="00F0660F"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Pr="00F03814" w:rsidRDefault="00F0660F"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29354455" wp14:editId="7B8B289F">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F0660F" w:rsidRPr="00F74E38" w:rsidRDefault="00F0660F"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Default="00F0660F"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Default="00F0660F" w:rsidP="0072408E">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Style w:val="Nmerodepgina"/>
        <w:szCs w:val="24"/>
      </w:rPr>
    </w:pPr>
    <w:r>
      <w:rPr>
        <w:rFonts w:ascii="GillSans" w:hAnsi="GillSans"/>
        <w:noProof/>
        <w:lang w:val="es-ES" w:eastAsia="es-ES"/>
      </w:rPr>
      <w:drawing>
        <wp:anchor distT="0" distB="0" distL="114300" distR="114300" simplePos="0" relativeHeight="251659264" behindDoc="0" locked="0" layoutInCell="1" allowOverlap="1" wp14:anchorId="6773C282" wp14:editId="5EF9E6BE">
          <wp:simplePos x="0" y="0"/>
          <wp:positionH relativeFrom="column">
            <wp:posOffset>1905</wp:posOffset>
          </wp:positionH>
          <wp:positionV relativeFrom="paragraph">
            <wp:posOffset>-236220</wp:posOffset>
          </wp:positionV>
          <wp:extent cx="219075" cy="371475"/>
          <wp:effectExtent l="0" t="0" r="9525" b="9525"/>
          <wp:wrapSquare wrapText="bothSides"/>
          <wp:docPr id="40" name="Imagen 4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5329C7">
      <w:rPr>
        <w:rStyle w:val="Nmerodepgina"/>
        <w:noProof/>
        <w:szCs w:val="24"/>
      </w:rPr>
      <w:t>34</w:t>
    </w:r>
    <w:r w:rsidRPr="001D4F09">
      <w:rPr>
        <w:rStyle w:val="Nmerodepgina"/>
        <w:szCs w:val="24"/>
      </w:rPr>
      <w:fldChar w:fldCharType="end"/>
    </w:r>
    <w:r w:rsidRPr="001D4F09">
      <w:rPr>
        <w:rStyle w:val="Nmerodepgina"/>
        <w:szCs w:val="24"/>
      </w:rPr>
      <w:t xml:space="preserve"> </w:t>
    </w:r>
    <w:r>
      <w:rPr>
        <w:rStyle w:val="Nmerodepgina"/>
        <w:szCs w:val="24"/>
      </w:rPr>
      <w:t>-</w:t>
    </w:r>
  </w:p>
  <w:p w:rsidR="00F0660F" w:rsidRDefault="00F06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60F" w:rsidRDefault="00F0660F" w:rsidP="001F2A05">
      <w:pPr>
        <w:ind w:firstLine="0"/>
      </w:pPr>
      <w:r>
        <w:separator/>
      </w:r>
    </w:p>
  </w:footnote>
  <w:footnote w:type="continuationSeparator" w:id="0">
    <w:p w:rsidR="00F0660F" w:rsidRDefault="00F0660F" w:rsidP="00A5319B">
      <w:pPr>
        <w:ind w:firstLine="0"/>
      </w:pPr>
      <w:r>
        <w:continuationSeparator/>
      </w:r>
    </w:p>
  </w:footnote>
  <w:footnote w:id="1">
    <w:p w:rsidR="00F0660F" w:rsidRDefault="00F0660F" w:rsidP="005B06E4">
      <w:pPr>
        <w:pStyle w:val="Textonotapie"/>
        <w:ind w:firstLine="0"/>
      </w:pPr>
      <w:r>
        <w:rPr>
          <w:rStyle w:val="Refdenotaalpie"/>
        </w:rPr>
        <w:footnoteRef/>
      </w:r>
      <w:r>
        <w:t xml:space="preserve"> Tal horquilla deriva de la existencia de distintas fuentes de información y momento de efectuar la estim</w:t>
      </w:r>
      <w:r>
        <w:t>a</w:t>
      </w:r>
      <w:r>
        <w:t>ción del coste.</w:t>
      </w:r>
    </w:p>
  </w:footnote>
  <w:footnote w:id="2">
    <w:p w:rsidR="00F0660F" w:rsidRPr="002B4431" w:rsidRDefault="00F0660F" w:rsidP="00B81482">
      <w:pPr>
        <w:pStyle w:val="Textonotapie"/>
        <w:spacing w:after="0"/>
        <w:ind w:firstLine="0"/>
        <w:rPr>
          <w:spacing w:val="2"/>
        </w:rPr>
      </w:pPr>
      <w:r>
        <w:rPr>
          <w:rStyle w:val="Refdenotaalpie"/>
        </w:rPr>
        <w:footnoteRef/>
      </w:r>
      <w:r>
        <w:t xml:space="preserve"> </w:t>
      </w:r>
      <w:r w:rsidRPr="002B4431">
        <w:rPr>
          <w:spacing w:val="2"/>
        </w:rPr>
        <w:t>Este Consorcio, constituido en septiembre de 2007, está formado por la Administración de la Comunidad Foral de Navarra y los ayuntamientos de Pamplona, Zizur Mayor y Cendea de Cizur y su objeto es el des</w:t>
      </w:r>
      <w:r w:rsidRPr="002B4431">
        <w:rPr>
          <w:spacing w:val="2"/>
        </w:rPr>
        <w:t>a</w:t>
      </w:r>
      <w:r w:rsidRPr="002B4431">
        <w:rPr>
          <w:spacing w:val="2"/>
        </w:rPr>
        <w:t>rrollo urbanístico integral del Plan sectorial de Incidencia Supramunicipal de desarrollo del Área de la Nueva Estación de Alta Velocidad y el Área de la antigua estación de tren en Pamplona.</w:t>
      </w:r>
    </w:p>
  </w:footnote>
  <w:footnote w:id="3">
    <w:p w:rsidR="00F0660F" w:rsidRDefault="00F0660F" w:rsidP="00B81482">
      <w:pPr>
        <w:pStyle w:val="Textonotapie"/>
        <w:spacing w:after="0"/>
        <w:ind w:firstLine="0"/>
      </w:pPr>
      <w:r>
        <w:rPr>
          <w:rStyle w:val="Refdenotaalpie"/>
        </w:rPr>
        <w:footnoteRef/>
      </w:r>
      <w:r>
        <w:t xml:space="preserve"> De acuerdo con el convenio sobre la materia firmado el 9 de abril de 2010.</w:t>
      </w:r>
    </w:p>
  </w:footnote>
  <w:footnote w:id="4">
    <w:p w:rsidR="00F0660F" w:rsidRDefault="00F0660F" w:rsidP="00A06B5D">
      <w:pPr>
        <w:pStyle w:val="Textonotapie"/>
        <w:ind w:firstLine="0"/>
      </w:pPr>
      <w:r>
        <w:rPr>
          <w:rStyle w:val="Refdenotaalpie"/>
        </w:rPr>
        <w:footnoteRef/>
      </w:r>
      <w:r>
        <w:t xml:space="preserve"> Párrafo modificado de acuerdo con la alegación presentada por el consejero de Desarrollo Económico.</w:t>
      </w:r>
    </w:p>
  </w:footnote>
  <w:footnote w:id="5">
    <w:p w:rsidR="00F0660F" w:rsidRPr="004F0006" w:rsidRDefault="00F0660F" w:rsidP="00F845BD">
      <w:pPr>
        <w:pStyle w:val="Textonotapie"/>
        <w:spacing w:after="0"/>
        <w:ind w:firstLine="0"/>
      </w:pPr>
      <w:r w:rsidRPr="004F0006">
        <w:rPr>
          <w:rStyle w:val="Refdenotaalpie"/>
        </w:rPr>
        <w:footnoteRef/>
      </w:r>
      <w:r w:rsidRPr="004F0006">
        <w:t xml:space="preserve"> Desconocemos la inversión efectuada por el Estado/ADIF en el corredor navarro del TAV</w:t>
      </w:r>
      <w:r>
        <w:t>.</w:t>
      </w:r>
      <w:r w:rsidRPr="004F0006">
        <w:t xml:space="preserve"> </w:t>
      </w:r>
    </w:p>
  </w:footnote>
  <w:footnote w:id="6">
    <w:p w:rsidR="00F0660F" w:rsidRDefault="00F0660F" w:rsidP="00DA3D72">
      <w:pPr>
        <w:pStyle w:val="Textonotapie"/>
        <w:spacing w:after="0"/>
        <w:ind w:firstLine="0"/>
      </w:pPr>
      <w:r>
        <w:rPr>
          <w:rStyle w:val="Refdenotaalpie"/>
        </w:rPr>
        <w:footnoteRef/>
      </w:r>
      <w:r>
        <w:t xml:space="preserve"> Al respecto, según el informe del Tribunal Vasco de Cuentas sobre la cuenta de la Administración General de la Comunidad Autónoma Vasca del ejercicio de 2014, el Estado tiene pendiente de pago a la misma un total de 864,2 millones de las obras del TAV en el tramo guipuzcoano correspondiente a los ejercicios de 2012 a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Pr="0059650E" w:rsidRDefault="00F0660F" w:rsidP="00AE5B1D">
    <w:pPr>
      <w:pStyle w:val="Encabezado"/>
      <w:pBdr>
        <w:bottom w:val="single" w:sz="4" w:space="0" w:color="auto"/>
      </w:pBdr>
      <w:spacing w:after="40"/>
      <w:ind w:firstLine="0"/>
      <w:jc w:val="left"/>
      <w:rPr>
        <w:lang w:val="es-ES"/>
      </w:rPr>
    </w:pPr>
    <w:r>
      <w:rPr>
        <w:b/>
        <w:noProof/>
        <w:lang w:val="es-ES" w:eastAsia="es-ES"/>
      </w:rPr>
      <w:drawing>
        <wp:inline distT="0" distB="0" distL="0" distR="0" wp14:anchorId="633D746B" wp14:editId="47A81F49">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ab/>
      <w:t xml:space="preserve">              informe de fiscalización sobre la situación de las  obras del tav en navarra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F" w:rsidRDefault="00F0660F" w:rsidP="006A2D41">
    <w:pPr>
      <w:pStyle w:val="Encabezado"/>
      <w:ind w:firstLine="0"/>
      <w:jc w:val="left"/>
    </w:pPr>
    <w:r>
      <w:rPr>
        <w:noProof/>
        <w:lang w:val="es-ES" w:eastAsia="es-ES"/>
      </w:rPr>
      <w:drawing>
        <wp:inline distT="0" distB="0" distL="0" distR="0" wp14:anchorId="24A2615C" wp14:editId="047DDB2B">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3D58"/>
    <w:multiLevelType w:val="hybridMultilevel"/>
    <w:tmpl w:val="3C6C7468"/>
    <w:lvl w:ilvl="0" w:tplc="CF12868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2">
    <w:nsid w:val="1A822581"/>
    <w:multiLevelType w:val="hybridMultilevel"/>
    <w:tmpl w:val="212623F0"/>
    <w:lvl w:ilvl="0" w:tplc="0C0A0017">
      <w:start w:val="1"/>
      <w:numFmt w:val="lowerLetter"/>
      <w:lvlText w:val="%1)"/>
      <w:lvlJc w:val="left"/>
      <w:pPr>
        <w:ind w:left="1948" w:hanging="360"/>
      </w:pPr>
    </w:lvl>
    <w:lvl w:ilvl="1" w:tplc="0C0A0019" w:tentative="1">
      <w:start w:val="1"/>
      <w:numFmt w:val="lowerLetter"/>
      <w:lvlText w:val="%2."/>
      <w:lvlJc w:val="left"/>
      <w:pPr>
        <w:ind w:left="2668" w:hanging="360"/>
      </w:pPr>
    </w:lvl>
    <w:lvl w:ilvl="2" w:tplc="0C0A001B" w:tentative="1">
      <w:start w:val="1"/>
      <w:numFmt w:val="lowerRoman"/>
      <w:lvlText w:val="%3."/>
      <w:lvlJc w:val="right"/>
      <w:pPr>
        <w:ind w:left="3388" w:hanging="180"/>
      </w:pPr>
    </w:lvl>
    <w:lvl w:ilvl="3" w:tplc="0C0A000F" w:tentative="1">
      <w:start w:val="1"/>
      <w:numFmt w:val="decimal"/>
      <w:lvlText w:val="%4."/>
      <w:lvlJc w:val="left"/>
      <w:pPr>
        <w:ind w:left="4108" w:hanging="360"/>
      </w:pPr>
    </w:lvl>
    <w:lvl w:ilvl="4" w:tplc="0C0A0019" w:tentative="1">
      <w:start w:val="1"/>
      <w:numFmt w:val="lowerLetter"/>
      <w:lvlText w:val="%5."/>
      <w:lvlJc w:val="left"/>
      <w:pPr>
        <w:ind w:left="4828" w:hanging="360"/>
      </w:pPr>
    </w:lvl>
    <w:lvl w:ilvl="5" w:tplc="0C0A001B" w:tentative="1">
      <w:start w:val="1"/>
      <w:numFmt w:val="lowerRoman"/>
      <w:lvlText w:val="%6."/>
      <w:lvlJc w:val="right"/>
      <w:pPr>
        <w:ind w:left="5548" w:hanging="180"/>
      </w:pPr>
    </w:lvl>
    <w:lvl w:ilvl="6" w:tplc="0C0A000F" w:tentative="1">
      <w:start w:val="1"/>
      <w:numFmt w:val="decimal"/>
      <w:lvlText w:val="%7."/>
      <w:lvlJc w:val="left"/>
      <w:pPr>
        <w:ind w:left="6268" w:hanging="360"/>
      </w:pPr>
    </w:lvl>
    <w:lvl w:ilvl="7" w:tplc="0C0A0019" w:tentative="1">
      <w:start w:val="1"/>
      <w:numFmt w:val="lowerLetter"/>
      <w:lvlText w:val="%8."/>
      <w:lvlJc w:val="left"/>
      <w:pPr>
        <w:ind w:left="6988" w:hanging="360"/>
      </w:pPr>
    </w:lvl>
    <w:lvl w:ilvl="8" w:tplc="0C0A001B" w:tentative="1">
      <w:start w:val="1"/>
      <w:numFmt w:val="lowerRoman"/>
      <w:lvlText w:val="%9."/>
      <w:lvlJc w:val="right"/>
      <w:pPr>
        <w:ind w:left="7708" w:hanging="180"/>
      </w:pPr>
    </w:lvl>
  </w:abstractNum>
  <w:abstractNum w:abstractNumId="3">
    <w:nsid w:val="2C3B0A89"/>
    <w:multiLevelType w:val="hybridMultilevel"/>
    <w:tmpl w:val="67848812"/>
    <w:lvl w:ilvl="0" w:tplc="11B6CCA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nsid w:val="2D124EFB"/>
    <w:multiLevelType w:val="hybridMultilevel"/>
    <w:tmpl w:val="A3709FA2"/>
    <w:lvl w:ilvl="0" w:tplc="4056AF0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0704E9"/>
    <w:multiLevelType w:val="hybridMultilevel"/>
    <w:tmpl w:val="686A438C"/>
    <w:lvl w:ilvl="0" w:tplc="76344444">
      <w:start w:val="2"/>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F9C25F5"/>
    <w:multiLevelType w:val="hybridMultilevel"/>
    <w:tmpl w:val="7D50081A"/>
    <w:lvl w:ilvl="0" w:tplc="D206F04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3DE24E14"/>
    <w:multiLevelType w:val="hybridMultilevel"/>
    <w:tmpl w:val="9F2CEAC0"/>
    <w:lvl w:ilvl="0" w:tplc="D1F2DF2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01F2EC5"/>
    <w:multiLevelType w:val="hybridMultilevel"/>
    <w:tmpl w:val="2C30807C"/>
    <w:lvl w:ilvl="0" w:tplc="487663A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nsid w:val="43E97F3E"/>
    <w:multiLevelType w:val="singleLevel"/>
    <w:tmpl w:val="0C0A0001"/>
    <w:lvl w:ilvl="0">
      <w:start w:val="1"/>
      <w:numFmt w:val="bullet"/>
      <w:lvlText w:val=""/>
      <w:lvlJc w:val="left"/>
      <w:pPr>
        <w:tabs>
          <w:tab w:val="num" w:pos="600"/>
        </w:tabs>
        <w:ind w:left="600" w:hanging="360"/>
      </w:pPr>
      <w:rPr>
        <w:rFonts w:ascii="Symbol" w:hAnsi="Symbol" w:hint="default"/>
      </w:rPr>
    </w:lvl>
  </w:abstractNum>
  <w:abstractNum w:abstractNumId="10">
    <w:nsid w:val="5AE004D7"/>
    <w:multiLevelType w:val="hybridMultilevel"/>
    <w:tmpl w:val="CC9AB548"/>
    <w:lvl w:ilvl="0" w:tplc="08FCF350">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nsid w:val="644B5128"/>
    <w:multiLevelType w:val="singleLevel"/>
    <w:tmpl w:val="F50A19D2"/>
    <w:lvl w:ilvl="0">
      <w:start w:val="46"/>
      <w:numFmt w:val="bullet"/>
      <w:lvlText w:val=""/>
      <w:lvlJc w:val="left"/>
      <w:pPr>
        <w:tabs>
          <w:tab w:val="num" w:pos="928"/>
        </w:tabs>
        <w:ind w:left="398" w:firstLine="170"/>
      </w:pPr>
      <w:rPr>
        <w:rFonts w:ascii="Wingdings" w:hAnsi="Wingdings" w:hint="default"/>
      </w:rPr>
    </w:lvl>
  </w:abstractNum>
  <w:abstractNum w:abstractNumId="12">
    <w:nsid w:val="79796B5C"/>
    <w:multiLevelType w:val="hybridMultilevel"/>
    <w:tmpl w:val="C0CC0A9E"/>
    <w:lvl w:ilvl="0" w:tplc="5F0CE24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F1E0317"/>
    <w:multiLevelType w:val="hybridMultilevel"/>
    <w:tmpl w:val="6DCA5294"/>
    <w:lvl w:ilvl="0" w:tplc="17D8314A">
      <w:start w:val="2"/>
      <w:numFmt w:val="bullet"/>
      <w:lvlText w:val="-"/>
      <w:lvlJc w:val="left"/>
      <w:pPr>
        <w:ind w:left="1948" w:hanging="360"/>
      </w:pPr>
      <w:rPr>
        <w:rFonts w:ascii="Times New Roman" w:eastAsia="Times New Roman" w:hAnsi="Times New Roman" w:cs="Times New Roman" w:hint="default"/>
      </w:rPr>
    </w:lvl>
    <w:lvl w:ilvl="1" w:tplc="0C0A0019" w:tentative="1">
      <w:start w:val="1"/>
      <w:numFmt w:val="lowerLetter"/>
      <w:lvlText w:val="%2."/>
      <w:lvlJc w:val="left"/>
      <w:pPr>
        <w:ind w:left="2668" w:hanging="360"/>
      </w:pPr>
    </w:lvl>
    <w:lvl w:ilvl="2" w:tplc="0C0A001B" w:tentative="1">
      <w:start w:val="1"/>
      <w:numFmt w:val="lowerRoman"/>
      <w:lvlText w:val="%3."/>
      <w:lvlJc w:val="right"/>
      <w:pPr>
        <w:ind w:left="3388" w:hanging="180"/>
      </w:pPr>
    </w:lvl>
    <w:lvl w:ilvl="3" w:tplc="0C0A000F" w:tentative="1">
      <w:start w:val="1"/>
      <w:numFmt w:val="decimal"/>
      <w:lvlText w:val="%4."/>
      <w:lvlJc w:val="left"/>
      <w:pPr>
        <w:ind w:left="4108" w:hanging="360"/>
      </w:pPr>
    </w:lvl>
    <w:lvl w:ilvl="4" w:tplc="0C0A0019" w:tentative="1">
      <w:start w:val="1"/>
      <w:numFmt w:val="lowerLetter"/>
      <w:lvlText w:val="%5."/>
      <w:lvlJc w:val="left"/>
      <w:pPr>
        <w:ind w:left="4828" w:hanging="360"/>
      </w:pPr>
    </w:lvl>
    <w:lvl w:ilvl="5" w:tplc="0C0A001B" w:tentative="1">
      <w:start w:val="1"/>
      <w:numFmt w:val="lowerRoman"/>
      <w:lvlText w:val="%6."/>
      <w:lvlJc w:val="right"/>
      <w:pPr>
        <w:ind w:left="5548" w:hanging="180"/>
      </w:pPr>
    </w:lvl>
    <w:lvl w:ilvl="6" w:tplc="0C0A000F" w:tentative="1">
      <w:start w:val="1"/>
      <w:numFmt w:val="decimal"/>
      <w:lvlText w:val="%7."/>
      <w:lvlJc w:val="left"/>
      <w:pPr>
        <w:ind w:left="6268" w:hanging="360"/>
      </w:pPr>
    </w:lvl>
    <w:lvl w:ilvl="7" w:tplc="0C0A0019" w:tentative="1">
      <w:start w:val="1"/>
      <w:numFmt w:val="lowerLetter"/>
      <w:lvlText w:val="%8."/>
      <w:lvlJc w:val="left"/>
      <w:pPr>
        <w:ind w:left="6988" w:hanging="360"/>
      </w:pPr>
    </w:lvl>
    <w:lvl w:ilvl="8" w:tplc="0C0A001B" w:tentative="1">
      <w:start w:val="1"/>
      <w:numFmt w:val="lowerRoman"/>
      <w:lvlText w:val="%9."/>
      <w:lvlJc w:val="right"/>
      <w:pPr>
        <w:ind w:left="7708" w:hanging="180"/>
      </w:pPr>
    </w:lvl>
  </w:abstractNum>
  <w:num w:numId="1">
    <w:abstractNumId w:val="11"/>
  </w:num>
  <w:num w:numId="2">
    <w:abstractNumId w:val="1"/>
  </w:num>
  <w:num w:numId="3">
    <w:abstractNumId w:val="12"/>
  </w:num>
  <w:num w:numId="4">
    <w:abstractNumId w:val="6"/>
  </w:num>
  <w:num w:numId="5">
    <w:abstractNumId w:val="3"/>
  </w:num>
  <w:num w:numId="6">
    <w:abstractNumId w:val="9"/>
  </w:num>
  <w:num w:numId="7">
    <w:abstractNumId w:val="7"/>
  </w:num>
  <w:num w:numId="8">
    <w:abstractNumId w:val="13"/>
  </w:num>
  <w:num w:numId="9">
    <w:abstractNumId w:val="8"/>
  </w:num>
  <w:num w:numId="10">
    <w:abstractNumId w:val="10"/>
  </w:num>
  <w:num w:numId="11">
    <w:abstractNumId w:val="0"/>
  </w:num>
  <w:num w:numId="12">
    <w:abstractNumId w:val="5"/>
  </w:num>
  <w:num w:numId="13">
    <w:abstractNumId w:val="4"/>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0CC"/>
    <w:rsid w:val="00000155"/>
    <w:rsid w:val="000004D2"/>
    <w:rsid w:val="000006BD"/>
    <w:rsid w:val="00000781"/>
    <w:rsid w:val="00000AAA"/>
    <w:rsid w:val="00000CB2"/>
    <w:rsid w:val="00000DD3"/>
    <w:rsid w:val="000019D8"/>
    <w:rsid w:val="00002221"/>
    <w:rsid w:val="00002640"/>
    <w:rsid w:val="00003073"/>
    <w:rsid w:val="000037D5"/>
    <w:rsid w:val="00004162"/>
    <w:rsid w:val="000041F9"/>
    <w:rsid w:val="00004203"/>
    <w:rsid w:val="00004531"/>
    <w:rsid w:val="00004725"/>
    <w:rsid w:val="0000499E"/>
    <w:rsid w:val="00004E87"/>
    <w:rsid w:val="00005082"/>
    <w:rsid w:val="000055A2"/>
    <w:rsid w:val="00005604"/>
    <w:rsid w:val="00005A48"/>
    <w:rsid w:val="00005AAD"/>
    <w:rsid w:val="00005E98"/>
    <w:rsid w:val="00006736"/>
    <w:rsid w:val="00006A97"/>
    <w:rsid w:val="00006F99"/>
    <w:rsid w:val="00007069"/>
    <w:rsid w:val="00010D54"/>
    <w:rsid w:val="00010F4B"/>
    <w:rsid w:val="00011172"/>
    <w:rsid w:val="0001123B"/>
    <w:rsid w:val="00011662"/>
    <w:rsid w:val="00011CCB"/>
    <w:rsid w:val="000120F8"/>
    <w:rsid w:val="0001223E"/>
    <w:rsid w:val="00012A7F"/>
    <w:rsid w:val="00012EC4"/>
    <w:rsid w:val="000132E9"/>
    <w:rsid w:val="00013553"/>
    <w:rsid w:val="00013752"/>
    <w:rsid w:val="000148C4"/>
    <w:rsid w:val="00014941"/>
    <w:rsid w:val="00015585"/>
    <w:rsid w:val="00015835"/>
    <w:rsid w:val="000165A4"/>
    <w:rsid w:val="00016A0C"/>
    <w:rsid w:val="00016A0F"/>
    <w:rsid w:val="00016CE7"/>
    <w:rsid w:val="0001781F"/>
    <w:rsid w:val="00017A3A"/>
    <w:rsid w:val="00017A48"/>
    <w:rsid w:val="00017BF7"/>
    <w:rsid w:val="000205D4"/>
    <w:rsid w:val="00020941"/>
    <w:rsid w:val="00020CD1"/>
    <w:rsid w:val="000212A1"/>
    <w:rsid w:val="000212A5"/>
    <w:rsid w:val="00021912"/>
    <w:rsid w:val="00021BF6"/>
    <w:rsid w:val="00021E2A"/>
    <w:rsid w:val="00021E3B"/>
    <w:rsid w:val="00022611"/>
    <w:rsid w:val="00022B43"/>
    <w:rsid w:val="00023062"/>
    <w:rsid w:val="00023842"/>
    <w:rsid w:val="00023EED"/>
    <w:rsid w:val="00023F3E"/>
    <w:rsid w:val="00024922"/>
    <w:rsid w:val="00024D15"/>
    <w:rsid w:val="0002530F"/>
    <w:rsid w:val="000253A5"/>
    <w:rsid w:val="00025E9B"/>
    <w:rsid w:val="00025F0D"/>
    <w:rsid w:val="00025FDF"/>
    <w:rsid w:val="00026242"/>
    <w:rsid w:val="00026720"/>
    <w:rsid w:val="00026779"/>
    <w:rsid w:val="00027034"/>
    <w:rsid w:val="00027092"/>
    <w:rsid w:val="0002788A"/>
    <w:rsid w:val="000301DB"/>
    <w:rsid w:val="000305E6"/>
    <w:rsid w:val="00030B06"/>
    <w:rsid w:val="00030EB6"/>
    <w:rsid w:val="00031839"/>
    <w:rsid w:val="00031B45"/>
    <w:rsid w:val="00032B64"/>
    <w:rsid w:val="00032BD6"/>
    <w:rsid w:val="00032D0F"/>
    <w:rsid w:val="0003340A"/>
    <w:rsid w:val="00033A91"/>
    <w:rsid w:val="00033BB1"/>
    <w:rsid w:val="00034301"/>
    <w:rsid w:val="00034399"/>
    <w:rsid w:val="000344EC"/>
    <w:rsid w:val="000349F5"/>
    <w:rsid w:val="000351F6"/>
    <w:rsid w:val="00035492"/>
    <w:rsid w:val="00035A3C"/>
    <w:rsid w:val="00036215"/>
    <w:rsid w:val="00036341"/>
    <w:rsid w:val="0003648B"/>
    <w:rsid w:val="000368F1"/>
    <w:rsid w:val="00036B82"/>
    <w:rsid w:val="00036C0F"/>
    <w:rsid w:val="00036E42"/>
    <w:rsid w:val="00036F10"/>
    <w:rsid w:val="00037F6A"/>
    <w:rsid w:val="000401DA"/>
    <w:rsid w:val="0004089C"/>
    <w:rsid w:val="00040911"/>
    <w:rsid w:val="00040DF4"/>
    <w:rsid w:val="00040FE1"/>
    <w:rsid w:val="00041D7D"/>
    <w:rsid w:val="00041F12"/>
    <w:rsid w:val="00042056"/>
    <w:rsid w:val="00042314"/>
    <w:rsid w:val="0004256B"/>
    <w:rsid w:val="00042714"/>
    <w:rsid w:val="0004305C"/>
    <w:rsid w:val="0004325C"/>
    <w:rsid w:val="0004373B"/>
    <w:rsid w:val="00043A0C"/>
    <w:rsid w:val="00043C21"/>
    <w:rsid w:val="00043F9C"/>
    <w:rsid w:val="00044875"/>
    <w:rsid w:val="000448FA"/>
    <w:rsid w:val="00044F0F"/>
    <w:rsid w:val="00044F35"/>
    <w:rsid w:val="00046373"/>
    <w:rsid w:val="000464A4"/>
    <w:rsid w:val="000468C3"/>
    <w:rsid w:val="000468D3"/>
    <w:rsid w:val="00046ADB"/>
    <w:rsid w:val="00047167"/>
    <w:rsid w:val="00047297"/>
    <w:rsid w:val="000478F4"/>
    <w:rsid w:val="000504A6"/>
    <w:rsid w:val="00050708"/>
    <w:rsid w:val="00050D8C"/>
    <w:rsid w:val="00050F35"/>
    <w:rsid w:val="000521D0"/>
    <w:rsid w:val="000528F8"/>
    <w:rsid w:val="000531FF"/>
    <w:rsid w:val="00053575"/>
    <w:rsid w:val="00053783"/>
    <w:rsid w:val="000537FA"/>
    <w:rsid w:val="00053A42"/>
    <w:rsid w:val="00053AA1"/>
    <w:rsid w:val="000545CB"/>
    <w:rsid w:val="00054E9A"/>
    <w:rsid w:val="0005517D"/>
    <w:rsid w:val="000553F7"/>
    <w:rsid w:val="00055968"/>
    <w:rsid w:val="00055F97"/>
    <w:rsid w:val="0005601A"/>
    <w:rsid w:val="000561FF"/>
    <w:rsid w:val="00056408"/>
    <w:rsid w:val="00057461"/>
    <w:rsid w:val="00057914"/>
    <w:rsid w:val="000605A2"/>
    <w:rsid w:val="00060BEE"/>
    <w:rsid w:val="00060E69"/>
    <w:rsid w:val="0006133D"/>
    <w:rsid w:val="0006193A"/>
    <w:rsid w:val="000619FD"/>
    <w:rsid w:val="00061AA9"/>
    <w:rsid w:val="00062575"/>
    <w:rsid w:val="00063585"/>
    <w:rsid w:val="00063A9B"/>
    <w:rsid w:val="00064240"/>
    <w:rsid w:val="00064667"/>
    <w:rsid w:val="000649A0"/>
    <w:rsid w:val="0006514B"/>
    <w:rsid w:val="00066838"/>
    <w:rsid w:val="000668B0"/>
    <w:rsid w:val="00066A20"/>
    <w:rsid w:val="00066FA6"/>
    <w:rsid w:val="000676C4"/>
    <w:rsid w:val="00067C61"/>
    <w:rsid w:val="00067F08"/>
    <w:rsid w:val="00070183"/>
    <w:rsid w:val="000702E1"/>
    <w:rsid w:val="000702E9"/>
    <w:rsid w:val="00071558"/>
    <w:rsid w:val="0007168C"/>
    <w:rsid w:val="00071CD0"/>
    <w:rsid w:val="00071F6B"/>
    <w:rsid w:val="00071FC3"/>
    <w:rsid w:val="00072413"/>
    <w:rsid w:val="000728EB"/>
    <w:rsid w:val="0007293A"/>
    <w:rsid w:val="00072B53"/>
    <w:rsid w:val="00073840"/>
    <w:rsid w:val="00073DA0"/>
    <w:rsid w:val="00073EAF"/>
    <w:rsid w:val="0007453D"/>
    <w:rsid w:val="00074C75"/>
    <w:rsid w:val="00074E22"/>
    <w:rsid w:val="00074ECC"/>
    <w:rsid w:val="000754B7"/>
    <w:rsid w:val="00075692"/>
    <w:rsid w:val="00075A0F"/>
    <w:rsid w:val="00075DC5"/>
    <w:rsid w:val="00075E69"/>
    <w:rsid w:val="0007622A"/>
    <w:rsid w:val="00076450"/>
    <w:rsid w:val="00076947"/>
    <w:rsid w:val="00076979"/>
    <w:rsid w:val="00076D92"/>
    <w:rsid w:val="00077297"/>
    <w:rsid w:val="000775FC"/>
    <w:rsid w:val="00077848"/>
    <w:rsid w:val="00077853"/>
    <w:rsid w:val="00080099"/>
    <w:rsid w:val="00080725"/>
    <w:rsid w:val="00080934"/>
    <w:rsid w:val="00080D16"/>
    <w:rsid w:val="000811B8"/>
    <w:rsid w:val="00081261"/>
    <w:rsid w:val="00081FE3"/>
    <w:rsid w:val="00082080"/>
    <w:rsid w:val="00082453"/>
    <w:rsid w:val="0008248E"/>
    <w:rsid w:val="00082869"/>
    <w:rsid w:val="000828E5"/>
    <w:rsid w:val="00082A28"/>
    <w:rsid w:val="000831B6"/>
    <w:rsid w:val="00083928"/>
    <w:rsid w:val="00083ADC"/>
    <w:rsid w:val="00084177"/>
    <w:rsid w:val="0008442F"/>
    <w:rsid w:val="00084893"/>
    <w:rsid w:val="0008507C"/>
    <w:rsid w:val="0008507E"/>
    <w:rsid w:val="00085687"/>
    <w:rsid w:val="00085937"/>
    <w:rsid w:val="00085A30"/>
    <w:rsid w:val="00085FE3"/>
    <w:rsid w:val="000862A3"/>
    <w:rsid w:val="00086A1F"/>
    <w:rsid w:val="00086F19"/>
    <w:rsid w:val="0008748F"/>
    <w:rsid w:val="00087624"/>
    <w:rsid w:val="00087B8D"/>
    <w:rsid w:val="00087E89"/>
    <w:rsid w:val="0009040B"/>
    <w:rsid w:val="00090905"/>
    <w:rsid w:val="00090988"/>
    <w:rsid w:val="00090E15"/>
    <w:rsid w:val="00091C26"/>
    <w:rsid w:val="00092097"/>
    <w:rsid w:val="0009240A"/>
    <w:rsid w:val="00092434"/>
    <w:rsid w:val="00092DF2"/>
    <w:rsid w:val="000930A1"/>
    <w:rsid w:val="00093D67"/>
    <w:rsid w:val="00093E60"/>
    <w:rsid w:val="000940D7"/>
    <w:rsid w:val="0009411D"/>
    <w:rsid w:val="00094A47"/>
    <w:rsid w:val="00094E3B"/>
    <w:rsid w:val="00094FCF"/>
    <w:rsid w:val="00095932"/>
    <w:rsid w:val="00095941"/>
    <w:rsid w:val="00095BE9"/>
    <w:rsid w:val="000969AF"/>
    <w:rsid w:val="00096E69"/>
    <w:rsid w:val="00096EDB"/>
    <w:rsid w:val="000A01FA"/>
    <w:rsid w:val="000A08FC"/>
    <w:rsid w:val="000A09EF"/>
    <w:rsid w:val="000A0AC8"/>
    <w:rsid w:val="000A0FCD"/>
    <w:rsid w:val="000A12A7"/>
    <w:rsid w:val="000A149D"/>
    <w:rsid w:val="000A1792"/>
    <w:rsid w:val="000A18B7"/>
    <w:rsid w:val="000A2061"/>
    <w:rsid w:val="000A225D"/>
    <w:rsid w:val="000A264F"/>
    <w:rsid w:val="000A26BE"/>
    <w:rsid w:val="000A27A2"/>
    <w:rsid w:val="000A29D0"/>
    <w:rsid w:val="000A2C1E"/>
    <w:rsid w:val="000A2DDE"/>
    <w:rsid w:val="000A34D8"/>
    <w:rsid w:val="000A35C1"/>
    <w:rsid w:val="000A39A9"/>
    <w:rsid w:val="000A3FAC"/>
    <w:rsid w:val="000A4219"/>
    <w:rsid w:val="000A42F6"/>
    <w:rsid w:val="000A4697"/>
    <w:rsid w:val="000A46F3"/>
    <w:rsid w:val="000A4A9C"/>
    <w:rsid w:val="000A4EDD"/>
    <w:rsid w:val="000A4FCC"/>
    <w:rsid w:val="000A51EE"/>
    <w:rsid w:val="000A5222"/>
    <w:rsid w:val="000A525A"/>
    <w:rsid w:val="000A5621"/>
    <w:rsid w:val="000A5AD2"/>
    <w:rsid w:val="000A5B88"/>
    <w:rsid w:val="000A65EC"/>
    <w:rsid w:val="000A6C4D"/>
    <w:rsid w:val="000A7623"/>
    <w:rsid w:val="000B0434"/>
    <w:rsid w:val="000B0B1E"/>
    <w:rsid w:val="000B0D4C"/>
    <w:rsid w:val="000B0E1E"/>
    <w:rsid w:val="000B0EB1"/>
    <w:rsid w:val="000B1536"/>
    <w:rsid w:val="000B1558"/>
    <w:rsid w:val="000B1576"/>
    <w:rsid w:val="000B16D4"/>
    <w:rsid w:val="000B18ED"/>
    <w:rsid w:val="000B23DF"/>
    <w:rsid w:val="000B2728"/>
    <w:rsid w:val="000B2764"/>
    <w:rsid w:val="000B3943"/>
    <w:rsid w:val="000B429B"/>
    <w:rsid w:val="000B4311"/>
    <w:rsid w:val="000B4477"/>
    <w:rsid w:val="000B4696"/>
    <w:rsid w:val="000B4CF6"/>
    <w:rsid w:val="000B5023"/>
    <w:rsid w:val="000B5065"/>
    <w:rsid w:val="000B526F"/>
    <w:rsid w:val="000B55D6"/>
    <w:rsid w:val="000B59B9"/>
    <w:rsid w:val="000B6896"/>
    <w:rsid w:val="000B6F64"/>
    <w:rsid w:val="000B770E"/>
    <w:rsid w:val="000B7D3A"/>
    <w:rsid w:val="000B7D8D"/>
    <w:rsid w:val="000C03E8"/>
    <w:rsid w:val="000C03F5"/>
    <w:rsid w:val="000C0704"/>
    <w:rsid w:val="000C0828"/>
    <w:rsid w:val="000C0E93"/>
    <w:rsid w:val="000C17DD"/>
    <w:rsid w:val="000C19FC"/>
    <w:rsid w:val="000C2411"/>
    <w:rsid w:val="000C2B07"/>
    <w:rsid w:val="000C30E9"/>
    <w:rsid w:val="000C3451"/>
    <w:rsid w:val="000C3495"/>
    <w:rsid w:val="000C3678"/>
    <w:rsid w:val="000C398A"/>
    <w:rsid w:val="000C39CC"/>
    <w:rsid w:val="000C3C0D"/>
    <w:rsid w:val="000C429F"/>
    <w:rsid w:val="000C4AB2"/>
    <w:rsid w:val="000C55C3"/>
    <w:rsid w:val="000C585C"/>
    <w:rsid w:val="000C6073"/>
    <w:rsid w:val="000C631F"/>
    <w:rsid w:val="000C6499"/>
    <w:rsid w:val="000C64D6"/>
    <w:rsid w:val="000C64F5"/>
    <w:rsid w:val="000C6B54"/>
    <w:rsid w:val="000C6EE2"/>
    <w:rsid w:val="000C6F3D"/>
    <w:rsid w:val="000C7225"/>
    <w:rsid w:val="000C7566"/>
    <w:rsid w:val="000C775B"/>
    <w:rsid w:val="000C78EA"/>
    <w:rsid w:val="000C7B2B"/>
    <w:rsid w:val="000C7C8D"/>
    <w:rsid w:val="000D07B1"/>
    <w:rsid w:val="000D09F6"/>
    <w:rsid w:val="000D0A95"/>
    <w:rsid w:val="000D0D34"/>
    <w:rsid w:val="000D0E71"/>
    <w:rsid w:val="000D0F6C"/>
    <w:rsid w:val="000D13D3"/>
    <w:rsid w:val="000D188E"/>
    <w:rsid w:val="000D1F16"/>
    <w:rsid w:val="000D2040"/>
    <w:rsid w:val="000D22D5"/>
    <w:rsid w:val="000D2601"/>
    <w:rsid w:val="000D2954"/>
    <w:rsid w:val="000D29E9"/>
    <w:rsid w:val="000D2A9F"/>
    <w:rsid w:val="000D302A"/>
    <w:rsid w:val="000D34E6"/>
    <w:rsid w:val="000D3959"/>
    <w:rsid w:val="000D3BAB"/>
    <w:rsid w:val="000D3E76"/>
    <w:rsid w:val="000D4327"/>
    <w:rsid w:val="000D47A6"/>
    <w:rsid w:val="000D48B4"/>
    <w:rsid w:val="000D4B4D"/>
    <w:rsid w:val="000D4D73"/>
    <w:rsid w:val="000D4F72"/>
    <w:rsid w:val="000D5178"/>
    <w:rsid w:val="000D5335"/>
    <w:rsid w:val="000D67E8"/>
    <w:rsid w:val="000D707C"/>
    <w:rsid w:val="000D70E5"/>
    <w:rsid w:val="000D713E"/>
    <w:rsid w:val="000D7B14"/>
    <w:rsid w:val="000D7C4A"/>
    <w:rsid w:val="000D7CB3"/>
    <w:rsid w:val="000E0F69"/>
    <w:rsid w:val="000E0FC1"/>
    <w:rsid w:val="000E1030"/>
    <w:rsid w:val="000E167E"/>
    <w:rsid w:val="000E1981"/>
    <w:rsid w:val="000E1A1D"/>
    <w:rsid w:val="000E2297"/>
    <w:rsid w:val="000E283B"/>
    <w:rsid w:val="000E287F"/>
    <w:rsid w:val="000E2E81"/>
    <w:rsid w:val="000E2E9B"/>
    <w:rsid w:val="000E2F4C"/>
    <w:rsid w:val="000E361E"/>
    <w:rsid w:val="000E3C4F"/>
    <w:rsid w:val="000E3EF5"/>
    <w:rsid w:val="000E472F"/>
    <w:rsid w:val="000E4927"/>
    <w:rsid w:val="000E495B"/>
    <w:rsid w:val="000E4E1D"/>
    <w:rsid w:val="000E4F75"/>
    <w:rsid w:val="000E5894"/>
    <w:rsid w:val="000E5BB3"/>
    <w:rsid w:val="000E600D"/>
    <w:rsid w:val="000E6060"/>
    <w:rsid w:val="000E6102"/>
    <w:rsid w:val="000E6404"/>
    <w:rsid w:val="000E64FF"/>
    <w:rsid w:val="000E6630"/>
    <w:rsid w:val="000E6AE1"/>
    <w:rsid w:val="000E76BF"/>
    <w:rsid w:val="000E79F9"/>
    <w:rsid w:val="000E7B86"/>
    <w:rsid w:val="000E7C62"/>
    <w:rsid w:val="000E7EE8"/>
    <w:rsid w:val="000F000D"/>
    <w:rsid w:val="000F04AF"/>
    <w:rsid w:val="000F0638"/>
    <w:rsid w:val="000F0DD0"/>
    <w:rsid w:val="000F0E7E"/>
    <w:rsid w:val="000F1931"/>
    <w:rsid w:val="000F1E67"/>
    <w:rsid w:val="000F23E5"/>
    <w:rsid w:val="000F2A2A"/>
    <w:rsid w:val="000F2B17"/>
    <w:rsid w:val="000F2B66"/>
    <w:rsid w:val="000F3371"/>
    <w:rsid w:val="000F3452"/>
    <w:rsid w:val="000F3478"/>
    <w:rsid w:val="000F3D83"/>
    <w:rsid w:val="000F442E"/>
    <w:rsid w:val="000F465E"/>
    <w:rsid w:val="000F49BE"/>
    <w:rsid w:val="000F4BCF"/>
    <w:rsid w:val="000F5424"/>
    <w:rsid w:val="000F58DA"/>
    <w:rsid w:val="000F5C5C"/>
    <w:rsid w:val="000F5EFF"/>
    <w:rsid w:val="000F6922"/>
    <w:rsid w:val="000F69EE"/>
    <w:rsid w:val="000F6BF1"/>
    <w:rsid w:val="000F7088"/>
    <w:rsid w:val="000F73EA"/>
    <w:rsid w:val="00100119"/>
    <w:rsid w:val="0010013F"/>
    <w:rsid w:val="00100476"/>
    <w:rsid w:val="00100A4A"/>
    <w:rsid w:val="00100E07"/>
    <w:rsid w:val="00100F12"/>
    <w:rsid w:val="00101B81"/>
    <w:rsid w:val="00101E1C"/>
    <w:rsid w:val="00102392"/>
    <w:rsid w:val="00102F39"/>
    <w:rsid w:val="00103489"/>
    <w:rsid w:val="00103589"/>
    <w:rsid w:val="0010370B"/>
    <w:rsid w:val="00103B8A"/>
    <w:rsid w:val="001045C9"/>
    <w:rsid w:val="00104FD5"/>
    <w:rsid w:val="001058CE"/>
    <w:rsid w:val="00105CF0"/>
    <w:rsid w:val="00105D2E"/>
    <w:rsid w:val="00105DA1"/>
    <w:rsid w:val="00106B98"/>
    <w:rsid w:val="00106FDC"/>
    <w:rsid w:val="00107585"/>
    <w:rsid w:val="001075C1"/>
    <w:rsid w:val="00107863"/>
    <w:rsid w:val="00107B90"/>
    <w:rsid w:val="00107CC1"/>
    <w:rsid w:val="00107CC7"/>
    <w:rsid w:val="00107E28"/>
    <w:rsid w:val="00107F61"/>
    <w:rsid w:val="0011009E"/>
    <w:rsid w:val="00110483"/>
    <w:rsid w:val="00110545"/>
    <w:rsid w:val="00110AC5"/>
    <w:rsid w:val="001111E9"/>
    <w:rsid w:val="0011163B"/>
    <w:rsid w:val="00111A92"/>
    <w:rsid w:val="00111D80"/>
    <w:rsid w:val="00111FC7"/>
    <w:rsid w:val="001122DF"/>
    <w:rsid w:val="00112AAA"/>
    <w:rsid w:val="00112BEB"/>
    <w:rsid w:val="001131A9"/>
    <w:rsid w:val="00113466"/>
    <w:rsid w:val="00113A5C"/>
    <w:rsid w:val="00113FC9"/>
    <w:rsid w:val="00114412"/>
    <w:rsid w:val="001145C3"/>
    <w:rsid w:val="00114751"/>
    <w:rsid w:val="00114978"/>
    <w:rsid w:val="00115624"/>
    <w:rsid w:val="0011570E"/>
    <w:rsid w:val="001158AB"/>
    <w:rsid w:val="001159E2"/>
    <w:rsid w:val="00115E06"/>
    <w:rsid w:val="00116150"/>
    <w:rsid w:val="001161D2"/>
    <w:rsid w:val="00117573"/>
    <w:rsid w:val="001176AA"/>
    <w:rsid w:val="0011788E"/>
    <w:rsid w:val="00117E2F"/>
    <w:rsid w:val="00120085"/>
    <w:rsid w:val="001207A4"/>
    <w:rsid w:val="00120A8B"/>
    <w:rsid w:val="00120C02"/>
    <w:rsid w:val="00120C91"/>
    <w:rsid w:val="00120CBD"/>
    <w:rsid w:val="00120D31"/>
    <w:rsid w:val="001212CD"/>
    <w:rsid w:val="001215DC"/>
    <w:rsid w:val="00121E13"/>
    <w:rsid w:val="00122828"/>
    <w:rsid w:val="0012354F"/>
    <w:rsid w:val="00123574"/>
    <w:rsid w:val="001237FE"/>
    <w:rsid w:val="00123FC5"/>
    <w:rsid w:val="001246C8"/>
    <w:rsid w:val="00124AFE"/>
    <w:rsid w:val="00124B38"/>
    <w:rsid w:val="00124E7F"/>
    <w:rsid w:val="00125013"/>
    <w:rsid w:val="00125497"/>
    <w:rsid w:val="001255CD"/>
    <w:rsid w:val="00125FD4"/>
    <w:rsid w:val="00126284"/>
    <w:rsid w:val="00126702"/>
    <w:rsid w:val="001267D2"/>
    <w:rsid w:val="00126818"/>
    <w:rsid w:val="00126917"/>
    <w:rsid w:val="00126E34"/>
    <w:rsid w:val="00127D8C"/>
    <w:rsid w:val="00127FFD"/>
    <w:rsid w:val="0013026C"/>
    <w:rsid w:val="00130480"/>
    <w:rsid w:val="001304F7"/>
    <w:rsid w:val="00130686"/>
    <w:rsid w:val="0013092A"/>
    <w:rsid w:val="00130F3E"/>
    <w:rsid w:val="0013107B"/>
    <w:rsid w:val="001310C0"/>
    <w:rsid w:val="00131899"/>
    <w:rsid w:val="00131DF1"/>
    <w:rsid w:val="001328E4"/>
    <w:rsid w:val="00132C38"/>
    <w:rsid w:val="00132DC3"/>
    <w:rsid w:val="00132DCA"/>
    <w:rsid w:val="001330B7"/>
    <w:rsid w:val="00133984"/>
    <w:rsid w:val="00133A1E"/>
    <w:rsid w:val="00133BB9"/>
    <w:rsid w:val="00135050"/>
    <w:rsid w:val="001359C4"/>
    <w:rsid w:val="00135B2C"/>
    <w:rsid w:val="00135DF2"/>
    <w:rsid w:val="0013633B"/>
    <w:rsid w:val="00136350"/>
    <w:rsid w:val="001365C4"/>
    <w:rsid w:val="00136768"/>
    <w:rsid w:val="00136C3B"/>
    <w:rsid w:val="001370C3"/>
    <w:rsid w:val="0013728E"/>
    <w:rsid w:val="00137666"/>
    <w:rsid w:val="00137870"/>
    <w:rsid w:val="001405F7"/>
    <w:rsid w:val="00140739"/>
    <w:rsid w:val="0014080D"/>
    <w:rsid w:val="00140EFC"/>
    <w:rsid w:val="00141052"/>
    <w:rsid w:val="0014147D"/>
    <w:rsid w:val="00141689"/>
    <w:rsid w:val="00141A82"/>
    <w:rsid w:val="00141C69"/>
    <w:rsid w:val="00141D29"/>
    <w:rsid w:val="00141D4A"/>
    <w:rsid w:val="00142181"/>
    <w:rsid w:val="001428A3"/>
    <w:rsid w:val="00143390"/>
    <w:rsid w:val="0014471F"/>
    <w:rsid w:val="00144D15"/>
    <w:rsid w:val="00144DF9"/>
    <w:rsid w:val="0014506A"/>
    <w:rsid w:val="001458C3"/>
    <w:rsid w:val="00145A9D"/>
    <w:rsid w:val="001460F6"/>
    <w:rsid w:val="00146151"/>
    <w:rsid w:val="00146342"/>
    <w:rsid w:val="00146343"/>
    <w:rsid w:val="00146881"/>
    <w:rsid w:val="0014728F"/>
    <w:rsid w:val="00147EE0"/>
    <w:rsid w:val="00150983"/>
    <w:rsid w:val="00150B10"/>
    <w:rsid w:val="00151243"/>
    <w:rsid w:val="001521A2"/>
    <w:rsid w:val="00152358"/>
    <w:rsid w:val="00153382"/>
    <w:rsid w:val="00153539"/>
    <w:rsid w:val="00153678"/>
    <w:rsid w:val="0015367A"/>
    <w:rsid w:val="00153708"/>
    <w:rsid w:val="001537AF"/>
    <w:rsid w:val="0015461F"/>
    <w:rsid w:val="00154A81"/>
    <w:rsid w:val="0015558D"/>
    <w:rsid w:val="001556A3"/>
    <w:rsid w:val="00155BFF"/>
    <w:rsid w:val="001571B5"/>
    <w:rsid w:val="00157A5B"/>
    <w:rsid w:val="00157C59"/>
    <w:rsid w:val="00157CF0"/>
    <w:rsid w:val="001600BF"/>
    <w:rsid w:val="00160123"/>
    <w:rsid w:val="001602E6"/>
    <w:rsid w:val="00160327"/>
    <w:rsid w:val="00160AEA"/>
    <w:rsid w:val="00160B7A"/>
    <w:rsid w:val="00160F66"/>
    <w:rsid w:val="00161184"/>
    <w:rsid w:val="001611BD"/>
    <w:rsid w:val="00161B4F"/>
    <w:rsid w:val="00161E7D"/>
    <w:rsid w:val="0016213F"/>
    <w:rsid w:val="001622C0"/>
    <w:rsid w:val="00162587"/>
    <w:rsid w:val="001633AF"/>
    <w:rsid w:val="00163D75"/>
    <w:rsid w:val="00164155"/>
    <w:rsid w:val="001648C8"/>
    <w:rsid w:val="00164B0F"/>
    <w:rsid w:val="001654A0"/>
    <w:rsid w:val="001655D4"/>
    <w:rsid w:val="00165691"/>
    <w:rsid w:val="00165FD7"/>
    <w:rsid w:val="001668AB"/>
    <w:rsid w:val="00166A6C"/>
    <w:rsid w:val="00167371"/>
    <w:rsid w:val="00167A64"/>
    <w:rsid w:val="00167B41"/>
    <w:rsid w:val="001708D2"/>
    <w:rsid w:val="00171448"/>
    <w:rsid w:val="0017161E"/>
    <w:rsid w:val="00171A4E"/>
    <w:rsid w:val="00171B1C"/>
    <w:rsid w:val="001720EB"/>
    <w:rsid w:val="00172692"/>
    <w:rsid w:val="001729F2"/>
    <w:rsid w:val="00172E5B"/>
    <w:rsid w:val="001732F3"/>
    <w:rsid w:val="00173EDD"/>
    <w:rsid w:val="0017402B"/>
    <w:rsid w:val="001744B3"/>
    <w:rsid w:val="0017459B"/>
    <w:rsid w:val="00174606"/>
    <w:rsid w:val="00174909"/>
    <w:rsid w:val="00174933"/>
    <w:rsid w:val="00174E4E"/>
    <w:rsid w:val="00175A69"/>
    <w:rsid w:val="00175DF0"/>
    <w:rsid w:val="00175E9A"/>
    <w:rsid w:val="001761C3"/>
    <w:rsid w:val="0017645F"/>
    <w:rsid w:val="00176B06"/>
    <w:rsid w:val="00177149"/>
    <w:rsid w:val="0017760B"/>
    <w:rsid w:val="00177EC9"/>
    <w:rsid w:val="00177FFA"/>
    <w:rsid w:val="0018077E"/>
    <w:rsid w:val="00180C53"/>
    <w:rsid w:val="00180D21"/>
    <w:rsid w:val="0018107F"/>
    <w:rsid w:val="0018128E"/>
    <w:rsid w:val="00181AB5"/>
    <w:rsid w:val="00181D37"/>
    <w:rsid w:val="00181DA3"/>
    <w:rsid w:val="001829FB"/>
    <w:rsid w:val="00182DB2"/>
    <w:rsid w:val="00183412"/>
    <w:rsid w:val="001835B7"/>
    <w:rsid w:val="001838DC"/>
    <w:rsid w:val="001841D5"/>
    <w:rsid w:val="0018426B"/>
    <w:rsid w:val="0018440D"/>
    <w:rsid w:val="001847DE"/>
    <w:rsid w:val="00184DB2"/>
    <w:rsid w:val="00184F43"/>
    <w:rsid w:val="00185192"/>
    <w:rsid w:val="00185445"/>
    <w:rsid w:val="00185A37"/>
    <w:rsid w:val="001863D2"/>
    <w:rsid w:val="00186777"/>
    <w:rsid w:val="001868A4"/>
    <w:rsid w:val="00187E05"/>
    <w:rsid w:val="00190007"/>
    <w:rsid w:val="001908B4"/>
    <w:rsid w:val="00190C2F"/>
    <w:rsid w:val="001915D6"/>
    <w:rsid w:val="00191711"/>
    <w:rsid w:val="00191B74"/>
    <w:rsid w:val="00191C78"/>
    <w:rsid w:val="00191DD7"/>
    <w:rsid w:val="001923A8"/>
    <w:rsid w:val="00192BFC"/>
    <w:rsid w:val="0019331F"/>
    <w:rsid w:val="001933A0"/>
    <w:rsid w:val="00193748"/>
    <w:rsid w:val="001937E5"/>
    <w:rsid w:val="00194309"/>
    <w:rsid w:val="00194D8A"/>
    <w:rsid w:val="00194E92"/>
    <w:rsid w:val="00195084"/>
    <w:rsid w:val="001952B5"/>
    <w:rsid w:val="00195455"/>
    <w:rsid w:val="0019628D"/>
    <w:rsid w:val="001964B5"/>
    <w:rsid w:val="0019660E"/>
    <w:rsid w:val="00196953"/>
    <w:rsid w:val="00196F5E"/>
    <w:rsid w:val="00197172"/>
    <w:rsid w:val="001973E0"/>
    <w:rsid w:val="00197A23"/>
    <w:rsid w:val="00197CF6"/>
    <w:rsid w:val="001A0239"/>
    <w:rsid w:val="001A0E4A"/>
    <w:rsid w:val="001A0E67"/>
    <w:rsid w:val="001A112F"/>
    <w:rsid w:val="001A1799"/>
    <w:rsid w:val="001A197F"/>
    <w:rsid w:val="001A1E32"/>
    <w:rsid w:val="001A3578"/>
    <w:rsid w:val="001A37B3"/>
    <w:rsid w:val="001A3864"/>
    <w:rsid w:val="001A426D"/>
    <w:rsid w:val="001A428F"/>
    <w:rsid w:val="001A45C2"/>
    <w:rsid w:val="001A4B1E"/>
    <w:rsid w:val="001A517A"/>
    <w:rsid w:val="001A52F1"/>
    <w:rsid w:val="001A5643"/>
    <w:rsid w:val="001A5FF0"/>
    <w:rsid w:val="001A6511"/>
    <w:rsid w:val="001A6D61"/>
    <w:rsid w:val="001A74B1"/>
    <w:rsid w:val="001A756A"/>
    <w:rsid w:val="001B0417"/>
    <w:rsid w:val="001B0451"/>
    <w:rsid w:val="001B0597"/>
    <w:rsid w:val="001B06A2"/>
    <w:rsid w:val="001B06DE"/>
    <w:rsid w:val="001B0A10"/>
    <w:rsid w:val="001B0DFE"/>
    <w:rsid w:val="001B13ED"/>
    <w:rsid w:val="001B1D89"/>
    <w:rsid w:val="001B2055"/>
    <w:rsid w:val="001B21FC"/>
    <w:rsid w:val="001B3046"/>
    <w:rsid w:val="001B30BC"/>
    <w:rsid w:val="001B3470"/>
    <w:rsid w:val="001B3685"/>
    <w:rsid w:val="001B39E2"/>
    <w:rsid w:val="001B39F8"/>
    <w:rsid w:val="001B3BE5"/>
    <w:rsid w:val="001B4089"/>
    <w:rsid w:val="001B4659"/>
    <w:rsid w:val="001B47E5"/>
    <w:rsid w:val="001B4C48"/>
    <w:rsid w:val="001B5078"/>
    <w:rsid w:val="001B5891"/>
    <w:rsid w:val="001B5B58"/>
    <w:rsid w:val="001B5CBC"/>
    <w:rsid w:val="001B6455"/>
    <w:rsid w:val="001B64AB"/>
    <w:rsid w:val="001B673D"/>
    <w:rsid w:val="001B6A84"/>
    <w:rsid w:val="001B712E"/>
    <w:rsid w:val="001B7412"/>
    <w:rsid w:val="001B7B59"/>
    <w:rsid w:val="001B7DB1"/>
    <w:rsid w:val="001B7DFF"/>
    <w:rsid w:val="001C0E1D"/>
    <w:rsid w:val="001C102A"/>
    <w:rsid w:val="001C1062"/>
    <w:rsid w:val="001C147F"/>
    <w:rsid w:val="001C16A2"/>
    <w:rsid w:val="001C1B78"/>
    <w:rsid w:val="001C1D99"/>
    <w:rsid w:val="001C24DD"/>
    <w:rsid w:val="001C2B26"/>
    <w:rsid w:val="001C2C55"/>
    <w:rsid w:val="001C2DF7"/>
    <w:rsid w:val="001C3096"/>
    <w:rsid w:val="001C3129"/>
    <w:rsid w:val="001C34A7"/>
    <w:rsid w:val="001C3A2B"/>
    <w:rsid w:val="001C3A32"/>
    <w:rsid w:val="001C3AD6"/>
    <w:rsid w:val="001C3C5A"/>
    <w:rsid w:val="001C40FA"/>
    <w:rsid w:val="001C4B6F"/>
    <w:rsid w:val="001C4B7F"/>
    <w:rsid w:val="001C628B"/>
    <w:rsid w:val="001C6484"/>
    <w:rsid w:val="001C661A"/>
    <w:rsid w:val="001C681C"/>
    <w:rsid w:val="001C72D5"/>
    <w:rsid w:val="001C750E"/>
    <w:rsid w:val="001C772F"/>
    <w:rsid w:val="001C79DC"/>
    <w:rsid w:val="001C7B9F"/>
    <w:rsid w:val="001C7EAA"/>
    <w:rsid w:val="001D02D9"/>
    <w:rsid w:val="001D02F9"/>
    <w:rsid w:val="001D03F0"/>
    <w:rsid w:val="001D068E"/>
    <w:rsid w:val="001D0B9B"/>
    <w:rsid w:val="001D0F67"/>
    <w:rsid w:val="001D1165"/>
    <w:rsid w:val="001D11FE"/>
    <w:rsid w:val="001D2BCA"/>
    <w:rsid w:val="001D2FFC"/>
    <w:rsid w:val="001D3D28"/>
    <w:rsid w:val="001D3E8D"/>
    <w:rsid w:val="001D4273"/>
    <w:rsid w:val="001D4BF2"/>
    <w:rsid w:val="001D4F09"/>
    <w:rsid w:val="001D5B7A"/>
    <w:rsid w:val="001D5C1B"/>
    <w:rsid w:val="001D5EBE"/>
    <w:rsid w:val="001D68AA"/>
    <w:rsid w:val="001D6968"/>
    <w:rsid w:val="001E06D8"/>
    <w:rsid w:val="001E0E24"/>
    <w:rsid w:val="001E0F99"/>
    <w:rsid w:val="001E108E"/>
    <w:rsid w:val="001E115A"/>
    <w:rsid w:val="001E1411"/>
    <w:rsid w:val="001E17CB"/>
    <w:rsid w:val="001E18FB"/>
    <w:rsid w:val="001E1A1C"/>
    <w:rsid w:val="001E1CE2"/>
    <w:rsid w:val="001E1D08"/>
    <w:rsid w:val="001E1D5C"/>
    <w:rsid w:val="001E2871"/>
    <w:rsid w:val="001E2A02"/>
    <w:rsid w:val="001E3D82"/>
    <w:rsid w:val="001E3F9B"/>
    <w:rsid w:val="001E4B93"/>
    <w:rsid w:val="001E4F02"/>
    <w:rsid w:val="001E55DC"/>
    <w:rsid w:val="001E5D69"/>
    <w:rsid w:val="001E6108"/>
    <w:rsid w:val="001E6672"/>
    <w:rsid w:val="001E6F0C"/>
    <w:rsid w:val="001E7063"/>
    <w:rsid w:val="001E7189"/>
    <w:rsid w:val="001E77FC"/>
    <w:rsid w:val="001E7AE7"/>
    <w:rsid w:val="001E7C86"/>
    <w:rsid w:val="001F0092"/>
    <w:rsid w:val="001F022D"/>
    <w:rsid w:val="001F02EF"/>
    <w:rsid w:val="001F09F1"/>
    <w:rsid w:val="001F0C73"/>
    <w:rsid w:val="001F0D85"/>
    <w:rsid w:val="001F118D"/>
    <w:rsid w:val="001F1482"/>
    <w:rsid w:val="001F1B25"/>
    <w:rsid w:val="001F1E20"/>
    <w:rsid w:val="001F1E22"/>
    <w:rsid w:val="001F20D7"/>
    <w:rsid w:val="001F2304"/>
    <w:rsid w:val="001F2418"/>
    <w:rsid w:val="001F26C6"/>
    <w:rsid w:val="001F2A05"/>
    <w:rsid w:val="001F304F"/>
    <w:rsid w:val="001F3165"/>
    <w:rsid w:val="001F323F"/>
    <w:rsid w:val="001F325D"/>
    <w:rsid w:val="001F3851"/>
    <w:rsid w:val="001F3B76"/>
    <w:rsid w:val="001F4548"/>
    <w:rsid w:val="001F4865"/>
    <w:rsid w:val="001F52CA"/>
    <w:rsid w:val="001F534D"/>
    <w:rsid w:val="001F55DC"/>
    <w:rsid w:val="001F59E1"/>
    <w:rsid w:val="001F6503"/>
    <w:rsid w:val="001F69EA"/>
    <w:rsid w:val="001F6AA3"/>
    <w:rsid w:val="001F7056"/>
    <w:rsid w:val="001F709B"/>
    <w:rsid w:val="001F75FD"/>
    <w:rsid w:val="001F7744"/>
    <w:rsid w:val="001F7D17"/>
    <w:rsid w:val="002001CE"/>
    <w:rsid w:val="00200324"/>
    <w:rsid w:val="0020097B"/>
    <w:rsid w:val="00201178"/>
    <w:rsid w:val="002014EB"/>
    <w:rsid w:val="00201729"/>
    <w:rsid w:val="0020183F"/>
    <w:rsid w:val="0020222C"/>
    <w:rsid w:val="00202A0B"/>
    <w:rsid w:val="00202B1A"/>
    <w:rsid w:val="002030F4"/>
    <w:rsid w:val="0020383A"/>
    <w:rsid w:val="002041EE"/>
    <w:rsid w:val="00204745"/>
    <w:rsid w:val="00204979"/>
    <w:rsid w:val="00204DEB"/>
    <w:rsid w:val="00205AC9"/>
    <w:rsid w:val="0020636F"/>
    <w:rsid w:val="00206D3B"/>
    <w:rsid w:val="0020716D"/>
    <w:rsid w:val="00207942"/>
    <w:rsid w:val="002079CB"/>
    <w:rsid w:val="00207D58"/>
    <w:rsid w:val="00211452"/>
    <w:rsid w:val="002118CC"/>
    <w:rsid w:val="00211905"/>
    <w:rsid w:val="00211C61"/>
    <w:rsid w:val="00211D69"/>
    <w:rsid w:val="00211EE5"/>
    <w:rsid w:val="002129DF"/>
    <w:rsid w:val="00212B59"/>
    <w:rsid w:val="00212CCD"/>
    <w:rsid w:val="00212E0E"/>
    <w:rsid w:val="002138B1"/>
    <w:rsid w:val="00213B95"/>
    <w:rsid w:val="00213C27"/>
    <w:rsid w:val="00213E98"/>
    <w:rsid w:val="00213FE7"/>
    <w:rsid w:val="0021409C"/>
    <w:rsid w:val="00214F6C"/>
    <w:rsid w:val="0021545A"/>
    <w:rsid w:val="002154BD"/>
    <w:rsid w:val="00215553"/>
    <w:rsid w:val="0021572B"/>
    <w:rsid w:val="0021587E"/>
    <w:rsid w:val="00216C70"/>
    <w:rsid w:val="0021726F"/>
    <w:rsid w:val="002176E2"/>
    <w:rsid w:val="002179DB"/>
    <w:rsid w:val="00217C03"/>
    <w:rsid w:val="0022040C"/>
    <w:rsid w:val="00220DAF"/>
    <w:rsid w:val="00220F9D"/>
    <w:rsid w:val="00221630"/>
    <w:rsid w:val="002217E1"/>
    <w:rsid w:val="00221A4F"/>
    <w:rsid w:val="00221CCA"/>
    <w:rsid w:val="002228E8"/>
    <w:rsid w:val="00222AE6"/>
    <w:rsid w:val="00223A71"/>
    <w:rsid w:val="00224A7E"/>
    <w:rsid w:val="00224E50"/>
    <w:rsid w:val="00225058"/>
    <w:rsid w:val="00225B2C"/>
    <w:rsid w:val="002261A0"/>
    <w:rsid w:val="002263B7"/>
    <w:rsid w:val="00226540"/>
    <w:rsid w:val="00226C3E"/>
    <w:rsid w:val="002270BD"/>
    <w:rsid w:val="00227161"/>
    <w:rsid w:val="002273FB"/>
    <w:rsid w:val="00227A03"/>
    <w:rsid w:val="00227A1D"/>
    <w:rsid w:val="00227E48"/>
    <w:rsid w:val="00230577"/>
    <w:rsid w:val="002305E0"/>
    <w:rsid w:val="00230A7F"/>
    <w:rsid w:val="00230B18"/>
    <w:rsid w:val="00231437"/>
    <w:rsid w:val="002317FE"/>
    <w:rsid w:val="0023209D"/>
    <w:rsid w:val="002322B4"/>
    <w:rsid w:val="00232338"/>
    <w:rsid w:val="002323EF"/>
    <w:rsid w:val="002333F8"/>
    <w:rsid w:val="0023383B"/>
    <w:rsid w:val="002338F8"/>
    <w:rsid w:val="00233A58"/>
    <w:rsid w:val="00233BB6"/>
    <w:rsid w:val="00233D79"/>
    <w:rsid w:val="0023439D"/>
    <w:rsid w:val="00234D86"/>
    <w:rsid w:val="00235152"/>
    <w:rsid w:val="002355BC"/>
    <w:rsid w:val="0023568C"/>
    <w:rsid w:val="002357BE"/>
    <w:rsid w:val="00236415"/>
    <w:rsid w:val="00236ADF"/>
    <w:rsid w:val="00236CD6"/>
    <w:rsid w:val="0023744B"/>
    <w:rsid w:val="0023751E"/>
    <w:rsid w:val="00237657"/>
    <w:rsid w:val="0024059F"/>
    <w:rsid w:val="00240670"/>
    <w:rsid w:val="0024068F"/>
    <w:rsid w:val="002406E1"/>
    <w:rsid w:val="00242177"/>
    <w:rsid w:val="00242257"/>
    <w:rsid w:val="00242651"/>
    <w:rsid w:val="002428AA"/>
    <w:rsid w:val="00242981"/>
    <w:rsid w:val="00242985"/>
    <w:rsid w:val="00242BA7"/>
    <w:rsid w:val="002433A2"/>
    <w:rsid w:val="002435FA"/>
    <w:rsid w:val="0024377D"/>
    <w:rsid w:val="002437B5"/>
    <w:rsid w:val="002437BD"/>
    <w:rsid w:val="00243BFA"/>
    <w:rsid w:val="00244532"/>
    <w:rsid w:val="002448C1"/>
    <w:rsid w:val="00244BB0"/>
    <w:rsid w:val="00244EF1"/>
    <w:rsid w:val="00245167"/>
    <w:rsid w:val="0024516C"/>
    <w:rsid w:val="002453C8"/>
    <w:rsid w:val="00245725"/>
    <w:rsid w:val="002457D9"/>
    <w:rsid w:val="002458C5"/>
    <w:rsid w:val="00246173"/>
    <w:rsid w:val="002461EC"/>
    <w:rsid w:val="0024658E"/>
    <w:rsid w:val="00246600"/>
    <w:rsid w:val="00246F21"/>
    <w:rsid w:val="0024711E"/>
    <w:rsid w:val="002473F8"/>
    <w:rsid w:val="00247777"/>
    <w:rsid w:val="00247C07"/>
    <w:rsid w:val="0025028C"/>
    <w:rsid w:val="002502E8"/>
    <w:rsid w:val="002506A1"/>
    <w:rsid w:val="00250C74"/>
    <w:rsid w:val="00250E5B"/>
    <w:rsid w:val="00251342"/>
    <w:rsid w:val="002516BD"/>
    <w:rsid w:val="00251B9C"/>
    <w:rsid w:val="00251C95"/>
    <w:rsid w:val="00251EB4"/>
    <w:rsid w:val="002529B1"/>
    <w:rsid w:val="00252B24"/>
    <w:rsid w:val="00252B96"/>
    <w:rsid w:val="00252EB2"/>
    <w:rsid w:val="00252FC1"/>
    <w:rsid w:val="0025369E"/>
    <w:rsid w:val="0025381A"/>
    <w:rsid w:val="0025383C"/>
    <w:rsid w:val="00253E78"/>
    <w:rsid w:val="00254123"/>
    <w:rsid w:val="00254522"/>
    <w:rsid w:val="00254ACE"/>
    <w:rsid w:val="00254E1C"/>
    <w:rsid w:val="00255305"/>
    <w:rsid w:val="00255797"/>
    <w:rsid w:val="002561A0"/>
    <w:rsid w:val="0025620F"/>
    <w:rsid w:val="0025639B"/>
    <w:rsid w:val="002563C9"/>
    <w:rsid w:val="00256690"/>
    <w:rsid w:val="00256A0F"/>
    <w:rsid w:val="00257714"/>
    <w:rsid w:val="00257743"/>
    <w:rsid w:val="002577D1"/>
    <w:rsid w:val="00257FE1"/>
    <w:rsid w:val="00260A0C"/>
    <w:rsid w:val="00260A5D"/>
    <w:rsid w:val="00260B2B"/>
    <w:rsid w:val="00260E80"/>
    <w:rsid w:val="002610BB"/>
    <w:rsid w:val="0026160E"/>
    <w:rsid w:val="0026192B"/>
    <w:rsid w:val="00261D0D"/>
    <w:rsid w:val="00262A6F"/>
    <w:rsid w:val="00262C3C"/>
    <w:rsid w:val="00262F79"/>
    <w:rsid w:val="00263CC9"/>
    <w:rsid w:val="0026400E"/>
    <w:rsid w:val="00264343"/>
    <w:rsid w:val="0026465D"/>
    <w:rsid w:val="00264C88"/>
    <w:rsid w:val="00264DF2"/>
    <w:rsid w:val="0026532C"/>
    <w:rsid w:val="0026539B"/>
    <w:rsid w:val="0026575D"/>
    <w:rsid w:val="00265E74"/>
    <w:rsid w:val="00265FD0"/>
    <w:rsid w:val="00266201"/>
    <w:rsid w:val="00266312"/>
    <w:rsid w:val="002665CC"/>
    <w:rsid w:val="00266753"/>
    <w:rsid w:val="002667F5"/>
    <w:rsid w:val="0026682B"/>
    <w:rsid w:val="00266EA5"/>
    <w:rsid w:val="00267229"/>
    <w:rsid w:val="002705B0"/>
    <w:rsid w:val="002712B3"/>
    <w:rsid w:val="002717A6"/>
    <w:rsid w:val="00271B05"/>
    <w:rsid w:val="00272015"/>
    <w:rsid w:val="00272540"/>
    <w:rsid w:val="00272621"/>
    <w:rsid w:val="00272DD8"/>
    <w:rsid w:val="002734C6"/>
    <w:rsid w:val="002736A0"/>
    <w:rsid w:val="00273B97"/>
    <w:rsid w:val="00273C10"/>
    <w:rsid w:val="002741D4"/>
    <w:rsid w:val="002747C7"/>
    <w:rsid w:val="0027487F"/>
    <w:rsid w:val="00274B4C"/>
    <w:rsid w:val="00275596"/>
    <w:rsid w:val="0027559A"/>
    <w:rsid w:val="00275AAE"/>
    <w:rsid w:val="00275E4F"/>
    <w:rsid w:val="00276264"/>
    <w:rsid w:val="002771FD"/>
    <w:rsid w:val="0027722B"/>
    <w:rsid w:val="00277631"/>
    <w:rsid w:val="00277A3C"/>
    <w:rsid w:val="00280EF7"/>
    <w:rsid w:val="00281ABD"/>
    <w:rsid w:val="00281DCA"/>
    <w:rsid w:val="00282906"/>
    <w:rsid w:val="00282E52"/>
    <w:rsid w:val="0028329B"/>
    <w:rsid w:val="002832C2"/>
    <w:rsid w:val="00283B5C"/>
    <w:rsid w:val="00283C28"/>
    <w:rsid w:val="0028444E"/>
    <w:rsid w:val="002846A5"/>
    <w:rsid w:val="002848E5"/>
    <w:rsid w:val="00284993"/>
    <w:rsid w:val="00284A2C"/>
    <w:rsid w:val="00284C02"/>
    <w:rsid w:val="00284DA7"/>
    <w:rsid w:val="00284F9A"/>
    <w:rsid w:val="00285041"/>
    <w:rsid w:val="00285220"/>
    <w:rsid w:val="0028543E"/>
    <w:rsid w:val="00285655"/>
    <w:rsid w:val="00285678"/>
    <w:rsid w:val="002857BD"/>
    <w:rsid w:val="0028594B"/>
    <w:rsid w:val="00285985"/>
    <w:rsid w:val="002859C0"/>
    <w:rsid w:val="00285D4F"/>
    <w:rsid w:val="002861F3"/>
    <w:rsid w:val="002865F0"/>
    <w:rsid w:val="002871DD"/>
    <w:rsid w:val="0028725F"/>
    <w:rsid w:val="00287D7E"/>
    <w:rsid w:val="00287EF9"/>
    <w:rsid w:val="0029006F"/>
    <w:rsid w:val="002903FF"/>
    <w:rsid w:val="00290593"/>
    <w:rsid w:val="0029063C"/>
    <w:rsid w:val="002908F2"/>
    <w:rsid w:val="00290902"/>
    <w:rsid w:val="00290B83"/>
    <w:rsid w:val="00290F34"/>
    <w:rsid w:val="002914C9"/>
    <w:rsid w:val="0029193E"/>
    <w:rsid w:val="00292455"/>
    <w:rsid w:val="0029248A"/>
    <w:rsid w:val="002924F3"/>
    <w:rsid w:val="00292C08"/>
    <w:rsid w:val="00292C5A"/>
    <w:rsid w:val="00292D96"/>
    <w:rsid w:val="00293378"/>
    <w:rsid w:val="00294079"/>
    <w:rsid w:val="0029475E"/>
    <w:rsid w:val="00294D00"/>
    <w:rsid w:val="0029555E"/>
    <w:rsid w:val="002960D0"/>
    <w:rsid w:val="0029660C"/>
    <w:rsid w:val="002967BA"/>
    <w:rsid w:val="0029699C"/>
    <w:rsid w:val="002969C8"/>
    <w:rsid w:val="00296E2B"/>
    <w:rsid w:val="002972C9"/>
    <w:rsid w:val="00297637"/>
    <w:rsid w:val="00297706"/>
    <w:rsid w:val="00297AB0"/>
    <w:rsid w:val="00297B04"/>
    <w:rsid w:val="00297E21"/>
    <w:rsid w:val="002A002A"/>
    <w:rsid w:val="002A0255"/>
    <w:rsid w:val="002A0352"/>
    <w:rsid w:val="002A056C"/>
    <w:rsid w:val="002A05CF"/>
    <w:rsid w:val="002A17A8"/>
    <w:rsid w:val="002A1A5B"/>
    <w:rsid w:val="002A20CF"/>
    <w:rsid w:val="002A24A1"/>
    <w:rsid w:val="002A25E0"/>
    <w:rsid w:val="002A298F"/>
    <w:rsid w:val="002A2EFA"/>
    <w:rsid w:val="002A33FE"/>
    <w:rsid w:val="002A3864"/>
    <w:rsid w:val="002A3A80"/>
    <w:rsid w:val="002A3BB1"/>
    <w:rsid w:val="002A3C6A"/>
    <w:rsid w:val="002A3CF8"/>
    <w:rsid w:val="002A413B"/>
    <w:rsid w:val="002A462C"/>
    <w:rsid w:val="002A4676"/>
    <w:rsid w:val="002A4B4A"/>
    <w:rsid w:val="002A537D"/>
    <w:rsid w:val="002A585A"/>
    <w:rsid w:val="002A5A43"/>
    <w:rsid w:val="002A66A5"/>
    <w:rsid w:val="002A6EBB"/>
    <w:rsid w:val="002A76F7"/>
    <w:rsid w:val="002A771D"/>
    <w:rsid w:val="002A7D99"/>
    <w:rsid w:val="002B0232"/>
    <w:rsid w:val="002B0A1D"/>
    <w:rsid w:val="002B12E4"/>
    <w:rsid w:val="002B13ED"/>
    <w:rsid w:val="002B1798"/>
    <w:rsid w:val="002B1B8E"/>
    <w:rsid w:val="002B1F9B"/>
    <w:rsid w:val="002B21E9"/>
    <w:rsid w:val="002B254E"/>
    <w:rsid w:val="002B2891"/>
    <w:rsid w:val="002B2A49"/>
    <w:rsid w:val="002B2B87"/>
    <w:rsid w:val="002B3260"/>
    <w:rsid w:val="002B34FC"/>
    <w:rsid w:val="002B3FEF"/>
    <w:rsid w:val="002B4431"/>
    <w:rsid w:val="002B4E0F"/>
    <w:rsid w:val="002B501E"/>
    <w:rsid w:val="002B5190"/>
    <w:rsid w:val="002B5754"/>
    <w:rsid w:val="002B5840"/>
    <w:rsid w:val="002B5AF8"/>
    <w:rsid w:val="002B5F68"/>
    <w:rsid w:val="002B6745"/>
    <w:rsid w:val="002B67E6"/>
    <w:rsid w:val="002B6E3C"/>
    <w:rsid w:val="002B72D7"/>
    <w:rsid w:val="002B74A8"/>
    <w:rsid w:val="002B7F63"/>
    <w:rsid w:val="002C0414"/>
    <w:rsid w:val="002C0E9C"/>
    <w:rsid w:val="002C1485"/>
    <w:rsid w:val="002C16B7"/>
    <w:rsid w:val="002C1BE4"/>
    <w:rsid w:val="002C1DB2"/>
    <w:rsid w:val="002C1E9F"/>
    <w:rsid w:val="002C2A43"/>
    <w:rsid w:val="002C301E"/>
    <w:rsid w:val="002C44AB"/>
    <w:rsid w:val="002C4721"/>
    <w:rsid w:val="002C48AE"/>
    <w:rsid w:val="002C4A57"/>
    <w:rsid w:val="002C4ED9"/>
    <w:rsid w:val="002C55DC"/>
    <w:rsid w:val="002C581F"/>
    <w:rsid w:val="002C5A1A"/>
    <w:rsid w:val="002C60B7"/>
    <w:rsid w:val="002C6370"/>
    <w:rsid w:val="002C6882"/>
    <w:rsid w:val="002C69DD"/>
    <w:rsid w:val="002C6BF0"/>
    <w:rsid w:val="002C6D2A"/>
    <w:rsid w:val="002C7026"/>
    <w:rsid w:val="002C71CD"/>
    <w:rsid w:val="002C7494"/>
    <w:rsid w:val="002C789A"/>
    <w:rsid w:val="002C7BC0"/>
    <w:rsid w:val="002C7CCC"/>
    <w:rsid w:val="002C7DD1"/>
    <w:rsid w:val="002C7E08"/>
    <w:rsid w:val="002D0099"/>
    <w:rsid w:val="002D05D6"/>
    <w:rsid w:val="002D06E5"/>
    <w:rsid w:val="002D089F"/>
    <w:rsid w:val="002D0DFA"/>
    <w:rsid w:val="002D1B2A"/>
    <w:rsid w:val="002D1ECE"/>
    <w:rsid w:val="002D210E"/>
    <w:rsid w:val="002D2313"/>
    <w:rsid w:val="002D240B"/>
    <w:rsid w:val="002D3031"/>
    <w:rsid w:val="002D37D7"/>
    <w:rsid w:val="002D387D"/>
    <w:rsid w:val="002D388B"/>
    <w:rsid w:val="002D3A3E"/>
    <w:rsid w:val="002D3B2F"/>
    <w:rsid w:val="002D3E0C"/>
    <w:rsid w:val="002D4169"/>
    <w:rsid w:val="002D4269"/>
    <w:rsid w:val="002D443A"/>
    <w:rsid w:val="002D465A"/>
    <w:rsid w:val="002D46D8"/>
    <w:rsid w:val="002D48DB"/>
    <w:rsid w:val="002D4BA7"/>
    <w:rsid w:val="002D5057"/>
    <w:rsid w:val="002D5635"/>
    <w:rsid w:val="002D5F7F"/>
    <w:rsid w:val="002D5FAF"/>
    <w:rsid w:val="002D65E8"/>
    <w:rsid w:val="002D6D12"/>
    <w:rsid w:val="002D7CF9"/>
    <w:rsid w:val="002D7D32"/>
    <w:rsid w:val="002E02E5"/>
    <w:rsid w:val="002E0478"/>
    <w:rsid w:val="002E0791"/>
    <w:rsid w:val="002E0A46"/>
    <w:rsid w:val="002E0EA0"/>
    <w:rsid w:val="002E155D"/>
    <w:rsid w:val="002E1AF0"/>
    <w:rsid w:val="002E1B92"/>
    <w:rsid w:val="002E22CF"/>
    <w:rsid w:val="002E27C3"/>
    <w:rsid w:val="002E2DAA"/>
    <w:rsid w:val="002E2E5F"/>
    <w:rsid w:val="002E3038"/>
    <w:rsid w:val="002E3750"/>
    <w:rsid w:val="002E399F"/>
    <w:rsid w:val="002E3FA8"/>
    <w:rsid w:val="002E4C02"/>
    <w:rsid w:val="002E5022"/>
    <w:rsid w:val="002E5089"/>
    <w:rsid w:val="002E510A"/>
    <w:rsid w:val="002E5286"/>
    <w:rsid w:val="002E52E2"/>
    <w:rsid w:val="002E5E76"/>
    <w:rsid w:val="002E5F07"/>
    <w:rsid w:val="002E620D"/>
    <w:rsid w:val="002E62E9"/>
    <w:rsid w:val="002E6534"/>
    <w:rsid w:val="002E6E76"/>
    <w:rsid w:val="002E75BE"/>
    <w:rsid w:val="002E7B81"/>
    <w:rsid w:val="002F0012"/>
    <w:rsid w:val="002F0456"/>
    <w:rsid w:val="002F0875"/>
    <w:rsid w:val="002F08A5"/>
    <w:rsid w:val="002F09FB"/>
    <w:rsid w:val="002F0D85"/>
    <w:rsid w:val="002F0DD8"/>
    <w:rsid w:val="002F0FE3"/>
    <w:rsid w:val="002F10F1"/>
    <w:rsid w:val="002F122E"/>
    <w:rsid w:val="002F1240"/>
    <w:rsid w:val="002F1AF0"/>
    <w:rsid w:val="002F1E01"/>
    <w:rsid w:val="002F2530"/>
    <w:rsid w:val="002F272A"/>
    <w:rsid w:val="002F2CB9"/>
    <w:rsid w:val="002F2DA7"/>
    <w:rsid w:val="002F30DF"/>
    <w:rsid w:val="002F3225"/>
    <w:rsid w:val="002F39F7"/>
    <w:rsid w:val="002F3DB6"/>
    <w:rsid w:val="002F479A"/>
    <w:rsid w:val="002F5038"/>
    <w:rsid w:val="002F53B4"/>
    <w:rsid w:val="002F5424"/>
    <w:rsid w:val="002F595C"/>
    <w:rsid w:val="002F61E9"/>
    <w:rsid w:val="002F6F8D"/>
    <w:rsid w:val="002F7056"/>
    <w:rsid w:val="002F712F"/>
    <w:rsid w:val="002F739B"/>
    <w:rsid w:val="002F74D8"/>
    <w:rsid w:val="002F76D6"/>
    <w:rsid w:val="002F7A38"/>
    <w:rsid w:val="00300419"/>
    <w:rsid w:val="003006DF"/>
    <w:rsid w:val="00300A33"/>
    <w:rsid w:val="003010A2"/>
    <w:rsid w:val="003010A5"/>
    <w:rsid w:val="003010E9"/>
    <w:rsid w:val="00301E9A"/>
    <w:rsid w:val="003026C5"/>
    <w:rsid w:val="00302A1C"/>
    <w:rsid w:val="00302CAA"/>
    <w:rsid w:val="00303506"/>
    <w:rsid w:val="00303B0F"/>
    <w:rsid w:val="00303E2A"/>
    <w:rsid w:val="00304017"/>
    <w:rsid w:val="00304181"/>
    <w:rsid w:val="003041FD"/>
    <w:rsid w:val="00304861"/>
    <w:rsid w:val="00305A86"/>
    <w:rsid w:val="00305B4B"/>
    <w:rsid w:val="00306EF0"/>
    <w:rsid w:val="00307057"/>
    <w:rsid w:val="003079B4"/>
    <w:rsid w:val="00307A0D"/>
    <w:rsid w:val="00307FEA"/>
    <w:rsid w:val="0031045A"/>
    <w:rsid w:val="00310712"/>
    <w:rsid w:val="00311751"/>
    <w:rsid w:val="00311B39"/>
    <w:rsid w:val="003124EC"/>
    <w:rsid w:val="00312819"/>
    <w:rsid w:val="00312E9C"/>
    <w:rsid w:val="00313875"/>
    <w:rsid w:val="0031394C"/>
    <w:rsid w:val="00313F4D"/>
    <w:rsid w:val="00314378"/>
    <w:rsid w:val="0031486F"/>
    <w:rsid w:val="00314A0E"/>
    <w:rsid w:val="00314A3E"/>
    <w:rsid w:val="00314AEB"/>
    <w:rsid w:val="00314CCA"/>
    <w:rsid w:val="0031546E"/>
    <w:rsid w:val="00315545"/>
    <w:rsid w:val="003161F2"/>
    <w:rsid w:val="00316389"/>
    <w:rsid w:val="00316AB9"/>
    <w:rsid w:val="00316EA7"/>
    <w:rsid w:val="0031743A"/>
    <w:rsid w:val="0031787A"/>
    <w:rsid w:val="003178D4"/>
    <w:rsid w:val="0031798E"/>
    <w:rsid w:val="00317C06"/>
    <w:rsid w:val="00317F8E"/>
    <w:rsid w:val="00317FE4"/>
    <w:rsid w:val="003203BF"/>
    <w:rsid w:val="003205FB"/>
    <w:rsid w:val="00320BEF"/>
    <w:rsid w:val="003212D8"/>
    <w:rsid w:val="00321369"/>
    <w:rsid w:val="00321AB9"/>
    <w:rsid w:val="00321FBE"/>
    <w:rsid w:val="003222BE"/>
    <w:rsid w:val="00322DE9"/>
    <w:rsid w:val="00322E81"/>
    <w:rsid w:val="003235F5"/>
    <w:rsid w:val="003236D7"/>
    <w:rsid w:val="00323899"/>
    <w:rsid w:val="0032415E"/>
    <w:rsid w:val="00324C16"/>
    <w:rsid w:val="00325074"/>
    <w:rsid w:val="003252ED"/>
    <w:rsid w:val="0032532A"/>
    <w:rsid w:val="00325502"/>
    <w:rsid w:val="00326099"/>
    <w:rsid w:val="00326227"/>
    <w:rsid w:val="0032664F"/>
    <w:rsid w:val="00326CAE"/>
    <w:rsid w:val="00326D3C"/>
    <w:rsid w:val="0032742E"/>
    <w:rsid w:val="00327C96"/>
    <w:rsid w:val="00330028"/>
    <w:rsid w:val="0033004F"/>
    <w:rsid w:val="003303C0"/>
    <w:rsid w:val="00330787"/>
    <w:rsid w:val="0033080E"/>
    <w:rsid w:val="003309D6"/>
    <w:rsid w:val="00330E56"/>
    <w:rsid w:val="00331017"/>
    <w:rsid w:val="003315E6"/>
    <w:rsid w:val="00331819"/>
    <w:rsid w:val="00331AF7"/>
    <w:rsid w:val="00331C54"/>
    <w:rsid w:val="00331E90"/>
    <w:rsid w:val="003324F4"/>
    <w:rsid w:val="003328C3"/>
    <w:rsid w:val="00332DC1"/>
    <w:rsid w:val="00333046"/>
    <w:rsid w:val="003334CC"/>
    <w:rsid w:val="0033377C"/>
    <w:rsid w:val="00333F72"/>
    <w:rsid w:val="0033419F"/>
    <w:rsid w:val="003341E2"/>
    <w:rsid w:val="00334416"/>
    <w:rsid w:val="00334951"/>
    <w:rsid w:val="00335087"/>
    <w:rsid w:val="00335342"/>
    <w:rsid w:val="003353C5"/>
    <w:rsid w:val="00335763"/>
    <w:rsid w:val="00335D3F"/>
    <w:rsid w:val="00335EF7"/>
    <w:rsid w:val="00336641"/>
    <w:rsid w:val="00336738"/>
    <w:rsid w:val="003370A3"/>
    <w:rsid w:val="00337488"/>
    <w:rsid w:val="00337493"/>
    <w:rsid w:val="003375AA"/>
    <w:rsid w:val="003376EB"/>
    <w:rsid w:val="0033770F"/>
    <w:rsid w:val="00337CF7"/>
    <w:rsid w:val="003403B8"/>
    <w:rsid w:val="003409EF"/>
    <w:rsid w:val="00340D11"/>
    <w:rsid w:val="00340EA7"/>
    <w:rsid w:val="00341F45"/>
    <w:rsid w:val="0034226A"/>
    <w:rsid w:val="003422E5"/>
    <w:rsid w:val="0034263D"/>
    <w:rsid w:val="0034285F"/>
    <w:rsid w:val="00342B31"/>
    <w:rsid w:val="00343639"/>
    <w:rsid w:val="00343CE7"/>
    <w:rsid w:val="00343DC0"/>
    <w:rsid w:val="00344091"/>
    <w:rsid w:val="00344102"/>
    <w:rsid w:val="003441EF"/>
    <w:rsid w:val="00344209"/>
    <w:rsid w:val="00344444"/>
    <w:rsid w:val="003445A2"/>
    <w:rsid w:val="00344656"/>
    <w:rsid w:val="0034477F"/>
    <w:rsid w:val="0034495F"/>
    <w:rsid w:val="00345219"/>
    <w:rsid w:val="00345710"/>
    <w:rsid w:val="00345A9E"/>
    <w:rsid w:val="00345FCC"/>
    <w:rsid w:val="00346135"/>
    <w:rsid w:val="003464A4"/>
    <w:rsid w:val="00346745"/>
    <w:rsid w:val="00346A61"/>
    <w:rsid w:val="00346C37"/>
    <w:rsid w:val="00346F8E"/>
    <w:rsid w:val="0034780B"/>
    <w:rsid w:val="003478D0"/>
    <w:rsid w:val="0034795E"/>
    <w:rsid w:val="00347B38"/>
    <w:rsid w:val="0035007A"/>
    <w:rsid w:val="003503C0"/>
    <w:rsid w:val="00350708"/>
    <w:rsid w:val="00350BCA"/>
    <w:rsid w:val="00351634"/>
    <w:rsid w:val="00351684"/>
    <w:rsid w:val="003518BC"/>
    <w:rsid w:val="003519C0"/>
    <w:rsid w:val="00351CB5"/>
    <w:rsid w:val="00351DAB"/>
    <w:rsid w:val="00351E8F"/>
    <w:rsid w:val="003525B3"/>
    <w:rsid w:val="003526B2"/>
    <w:rsid w:val="00352E7A"/>
    <w:rsid w:val="00352EF4"/>
    <w:rsid w:val="00353655"/>
    <w:rsid w:val="003538CE"/>
    <w:rsid w:val="00353B85"/>
    <w:rsid w:val="00353C00"/>
    <w:rsid w:val="00353C01"/>
    <w:rsid w:val="003543FA"/>
    <w:rsid w:val="00354458"/>
    <w:rsid w:val="00354B28"/>
    <w:rsid w:val="00354E82"/>
    <w:rsid w:val="00355001"/>
    <w:rsid w:val="0035512A"/>
    <w:rsid w:val="0035519C"/>
    <w:rsid w:val="0035588B"/>
    <w:rsid w:val="00355F49"/>
    <w:rsid w:val="00356B0D"/>
    <w:rsid w:val="00356D0D"/>
    <w:rsid w:val="00357326"/>
    <w:rsid w:val="00357735"/>
    <w:rsid w:val="00357737"/>
    <w:rsid w:val="003579CE"/>
    <w:rsid w:val="00357AF8"/>
    <w:rsid w:val="00360750"/>
    <w:rsid w:val="00360CBA"/>
    <w:rsid w:val="00360F45"/>
    <w:rsid w:val="003611D3"/>
    <w:rsid w:val="00361393"/>
    <w:rsid w:val="00361751"/>
    <w:rsid w:val="003618AF"/>
    <w:rsid w:val="00361937"/>
    <w:rsid w:val="00361B11"/>
    <w:rsid w:val="00361B56"/>
    <w:rsid w:val="00361D0B"/>
    <w:rsid w:val="00361D89"/>
    <w:rsid w:val="00361F78"/>
    <w:rsid w:val="00361F9E"/>
    <w:rsid w:val="00362493"/>
    <w:rsid w:val="0036275A"/>
    <w:rsid w:val="003627C0"/>
    <w:rsid w:val="0036287C"/>
    <w:rsid w:val="003630EE"/>
    <w:rsid w:val="00363653"/>
    <w:rsid w:val="003636BE"/>
    <w:rsid w:val="00363874"/>
    <w:rsid w:val="00363929"/>
    <w:rsid w:val="003639DE"/>
    <w:rsid w:val="00363ECA"/>
    <w:rsid w:val="003640F7"/>
    <w:rsid w:val="003647B0"/>
    <w:rsid w:val="0036509D"/>
    <w:rsid w:val="00365C57"/>
    <w:rsid w:val="003665A9"/>
    <w:rsid w:val="003665CC"/>
    <w:rsid w:val="0036661A"/>
    <w:rsid w:val="003672FF"/>
    <w:rsid w:val="00367848"/>
    <w:rsid w:val="0036790D"/>
    <w:rsid w:val="0037102A"/>
    <w:rsid w:val="00371081"/>
    <w:rsid w:val="00371383"/>
    <w:rsid w:val="003713EF"/>
    <w:rsid w:val="00371635"/>
    <w:rsid w:val="00371661"/>
    <w:rsid w:val="0037168B"/>
    <w:rsid w:val="00371DF5"/>
    <w:rsid w:val="00371ED5"/>
    <w:rsid w:val="003721DB"/>
    <w:rsid w:val="00372241"/>
    <w:rsid w:val="0037228C"/>
    <w:rsid w:val="00372B99"/>
    <w:rsid w:val="00372BE5"/>
    <w:rsid w:val="003737A7"/>
    <w:rsid w:val="003738FD"/>
    <w:rsid w:val="00373BB0"/>
    <w:rsid w:val="00373CB5"/>
    <w:rsid w:val="00374287"/>
    <w:rsid w:val="00374363"/>
    <w:rsid w:val="00374A52"/>
    <w:rsid w:val="00374DE0"/>
    <w:rsid w:val="00374E35"/>
    <w:rsid w:val="00375153"/>
    <w:rsid w:val="00375BD4"/>
    <w:rsid w:val="00375DC0"/>
    <w:rsid w:val="00376451"/>
    <w:rsid w:val="00376B49"/>
    <w:rsid w:val="00376CDC"/>
    <w:rsid w:val="00377128"/>
    <w:rsid w:val="003775B8"/>
    <w:rsid w:val="003775E8"/>
    <w:rsid w:val="00377C66"/>
    <w:rsid w:val="00377FCF"/>
    <w:rsid w:val="00380F70"/>
    <w:rsid w:val="003810BE"/>
    <w:rsid w:val="0038122A"/>
    <w:rsid w:val="003812CC"/>
    <w:rsid w:val="003826B5"/>
    <w:rsid w:val="003837C8"/>
    <w:rsid w:val="00384FC0"/>
    <w:rsid w:val="003859FD"/>
    <w:rsid w:val="00385A94"/>
    <w:rsid w:val="00385AB8"/>
    <w:rsid w:val="003861C7"/>
    <w:rsid w:val="00386F6C"/>
    <w:rsid w:val="00387621"/>
    <w:rsid w:val="00387675"/>
    <w:rsid w:val="00387709"/>
    <w:rsid w:val="00387719"/>
    <w:rsid w:val="00387794"/>
    <w:rsid w:val="003878E7"/>
    <w:rsid w:val="00387904"/>
    <w:rsid w:val="00387C4D"/>
    <w:rsid w:val="00390147"/>
    <w:rsid w:val="00390379"/>
    <w:rsid w:val="003905B5"/>
    <w:rsid w:val="0039090A"/>
    <w:rsid w:val="00390B06"/>
    <w:rsid w:val="003912CC"/>
    <w:rsid w:val="00391DA7"/>
    <w:rsid w:val="00392690"/>
    <w:rsid w:val="00393628"/>
    <w:rsid w:val="003937DB"/>
    <w:rsid w:val="00393A2A"/>
    <w:rsid w:val="003940F4"/>
    <w:rsid w:val="0039414D"/>
    <w:rsid w:val="003945A7"/>
    <w:rsid w:val="003946E4"/>
    <w:rsid w:val="003947DC"/>
    <w:rsid w:val="00394B06"/>
    <w:rsid w:val="00395C8C"/>
    <w:rsid w:val="0039610F"/>
    <w:rsid w:val="003962A1"/>
    <w:rsid w:val="00396989"/>
    <w:rsid w:val="00396B9F"/>
    <w:rsid w:val="00397162"/>
    <w:rsid w:val="003A060B"/>
    <w:rsid w:val="003A1A84"/>
    <w:rsid w:val="003A2934"/>
    <w:rsid w:val="003A2B8D"/>
    <w:rsid w:val="003A2F01"/>
    <w:rsid w:val="003A303A"/>
    <w:rsid w:val="003A335E"/>
    <w:rsid w:val="003A381F"/>
    <w:rsid w:val="003A3DD2"/>
    <w:rsid w:val="003A445E"/>
    <w:rsid w:val="003A44DE"/>
    <w:rsid w:val="003A478E"/>
    <w:rsid w:val="003A4B0C"/>
    <w:rsid w:val="003A4DD8"/>
    <w:rsid w:val="003A515E"/>
    <w:rsid w:val="003A57B3"/>
    <w:rsid w:val="003A5D6A"/>
    <w:rsid w:val="003A5FFE"/>
    <w:rsid w:val="003A6260"/>
    <w:rsid w:val="003A63F5"/>
    <w:rsid w:val="003A6B3C"/>
    <w:rsid w:val="003A732C"/>
    <w:rsid w:val="003A761F"/>
    <w:rsid w:val="003A7D03"/>
    <w:rsid w:val="003B0779"/>
    <w:rsid w:val="003B0791"/>
    <w:rsid w:val="003B10E2"/>
    <w:rsid w:val="003B1120"/>
    <w:rsid w:val="003B1514"/>
    <w:rsid w:val="003B1A82"/>
    <w:rsid w:val="003B1EF2"/>
    <w:rsid w:val="003B253D"/>
    <w:rsid w:val="003B2AF5"/>
    <w:rsid w:val="003B2BC6"/>
    <w:rsid w:val="003B2FC4"/>
    <w:rsid w:val="003B312F"/>
    <w:rsid w:val="003B334F"/>
    <w:rsid w:val="003B3573"/>
    <w:rsid w:val="003B35A5"/>
    <w:rsid w:val="003B3699"/>
    <w:rsid w:val="003B3E45"/>
    <w:rsid w:val="003B3F53"/>
    <w:rsid w:val="003B40C4"/>
    <w:rsid w:val="003B4183"/>
    <w:rsid w:val="003B4931"/>
    <w:rsid w:val="003B4C93"/>
    <w:rsid w:val="003B53E5"/>
    <w:rsid w:val="003B57BB"/>
    <w:rsid w:val="003B5813"/>
    <w:rsid w:val="003B5BED"/>
    <w:rsid w:val="003B6564"/>
    <w:rsid w:val="003B66CB"/>
    <w:rsid w:val="003B699E"/>
    <w:rsid w:val="003B6DCB"/>
    <w:rsid w:val="003B7081"/>
    <w:rsid w:val="003B79FB"/>
    <w:rsid w:val="003B7B30"/>
    <w:rsid w:val="003B7B65"/>
    <w:rsid w:val="003B7CE7"/>
    <w:rsid w:val="003C0050"/>
    <w:rsid w:val="003C03EA"/>
    <w:rsid w:val="003C0689"/>
    <w:rsid w:val="003C0CE6"/>
    <w:rsid w:val="003C1284"/>
    <w:rsid w:val="003C196B"/>
    <w:rsid w:val="003C1986"/>
    <w:rsid w:val="003C1BF9"/>
    <w:rsid w:val="003C1CB3"/>
    <w:rsid w:val="003C209B"/>
    <w:rsid w:val="003C2B44"/>
    <w:rsid w:val="003C315E"/>
    <w:rsid w:val="003C32F6"/>
    <w:rsid w:val="003C3609"/>
    <w:rsid w:val="003C360F"/>
    <w:rsid w:val="003C3AD4"/>
    <w:rsid w:val="003C3B3A"/>
    <w:rsid w:val="003C3B73"/>
    <w:rsid w:val="003C3FAC"/>
    <w:rsid w:val="003C402B"/>
    <w:rsid w:val="003C42AA"/>
    <w:rsid w:val="003C447D"/>
    <w:rsid w:val="003C454C"/>
    <w:rsid w:val="003C4D81"/>
    <w:rsid w:val="003C4E9C"/>
    <w:rsid w:val="003C51AE"/>
    <w:rsid w:val="003C52B8"/>
    <w:rsid w:val="003C55B2"/>
    <w:rsid w:val="003C58A4"/>
    <w:rsid w:val="003C5916"/>
    <w:rsid w:val="003C5BB0"/>
    <w:rsid w:val="003C5E11"/>
    <w:rsid w:val="003C5F92"/>
    <w:rsid w:val="003C614A"/>
    <w:rsid w:val="003C69D9"/>
    <w:rsid w:val="003C6AC1"/>
    <w:rsid w:val="003C6E1D"/>
    <w:rsid w:val="003C7495"/>
    <w:rsid w:val="003C7784"/>
    <w:rsid w:val="003C7B82"/>
    <w:rsid w:val="003C7D5C"/>
    <w:rsid w:val="003D058C"/>
    <w:rsid w:val="003D05C3"/>
    <w:rsid w:val="003D1006"/>
    <w:rsid w:val="003D14EF"/>
    <w:rsid w:val="003D1771"/>
    <w:rsid w:val="003D1F78"/>
    <w:rsid w:val="003D2634"/>
    <w:rsid w:val="003D2A3C"/>
    <w:rsid w:val="003D2B41"/>
    <w:rsid w:val="003D343A"/>
    <w:rsid w:val="003D34A9"/>
    <w:rsid w:val="003D36F8"/>
    <w:rsid w:val="003D403A"/>
    <w:rsid w:val="003D40BB"/>
    <w:rsid w:val="003D439D"/>
    <w:rsid w:val="003D45B2"/>
    <w:rsid w:val="003D4A18"/>
    <w:rsid w:val="003D51BA"/>
    <w:rsid w:val="003D5239"/>
    <w:rsid w:val="003D5A2E"/>
    <w:rsid w:val="003D5DBD"/>
    <w:rsid w:val="003D6089"/>
    <w:rsid w:val="003D6384"/>
    <w:rsid w:val="003D6668"/>
    <w:rsid w:val="003D6C1C"/>
    <w:rsid w:val="003D6E22"/>
    <w:rsid w:val="003D72B0"/>
    <w:rsid w:val="003D76B1"/>
    <w:rsid w:val="003D7ECD"/>
    <w:rsid w:val="003E0672"/>
    <w:rsid w:val="003E08C6"/>
    <w:rsid w:val="003E0D8C"/>
    <w:rsid w:val="003E0F33"/>
    <w:rsid w:val="003E1212"/>
    <w:rsid w:val="003E1429"/>
    <w:rsid w:val="003E1594"/>
    <w:rsid w:val="003E17A6"/>
    <w:rsid w:val="003E17EE"/>
    <w:rsid w:val="003E1DDA"/>
    <w:rsid w:val="003E1ECB"/>
    <w:rsid w:val="003E20A6"/>
    <w:rsid w:val="003E2164"/>
    <w:rsid w:val="003E2A35"/>
    <w:rsid w:val="003E2C45"/>
    <w:rsid w:val="003E2D89"/>
    <w:rsid w:val="003E3BCC"/>
    <w:rsid w:val="003E3D2D"/>
    <w:rsid w:val="003E417E"/>
    <w:rsid w:val="003E4639"/>
    <w:rsid w:val="003E49E5"/>
    <w:rsid w:val="003E4AA5"/>
    <w:rsid w:val="003E4C43"/>
    <w:rsid w:val="003E4F46"/>
    <w:rsid w:val="003E53DC"/>
    <w:rsid w:val="003E54C5"/>
    <w:rsid w:val="003E5562"/>
    <w:rsid w:val="003E5C7E"/>
    <w:rsid w:val="003E5DD6"/>
    <w:rsid w:val="003E624D"/>
    <w:rsid w:val="003E631C"/>
    <w:rsid w:val="003E6566"/>
    <w:rsid w:val="003E6B3A"/>
    <w:rsid w:val="003E7748"/>
    <w:rsid w:val="003E7B6D"/>
    <w:rsid w:val="003E7B6F"/>
    <w:rsid w:val="003E7BB8"/>
    <w:rsid w:val="003E7E48"/>
    <w:rsid w:val="003F04A6"/>
    <w:rsid w:val="003F07AC"/>
    <w:rsid w:val="003F13E8"/>
    <w:rsid w:val="003F172F"/>
    <w:rsid w:val="003F19E7"/>
    <w:rsid w:val="003F1CCD"/>
    <w:rsid w:val="003F1CEC"/>
    <w:rsid w:val="003F2693"/>
    <w:rsid w:val="003F2AF8"/>
    <w:rsid w:val="003F2C11"/>
    <w:rsid w:val="003F3963"/>
    <w:rsid w:val="003F4080"/>
    <w:rsid w:val="003F43BF"/>
    <w:rsid w:val="003F4432"/>
    <w:rsid w:val="003F4EC2"/>
    <w:rsid w:val="003F5312"/>
    <w:rsid w:val="003F6A72"/>
    <w:rsid w:val="003F6B64"/>
    <w:rsid w:val="003F6BE4"/>
    <w:rsid w:val="003F6BF5"/>
    <w:rsid w:val="003F6CB8"/>
    <w:rsid w:val="003F6D87"/>
    <w:rsid w:val="003F765F"/>
    <w:rsid w:val="003F76A1"/>
    <w:rsid w:val="003F7AB4"/>
    <w:rsid w:val="00400030"/>
    <w:rsid w:val="00400738"/>
    <w:rsid w:val="00400773"/>
    <w:rsid w:val="00400868"/>
    <w:rsid w:val="00400986"/>
    <w:rsid w:val="0040098A"/>
    <w:rsid w:val="00400C4F"/>
    <w:rsid w:val="00400E0B"/>
    <w:rsid w:val="00400F2E"/>
    <w:rsid w:val="004011C4"/>
    <w:rsid w:val="004016D5"/>
    <w:rsid w:val="004017F3"/>
    <w:rsid w:val="00401DAF"/>
    <w:rsid w:val="00402735"/>
    <w:rsid w:val="0040303A"/>
    <w:rsid w:val="00403365"/>
    <w:rsid w:val="0040399F"/>
    <w:rsid w:val="00403CF8"/>
    <w:rsid w:val="00403E3F"/>
    <w:rsid w:val="004040E3"/>
    <w:rsid w:val="00405260"/>
    <w:rsid w:val="00405DCB"/>
    <w:rsid w:val="00406777"/>
    <w:rsid w:val="00407459"/>
    <w:rsid w:val="00407746"/>
    <w:rsid w:val="004078B2"/>
    <w:rsid w:val="004079A9"/>
    <w:rsid w:val="00407BF0"/>
    <w:rsid w:val="00407EAE"/>
    <w:rsid w:val="00410523"/>
    <w:rsid w:val="004108B7"/>
    <w:rsid w:val="004109E2"/>
    <w:rsid w:val="00410F93"/>
    <w:rsid w:val="0041180E"/>
    <w:rsid w:val="004120D4"/>
    <w:rsid w:val="00412338"/>
    <w:rsid w:val="004123EA"/>
    <w:rsid w:val="004124E1"/>
    <w:rsid w:val="00412720"/>
    <w:rsid w:val="00412C49"/>
    <w:rsid w:val="004133E4"/>
    <w:rsid w:val="00413509"/>
    <w:rsid w:val="0041441D"/>
    <w:rsid w:val="00414782"/>
    <w:rsid w:val="00414907"/>
    <w:rsid w:val="00414D01"/>
    <w:rsid w:val="00414E8C"/>
    <w:rsid w:val="00415EB5"/>
    <w:rsid w:val="0041655A"/>
    <w:rsid w:val="00416D98"/>
    <w:rsid w:val="00416D9B"/>
    <w:rsid w:val="00416FC7"/>
    <w:rsid w:val="004170FE"/>
    <w:rsid w:val="004174B8"/>
    <w:rsid w:val="00420576"/>
    <w:rsid w:val="0042072F"/>
    <w:rsid w:val="004209E6"/>
    <w:rsid w:val="00420A0A"/>
    <w:rsid w:val="00420E41"/>
    <w:rsid w:val="00420FC5"/>
    <w:rsid w:val="004212B3"/>
    <w:rsid w:val="004214D6"/>
    <w:rsid w:val="00421575"/>
    <w:rsid w:val="00421E67"/>
    <w:rsid w:val="00422598"/>
    <w:rsid w:val="004225FA"/>
    <w:rsid w:val="00422892"/>
    <w:rsid w:val="00422D69"/>
    <w:rsid w:val="0042319A"/>
    <w:rsid w:val="0042324B"/>
    <w:rsid w:val="004234E8"/>
    <w:rsid w:val="0042359C"/>
    <w:rsid w:val="00423D92"/>
    <w:rsid w:val="00424631"/>
    <w:rsid w:val="00425025"/>
    <w:rsid w:val="00425100"/>
    <w:rsid w:val="004251AD"/>
    <w:rsid w:val="0042584A"/>
    <w:rsid w:val="004259B1"/>
    <w:rsid w:val="00425A1F"/>
    <w:rsid w:val="00425CF6"/>
    <w:rsid w:val="00425EB1"/>
    <w:rsid w:val="00426805"/>
    <w:rsid w:val="00426A5C"/>
    <w:rsid w:val="00427049"/>
    <w:rsid w:val="0042739B"/>
    <w:rsid w:val="004275DE"/>
    <w:rsid w:val="00427B5E"/>
    <w:rsid w:val="00427FED"/>
    <w:rsid w:val="00430150"/>
    <w:rsid w:val="004302F9"/>
    <w:rsid w:val="004304CC"/>
    <w:rsid w:val="00430669"/>
    <w:rsid w:val="0043091F"/>
    <w:rsid w:val="00430E84"/>
    <w:rsid w:val="00431190"/>
    <w:rsid w:val="004315AD"/>
    <w:rsid w:val="004317DF"/>
    <w:rsid w:val="004319FA"/>
    <w:rsid w:val="0043229B"/>
    <w:rsid w:val="00432531"/>
    <w:rsid w:val="004325F2"/>
    <w:rsid w:val="00432A9B"/>
    <w:rsid w:val="00432E52"/>
    <w:rsid w:val="00432EAF"/>
    <w:rsid w:val="00432F23"/>
    <w:rsid w:val="00433163"/>
    <w:rsid w:val="0043373F"/>
    <w:rsid w:val="004342B2"/>
    <w:rsid w:val="004348E3"/>
    <w:rsid w:val="00434A2E"/>
    <w:rsid w:val="004351F2"/>
    <w:rsid w:val="0043523B"/>
    <w:rsid w:val="00435287"/>
    <w:rsid w:val="004354B4"/>
    <w:rsid w:val="004365ED"/>
    <w:rsid w:val="00436E43"/>
    <w:rsid w:val="00436EDB"/>
    <w:rsid w:val="00436F5D"/>
    <w:rsid w:val="00437777"/>
    <w:rsid w:val="004377F2"/>
    <w:rsid w:val="00437809"/>
    <w:rsid w:val="00437A81"/>
    <w:rsid w:val="00437EFF"/>
    <w:rsid w:val="004400D7"/>
    <w:rsid w:val="004405E8"/>
    <w:rsid w:val="00440761"/>
    <w:rsid w:val="00440A22"/>
    <w:rsid w:val="00440A5E"/>
    <w:rsid w:val="00440A8F"/>
    <w:rsid w:val="00440B08"/>
    <w:rsid w:val="00441093"/>
    <w:rsid w:val="00441518"/>
    <w:rsid w:val="004416AE"/>
    <w:rsid w:val="004426FC"/>
    <w:rsid w:val="00442857"/>
    <w:rsid w:val="004428FA"/>
    <w:rsid w:val="00443FC2"/>
    <w:rsid w:val="00444E1C"/>
    <w:rsid w:val="00445135"/>
    <w:rsid w:val="0044559B"/>
    <w:rsid w:val="004455FA"/>
    <w:rsid w:val="004457A4"/>
    <w:rsid w:val="004468AA"/>
    <w:rsid w:val="004469B7"/>
    <w:rsid w:val="00446ACF"/>
    <w:rsid w:val="00446B46"/>
    <w:rsid w:val="004470E8"/>
    <w:rsid w:val="0044752F"/>
    <w:rsid w:val="00447AA4"/>
    <w:rsid w:val="00447EA0"/>
    <w:rsid w:val="00450F0C"/>
    <w:rsid w:val="0045114E"/>
    <w:rsid w:val="00451AA0"/>
    <w:rsid w:val="0045212B"/>
    <w:rsid w:val="0045218A"/>
    <w:rsid w:val="004523DA"/>
    <w:rsid w:val="00452859"/>
    <w:rsid w:val="00452B44"/>
    <w:rsid w:val="00452BA8"/>
    <w:rsid w:val="004530DA"/>
    <w:rsid w:val="00453282"/>
    <w:rsid w:val="004533E6"/>
    <w:rsid w:val="00453487"/>
    <w:rsid w:val="0045406E"/>
    <w:rsid w:val="004543DA"/>
    <w:rsid w:val="004546EB"/>
    <w:rsid w:val="00454874"/>
    <w:rsid w:val="00455158"/>
    <w:rsid w:val="0045531A"/>
    <w:rsid w:val="00455464"/>
    <w:rsid w:val="0045550E"/>
    <w:rsid w:val="00455847"/>
    <w:rsid w:val="00455A06"/>
    <w:rsid w:val="00455B1C"/>
    <w:rsid w:val="00455C56"/>
    <w:rsid w:val="00455DA4"/>
    <w:rsid w:val="00456456"/>
    <w:rsid w:val="004565A7"/>
    <w:rsid w:val="00456BB3"/>
    <w:rsid w:val="00456D57"/>
    <w:rsid w:val="00456E4F"/>
    <w:rsid w:val="00457A55"/>
    <w:rsid w:val="00457B64"/>
    <w:rsid w:val="00457B86"/>
    <w:rsid w:val="00457F1D"/>
    <w:rsid w:val="00460357"/>
    <w:rsid w:val="00460963"/>
    <w:rsid w:val="00460AE0"/>
    <w:rsid w:val="00460DCA"/>
    <w:rsid w:val="0046190B"/>
    <w:rsid w:val="004619CC"/>
    <w:rsid w:val="00461A5F"/>
    <w:rsid w:val="00461E28"/>
    <w:rsid w:val="00462367"/>
    <w:rsid w:val="004637AA"/>
    <w:rsid w:val="004638ED"/>
    <w:rsid w:val="0046490C"/>
    <w:rsid w:val="00464B43"/>
    <w:rsid w:val="0046566E"/>
    <w:rsid w:val="004656F8"/>
    <w:rsid w:val="00466E5A"/>
    <w:rsid w:val="00466F95"/>
    <w:rsid w:val="0046712B"/>
    <w:rsid w:val="00467B02"/>
    <w:rsid w:val="00470287"/>
    <w:rsid w:val="00470288"/>
    <w:rsid w:val="004702FA"/>
    <w:rsid w:val="004704BF"/>
    <w:rsid w:val="00470733"/>
    <w:rsid w:val="00470A85"/>
    <w:rsid w:val="0047113C"/>
    <w:rsid w:val="00471491"/>
    <w:rsid w:val="0047193C"/>
    <w:rsid w:val="00471EB5"/>
    <w:rsid w:val="004724C7"/>
    <w:rsid w:val="00472ACF"/>
    <w:rsid w:val="00473714"/>
    <w:rsid w:val="00473880"/>
    <w:rsid w:val="004739B1"/>
    <w:rsid w:val="00473AF9"/>
    <w:rsid w:val="00473DDE"/>
    <w:rsid w:val="0047420E"/>
    <w:rsid w:val="004744DF"/>
    <w:rsid w:val="0047493B"/>
    <w:rsid w:val="00474F71"/>
    <w:rsid w:val="004750A1"/>
    <w:rsid w:val="00475478"/>
    <w:rsid w:val="004757B4"/>
    <w:rsid w:val="00475880"/>
    <w:rsid w:val="00476642"/>
    <w:rsid w:val="004772AA"/>
    <w:rsid w:val="004773D3"/>
    <w:rsid w:val="0047746B"/>
    <w:rsid w:val="00477C53"/>
    <w:rsid w:val="00480DCC"/>
    <w:rsid w:val="00480EC4"/>
    <w:rsid w:val="0048127A"/>
    <w:rsid w:val="004818E3"/>
    <w:rsid w:val="00481E0C"/>
    <w:rsid w:val="0048278E"/>
    <w:rsid w:val="004827D3"/>
    <w:rsid w:val="00482CFA"/>
    <w:rsid w:val="00482E73"/>
    <w:rsid w:val="00482F67"/>
    <w:rsid w:val="00482FB0"/>
    <w:rsid w:val="00483575"/>
    <w:rsid w:val="00483BEA"/>
    <w:rsid w:val="004847DD"/>
    <w:rsid w:val="004850F5"/>
    <w:rsid w:val="004851CA"/>
    <w:rsid w:val="00485380"/>
    <w:rsid w:val="0048595A"/>
    <w:rsid w:val="00485A86"/>
    <w:rsid w:val="00485CD2"/>
    <w:rsid w:val="00485FD9"/>
    <w:rsid w:val="004862FB"/>
    <w:rsid w:val="0048692D"/>
    <w:rsid w:val="00486A22"/>
    <w:rsid w:val="0048719C"/>
    <w:rsid w:val="004874DB"/>
    <w:rsid w:val="004877F2"/>
    <w:rsid w:val="004878EA"/>
    <w:rsid w:val="00490322"/>
    <w:rsid w:val="0049033C"/>
    <w:rsid w:val="004907BE"/>
    <w:rsid w:val="004908D0"/>
    <w:rsid w:val="00490B06"/>
    <w:rsid w:val="004912D4"/>
    <w:rsid w:val="004919FF"/>
    <w:rsid w:val="00491EDB"/>
    <w:rsid w:val="0049231A"/>
    <w:rsid w:val="00492461"/>
    <w:rsid w:val="004928C1"/>
    <w:rsid w:val="004933C8"/>
    <w:rsid w:val="00493500"/>
    <w:rsid w:val="004935A7"/>
    <w:rsid w:val="00493762"/>
    <w:rsid w:val="00493AC8"/>
    <w:rsid w:val="00493D87"/>
    <w:rsid w:val="00493E30"/>
    <w:rsid w:val="00493E6A"/>
    <w:rsid w:val="0049418F"/>
    <w:rsid w:val="00494381"/>
    <w:rsid w:val="004950CC"/>
    <w:rsid w:val="004950D4"/>
    <w:rsid w:val="00495A33"/>
    <w:rsid w:val="00495E05"/>
    <w:rsid w:val="004962C4"/>
    <w:rsid w:val="00496F1B"/>
    <w:rsid w:val="004971A9"/>
    <w:rsid w:val="004972A2"/>
    <w:rsid w:val="00497839"/>
    <w:rsid w:val="0049799C"/>
    <w:rsid w:val="004A018C"/>
    <w:rsid w:val="004A0506"/>
    <w:rsid w:val="004A0599"/>
    <w:rsid w:val="004A0B4D"/>
    <w:rsid w:val="004A0C15"/>
    <w:rsid w:val="004A0E00"/>
    <w:rsid w:val="004A13EB"/>
    <w:rsid w:val="004A14F0"/>
    <w:rsid w:val="004A1B58"/>
    <w:rsid w:val="004A1F85"/>
    <w:rsid w:val="004A22BB"/>
    <w:rsid w:val="004A2342"/>
    <w:rsid w:val="004A251B"/>
    <w:rsid w:val="004A2B3E"/>
    <w:rsid w:val="004A2B88"/>
    <w:rsid w:val="004A2F62"/>
    <w:rsid w:val="004A33F3"/>
    <w:rsid w:val="004A39B8"/>
    <w:rsid w:val="004A3B4E"/>
    <w:rsid w:val="004A3BA2"/>
    <w:rsid w:val="004A3FC6"/>
    <w:rsid w:val="004A4AE5"/>
    <w:rsid w:val="004A549E"/>
    <w:rsid w:val="004A5D7F"/>
    <w:rsid w:val="004A669A"/>
    <w:rsid w:val="004A694F"/>
    <w:rsid w:val="004A69DD"/>
    <w:rsid w:val="004A6FE5"/>
    <w:rsid w:val="004A7042"/>
    <w:rsid w:val="004A7294"/>
    <w:rsid w:val="004A7328"/>
    <w:rsid w:val="004A7647"/>
    <w:rsid w:val="004A7D1B"/>
    <w:rsid w:val="004B05AD"/>
    <w:rsid w:val="004B0900"/>
    <w:rsid w:val="004B0D73"/>
    <w:rsid w:val="004B12E1"/>
    <w:rsid w:val="004B15C9"/>
    <w:rsid w:val="004B1BD3"/>
    <w:rsid w:val="004B1DB8"/>
    <w:rsid w:val="004B24B7"/>
    <w:rsid w:val="004B29EE"/>
    <w:rsid w:val="004B2E82"/>
    <w:rsid w:val="004B2EB6"/>
    <w:rsid w:val="004B2F01"/>
    <w:rsid w:val="004B3039"/>
    <w:rsid w:val="004B316D"/>
    <w:rsid w:val="004B33C3"/>
    <w:rsid w:val="004B33E1"/>
    <w:rsid w:val="004B355C"/>
    <w:rsid w:val="004B37CB"/>
    <w:rsid w:val="004B3BD5"/>
    <w:rsid w:val="004B4182"/>
    <w:rsid w:val="004B4538"/>
    <w:rsid w:val="004B482C"/>
    <w:rsid w:val="004B48F0"/>
    <w:rsid w:val="004B4AC6"/>
    <w:rsid w:val="004B4E77"/>
    <w:rsid w:val="004B5E75"/>
    <w:rsid w:val="004B619E"/>
    <w:rsid w:val="004B6670"/>
    <w:rsid w:val="004B6C20"/>
    <w:rsid w:val="004B6FB6"/>
    <w:rsid w:val="004C012F"/>
    <w:rsid w:val="004C0296"/>
    <w:rsid w:val="004C0786"/>
    <w:rsid w:val="004C0AC9"/>
    <w:rsid w:val="004C0BF7"/>
    <w:rsid w:val="004C0DE9"/>
    <w:rsid w:val="004C1186"/>
    <w:rsid w:val="004C11CA"/>
    <w:rsid w:val="004C17F0"/>
    <w:rsid w:val="004C1B78"/>
    <w:rsid w:val="004C1FE2"/>
    <w:rsid w:val="004C2263"/>
    <w:rsid w:val="004C2306"/>
    <w:rsid w:val="004C2D74"/>
    <w:rsid w:val="004C3851"/>
    <w:rsid w:val="004C3ABC"/>
    <w:rsid w:val="004C3AFE"/>
    <w:rsid w:val="004C3AFF"/>
    <w:rsid w:val="004C4182"/>
    <w:rsid w:val="004C4D2E"/>
    <w:rsid w:val="004C5006"/>
    <w:rsid w:val="004C54B2"/>
    <w:rsid w:val="004C571D"/>
    <w:rsid w:val="004C5BE7"/>
    <w:rsid w:val="004C6682"/>
    <w:rsid w:val="004C6745"/>
    <w:rsid w:val="004C68D5"/>
    <w:rsid w:val="004C72A5"/>
    <w:rsid w:val="004C7675"/>
    <w:rsid w:val="004C7DC3"/>
    <w:rsid w:val="004D004E"/>
    <w:rsid w:val="004D0B92"/>
    <w:rsid w:val="004D0FAC"/>
    <w:rsid w:val="004D12B6"/>
    <w:rsid w:val="004D16A5"/>
    <w:rsid w:val="004D1831"/>
    <w:rsid w:val="004D1A7F"/>
    <w:rsid w:val="004D1CBF"/>
    <w:rsid w:val="004D24EB"/>
    <w:rsid w:val="004D2C51"/>
    <w:rsid w:val="004D32BB"/>
    <w:rsid w:val="004D34FC"/>
    <w:rsid w:val="004D35A2"/>
    <w:rsid w:val="004D39C3"/>
    <w:rsid w:val="004D473F"/>
    <w:rsid w:val="004D47CA"/>
    <w:rsid w:val="004D4921"/>
    <w:rsid w:val="004D4A02"/>
    <w:rsid w:val="004D4D07"/>
    <w:rsid w:val="004D52CC"/>
    <w:rsid w:val="004D5E20"/>
    <w:rsid w:val="004D5FD1"/>
    <w:rsid w:val="004D6035"/>
    <w:rsid w:val="004D6443"/>
    <w:rsid w:val="004D6689"/>
    <w:rsid w:val="004D674C"/>
    <w:rsid w:val="004D6933"/>
    <w:rsid w:val="004D6972"/>
    <w:rsid w:val="004D6BA0"/>
    <w:rsid w:val="004E0480"/>
    <w:rsid w:val="004E04E7"/>
    <w:rsid w:val="004E0C5C"/>
    <w:rsid w:val="004E0E58"/>
    <w:rsid w:val="004E124B"/>
    <w:rsid w:val="004E1969"/>
    <w:rsid w:val="004E1BD0"/>
    <w:rsid w:val="004E1D88"/>
    <w:rsid w:val="004E1DA3"/>
    <w:rsid w:val="004E1E02"/>
    <w:rsid w:val="004E22A7"/>
    <w:rsid w:val="004E25D3"/>
    <w:rsid w:val="004E28D0"/>
    <w:rsid w:val="004E2DEC"/>
    <w:rsid w:val="004E2FAA"/>
    <w:rsid w:val="004E38E3"/>
    <w:rsid w:val="004E3B0B"/>
    <w:rsid w:val="004E433B"/>
    <w:rsid w:val="004E4604"/>
    <w:rsid w:val="004E4A28"/>
    <w:rsid w:val="004E52C3"/>
    <w:rsid w:val="004E5565"/>
    <w:rsid w:val="004E59A6"/>
    <w:rsid w:val="004E6350"/>
    <w:rsid w:val="004E67D1"/>
    <w:rsid w:val="004E69E0"/>
    <w:rsid w:val="004E6F6E"/>
    <w:rsid w:val="004E75F6"/>
    <w:rsid w:val="004F0006"/>
    <w:rsid w:val="004F0008"/>
    <w:rsid w:val="004F0032"/>
    <w:rsid w:val="004F0B9A"/>
    <w:rsid w:val="004F1627"/>
    <w:rsid w:val="004F21F5"/>
    <w:rsid w:val="004F232C"/>
    <w:rsid w:val="004F26FB"/>
    <w:rsid w:val="004F29BF"/>
    <w:rsid w:val="004F2DF5"/>
    <w:rsid w:val="004F2E22"/>
    <w:rsid w:val="004F2E36"/>
    <w:rsid w:val="004F43C7"/>
    <w:rsid w:val="004F5247"/>
    <w:rsid w:val="004F5B85"/>
    <w:rsid w:val="004F5E53"/>
    <w:rsid w:val="004F6158"/>
    <w:rsid w:val="004F6250"/>
    <w:rsid w:val="004F6544"/>
    <w:rsid w:val="004F665B"/>
    <w:rsid w:val="004F6F16"/>
    <w:rsid w:val="004F71AD"/>
    <w:rsid w:val="004F75EF"/>
    <w:rsid w:val="004F7756"/>
    <w:rsid w:val="004F7C93"/>
    <w:rsid w:val="004F7EA7"/>
    <w:rsid w:val="00500258"/>
    <w:rsid w:val="00500C25"/>
    <w:rsid w:val="00500D3E"/>
    <w:rsid w:val="005016AE"/>
    <w:rsid w:val="00501C69"/>
    <w:rsid w:val="00501F38"/>
    <w:rsid w:val="0050206D"/>
    <w:rsid w:val="00502091"/>
    <w:rsid w:val="00502796"/>
    <w:rsid w:val="00502C48"/>
    <w:rsid w:val="00503215"/>
    <w:rsid w:val="00503373"/>
    <w:rsid w:val="00503934"/>
    <w:rsid w:val="00503D82"/>
    <w:rsid w:val="00503F5E"/>
    <w:rsid w:val="00503FB4"/>
    <w:rsid w:val="005040C2"/>
    <w:rsid w:val="0050462F"/>
    <w:rsid w:val="00504987"/>
    <w:rsid w:val="00505415"/>
    <w:rsid w:val="00505460"/>
    <w:rsid w:val="00506105"/>
    <w:rsid w:val="005064DB"/>
    <w:rsid w:val="005067AF"/>
    <w:rsid w:val="00506931"/>
    <w:rsid w:val="00506CFF"/>
    <w:rsid w:val="00506FD1"/>
    <w:rsid w:val="00507232"/>
    <w:rsid w:val="00507563"/>
    <w:rsid w:val="005104A6"/>
    <w:rsid w:val="005107AE"/>
    <w:rsid w:val="005109A7"/>
    <w:rsid w:val="00510DCC"/>
    <w:rsid w:val="0051114F"/>
    <w:rsid w:val="0051124C"/>
    <w:rsid w:val="0051140E"/>
    <w:rsid w:val="0051171F"/>
    <w:rsid w:val="00511CA0"/>
    <w:rsid w:val="00511D5B"/>
    <w:rsid w:val="00511D94"/>
    <w:rsid w:val="005124D7"/>
    <w:rsid w:val="00512856"/>
    <w:rsid w:val="00512C56"/>
    <w:rsid w:val="00512D2E"/>
    <w:rsid w:val="00513162"/>
    <w:rsid w:val="00513B14"/>
    <w:rsid w:val="00513C54"/>
    <w:rsid w:val="0051430C"/>
    <w:rsid w:val="00514548"/>
    <w:rsid w:val="005147A2"/>
    <w:rsid w:val="005153F6"/>
    <w:rsid w:val="005157DB"/>
    <w:rsid w:val="00515A06"/>
    <w:rsid w:val="00516101"/>
    <w:rsid w:val="0051696F"/>
    <w:rsid w:val="00516B03"/>
    <w:rsid w:val="00516CAF"/>
    <w:rsid w:val="00516D10"/>
    <w:rsid w:val="005171A1"/>
    <w:rsid w:val="0051736D"/>
    <w:rsid w:val="0052035F"/>
    <w:rsid w:val="00520A3B"/>
    <w:rsid w:val="00520B3D"/>
    <w:rsid w:val="00520D4E"/>
    <w:rsid w:val="00520E80"/>
    <w:rsid w:val="00521243"/>
    <w:rsid w:val="005212FE"/>
    <w:rsid w:val="00521555"/>
    <w:rsid w:val="00521853"/>
    <w:rsid w:val="00521960"/>
    <w:rsid w:val="00521CE7"/>
    <w:rsid w:val="00521CF3"/>
    <w:rsid w:val="005222F0"/>
    <w:rsid w:val="00522C4A"/>
    <w:rsid w:val="00523064"/>
    <w:rsid w:val="00523691"/>
    <w:rsid w:val="00523F1D"/>
    <w:rsid w:val="005247B3"/>
    <w:rsid w:val="00524C82"/>
    <w:rsid w:val="00525809"/>
    <w:rsid w:val="005264B6"/>
    <w:rsid w:val="0052666E"/>
    <w:rsid w:val="005267F6"/>
    <w:rsid w:val="005269D3"/>
    <w:rsid w:val="00526B08"/>
    <w:rsid w:val="00526DF3"/>
    <w:rsid w:val="00526E8A"/>
    <w:rsid w:val="0052716B"/>
    <w:rsid w:val="00527BDA"/>
    <w:rsid w:val="00527EAA"/>
    <w:rsid w:val="00530734"/>
    <w:rsid w:val="005314C6"/>
    <w:rsid w:val="00531715"/>
    <w:rsid w:val="005319F3"/>
    <w:rsid w:val="005321EE"/>
    <w:rsid w:val="005329C7"/>
    <w:rsid w:val="00532C9E"/>
    <w:rsid w:val="00532DF2"/>
    <w:rsid w:val="00534072"/>
    <w:rsid w:val="00534307"/>
    <w:rsid w:val="005343CA"/>
    <w:rsid w:val="0053502C"/>
    <w:rsid w:val="00535130"/>
    <w:rsid w:val="005354A6"/>
    <w:rsid w:val="00536006"/>
    <w:rsid w:val="0053606A"/>
    <w:rsid w:val="00536094"/>
    <w:rsid w:val="00536756"/>
    <w:rsid w:val="00537302"/>
    <w:rsid w:val="0053738C"/>
    <w:rsid w:val="005400A0"/>
    <w:rsid w:val="005402DC"/>
    <w:rsid w:val="0054038F"/>
    <w:rsid w:val="005406FC"/>
    <w:rsid w:val="005416F8"/>
    <w:rsid w:val="005418C4"/>
    <w:rsid w:val="00541928"/>
    <w:rsid w:val="00541B11"/>
    <w:rsid w:val="00541BD3"/>
    <w:rsid w:val="00542901"/>
    <w:rsid w:val="00542B93"/>
    <w:rsid w:val="00542D3C"/>
    <w:rsid w:val="00543952"/>
    <w:rsid w:val="005441BD"/>
    <w:rsid w:val="00544559"/>
    <w:rsid w:val="005445A7"/>
    <w:rsid w:val="00545D1F"/>
    <w:rsid w:val="00545D3E"/>
    <w:rsid w:val="005466D8"/>
    <w:rsid w:val="00547220"/>
    <w:rsid w:val="0054780C"/>
    <w:rsid w:val="00547848"/>
    <w:rsid w:val="00550386"/>
    <w:rsid w:val="005505A6"/>
    <w:rsid w:val="005508CB"/>
    <w:rsid w:val="00550BC7"/>
    <w:rsid w:val="00551347"/>
    <w:rsid w:val="00551473"/>
    <w:rsid w:val="00551B33"/>
    <w:rsid w:val="00551F13"/>
    <w:rsid w:val="00551FFD"/>
    <w:rsid w:val="00552411"/>
    <w:rsid w:val="0055261D"/>
    <w:rsid w:val="00552C42"/>
    <w:rsid w:val="00553358"/>
    <w:rsid w:val="0055345C"/>
    <w:rsid w:val="00553AB5"/>
    <w:rsid w:val="00553F16"/>
    <w:rsid w:val="005543D1"/>
    <w:rsid w:val="00554573"/>
    <w:rsid w:val="0055473D"/>
    <w:rsid w:val="005549A3"/>
    <w:rsid w:val="00554DB2"/>
    <w:rsid w:val="00554DEF"/>
    <w:rsid w:val="00555509"/>
    <w:rsid w:val="00555940"/>
    <w:rsid w:val="00555B02"/>
    <w:rsid w:val="00556BF4"/>
    <w:rsid w:val="00557083"/>
    <w:rsid w:val="0055747D"/>
    <w:rsid w:val="0055757B"/>
    <w:rsid w:val="00557A22"/>
    <w:rsid w:val="00557A74"/>
    <w:rsid w:val="00560102"/>
    <w:rsid w:val="00560605"/>
    <w:rsid w:val="00560876"/>
    <w:rsid w:val="00560953"/>
    <w:rsid w:val="00560F74"/>
    <w:rsid w:val="00561066"/>
    <w:rsid w:val="00561476"/>
    <w:rsid w:val="00561912"/>
    <w:rsid w:val="00561C5B"/>
    <w:rsid w:val="005621C9"/>
    <w:rsid w:val="005622BB"/>
    <w:rsid w:val="005639E3"/>
    <w:rsid w:val="00563BD9"/>
    <w:rsid w:val="00563D61"/>
    <w:rsid w:val="0056438B"/>
    <w:rsid w:val="005644D4"/>
    <w:rsid w:val="00564F2D"/>
    <w:rsid w:val="005650B9"/>
    <w:rsid w:val="005653E1"/>
    <w:rsid w:val="005654ED"/>
    <w:rsid w:val="0056594C"/>
    <w:rsid w:val="005661FF"/>
    <w:rsid w:val="00566357"/>
    <w:rsid w:val="005664A2"/>
    <w:rsid w:val="00566CDA"/>
    <w:rsid w:val="0056727E"/>
    <w:rsid w:val="00567468"/>
    <w:rsid w:val="00567490"/>
    <w:rsid w:val="0056761A"/>
    <w:rsid w:val="00567BA6"/>
    <w:rsid w:val="00567DBA"/>
    <w:rsid w:val="00570033"/>
    <w:rsid w:val="00570147"/>
    <w:rsid w:val="00570247"/>
    <w:rsid w:val="00570477"/>
    <w:rsid w:val="005706FB"/>
    <w:rsid w:val="005709EF"/>
    <w:rsid w:val="0057103C"/>
    <w:rsid w:val="005713D3"/>
    <w:rsid w:val="005716D8"/>
    <w:rsid w:val="0057182B"/>
    <w:rsid w:val="00571D68"/>
    <w:rsid w:val="00571E23"/>
    <w:rsid w:val="00572942"/>
    <w:rsid w:val="00572BC0"/>
    <w:rsid w:val="0057307E"/>
    <w:rsid w:val="005737D4"/>
    <w:rsid w:val="005737FF"/>
    <w:rsid w:val="00573955"/>
    <w:rsid w:val="00573A4C"/>
    <w:rsid w:val="00573DBE"/>
    <w:rsid w:val="00573FFA"/>
    <w:rsid w:val="0057405B"/>
    <w:rsid w:val="005749CE"/>
    <w:rsid w:val="00574A3D"/>
    <w:rsid w:val="00574A77"/>
    <w:rsid w:val="00574B79"/>
    <w:rsid w:val="00574C2D"/>
    <w:rsid w:val="00574D12"/>
    <w:rsid w:val="00575B42"/>
    <w:rsid w:val="00576223"/>
    <w:rsid w:val="00576345"/>
    <w:rsid w:val="005763F6"/>
    <w:rsid w:val="00576545"/>
    <w:rsid w:val="005765CA"/>
    <w:rsid w:val="005766B7"/>
    <w:rsid w:val="005768A2"/>
    <w:rsid w:val="00577A7F"/>
    <w:rsid w:val="00577F7E"/>
    <w:rsid w:val="005800B4"/>
    <w:rsid w:val="00580436"/>
    <w:rsid w:val="0058052A"/>
    <w:rsid w:val="0058070B"/>
    <w:rsid w:val="00580AE0"/>
    <w:rsid w:val="00581068"/>
    <w:rsid w:val="0058131B"/>
    <w:rsid w:val="005818D3"/>
    <w:rsid w:val="00581E91"/>
    <w:rsid w:val="00581F55"/>
    <w:rsid w:val="005820DA"/>
    <w:rsid w:val="0058296F"/>
    <w:rsid w:val="005829E5"/>
    <w:rsid w:val="00582A73"/>
    <w:rsid w:val="00582B04"/>
    <w:rsid w:val="00582B1E"/>
    <w:rsid w:val="00582BC4"/>
    <w:rsid w:val="00583104"/>
    <w:rsid w:val="00583D35"/>
    <w:rsid w:val="00584013"/>
    <w:rsid w:val="005841C2"/>
    <w:rsid w:val="0058463B"/>
    <w:rsid w:val="005846EA"/>
    <w:rsid w:val="00584A8A"/>
    <w:rsid w:val="00584E9D"/>
    <w:rsid w:val="00584E9F"/>
    <w:rsid w:val="00585263"/>
    <w:rsid w:val="005852E0"/>
    <w:rsid w:val="005856AB"/>
    <w:rsid w:val="00585BD7"/>
    <w:rsid w:val="005860E6"/>
    <w:rsid w:val="00586197"/>
    <w:rsid w:val="00586A16"/>
    <w:rsid w:val="00586CD1"/>
    <w:rsid w:val="0058715A"/>
    <w:rsid w:val="00587AC6"/>
    <w:rsid w:val="005905D7"/>
    <w:rsid w:val="005908A8"/>
    <w:rsid w:val="00590C2C"/>
    <w:rsid w:val="00590D7F"/>
    <w:rsid w:val="0059113E"/>
    <w:rsid w:val="005915BF"/>
    <w:rsid w:val="00591841"/>
    <w:rsid w:val="00592917"/>
    <w:rsid w:val="00593ABE"/>
    <w:rsid w:val="00593DCC"/>
    <w:rsid w:val="005942EE"/>
    <w:rsid w:val="00594D2B"/>
    <w:rsid w:val="00595E80"/>
    <w:rsid w:val="005963E0"/>
    <w:rsid w:val="0059650E"/>
    <w:rsid w:val="005966CB"/>
    <w:rsid w:val="00596953"/>
    <w:rsid w:val="00596ABB"/>
    <w:rsid w:val="00596AF4"/>
    <w:rsid w:val="005970E3"/>
    <w:rsid w:val="0059719E"/>
    <w:rsid w:val="005973F2"/>
    <w:rsid w:val="005978EC"/>
    <w:rsid w:val="00597A0B"/>
    <w:rsid w:val="00597F7B"/>
    <w:rsid w:val="005A01ED"/>
    <w:rsid w:val="005A1493"/>
    <w:rsid w:val="005A1B1F"/>
    <w:rsid w:val="005A1D37"/>
    <w:rsid w:val="005A1E20"/>
    <w:rsid w:val="005A1E86"/>
    <w:rsid w:val="005A247A"/>
    <w:rsid w:val="005A3474"/>
    <w:rsid w:val="005A3575"/>
    <w:rsid w:val="005A3912"/>
    <w:rsid w:val="005A3B89"/>
    <w:rsid w:val="005A3F18"/>
    <w:rsid w:val="005A444D"/>
    <w:rsid w:val="005A4C85"/>
    <w:rsid w:val="005A4EA4"/>
    <w:rsid w:val="005A4F40"/>
    <w:rsid w:val="005A581C"/>
    <w:rsid w:val="005A5CFB"/>
    <w:rsid w:val="005A5D7D"/>
    <w:rsid w:val="005A5FBA"/>
    <w:rsid w:val="005A6030"/>
    <w:rsid w:val="005A66C3"/>
    <w:rsid w:val="005A6930"/>
    <w:rsid w:val="005A6970"/>
    <w:rsid w:val="005A7191"/>
    <w:rsid w:val="005A7AF5"/>
    <w:rsid w:val="005B008A"/>
    <w:rsid w:val="005B04B8"/>
    <w:rsid w:val="005B06E4"/>
    <w:rsid w:val="005B0711"/>
    <w:rsid w:val="005B1530"/>
    <w:rsid w:val="005B19F3"/>
    <w:rsid w:val="005B29CF"/>
    <w:rsid w:val="005B340D"/>
    <w:rsid w:val="005B398D"/>
    <w:rsid w:val="005B4014"/>
    <w:rsid w:val="005B4182"/>
    <w:rsid w:val="005B4218"/>
    <w:rsid w:val="005B46EA"/>
    <w:rsid w:val="005B4F60"/>
    <w:rsid w:val="005B53B1"/>
    <w:rsid w:val="005B57AD"/>
    <w:rsid w:val="005B58A0"/>
    <w:rsid w:val="005B5F2B"/>
    <w:rsid w:val="005B62EF"/>
    <w:rsid w:val="005B69EE"/>
    <w:rsid w:val="005B6A82"/>
    <w:rsid w:val="005B6D8A"/>
    <w:rsid w:val="005B7012"/>
    <w:rsid w:val="005B70AB"/>
    <w:rsid w:val="005B722E"/>
    <w:rsid w:val="005B7543"/>
    <w:rsid w:val="005B7996"/>
    <w:rsid w:val="005C02FE"/>
    <w:rsid w:val="005C03BB"/>
    <w:rsid w:val="005C04D1"/>
    <w:rsid w:val="005C0D9E"/>
    <w:rsid w:val="005C10A1"/>
    <w:rsid w:val="005C1397"/>
    <w:rsid w:val="005C13DE"/>
    <w:rsid w:val="005C1432"/>
    <w:rsid w:val="005C1A34"/>
    <w:rsid w:val="005C2285"/>
    <w:rsid w:val="005C2A20"/>
    <w:rsid w:val="005C3046"/>
    <w:rsid w:val="005C31ED"/>
    <w:rsid w:val="005C37EB"/>
    <w:rsid w:val="005C3D45"/>
    <w:rsid w:val="005C40B1"/>
    <w:rsid w:val="005C42E7"/>
    <w:rsid w:val="005C4B48"/>
    <w:rsid w:val="005C50AC"/>
    <w:rsid w:val="005C5279"/>
    <w:rsid w:val="005C540E"/>
    <w:rsid w:val="005C54EE"/>
    <w:rsid w:val="005C5534"/>
    <w:rsid w:val="005C5878"/>
    <w:rsid w:val="005C5D66"/>
    <w:rsid w:val="005C605B"/>
    <w:rsid w:val="005C622C"/>
    <w:rsid w:val="005C6406"/>
    <w:rsid w:val="005C6601"/>
    <w:rsid w:val="005C6F22"/>
    <w:rsid w:val="005D00E4"/>
    <w:rsid w:val="005D019A"/>
    <w:rsid w:val="005D0E6A"/>
    <w:rsid w:val="005D16DB"/>
    <w:rsid w:val="005D2476"/>
    <w:rsid w:val="005D2737"/>
    <w:rsid w:val="005D2DFA"/>
    <w:rsid w:val="005D2F96"/>
    <w:rsid w:val="005D3573"/>
    <w:rsid w:val="005D3D24"/>
    <w:rsid w:val="005D42C4"/>
    <w:rsid w:val="005D4B8A"/>
    <w:rsid w:val="005D5893"/>
    <w:rsid w:val="005D5CA8"/>
    <w:rsid w:val="005D5DBB"/>
    <w:rsid w:val="005D5F03"/>
    <w:rsid w:val="005D6093"/>
    <w:rsid w:val="005D685E"/>
    <w:rsid w:val="005D69D1"/>
    <w:rsid w:val="005D6CDF"/>
    <w:rsid w:val="005D73DA"/>
    <w:rsid w:val="005D756A"/>
    <w:rsid w:val="005D75A2"/>
    <w:rsid w:val="005E0239"/>
    <w:rsid w:val="005E0312"/>
    <w:rsid w:val="005E0FD5"/>
    <w:rsid w:val="005E15C7"/>
    <w:rsid w:val="005E1ECC"/>
    <w:rsid w:val="005E210D"/>
    <w:rsid w:val="005E268B"/>
    <w:rsid w:val="005E29BE"/>
    <w:rsid w:val="005E2C55"/>
    <w:rsid w:val="005E3415"/>
    <w:rsid w:val="005E359F"/>
    <w:rsid w:val="005E3ACC"/>
    <w:rsid w:val="005E3B85"/>
    <w:rsid w:val="005E3C01"/>
    <w:rsid w:val="005E3F65"/>
    <w:rsid w:val="005E4625"/>
    <w:rsid w:val="005E4833"/>
    <w:rsid w:val="005E4A35"/>
    <w:rsid w:val="005E4A46"/>
    <w:rsid w:val="005E50E5"/>
    <w:rsid w:val="005E5696"/>
    <w:rsid w:val="005E5745"/>
    <w:rsid w:val="005E5FA1"/>
    <w:rsid w:val="005E604F"/>
    <w:rsid w:val="005E6C46"/>
    <w:rsid w:val="005E700E"/>
    <w:rsid w:val="005E72C5"/>
    <w:rsid w:val="005E7621"/>
    <w:rsid w:val="005E77E2"/>
    <w:rsid w:val="005E7981"/>
    <w:rsid w:val="005F0B79"/>
    <w:rsid w:val="005F0BEA"/>
    <w:rsid w:val="005F0C3C"/>
    <w:rsid w:val="005F1029"/>
    <w:rsid w:val="005F1131"/>
    <w:rsid w:val="005F20DF"/>
    <w:rsid w:val="005F2288"/>
    <w:rsid w:val="005F2425"/>
    <w:rsid w:val="005F3824"/>
    <w:rsid w:val="005F38E3"/>
    <w:rsid w:val="005F396B"/>
    <w:rsid w:val="005F3AF4"/>
    <w:rsid w:val="005F3B14"/>
    <w:rsid w:val="005F4093"/>
    <w:rsid w:val="005F41D1"/>
    <w:rsid w:val="005F42B0"/>
    <w:rsid w:val="005F4340"/>
    <w:rsid w:val="005F44E9"/>
    <w:rsid w:val="005F465D"/>
    <w:rsid w:val="005F4BD8"/>
    <w:rsid w:val="005F4E13"/>
    <w:rsid w:val="005F57C9"/>
    <w:rsid w:val="005F57D4"/>
    <w:rsid w:val="005F588A"/>
    <w:rsid w:val="005F5EC7"/>
    <w:rsid w:val="005F619C"/>
    <w:rsid w:val="005F6437"/>
    <w:rsid w:val="005F689F"/>
    <w:rsid w:val="005F6F47"/>
    <w:rsid w:val="005F6F57"/>
    <w:rsid w:val="005F7207"/>
    <w:rsid w:val="005F77CD"/>
    <w:rsid w:val="005F7FCF"/>
    <w:rsid w:val="00600704"/>
    <w:rsid w:val="006009AC"/>
    <w:rsid w:val="00600BB3"/>
    <w:rsid w:val="00601E67"/>
    <w:rsid w:val="006021E4"/>
    <w:rsid w:val="00602852"/>
    <w:rsid w:val="00603E7D"/>
    <w:rsid w:val="0060441B"/>
    <w:rsid w:val="00604551"/>
    <w:rsid w:val="006048DA"/>
    <w:rsid w:val="00604AA1"/>
    <w:rsid w:val="00604BDA"/>
    <w:rsid w:val="00604E0E"/>
    <w:rsid w:val="006052A4"/>
    <w:rsid w:val="00605873"/>
    <w:rsid w:val="00605B18"/>
    <w:rsid w:val="00605EA2"/>
    <w:rsid w:val="006066DF"/>
    <w:rsid w:val="006075FD"/>
    <w:rsid w:val="00607691"/>
    <w:rsid w:val="0060775E"/>
    <w:rsid w:val="00607A36"/>
    <w:rsid w:val="0061062C"/>
    <w:rsid w:val="00610FAB"/>
    <w:rsid w:val="00611120"/>
    <w:rsid w:val="006117ED"/>
    <w:rsid w:val="006119B4"/>
    <w:rsid w:val="006119E4"/>
    <w:rsid w:val="00611EA9"/>
    <w:rsid w:val="00611F45"/>
    <w:rsid w:val="00612305"/>
    <w:rsid w:val="00612A48"/>
    <w:rsid w:val="00613183"/>
    <w:rsid w:val="006133F0"/>
    <w:rsid w:val="00613D2A"/>
    <w:rsid w:val="006142B5"/>
    <w:rsid w:val="006145B6"/>
    <w:rsid w:val="00614808"/>
    <w:rsid w:val="00614847"/>
    <w:rsid w:val="006151BD"/>
    <w:rsid w:val="00615496"/>
    <w:rsid w:val="00615F5A"/>
    <w:rsid w:val="00616107"/>
    <w:rsid w:val="00616378"/>
    <w:rsid w:val="00616543"/>
    <w:rsid w:val="00616674"/>
    <w:rsid w:val="00616888"/>
    <w:rsid w:val="00616B28"/>
    <w:rsid w:val="00617121"/>
    <w:rsid w:val="006174D6"/>
    <w:rsid w:val="006176BE"/>
    <w:rsid w:val="00617925"/>
    <w:rsid w:val="00617996"/>
    <w:rsid w:val="006206DD"/>
    <w:rsid w:val="0062072C"/>
    <w:rsid w:val="00620854"/>
    <w:rsid w:val="006208EB"/>
    <w:rsid w:val="006212CB"/>
    <w:rsid w:val="0062189D"/>
    <w:rsid w:val="00621999"/>
    <w:rsid w:val="00621AFC"/>
    <w:rsid w:val="00621F90"/>
    <w:rsid w:val="00622579"/>
    <w:rsid w:val="00622906"/>
    <w:rsid w:val="00622A58"/>
    <w:rsid w:val="00622CC9"/>
    <w:rsid w:val="006231B5"/>
    <w:rsid w:val="0062358E"/>
    <w:rsid w:val="006237CA"/>
    <w:rsid w:val="00623E93"/>
    <w:rsid w:val="00623ED2"/>
    <w:rsid w:val="0062434B"/>
    <w:rsid w:val="00624942"/>
    <w:rsid w:val="00624EF3"/>
    <w:rsid w:val="00624FCE"/>
    <w:rsid w:val="00625BED"/>
    <w:rsid w:val="00625C9E"/>
    <w:rsid w:val="00625FB8"/>
    <w:rsid w:val="00626387"/>
    <w:rsid w:val="00626A1C"/>
    <w:rsid w:val="00626EF0"/>
    <w:rsid w:val="00626F03"/>
    <w:rsid w:val="00627202"/>
    <w:rsid w:val="006272A9"/>
    <w:rsid w:val="006273DC"/>
    <w:rsid w:val="006276DF"/>
    <w:rsid w:val="006279F9"/>
    <w:rsid w:val="006315FC"/>
    <w:rsid w:val="00631651"/>
    <w:rsid w:val="00631A34"/>
    <w:rsid w:val="00631A7D"/>
    <w:rsid w:val="00631AD1"/>
    <w:rsid w:val="00631AFF"/>
    <w:rsid w:val="00631DEF"/>
    <w:rsid w:val="00632833"/>
    <w:rsid w:val="00632B3A"/>
    <w:rsid w:val="00632B92"/>
    <w:rsid w:val="00632FA3"/>
    <w:rsid w:val="006330E5"/>
    <w:rsid w:val="0063336B"/>
    <w:rsid w:val="00633401"/>
    <w:rsid w:val="0063344E"/>
    <w:rsid w:val="00633D2F"/>
    <w:rsid w:val="0063539D"/>
    <w:rsid w:val="00635D48"/>
    <w:rsid w:val="00635E7C"/>
    <w:rsid w:val="00635ED5"/>
    <w:rsid w:val="00635F9D"/>
    <w:rsid w:val="00636068"/>
    <w:rsid w:val="00636678"/>
    <w:rsid w:val="00636734"/>
    <w:rsid w:val="006369EE"/>
    <w:rsid w:val="00636DAD"/>
    <w:rsid w:val="00637513"/>
    <w:rsid w:val="006375E2"/>
    <w:rsid w:val="006376AE"/>
    <w:rsid w:val="006376E1"/>
    <w:rsid w:val="00637847"/>
    <w:rsid w:val="00637D65"/>
    <w:rsid w:val="00637EA9"/>
    <w:rsid w:val="00637ED1"/>
    <w:rsid w:val="00640868"/>
    <w:rsid w:val="00640D8F"/>
    <w:rsid w:val="00641720"/>
    <w:rsid w:val="006420DA"/>
    <w:rsid w:val="006425A2"/>
    <w:rsid w:val="00642E55"/>
    <w:rsid w:val="00642F84"/>
    <w:rsid w:val="00642FF1"/>
    <w:rsid w:val="00643036"/>
    <w:rsid w:val="006431B3"/>
    <w:rsid w:val="00643411"/>
    <w:rsid w:val="006436BC"/>
    <w:rsid w:val="00643B3C"/>
    <w:rsid w:val="00643E90"/>
    <w:rsid w:val="00643EB3"/>
    <w:rsid w:val="00644D22"/>
    <w:rsid w:val="00644EC5"/>
    <w:rsid w:val="0064504E"/>
    <w:rsid w:val="006455AC"/>
    <w:rsid w:val="00645B37"/>
    <w:rsid w:val="006466A1"/>
    <w:rsid w:val="0064700E"/>
    <w:rsid w:val="006470BA"/>
    <w:rsid w:val="00647F59"/>
    <w:rsid w:val="00650677"/>
    <w:rsid w:val="00650F41"/>
    <w:rsid w:val="00651554"/>
    <w:rsid w:val="0065167D"/>
    <w:rsid w:val="00651800"/>
    <w:rsid w:val="0065254B"/>
    <w:rsid w:val="00652A2A"/>
    <w:rsid w:val="006535AB"/>
    <w:rsid w:val="006537D2"/>
    <w:rsid w:val="00653916"/>
    <w:rsid w:val="00653AB2"/>
    <w:rsid w:val="00654026"/>
    <w:rsid w:val="00654B00"/>
    <w:rsid w:val="00654B62"/>
    <w:rsid w:val="006554BE"/>
    <w:rsid w:val="00655785"/>
    <w:rsid w:val="00655C25"/>
    <w:rsid w:val="006560A7"/>
    <w:rsid w:val="006560B9"/>
    <w:rsid w:val="006564E4"/>
    <w:rsid w:val="00656DA6"/>
    <w:rsid w:val="0065704C"/>
    <w:rsid w:val="006574D4"/>
    <w:rsid w:val="00657513"/>
    <w:rsid w:val="00657660"/>
    <w:rsid w:val="006577E9"/>
    <w:rsid w:val="00657A5A"/>
    <w:rsid w:val="00657BDD"/>
    <w:rsid w:val="0066012B"/>
    <w:rsid w:val="006602FF"/>
    <w:rsid w:val="0066038E"/>
    <w:rsid w:val="00660858"/>
    <w:rsid w:val="006609E6"/>
    <w:rsid w:val="00660E51"/>
    <w:rsid w:val="00660F67"/>
    <w:rsid w:val="00661001"/>
    <w:rsid w:val="0066132D"/>
    <w:rsid w:val="006616A1"/>
    <w:rsid w:val="00661EBB"/>
    <w:rsid w:val="00663B14"/>
    <w:rsid w:val="00663B71"/>
    <w:rsid w:val="00663D56"/>
    <w:rsid w:val="00663E87"/>
    <w:rsid w:val="0066463C"/>
    <w:rsid w:val="00664EDC"/>
    <w:rsid w:val="00665244"/>
    <w:rsid w:val="0066543A"/>
    <w:rsid w:val="00665449"/>
    <w:rsid w:val="00665759"/>
    <w:rsid w:val="00665B8E"/>
    <w:rsid w:val="00665D56"/>
    <w:rsid w:val="00665F2E"/>
    <w:rsid w:val="006665E3"/>
    <w:rsid w:val="00666D69"/>
    <w:rsid w:val="00666F76"/>
    <w:rsid w:val="006672FC"/>
    <w:rsid w:val="0066770A"/>
    <w:rsid w:val="006678EC"/>
    <w:rsid w:val="00667A48"/>
    <w:rsid w:val="00667AA8"/>
    <w:rsid w:val="00667AE3"/>
    <w:rsid w:val="00667BDF"/>
    <w:rsid w:val="00667D3D"/>
    <w:rsid w:val="00671BAC"/>
    <w:rsid w:val="00671C62"/>
    <w:rsid w:val="0067223F"/>
    <w:rsid w:val="00672249"/>
    <w:rsid w:val="00672432"/>
    <w:rsid w:val="00672837"/>
    <w:rsid w:val="00672B25"/>
    <w:rsid w:val="00672D15"/>
    <w:rsid w:val="00672DDC"/>
    <w:rsid w:val="00673600"/>
    <w:rsid w:val="006736A9"/>
    <w:rsid w:val="006739D2"/>
    <w:rsid w:val="00673BC7"/>
    <w:rsid w:val="00673DDB"/>
    <w:rsid w:val="0067400E"/>
    <w:rsid w:val="006743EE"/>
    <w:rsid w:val="006746D9"/>
    <w:rsid w:val="00674975"/>
    <w:rsid w:val="00674E07"/>
    <w:rsid w:val="00674E46"/>
    <w:rsid w:val="00675C7A"/>
    <w:rsid w:val="00675D39"/>
    <w:rsid w:val="006764BF"/>
    <w:rsid w:val="006766C5"/>
    <w:rsid w:val="006766EC"/>
    <w:rsid w:val="00676743"/>
    <w:rsid w:val="00676948"/>
    <w:rsid w:val="006775C1"/>
    <w:rsid w:val="00677F3C"/>
    <w:rsid w:val="00677FCC"/>
    <w:rsid w:val="006801FA"/>
    <w:rsid w:val="00680576"/>
    <w:rsid w:val="00680C2D"/>
    <w:rsid w:val="00680DE6"/>
    <w:rsid w:val="006813C0"/>
    <w:rsid w:val="00681727"/>
    <w:rsid w:val="00681D67"/>
    <w:rsid w:val="00682425"/>
    <w:rsid w:val="00682597"/>
    <w:rsid w:val="00682C98"/>
    <w:rsid w:val="00683A12"/>
    <w:rsid w:val="00683E17"/>
    <w:rsid w:val="006847FA"/>
    <w:rsid w:val="0068518B"/>
    <w:rsid w:val="0068560B"/>
    <w:rsid w:val="0068562B"/>
    <w:rsid w:val="006856C3"/>
    <w:rsid w:val="006856E7"/>
    <w:rsid w:val="00685F55"/>
    <w:rsid w:val="00686E1A"/>
    <w:rsid w:val="00687236"/>
    <w:rsid w:val="0068740F"/>
    <w:rsid w:val="0068766E"/>
    <w:rsid w:val="00687C31"/>
    <w:rsid w:val="00690667"/>
    <w:rsid w:val="00691574"/>
    <w:rsid w:val="00691E12"/>
    <w:rsid w:val="0069274F"/>
    <w:rsid w:val="00692A67"/>
    <w:rsid w:val="00692DFC"/>
    <w:rsid w:val="00693129"/>
    <w:rsid w:val="00693408"/>
    <w:rsid w:val="00694003"/>
    <w:rsid w:val="006942A0"/>
    <w:rsid w:val="006943F0"/>
    <w:rsid w:val="0069464C"/>
    <w:rsid w:val="006947A1"/>
    <w:rsid w:val="00694BB0"/>
    <w:rsid w:val="00694C96"/>
    <w:rsid w:val="00694FCD"/>
    <w:rsid w:val="00696307"/>
    <w:rsid w:val="006968C0"/>
    <w:rsid w:val="006979F4"/>
    <w:rsid w:val="00697F96"/>
    <w:rsid w:val="006A0DA0"/>
    <w:rsid w:val="006A0DC5"/>
    <w:rsid w:val="006A0DED"/>
    <w:rsid w:val="006A1277"/>
    <w:rsid w:val="006A2227"/>
    <w:rsid w:val="006A230A"/>
    <w:rsid w:val="006A2602"/>
    <w:rsid w:val="006A2986"/>
    <w:rsid w:val="006A2D41"/>
    <w:rsid w:val="006A2D52"/>
    <w:rsid w:val="006A314F"/>
    <w:rsid w:val="006A3173"/>
    <w:rsid w:val="006A3D16"/>
    <w:rsid w:val="006A4C75"/>
    <w:rsid w:val="006A4EE1"/>
    <w:rsid w:val="006A5A62"/>
    <w:rsid w:val="006A5B1A"/>
    <w:rsid w:val="006A5B2E"/>
    <w:rsid w:val="006A62C0"/>
    <w:rsid w:val="006A6424"/>
    <w:rsid w:val="006A6480"/>
    <w:rsid w:val="006A67D3"/>
    <w:rsid w:val="006A67E1"/>
    <w:rsid w:val="006A6928"/>
    <w:rsid w:val="006A6FB3"/>
    <w:rsid w:val="006A77A2"/>
    <w:rsid w:val="006B019B"/>
    <w:rsid w:val="006B0FDB"/>
    <w:rsid w:val="006B10F5"/>
    <w:rsid w:val="006B1754"/>
    <w:rsid w:val="006B1A7D"/>
    <w:rsid w:val="006B1A80"/>
    <w:rsid w:val="006B1C05"/>
    <w:rsid w:val="006B2C09"/>
    <w:rsid w:val="006B3080"/>
    <w:rsid w:val="006B315D"/>
    <w:rsid w:val="006B31BF"/>
    <w:rsid w:val="006B3501"/>
    <w:rsid w:val="006B3606"/>
    <w:rsid w:val="006B394C"/>
    <w:rsid w:val="006B51AD"/>
    <w:rsid w:val="006B5211"/>
    <w:rsid w:val="006B52F9"/>
    <w:rsid w:val="006B5BE9"/>
    <w:rsid w:val="006B5F67"/>
    <w:rsid w:val="006B61B5"/>
    <w:rsid w:val="006B6685"/>
    <w:rsid w:val="006B69E5"/>
    <w:rsid w:val="006B6EF9"/>
    <w:rsid w:val="006B75FC"/>
    <w:rsid w:val="006B779A"/>
    <w:rsid w:val="006C00D0"/>
    <w:rsid w:val="006C00F5"/>
    <w:rsid w:val="006C09ED"/>
    <w:rsid w:val="006C0C65"/>
    <w:rsid w:val="006C1091"/>
    <w:rsid w:val="006C1403"/>
    <w:rsid w:val="006C155B"/>
    <w:rsid w:val="006C1AC7"/>
    <w:rsid w:val="006C1D2B"/>
    <w:rsid w:val="006C2700"/>
    <w:rsid w:val="006C2717"/>
    <w:rsid w:val="006C2C26"/>
    <w:rsid w:val="006C2DBB"/>
    <w:rsid w:val="006C35E7"/>
    <w:rsid w:val="006C36FB"/>
    <w:rsid w:val="006C3795"/>
    <w:rsid w:val="006C42CB"/>
    <w:rsid w:val="006C467D"/>
    <w:rsid w:val="006C4AA0"/>
    <w:rsid w:val="006C4FBF"/>
    <w:rsid w:val="006C51EF"/>
    <w:rsid w:val="006C57CB"/>
    <w:rsid w:val="006C63E3"/>
    <w:rsid w:val="006C679F"/>
    <w:rsid w:val="006C67B0"/>
    <w:rsid w:val="006C6892"/>
    <w:rsid w:val="006C7D62"/>
    <w:rsid w:val="006C7DA9"/>
    <w:rsid w:val="006C7E9D"/>
    <w:rsid w:val="006D02DA"/>
    <w:rsid w:val="006D06C1"/>
    <w:rsid w:val="006D0A5D"/>
    <w:rsid w:val="006D0B23"/>
    <w:rsid w:val="006D1AFF"/>
    <w:rsid w:val="006D2482"/>
    <w:rsid w:val="006D286D"/>
    <w:rsid w:val="006D289E"/>
    <w:rsid w:val="006D2D26"/>
    <w:rsid w:val="006D2ED6"/>
    <w:rsid w:val="006D3355"/>
    <w:rsid w:val="006D3EF4"/>
    <w:rsid w:val="006D4576"/>
    <w:rsid w:val="006D4840"/>
    <w:rsid w:val="006D48F3"/>
    <w:rsid w:val="006D49AC"/>
    <w:rsid w:val="006D4BF2"/>
    <w:rsid w:val="006D4CA2"/>
    <w:rsid w:val="006D547F"/>
    <w:rsid w:val="006D5685"/>
    <w:rsid w:val="006D5EA0"/>
    <w:rsid w:val="006D63F8"/>
    <w:rsid w:val="006D698C"/>
    <w:rsid w:val="006D6995"/>
    <w:rsid w:val="006D7111"/>
    <w:rsid w:val="006D7959"/>
    <w:rsid w:val="006E0D08"/>
    <w:rsid w:val="006E0EFD"/>
    <w:rsid w:val="006E136B"/>
    <w:rsid w:val="006E14A3"/>
    <w:rsid w:val="006E14C2"/>
    <w:rsid w:val="006E1987"/>
    <w:rsid w:val="006E1EB1"/>
    <w:rsid w:val="006E2379"/>
    <w:rsid w:val="006E23B2"/>
    <w:rsid w:val="006E2879"/>
    <w:rsid w:val="006E2D99"/>
    <w:rsid w:val="006E3BCF"/>
    <w:rsid w:val="006E401D"/>
    <w:rsid w:val="006E41BF"/>
    <w:rsid w:val="006E4FBA"/>
    <w:rsid w:val="006E5207"/>
    <w:rsid w:val="006E593E"/>
    <w:rsid w:val="006E654A"/>
    <w:rsid w:val="006E687D"/>
    <w:rsid w:val="006E6B72"/>
    <w:rsid w:val="006E736A"/>
    <w:rsid w:val="006E7D16"/>
    <w:rsid w:val="006F0129"/>
    <w:rsid w:val="006F0696"/>
    <w:rsid w:val="006F088B"/>
    <w:rsid w:val="006F10AD"/>
    <w:rsid w:val="006F1331"/>
    <w:rsid w:val="006F15F4"/>
    <w:rsid w:val="006F19F3"/>
    <w:rsid w:val="006F19FB"/>
    <w:rsid w:val="006F2637"/>
    <w:rsid w:val="006F29E5"/>
    <w:rsid w:val="006F2B1B"/>
    <w:rsid w:val="006F2BDC"/>
    <w:rsid w:val="006F3096"/>
    <w:rsid w:val="006F350B"/>
    <w:rsid w:val="006F3680"/>
    <w:rsid w:val="006F3796"/>
    <w:rsid w:val="006F37D0"/>
    <w:rsid w:val="006F520A"/>
    <w:rsid w:val="006F54B2"/>
    <w:rsid w:val="006F5C70"/>
    <w:rsid w:val="006F5FB8"/>
    <w:rsid w:val="006F62D7"/>
    <w:rsid w:val="006F6378"/>
    <w:rsid w:val="006F644E"/>
    <w:rsid w:val="006F6909"/>
    <w:rsid w:val="006F6A20"/>
    <w:rsid w:val="006F6AF1"/>
    <w:rsid w:val="006F705A"/>
    <w:rsid w:val="006F727D"/>
    <w:rsid w:val="006F771C"/>
    <w:rsid w:val="0070027D"/>
    <w:rsid w:val="00700875"/>
    <w:rsid w:val="00700908"/>
    <w:rsid w:val="007017A0"/>
    <w:rsid w:val="00701AA3"/>
    <w:rsid w:val="00701ED2"/>
    <w:rsid w:val="007024EC"/>
    <w:rsid w:val="00702A8B"/>
    <w:rsid w:val="00703010"/>
    <w:rsid w:val="007035D0"/>
    <w:rsid w:val="00703D5B"/>
    <w:rsid w:val="00703DB8"/>
    <w:rsid w:val="007042AC"/>
    <w:rsid w:val="007046E0"/>
    <w:rsid w:val="007047B2"/>
    <w:rsid w:val="00704ADA"/>
    <w:rsid w:val="00704B18"/>
    <w:rsid w:val="00704DE7"/>
    <w:rsid w:val="00704FBE"/>
    <w:rsid w:val="007052F6"/>
    <w:rsid w:val="0070564E"/>
    <w:rsid w:val="007057FE"/>
    <w:rsid w:val="007058B0"/>
    <w:rsid w:val="00706394"/>
    <w:rsid w:val="00706868"/>
    <w:rsid w:val="00706E93"/>
    <w:rsid w:val="007072A6"/>
    <w:rsid w:val="00707319"/>
    <w:rsid w:val="00707418"/>
    <w:rsid w:val="007078B8"/>
    <w:rsid w:val="00707D2B"/>
    <w:rsid w:val="00710EAA"/>
    <w:rsid w:val="0071102E"/>
    <w:rsid w:val="007115BA"/>
    <w:rsid w:val="00711969"/>
    <w:rsid w:val="00711AF7"/>
    <w:rsid w:val="007122A4"/>
    <w:rsid w:val="00712B4B"/>
    <w:rsid w:val="00712C40"/>
    <w:rsid w:val="00713352"/>
    <w:rsid w:val="00713978"/>
    <w:rsid w:val="00713B2F"/>
    <w:rsid w:val="00713E76"/>
    <w:rsid w:val="007146DF"/>
    <w:rsid w:val="007149C5"/>
    <w:rsid w:val="0071501B"/>
    <w:rsid w:val="00715E32"/>
    <w:rsid w:val="007162D1"/>
    <w:rsid w:val="00716400"/>
    <w:rsid w:val="00716463"/>
    <w:rsid w:val="00716612"/>
    <w:rsid w:val="00716A3E"/>
    <w:rsid w:val="00716C1F"/>
    <w:rsid w:val="0071706E"/>
    <w:rsid w:val="00717478"/>
    <w:rsid w:val="007178A0"/>
    <w:rsid w:val="00717949"/>
    <w:rsid w:val="00717E45"/>
    <w:rsid w:val="00720326"/>
    <w:rsid w:val="0072112F"/>
    <w:rsid w:val="007211BD"/>
    <w:rsid w:val="00721203"/>
    <w:rsid w:val="00721661"/>
    <w:rsid w:val="00722A4F"/>
    <w:rsid w:val="007230BE"/>
    <w:rsid w:val="00723618"/>
    <w:rsid w:val="00723776"/>
    <w:rsid w:val="0072408E"/>
    <w:rsid w:val="007243BB"/>
    <w:rsid w:val="00724DCF"/>
    <w:rsid w:val="0072533B"/>
    <w:rsid w:val="007253A2"/>
    <w:rsid w:val="00725502"/>
    <w:rsid w:val="00725767"/>
    <w:rsid w:val="00726357"/>
    <w:rsid w:val="007267A6"/>
    <w:rsid w:val="00726E50"/>
    <w:rsid w:val="00726F24"/>
    <w:rsid w:val="00727292"/>
    <w:rsid w:val="007279EF"/>
    <w:rsid w:val="00727B16"/>
    <w:rsid w:val="00727C25"/>
    <w:rsid w:val="0073016A"/>
    <w:rsid w:val="00730541"/>
    <w:rsid w:val="007307D7"/>
    <w:rsid w:val="0073082C"/>
    <w:rsid w:val="007308F5"/>
    <w:rsid w:val="007308FE"/>
    <w:rsid w:val="00730BD8"/>
    <w:rsid w:val="00730DF3"/>
    <w:rsid w:val="007313F5"/>
    <w:rsid w:val="00731832"/>
    <w:rsid w:val="00731B55"/>
    <w:rsid w:val="00732302"/>
    <w:rsid w:val="007323E7"/>
    <w:rsid w:val="00732E78"/>
    <w:rsid w:val="00732EA7"/>
    <w:rsid w:val="00733566"/>
    <w:rsid w:val="0073407C"/>
    <w:rsid w:val="00734203"/>
    <w:rsid w:val="00734804"/>
    <w:rsid w:val="00735287"/>
    <w:rsid w:val="00735293"/>
    <w:rsid w:val="007356AD"/>
    <w:rsid w:val="007359B4"/>
    <w:rsid w:val="00735AA2"/>
    <w:rsid w:val="00735E1C"/>
    <w:rsid w:val="0073665C"/>
    <w:rsid w:val="007369E8"/>
    <w:rsid w:val="00736B32"/>
    <w:rsid w:val="00736DBD"/>
    <w:rsid w:val="007401CE"/>
    <w:rsid w:val="0074020A"/>
    <w:rsid w:val="00740950"/>
    <w:rsid w:val="007409C2"/>
    <w:rsid w:val="00740C3D"/>
    <w:rsid w:val="00740CCF"/>
    <w:rsid w:val="00740ECC"/>
    <w:rsid w:val="00741378"/>
    <w:rsid w:val="0074157C"/>
    <w:rsid w:val="0074190A"/>
    <w:rsid w:val="00742560"/>
    <w:rsid w:val="0074261A"/>
    <w:rsid w:val="00742F6A"/>
    <w:rsid w:val="00743516"/>
    <w:rsid w:val="007435A0"/>
    <w:rsid w:val="007441C6"/>
    <w:rsid w:val="007446E8"/>
    <w:rsid w:val="00744ACE"/>
    <w:rsid w:val="007451AD"/>
    <w:rsid w:val="00745527"/>
    <w:rsid w:val="00746C83"/>
    <w:rsid w:val="00746F79"/>
    <w:rsid w:val="00747271"/>
    <w:rsid w:val="0074731C"/>
    <w:rsid w:val="00747A2F"/>
    <w:rsid w:val="00747CCD"/>
    <w:rsid w:val="00747E8E"/>
    <w:rsid w:val="00750514"/>
    <w:rsid w:val="00750975"/>
    <w:rsid w:val="00750A30"/>
    <w:rsid w:val="00750FCC"/>
    <w:rsid w:val="00750FD3"/>
    <w:rsid w:val="00751143"/>
    <w:rsid w:val="00751553"/>
    <w:rsid w:val="0075165E"/>
    <w:rsid w:val="00751C42"/>
    <w:rsid w:val="00751E22"/>
    <w:rsid w:val="00751E98"/>
    <w:rsid w:val="00751FA8"/>
    <w:rsid w:val="007535A4"/>
    <w:rsid w:val="007545A5"/>
    <w:rsid w:val="00754984"/>
    <w:rsid w:val="00754E10"/>
    <w:rsid w:val="00755FDC"/>
    <w:rsid w:val="00756092"/>
    <w:rsid w:val="0075622A"/>
    <w:rsid w:val="007566EF"/>
    <w:rsid w:val="0075686C"/>
    <w:rsid w:val="00756C17"/>
    <w:rsid w:val="0075724A"/>
    <w:rsid w:val="00757595"/>
    <w:rsid w:val="00757A64"/>
    <w:rsid w:val="00757C0A"/>
    <w:rsid w:val="00760503"/>
    <w:rsid w:val="00760C21"/>
    <w:rsid w:val="00761761"/>
    <w:rsid w:val="0076183C"/>
    <w:rsid w:val="00761AAC"/>
    <w:rsid w:val="00761C9B"/>
    <w:rsid w:val="00762030"/>
    <w:rsid w:val="0076219E"/>
    <w:rsid w:val="00762200"/>
    <w:rsid w:val="007626A3"/>
    <w:rsid w:val="007626CB"/>
    <w:rsid w:val="00762702"/>
    <w:rsid w:val="007628A5"/>
    <w:rsid w:val="00762A29"/>
    <w:rsid w:val="00762D4C"/>
    <w:rsid w:val="00762FCD"/>
    <w:rsid w:val="0076327D"/>
    <w:rsid w:val="007636DE"/>
    <w:rsid w:val="00764122"/>
    <w:rsid w:val="007644B4"/>
    <w:rsid w:val="0076467F"/>
    <w:rsid w:val="007647C1"/>
    <w:rsid w:val="00764B5C"/>
    <w:rsid w:val="00764C00"/>
    <w:rsid w:val="00764C0B"/>
    <w:rsid w:val="00765122"/>
    <w:rsid w:val="00765214"/>
    <w:rsid w:val="00765586"/>
    <w:rsid w:val="007657D4"/>
    <w:rsid w:val="0076590F"/>
    <w:rsid w:val="007661FF"/>
    <w:rsid w:val="00766527"/>
    <w:rsid w:val="00766864"/>
    <w:rsid w:val="0076710A"/>
    <w:rsid w:val="0076743C"/>
    <w:rsid w:val="00767745"/>
    <w:rsid w:val="00767D1B"/>
    <w:rsid w:val="00767E08"/>
    <w:rsid w:val="007702F4"/>
    <w:rsid w:val="00770436"/>
    <w:rsid w:val="007707FC"/>
    <w:rsid w:val="00770BE3"/>
    <w:rsid w:val="00770D8C"/>
    <w:rsid w:val="00770E54"/>
    <w:rsid w:val="007711CC"/>
    <w:rsid w:val="0077136F"/>
    <w:rsid w:val="0077176E"/>
    <w:rsid w:val="0077177A"/>
    <w:rsid w:val="00771A08"/>
    <w:rsid w:val="00771C4E"/>
    <w:rsid w:val="00771C84"/>
    <w:rsid w:val="00771CCE"/>
    <w:rsid w:val="007728A8"/>
    <w:rsid w:val="007728ED"/>
    <w:rsid w:val="00772923"/>
    <w:rsid w:val="00772957"/>
    <w:rsid w:val="00772BA2"/>
    <w:rsid w:val="00772F23"/>
    <w:rsid w:val="007733D2"/>
    <w:rsid w:val="00773A37"/>
    <w:rsid w:val="0077455C"/>
    <w:rsid w:val="007746DD"/>
    <w:rsid w:val="00775013"/>
    <w:rsid w:val="00775365"/>
    <w:rsid w:val="007754A0"/>
    <w:rsid w:val="007757DB"/>
    <w:rsid w:val="00776129"/>
    <w:rsid w:val="0077661F"/>
    <w:rsid w:val="00776AF5"/>
    <w:rsid w:val="00777292"/>
    <w:rsid w:val="00777A27"/>
    <w:rsid w:val="00777CEB"/>
    <w:rsid w:val="007802EF"/>
    <w:rsid w:val="007808C3"/>
    <w:rsid w:val="00781716"/>
    <w:rsid w:val="00781A15"/>
    <w:rsid w:val="00781DCF"/>
    <w:rsid w:val="0078206C"/>
    <w:rsid w:val="00782816"/>
    <w:rsid w:val="00782D09"/>
    <w:rsid w:val="007833DF"/>
    <w:rsid w:val="00783506"/>
    <w:rsid w:val="007837BD"/>
    <w:rsid w:val="00783930"/>
    <w:rsid w:val="0078441D"/>
    <w:rsid w:val="007845AA"/>
    <w:rsid w:val="007848DE"/>
    <w:rsid w:val="0078490C"/>
    <w:rsid w:val="0078497C"/>
    <w:rsid w:val="00784D21"/>
    <w:rsid w:val="00784ECF"/>
    <w:rsid w:val="007851B2"/>
    <w:rsid w:val="007851BF"/>
    <w:rsid w:val="00785A76"/>
    <w:rsid w:val="00786204"/>
    <w:rsid w:val="007867B5"/>
    <w:rsid w:val="00786B4D"/>
    <w:rsid w:val="00786B5E"/>
    <w:rsid w:val="00786F05"/>
    <w:rsid w:val="00787334"/>
    <w:rsid w:val="007876E1"/>
    <w:rsid w:val="00787852"/>
    <w:rsid w:val="0079029F"/>
    <w:rsid w:val="007904D7"/>
    <w:rsid w:val="00790AA2"/>
    <w:rsid w:val="00790C12"/>
    <w:rsid w:val="0079105B"/>
    <w:rsid w:val="007915BC"/>
    <w:rsid w:val="007917EE"/>
    <w:rsid w:val="00791CA3"/>
    <w:rsid w:val="00791D12"/>
    <w:rsid w:val="00793324"/>
    <w:rsid w:val="00793455"/>
    <w:rsid w:val="007935D9"/>
    <w:rsid w:val="007940C9"/>
    <w:rsid w:val="0079475D"/>
    <w:rsid w:val="00794AA5"/>
    <w:rsid w:val="00794F43"/>
    <w:rsid w:val="00795947"/>
    <w:rsid w:val="00795A03"/>
    <w:rsid w:val="00795E63"/>
    <w:rsid w:val="00795FE8"/>
    <w:rsid w:val="007967AF"/>
    <w:rsid w:val="007967FA"/>
    <w:rsid w:val="00797054"/>
    <w:rsid w:val="0079712F"/>
    <w:rsid w:val="00797BCF"/>
    <w:rsid w:val="00797E7A"/>
    <w:rsid w:val="007A01C9"/>
    <w:rsid w:val="007A0206"/>
    <w:rsid w:val="007A091A"/>
    <w:rsid w:val="007A0AC4"/>
    <w:rsid w:val="007A0EA6"/>
    <w:rsid w:val="007A10AB"/>
    <w:rsid w:val="007A14BC"/>
    <w:rsid w:val="007A19B0"/>
    <w:rsid w:val="007A1E5B"/>
    <w:rsid w:val="007A2D9E"/>
    <w:rsid w:val="007A3174"/>
    <w:rsid w:val="007A41AC"/>
    <w:rsid w:val="007A4B0D"/>
    <w:rsid w:val="007A4B43"/>
    <w:rsid w:val="007A4D76"/>
    <w:rsid w:val="007A4DF9"/>
    <w:rsid w:val="007A5B84"/>
    <w:rsid w:val="007A6594"/>
    <w:rsid w:val="007A6BFF"/>
    <w:rsid w:val="007A7095"/>
    <w:rsid w:val="007A738D"/>
    <w:rsid w:val="007A7A8F"/>
    <w:rsid w:val="007A7AFB"/>
    <w:rsid w:val="007B0195"/>
    <w:rsid w:val="007B0381"/>
    <w:rsid w:val="007B0ACE"/>
    <w:rsid w:val="007B0F3D"/>
    <w:rsid w:val="007B1008"/>
    <w:rsid w:val="007B148D"/>
    <w:rsid w:val="007B1751"/>
    <w:rsid w:val="007B18C8"/>
    <w:rsid w:val="007B1A33"/>
    <w:rsid w:val="007B1D4F"/>
    <w:rsid w:val="007B1F25"/>
    <w:rsid w:val="007B22A6"/>
    <w:rsid w:val="007B2552"/>
    <w:rsid w:val="007B28DE"/>
    <w:rsid w:val="007B3712"/>
    <w:rsid w:val="007B4231"/>
    <w:rsid w:val="007B43D6"/>
    <w:rsid w:val="007B57F0"/>
    <w:rsid w:val="007B58AF"/>
    <w:rsid w:val="007B5C1E"/>
    <w:rsid w:val="007B634E"/>
    <w:rsid w:val="007B65C6"/>
    <w:rsid w:val="007B6A64"/>
    <w:rsid w:val="007B6ADE"/>
    <w:rsid w:val="007B6E2F"/>
    <w:rsid w:val="007B6EB3"/>
    <w:rsid w:val="007B71C2"/>
    <w:rsid w:val="007B739D"/>
    <w:rsid w:val="007B7480"/>
    <w:rsid w:val="007B776E"/>
    <w:rsid w:val="007B7A5F"/>
    <w:rsid w:val="007B7BC8"/>
    <w:rsid w:val="007C007D"/>
    <w:rsid w:val="007C0332"/>
    <w:rsid w:val="007C0502"/>
    <w:rsid w:val="007C07B1"/>
    <w:rsid w:val="007C162C"/>
    <w:rsid w:val="007C1EB2"/>
    <w:rsid w:val="007C2274"/>
    <w:rsid w:val="007C241C"/>
    <w:rsid w:val="007C273E"/>
    <w:rsid w:val="007C27F5"/>
    <w:rsid w:val="007C29C7"/>
    <w:rsid w:val="007C2BD2"/>
    <w:rsid w:val="007C2EEB"/>
    <w:rsid w:val="007C3016"/>
    <w:rsid w:val="007C314F"/>
    <w:rsid w:val="007C35A3"/>
    <w:rsid w:val="007C36BE"/>
    <w:rsid w:val="007C373D"/>
    <w:rsid w:val="007C48FA"/>
    <w:rsid w:val="007C49A1"/>
    <w:rsid w:val="007C4E4F"/>
    <w:rsid w:val="007C4EB3"/>
    <w:rsid w:val="007C5EFA"/>
    <w:rsid w:val="007C62E1"/>
    <w:rsid w:val="007C63B1"/>
    <w:rsid w:val="007C6BBC"/>
    <w:rsid w:val="007D0145"/>
    <w:rsid w:val="007D020E"/>
    <w:rsid w:val="007D03A2"/>
    <w:rsid w:val="007D059A"/>
    <w:rsid w:val="007D0D15"/>
    <w:rsid w:val="007D115A"/>
    <w:rsid w:val="007D242A"/>
    <w:rsid w:val="007D36A7"/>
    <w:rsid w:val="007D38C8"/>
    <w:rsid w:val="007D3BDB"/>
    <w:rsid w:val="007D46B5"/>
    <w:rsid w:val="007D4770"/>
    <w:rsid w:val="007D48CF"/>
    <w:rsid w:val="007D4B49"/>
    <w:rsid w:val="007D4B51"/>
    <w:rsid w:val="007D4B5F"/>
    <w:rsid w:val="007D4F4B"/>
    <w:rsid w:val="007D526A"/>
    <w:rsid w:val="007D53ED"/>
    <w:rsid w:val="007D6001"/>
    <w:rsid w:val="007D6561"/>
    <w:rsid w:val="007D66D6"/>
    <w:rsid w:val="007D66DA"/>
    <w:rsid w:val="007D68BD"/>
    <w:rsid w:val="007D6A48"/>
    <w:rsid w:val="007D6E1B"/>
    <w:rsid w:val="007D7049"/>
    <w:rsid w:val="007D7CE8"/>
    <w:rsid w:val="007D7F94"/>
    <w:rsid w:val="007E0505"/>
    <w:rsid w:val="007E05CE"/>
    <w:rsid w:val="007E063B"/>
    <w:rsid w:val="007E0D98"/>
    <w:rsid w:val="007E0E48"/>
    <w:rsid w:val="007E115C"/>
    <w:rsid w:val="007E12CB"/>
    <w:rsid w:val="007E1476"/>
    <w:rsid w:val="007E176F"/>
    <w:rsid w:val="007E1A33"/>
    <w:rsid w:val="007E1B76"/>
    <w:rsid w:val="007E1C1E"/>
    <w:rsid w:val="007E219A"/>
    <w:rsid w:val="007E280D"/>
    <w:rsid w:val="007E2896"/>
    <w:rsid w:val="007E29C8"/>
    <w:rsid w:val="007E2B4A"/>
    <w:rsid w:val="007E31B6"/>
    <w:rsid w:val="007E37BF"/>
    <w:rsid w:val="007E3941"/>
    <w:rsid w:val="007E3E8A"/>
    <w:rsid w:val="007E44AA"/>
    <w:rsid w:val="007E46E4"/>
    <w:rsid w:val="007E49FD"/>
    <w:rsid w:val="007E4D3A"/>
    <w:rsid w:val="007E50FC"/>
    <w:rsid w:val="007E52B1"/>
    <w:rsid w:val="007E5437"/>
    <w:rsid w:val="007E551F"/>
    <w:rsid w:val="007E56ED"/>
    <w:rsid w:val="007E5897"/>
    <w:rsid w:val="007E611C"/>
    <w:rsid w:val="007E61D2"/>
    <w:rsid w:val="007E6400"/>
    <w:rsid w:val="007E6593"/>
    <w:rsid w:val="007E689F"/>
    <w:rsid w:val="007E6C27"/>
    <w:rsid w:val="007E6C89"/>
    <w:rsid w:val="007E6E09"/>
    <w:rsid w:val="007E7062"/>
    <w:rsid w:val="007E7405"/>
    <w:rsid w:val="007E753B"/>
    <w:rsid w:val="007F0634"/>
    <w:rsid w:val="007F08DB"/>
    <w:rsid w:val="007F08ED"/>
    <w:rsid w:val="007F0A9A"/>
    <w:rsid w:val="007F0F43"/>
    <w:rsid w:val="007F1101"/>
    <w:rsid w:val="007F15A0"/>
    <w:rsid w:val="007F1978"/>
    <w:rsid w:val="007F2175"/>
    <w:rsid w:val="007F2555"/>
    <w:rsid w:val="007F2568"/>
    <w:rsid w:val="007F2AA4"/>
    <w:rsid w:val="007F2CB1"/>
    <w:rsid w:val="007F2DB2"/>
    <w:rsid w:val="007F2F9B"/>
    <w:rsid w:val="007F3292"/>
    <w:rsid w:val="007F36B4"/>
    <w:rsid w:val="007F3D67"/>
    <w:rsid w:val="007F4600"/>
    <w:rsid w:val="007F4A8D"/>
    <w:rsid w:val="007F4C71"/>
    <w:rsid w:val="007F533D"/>
    <w:rsid w:val="007F559A"/>
    <w:rsid w:val="007F569D"/>
    <w:rsid w:val="007F59B4"/>
    <w:rsid w:val="007F5F6E"/>
    <w:rsid w:val="007F630B"/>
    <w:rsid w:val="007F65F8"/>
    <w:rsid w:val="007F6B91"/>
    <w:rsid w:val="007F6EDB"/>
    <w:rsid w:val="007F70AC"/>
    <w:rsid w:val="007F74CE"/>
    <w:rsid w:val="007F78C7"/>
    <w:rsid w:val="007F7B3D"/>
    <w:rsid w:val="007F7B5E"/>
    <w:rsid w:val="007F7C02"/>
    <w:rsid w:val="007F7DBF"/>
    <w:rsid w:val="00800109"/>
    <w:rsid w:val="0080028B"/>
    <w:rsid w:val="00800416"/>
    <w:rsid w:val="008006BA"/>
    <w:rsid w:val="00800953"/>
    <w:rsid w:val="00800B11"/>
    <w:rsid w:val="00800E04"/>
    <w:rsid w:val="0080131E"/>
    <w:rsid w:val="00801CE3"/>
    <w:rsid w:val="00802143"/>
    <w:rsid w:val="00802816"/>
    <w:rsid w:val="00802C20"/>
    <w:rsid w:val="00802DCC"/>
    <w:rsid w:val="008033BD"/>
    <w:rsid w:val="008036EC"/>
    <w:rsid w:val="00803A23"/>
    <w:rsid w:val="00803D20"/>
    <w:rsid w:val="00804844"/>
    <w:rsid w:val="00804E62"/>
    <w:rsid w:val="00805B83"/>
    <w:rsid w:val="0080604B"/>
    <w:rsid w:val="008067B0"/>
    <w:rsid w:val="00806AAC"/>
    <w:rsid w:val="00806DAC"/>
    <w:rsid w:val="00807816"/>
    <w:rsid w:val="00807C00"/>
    <w:rsid w:val="00807F96"/>
    <w:rsid w:val="00810032"/>
    <w:rsid w:val="00810C5E"/>
    <w:rsid w:val="00810C84"/>
    <w:rsid w:val="008112A0"/>
    <w:rsid w:val="008113C7"/>
    <w:rsid w:val="00811791"/>
    <w:rsid w:val="00811A99"/>
    <w:rsid w:val="00811B6D"/>
    <w:rsid w:val="008124D7"/>
    <w:rsid w:val="008129B0"/>
    <w:rsid w:val="00813399"/>
    <w:rsid w:val="00814563"/>
    <w:rsid w:val="00814977"/>
    <w:rsid w:val="0081497C"/>
    <w:rsid w:val="00814E39"/>
    <w:rsid w:val="0081511F"/>
    <w:rsid w:val="0081533C"/>
    <w:rsid w:val="00815440"/>
    <w:rsid w:val="0081696D"/>
    <w:rsid w:val="0081699E"/>
    <w:rsid w:val="00816E01"/>
    <w:rsid w:val="008173D0"/>
    <w:rsid w:val="00817E6E"/>
    <w:rsid w:val="00820241"/>
    <w:rsid w:val="00820248"/>
    <w:rsid w:val="008204CD"/>
    <w:rsid w:val="0082064C"/>
    <w:rsid w:val="0082075C"/>
    <w:rsid w:val="008209F4"/>
    <w:rsid w:val="00820B26"/>
    <w:rsid w:val="00820E3F"/>
    <w:rsid w:val="0082100A"/>
    <w:rsid w:val="0082143B"/>
    <w:rsid w:val="008214F9"/>
    <w:rsid w:val="0082159A"/>
    <w:rsid w:val="00821957"/>
    <w:rsid w:val="00822107"/>
    <w:rsid w:val="0082269E"/>
    <w:rsid w:val="00822F28"/>
    <w:rsid w:val="00822FE8"/>
    <w:rsid w:val="00823235"/>
    <w:rsid w:val="00823AD4"/>
    <w:rsid w:val="00823ADB"/>
    <w:rsid w:val="008249F1"/>
    <w:rsid w:val="00824AF2"/>
    <w:rsid w:val="00824F82"/>
    <w:rsid w:val="00824F9C"/>
    <w:rsid w:val="0082506B"/>
    <w:rsid w:val="008254B8"/>
    <w:rsid w:val="00825902"/>
    <w:rsid w:val="00825B8D"/>
    <w:rsid w:val="00825DCE"/>
    <w:rsid w:val="00826158"/>
    <w:rsid w:val="00826686"/>
    <w:rsid w:val="008276ED"/>
    <w:rsid w:val="00827C60"/>
    <w:rsid w:val="00827DB2"/>
    <w:rsid w:val="00827DED"/>
    <w:rsid w:val="00827F74"/>
    <w:rsid w:val="0083025E"/>
    <w:rsid w:val="00830B6D"/>
    <w:rsid w:val="0083198F"/>
    <w:rsid w:val="00831CE1"/>
    <w:rsid w:val="00832530"/>
    <w:rsid w:val="0083277B"/>
    <w:rsid w:val="0083369F"/>
    <w:rsid w:val="0083376B"/>
    <w:rsid w:val="008337D9"/>
    <w:rsid w:val="00833813"/>
    <w:rsid w:val="008341D1"/>
    <w:rsid w:val="00834405"/>
    <w:rsid w:val="00834C3C"/>
    <w:rsid w:val="00835563"/>
    <w:rsid w:val="00835A9D"/>
    <w:rsid w:val="00835DA5"/>
    <w:rsid w:val="00836511"/>
    <w:rsid w:val="00836827"/>
    <w:rsid w:val="00836B02"/>
    <w:rsid w:val="00836B41"/>
    <w:rsid w:val="00836E62"/>
    <w:rsid w:val="00836EC6"/>
    <w:rsid w:val="008372C9"/>
    <w:rsid w:val="0083741E"/>
    <w:rsid w:val="00837985"/>
    <w:rsid w:val="00837D3B"/>
    <w:rsid w:val="00840140"/>
    <w:rsid w:val="00840ACA"/>
    <w:rsid w:val="00840BAF"/>
    <w:rsid w:val="00840E3D"/>
    <w:rsid w:val="00840E3E"/>
    <w:rsid w:val="008411D3"/>
    <w:rsid w:val="0084142E"/>
    <w:rsid w:val="00841D8C"/>
    <w:rsid w:val="00841EB7"/>
    <w:rsid w:val="00842220"/>
    <w:rsid w:val="008422BB"/>
    <w:rsid w:val="00842614"/>
    <w:rsid w:val="00842E82"/>
    <w:rsid w:val="00842F6C"/>
    <w:rsid w:val="00843D86"/>
    <w:rsid w:val="00843E4C"/>
    <w:rsid w:val="00844111"/>
    <w:rsid w:val="008441A7"/>
    <w:rsid w:val="008448DC"/>
    <w:rsid w:val="008449A9"/>
    <w:rsid w:val="00844E51"/>
    <w:rsid w:val="00844F74"/>
    <w:rsid w:val="008456A2"/>
    <w:rsid w:val="00845725"/>
    <w:rsid w:val="00845E64"/>
    <w:rsid w:val="00846112"/>
    <w:rsid w:val="00846339"/>
    <w:rsid w:val="00846382"/>
    <w:rsid w:val="008463F0"/>
    <w:rsid w:val="00847C26"/>
    <w:rsid w:val="008506EC"/>
    <w:rsid w:val="00850908"/>
    <w:rsid w:val="00850F57"/>
    <w:rsid w:val="00850FE8"/>
    <w:rsid w:val="0085188F"/>
    <w:rsid w:val="0085190E"/>
    <w:rsid w:val="00851C1D"/>
    <w:rsid w:val="00851D4E"/>
    <w:rsid w:val="00852215"/>
    <w:rsid w:val="00852639"/>
    <w:rsid w:val="00852823"/>
    <w:rsid w:val="00852903"/>
    <w:rsid w:val="00852C17"/>
    <w:rsid w:val="00853262"/>
    <w:rsid w:val="00853394"/>
    <w:rsid w:val="008535C5"/>
    <w:rsid w:val="0085368E"/>
    <w:rsid w:val="008536C2"/>
    <w:rsid w:val="00853A6A"/>
    <w:rsid w:val="00853B51"/>
    <w:rsid w:val="008542D1"/>
    <w:rsid w:val="00854893"/>
    <w:rsid w:val="00854ACC"/>
    <w:rsid w:val="00854AFB"/>
    <w:rsid w:val="00854C49"/>
    <w:rsid w:val="00854FBB"/>
    <w:rsid w:val="00855378"/>
    <w:rsid w:val="00855D3F"/>
    <w:rsid w:val="00856248"/>
    <w:rsid w:val="00856D98"/>
    <w:rsid w:val="00857358"/>
    <w:rsid w:val="008600C7"/>
    <w:rsid w:val="00860541"/>
    <w:rsid w:val="00860C5C"/>
    <w:rsid w:val="0086114F"/>
    <w:rsid w:val="008611D8"/>
    <w:rsid w:val="0086146F"/>
    <w:rsid w:val="0086150E"/>
    <w:rsid w:val="008617D0"/>
    <w:rsid w:val="008619AD"/>
    <w:rsid w:val="00861A38"/>
    <w:rsid w:val="00861A60"/>
    <w:rsid w:val="00861D4E"/>
    <w:rsid w:val="00861EB3"/>
    <w:rsid w:val="00861F2A"/>
    <w:rsid w:val="00862357"/>
    <w:rsid w:val="008623CD"/>
    <w:rsid w:val="008626AC"/>
    <w:rsid w:val="00862C06"/>
    <w:rsid w:val="00862D02"/>
    <w:rsid w:val="00862F36"/>
    <w:rsid w:val="008637B9"/>
    <w:rsid w:val="0086392A"/>
    <w:rsid w:val="00863D51"/>
    <w:rsid w:val="00863EB4"/>
    <w:rsid w:val="00864194"/>
    <w:rsid w:val="00864212"/>
    <w:rsid w:val="0086427B"/>
    <w:rsid w:val="00864802"/>
    <w:rsid w:val="00864B5D"/>
    <w:rsid w:val="00864B9C"/>
    <w:rsid w:val="00864EF7"/>
    <w:rsid w:val="0086558F"/>
    <w:rsid w:val="008656F3"/>
    <w:rsid w:val="0086592D"/>
    <w:rsid w:val="00865F5A"/>
    <w:rsid w:val="00866278"/>
    <w:rsid w:val="00866924"/>
    <w:rsid w:val="00866B39"/>
    <w:rsid w:val="00866BDB"/>
    <w:rsid w:val="00866C15"/>
    <w:rsid w:val="008671E9"/>
    <w:rsid w:val="0086721E"/>
    <w:rsid w:val="00867368"/>
    <w:rsid w:val="0086762E"/>
    <w:rsid w:val="00867E60"/>
    <w:rsid w:val="008700BE"/>
    <w:rsid w:val="008702A6"/>
    <w:rsid w:val="00870399"/>
    <w:rsid w:val="008705BD"/>
    <w:rsid w:val="00870697"/>
    <w:rsid w:val="00870CC7"/>
    <w:rsid w:val="00870E9D"/>
    <w:rsid w:val="00870FA1"/>
    <w:rsid w:val="0087117E"/>
    <w:rsid w:val="008711EC"/>
    <w:rsid w:val="008715A2"/>
    <w:rsid w:val="008718FE"/>
    <w:rsid w:val="00872946"/>
    <w:rsid w:val="00873B7F"/>
    <w:rsid w:val="00873BA5"/>
    <w:rsid w:val="00873C00"/>
    <w:rsid w:val="00874349"/>
    <w:rsid w:val="00874601"/>
    <w:rsid w:val="00874A3E"/>
    <w:rsid w:val="00875108"/>
    <w:rsid w:val="00875333"/>
    <w:rsid w:val="00875AA0"/>
    <w:rsid w:val="00875DC8"/>
    <w:rsid w:val="00876421"/>
    <w:rsid w:val="00876DC6"/>
    <w:rsid w:val="008771CE"/>
    <w:rsid w:val="00877470"/>
    <w:rsid w:val="00877658"/>
    <w:rsid w:val="0087768B"/>
    <w:rsid w:val="00877F3E"/>
    <w:rsid w:val="0088040D"/>
    <w:rsid w:val="00880904"/>
    <w:rsid w:val="00880FB6"/>
    <w:rsid w:val="008811F1"/>
    <w:rsid w:val="00881334"/>
    <w:rsid w:val="00881876"/>
    <w:rsid w:val="00881DA8"/>
    <w:rsid w:val="00881E01"/>
    <w:rsid w:val="008828F8"/>
    <w:rsid w:val="0088296F"/>
    <w:rsid w:val="00882BEB"/>
    <w:rsid w:val="00882FC2"/>
    <w:rsid w:val="008834B4"/>
    <w:rsid w:val="008835EE"/>
    <w:rsid w:val="0088362F"/>
    <w:rsid w:val="008837C5"/>
    <w:rsid w:val="00883928"/>
    <w:rsid w:val="00883DDE"/>
    <w:rsid w:val="00883F46"/>
    <w:rsid w:val="00884D0B"/>
    <w:rsid w:val="00884D9D"/>
    <w:rsid w:val="00884E03"/>
    <w:rsid w:val="00884E2B"/>
    <w:rsid w:val="00885890"/>
    <w:rsid w:val="00885D0A"/>
    <w:rsid w:val="00886CB6"/>
    <w:rsid w:val="0088771C"/>
    <w:rsid w:val="00887A28"/>
    <w:rsid w:val="008900BC"/>
    <w:rsid w:val="008902EF"/>
    <w:rsid w:val="008903A0"/>
    <w:rsid w:val="008906C3"/>
    <w:rsid w:val="00890C5D"/>
    <w:rsid w:val="00891470"/>
    <w:rsid w:val="008914B9"/>
    <w:rsid w:val="00891D73"/>
    <w:rsid w:val="00892054"/>
    <w:rsid w:val="0089211A"/>
    <w:rsid w:val="00892395"/>
    <w:rsid w:val="00892A44"/>
    <w:rsid w:val="008931DD"/>
    <w:rsid w:val="0089352B"/>
    <w:rsid w:val="0089372A"/>
    <w:rsid w:val="00894313"/>
    <w:rsid w:val="008944C4"/>
    <w:rsid w:val="00894636"/>
    <w:rsid w:val="00894A04"/>
    <w:rsid w:val="00894DED"/>
    <w:rsid w:val="008955AC"/>
    <w:rsid w:val="00895BB3"/>
    <w:rsid w:val="00896FE4"/>
    <w:rsid w:val="00897398"/>
    <w:rsid w:val="008974B8"/>
    <w:rsid w:val="00897529"/>
    <w:rsid w:val="0089780F"/>
    <w:rsid w:val="00897AEC"/>
    <w:rsid w:val="00897F0A"/>
    <w:rsid w:val="00897FD0"/>
    <w:rsid w:val="008A0D7D"/>
    <w:rsid w:val="008A1031"/>
    <w:rsid w:val="008A12E8"/>
    <w:rsid w:val="008A1396"/>
    <w:rsid w:val="008A13ED"/>
    <w:rsid w:val="008A1409"/>
    <w:rsid w:val="008A1988"/>
    <w:rsid w:val="008A1B1A"/>
    <w:rsid w:val="008A1B9B"/>
    <w:rsid w:val="008A1CBA"/>
    <w:rsid w:val="008A21F9"/>
    <w:rsid w:val="008A2535"/>
    <w:rsid w:val="008A2561"/>
    <w:rsid w:val="008A25A1"/>
    <w:rsid w:val="008A26E4"/>
    <w:rsid w:val="008A2B88"/>
    <w:rsid w:val="008A2DE8"/>
    <w:rsid w:val="008A312D"/>
    <w:rsid w:val="008A3A16"/>
    <w:rsid w:val="008A3D4B"/>
    <w:rsid w:val="008A3E09"/>
    <w:rsid w:val="008A3E57"/>
    <w:rsid w:val="008A3F04"/>
    <w:rsid w:val="008A4647"/>
    <w:rsid w:val="008A4738"/>
    <w:rsid w:val="008A61C1"/>
    <w:rsid w:val="008A6963"/>
    <w:rsid w:val="008A6AE7"/>
    <w:rsid w:val="008A712C"/>
    <w:rsid w:val="008A734A"/>
    <w:rsid w:val="008A745C"/>
    <w:rsid w:val="008A77A7"/>
    <w:rsid w:val="008B00FA"/>
    <w:rsid w:val="008B0681"/>
    <w:rsid w:val="008B0D7D"/>
    <w:rsid w:val="008B0FFD"/>
    <w:rsid w:val="008B12F7"/>
    <w:rsid w:val="008B1A4D"/>
    <w:rsid w:val="008B2B4F"/>
    <w:rsid w:val="008B2C0F"/>
    <w:rsid w:val="008B344A"/>
    <w:rsid w:val="008B3EE8"/>
    <w:rsid w:val="008B3F34"/>
    <w:rsid w:val="008B4059"/>
    <w:rsid w:val="008B44B2"/>
    <w:rsid w:val="008B4CFD"/>
    <w:rsid w:val="008B50A2"/>
    <w:rsid w:val="008B61F1"/>
    <w:rsid w:val="008B6504"/>
    <w:rsid w:val="008B672C"/>
    <w:rsid w:val="008B67B3"/>
    <w:rsid w:val="008B6B9E"/>
    <w:rsid w:val="008B6D00"/>
    <w:rsid w:val="008B7004"/>
    <w:rsid w:val="008B79CA"/>
    <w:rsid w:val="008C01E0"/>
    <w:rsid w:val="008C0794"/>
    <w:rsid w:val="008C0B4F"/>
    <w:rsid w:val="008C10D0"/>
    <w:rsid w:val="008C1530"/>
    <w:rsid w:val="008C1648"/>
    <w:rsid w:val="008C1925"/>
    <w:rsid w:val="008C1973"/>
    <w:rsid w:val="008C1B76"/>
    <w:rsid w:val="008C1C78"/>
    <w:rsid w:val="008C1E80"/>
    <w:rsid w:val="008C1FC9"/>
    <w:rsid w:val="008C239E"/>
    <w:rsid w:val="008C2704"/>
    <w:rsid w:val="008C27C2"/>
    <w:rsid w:val="008C2DE8"/>
    <w:rsid w:val="008C2E26"/>
    <w:rsid w:val="008C2E8D"/>
    <w:rsid w:val="008C32D9"/>
    <w:rsid w:val="008C394A"/>
    <w:rsid w:val="008C401B"/>
    <w:rsid w:val="008C434D"/>
    <w:rsid w:val="008C4ABF"/>
    <w:rsid w:val="008C52BE"/>
    <w:rsid w:val="008C56B9"/>
    <w:rsid w:val="008C5750"/>
    <w:rsid w:val="008C5C35"/>
    <w:rsid w:val="008C5D16"/>
    <w:rsid w:val="008C6067"/>
    <w:rsid w:val="008C6389"/>
    <w:rsid w:val="008C6592"/>
    <w:rsid w:val="008C65F4"/>
    <w:rsid w:val="008C6640"/>
    <w:rsid w:val="008C67CD"/>
    <w:rsid w:val="008C68EA"/>
    <w:rsid w:val="008C7106"/>
    <w:rsid w:val="008C756E"/>
    <w:rsid w:val="008C789D"/>
    <w:rsid w:val="008D0535"/>
    <w:rsid w:val="008D05E0"/>
    <w:rsid w:val="008D064A"/>
    <w:rsid w:val="008D07DC"/>
    <w:rsid w:val="008D14C9"/>
    <w:rsid w:val="008D1662"/>
    <w:rsid w:val="008D1DB7"/>
    <w:rsid w:val="008D1EB9"/>
    <w:rsid w:val="008D2600"/>
    <w:rsid w:val="008D2764"/>
    <w:rsid w:val="008D2841"/>
    <w:rsid w:val="008D2DBA"/>
    <w:rsid w:val="008D33B9"/>
    <w:rsid w:val="008D3B9B"/>
    <w:rsid w:val="008D3CB7"/>
    <w:rsid w:val="008D4279"/>
    <w:rsid w:val="008D4898"/>
    <w:rsid w:val="008D49F7"/>
    <w:rsid w:val="008D4BFD"/>
    <w:rsid w:val="008D4FAE"/>
    <w:rsid w:val="008D514F"/>
    <w:rsid w:val="008D534A"/>
    <w:rsid w:val="008D53E6"/>
    <w:rsid w:val="008D6209"/>
    <w:rsid w:val="008D624B"/>
    <w:rsid w:val="008D66A6"/>
    <w:rsid w:val="008D6BE2"/>
    <w:rsid w:val="008D70BC"/>
    <w:rsid w:val="008D721C"/>
    <w:rsid w:val="008D750E"/>
    <w:rsid w:val="008D7514"/>
    <w:rsid w:val="008D77F5"/>
    <w:rsid w:val="008D78D1"/>
    <w:rsid w:val="008D7E55"/>
    <w:rsid w:val="008D7E74"/>
    <w:rsid w:val="008E0394"/>
    <w:rsid w:val="008E061C"/>
    <w:rsid w:val="008E0AC0"/>
    <w:rsid w:val="008E0D4B"/>
    <w:rsid w:val="008E0F71"/>
    <w:rsid w:val="008E18DF"/>
    <w:rsid w:val="008E2004"/>
    <w:rsid w:val="008E221A"/>
    <w:rsid w:val="008E225A"/>
    <w:rsid w:val="008E24D2"/>
    <w:rsid w:val="008E2773"/>
    <w:rsid w:val="008E283A"/>
    <w:rsid w:val="008E28D8"/>
    <w:rsid w:val="008E2B31"/>
    <w:rsid w:val="008E3634"/>
    <w:rsid w:val="008E36B7"/>
    <w:rsid w:val="008E3983"/>
    <w:rsid w:val="008E3CDE"/>
    <w:rsid w:val="008E3CED"/>
    <w:rsid w:val="008E3FFE"/>
    <w:rsid w:val="008E459E"/>
    <w:rsid w:val="008E4809"/>
    <w:rsid w:val="008E4D40"/>
    <w:rsid w:val="008E5218"/>
    <w:rsid w:val="008E5287"/>
    <w:rsid w:val="008E5817"/>
    <w:rsid w:val="008E5F8A"/>
    <w:rsid w:val="008E60BE"/>
    <w:rsid w:val="008E63C9"/>
    <w:rsid w:val="008E647E"/>
    <w:rsid w:val="008E667A"/>
    <w:rsid w:val="008E692A"/>
    <w:rsid w:val="008E6A21"/>
    <w:rsid w:val="008E6B74"/>
    <w:rsid w:val="008E6C3E"/>
    <w:rsid w:val="008E70F4"/>
    <w:rsid w:val="008E7D7B"/>
    <w:rsid w:val="008E7EAB"/>
    <w:rsid w:val="008F0FAF"/>
    <w:rsid w:val="008F147F"/>
    <w:rsid w:val="008F1567"/>
    <w:rsid w:val="008F1E1A"/>
    <w:rsid w:val="008F23C8"/>
    <w:rsid w:val="008F24FF"/>
    <w:rsid w:val="008F29EA"/>
    <w:rsid w:val="008F365E"/>
    <w:rsid w:val="008F3B5E"/>
    <w:rsid w:val="008F3F8F"/>
    <w:rsid w:val="008F4621"/>
    <w:rsid w:val="008F46CD"/>
    <w:rsid w:val="008F489A"/>
    <w:rsid w:val="008F5289"/>
    <w:rsid w:val="008F5B37"/>
    <w:rsid w:val="008F6480"/>
    <w:rsid w:val="008F691D"/>
    <w:rsid w:val="008F6B9D"/>
    <w:rsid w:val="008F7740"/>
    <w:rsid w:val="008F78E2"/>
    <w:rsid w:val="0090046D"/>
    <w:rsid w:val="00900BAC"/>
    <w:rsid w:val="00900CA2"/>
    <w:rsid w:val="00900E13"/>
    <w:rsid w:val="00900E48"/>
    <w:rsid w:val="0090107A"/>
    <w:rsid w:val="0090143A"/>
    <w:rsid w:val="00901824"/>
    <w:rsid w:val="00901AB2"/>
    <w:rsid w:val="00903033"/>
    <w:rsid w:val="009030D3"/>
    <w:rsid w:val="00903653"/>
    <w:rsid w:val="00903C87"/>
    <w:rsid w:val="00903CD7"/>
    <w:rsid w:val="0090420A"/>
    <w:rsid w:val="009047F5"/>
    <w:rsid w:val="00904CED"/>
    <w:rsid w:val="0090508C"/>
    <w:rsid w:val="00906121"/>
    <w:rsid w:val="00907147"/>
    <w:rsid w:val="00907217"/>
    <w:rsid w:val="009075BE"/>
    <w:rsid w:val="0090776D"/>
    <w:rsid w:val="00907BD3"/>
    <w:rsid w:val="00907E47"/>
    <w:rsid w:val="009100B5"/>
    <w:rsid w:val="00910A52"/>
    <w:rsid w:val="00910B37"/>
    <w:rsid w:val="00911479"/>
    <w:rsid w:val="009117FB"/>
    <w:rsid w:val="0091217A"/>
    <w:rsid w:val="009129C6"/>
    <w:rsid w:val="00912EB5"/>
    <w:rsid w:val="0091310A"/>
    <w:rsid w:val="00913B0B"/>
    <w:rsid w:val="009140AC"/>
    <w:rsid w:val="0091484D"/>
    <w:rsid w:val="00914D67"/>
    <w:rsid w:val="00914D9E"/>
    <w:rsid w:val="00914EF4"/>
    <w:rsid w:val="00914F44"/>
    <w:rsid w:val="00914F4C"/>
    <w:rsid w:val="00915473"/>
    <w:rsid w:val="00915718"/>
    <w:rsid w:val="00915E20"/>
    <w:rsid w:val="00915EEC"/>
    <w:rsid w:val="00915F9C"/>
    <w:rsid w:val="0091601D"/>
    <w:rsid w:val="009166EA"/>
    <w:rsid w:val="009166F5"/>
    <w:rsid w:val="00917073"/>
    <w:rsid w:val="009173DC"/>
    <w:rsid w:val="00917478"/>
    <w:rsid w:val="00917BDA"/>
    <w:rsid w:val="0092038D"/>
    <w:rsid w:val="009205C3"/>
    <w:rsid w:val="00920FD7"/>
    <w:rsid w:val="009217EC"/>
    <w:rsid w:val="00921C41"/>
    <w:rsid w:val="00921E96"/>
    <w:rsid w:val="009223A7"/>
    <w:rsid w:val="00922EFF"/>
    <w:rsid w:val="00923682"/>
    <w:rsid w:val="00923C81"/>
    <w:rsid w:val="00923E44"/>
    <w:rsid w:val="00924130"/>
    <w:rsid w:val="009241B3"/>
    <w:rsid w:val="0092435C"/>
    <w:rsid w:val="00924412"/>
    <w:rsid w:val="009249C6"/>
    <w:rsid w:val="009251B5"/>
    <w:rsid w:val="00925413"/>
    <w:rsid w:val="0092575D"/>
    <w:rsid w:val="0092583A"/>
    <w:rsid w:val="00925E71"/>
    <w:rsid w:val="00925F9A"/>
    <w:rsid w:val="009264B9"/>
    <w:rsid w:val="00926B85"/>
    <w:rsid w:val="009274C1"/>
    <w:rsid w:val="00927C70"/>
    <w:rsid w:val="00930745"/>
    <w:rsid w:val="0093100A"/>
    <w:rsid w:val="009310B9"/>
    <w:rsid w:val="009311DC"/>
    <w:rsid w:val="00931840"/>
    <w:rsid w:val="00931991"/>
    <w:rsid w:val="00931CB1"/>
    <w:rsid w:val="00932131"/>
    <w:rsid w:val="009324DF"/>
    <w:rsid w:val="00932768"/>
    <w:rsid w:val="00932A3E"/>
    <w:rsid w:val="00932F9F"/>
    <w:rsid w:val="00933016"/>
    <w:rsid w:val="0093329F"/>
    <w:rsid w:val="009333E2"/>
    <w:rsid w:val="009337A2"/>
    <w:rsid w:val="009337C1"/>
    <w:rsid w:val="0093411D"/>
    <w:rsid w:val="00934505"/>
    <w:rsid w:val="0093461F"/>
    <w:rsid w:val="0093482A"/>
    <w:rsid w:val="009358AD"/>
    <w:rsid w:val="00936C3C"/>
    <w:rsid w:val="00936EE8"/>
    <w:rsid w:val="00936FEF"/>
    <w:rsid w:val="00937043"/>
    <w:rsid w:val="0093767A"/>
    <w:rsid w:val="00937E99"/>
    <w:rsid w:val="00940185"/>
    <w:rsid w:val="0094095F"/>
    <w:rsid w:val="00940A2B"/>
    <w:rsid w:val="00940C40"/>
    <w:rsid w:val="00941A1E"/>
    <w:rsid w:val="00942001"/>
    <w:rsid w:val="009437DB"/>
    <w:rsid w:val="0094391C"/>
    <w:rsid w:val="00943A54"/>
    <w:rsid w:val="00943B65"/>
    <w:rsid w:val="00943E42"/>
    <w:rsid w:val="00943F97"/>
    <w:rsid w:val="009440D2"/>
    <w:rsid w:val="009445D3"/>
    <w:rsid w:val="0094478F"/>
    <w:rsid w:val="00944E43"/>
    <w:rsid w:val="00945154"/>
    <w:rsid w:val="0094542A"/>
    <w:rsid w:val="00945729"/>
    <w:rsid w:val="009458E8"/>
    <w:rsid w:val="00945973"/>
    <w:rsid w:val="00945A8F"/>
    <w:rsid w:val="00945D1D"/>
    <w:rsid w:val="00946083"/>
    <w:rsid w:val="009472F5"/>
    <w:rsid w:val="00947C70"/>
    <w:rsid w:val="00947E9D"/>
    <w:rsid w:val="0095142E"/>
    <w:rsid w:val="00951926"/>
    <w:rsid w:val="00951A4C"/>
    <w:rsid w:val="00951CD7"/>
    <w:rsid w:val="00951D42"/>
    <w:rsid w:val="00952206"/>
    <w:rsid w:val="009523B8"/>
    <w:rsid w:val="00952550"/>
    <w:rsid w:val="009525C8"/>
    <w:rsid w:val="00952797"/>
    <w:rsid w:val="00952BC2"/>
    <w:rsid w:val="009531D8"/>
    <w:rsid w:val="00953500"/>
    <w:rsid w:val="009535CC"/>
    <w:rsid w:val="00953C45"/>
    <w:rsid w:val="00953CBA"/>
    <w:rsid w:val="00954243"/>
    <w:rsid w:val="0095459A"/>
    <w:rsid w:val="009549E1"/>
    <w:rsid w:val="00954BCD"/>
    <w:rsid w:val="00955166"/>
    <w:rsid w:val="0095599E"/>
    <w:rsid w:val="00955A8A"/>
    <w:rsid w:val="009568BA"/>
    <w:rsid w:val="009568CE"/>
    <w:rsid w:val="00956F98"/>
    <w:rsid w:val="00956F9F"/>
    <w:rsid w:val="00957545"/>
    <w:rsid w:val="00957B3A"/>
    <w:rsid w:val="00957E24"/>
    <w:rsid w:val="00960405"/>
    <w:rsid w:val="009607D6"/>
    <w:rsid w:val="0096117E"/>
    <w:rsid w:val="0096167A"/>
    <w:rsid w:val="00961E49"/>
    <w:rsid w:val="0096290F"/>
    <w:rsid w:val="0096293F"/>
    <w:rsid w:val="00962B92"/>
    <w:rsid w:val="00963132"/>
    <w:rsid w:val="00963367"/>
    <w:rsid w:val="00963D3C"/>
    <w:rsid w:val="00963DD2"/>
    <w:rsid w:val="00963DE4"/>
    <w:rsid w:val="00963E75"/>
    <w:rsid w:val="0096400D"/>
    <w:rsid w:val="00964021"/>
    <w:rsid w:val="00964078"/>
    <w:rsid w:val="00964487"/>
    <w:rsid w:val="009645BC"/>
    <w:rsid w:val="0096490F"/>
    <w:rsid w:val="009653AC"/>
    <w:rsid w:val="009656D5"/>
    <w:rsid w:val="00965AB4"/>
    <w:rsid w:val="00965F5F"/>
    <w:rsid w:val="009663C8"/>
    <w:rsid w:val="00966600"/>
    <w:rsid w:val="00966A81"/>
    <w:rsid w:val="009671B2"/>
    <w:rsid w:val="009671D9"/>
    <w:rsid w:val="00967276"/>
    <w:rsid w:val="00967476"/>
    <w:rsid w:val="00967A5F"/>
    <w:rsid w:val="00967B5B"/>
    <w:rsid w:val="00967CD7"/>
    <w:rsid w:val="00967D1D"/>
    <w:rsid w:val="009700A5"/>
    <w:rsid w:val="00970359"/>
    <w:rsid w:val="0097037D"/>
    <w:rsid w:val="00970543"/>
    <w:rsid w:val="009706AA"/>
    <w:rsid w:val="009707CE"/>
    <w:rsid w:val="00970884"/>
    <w:rsid w:val="009710BE"/>
    <w:rsid w:val="00971352"/>
    <w:rsid w:val="009713FB"/>
    <w:rsid w:val="0097148C"/>
    <w:rsid w:val="00971831"/>
    <w:rsid w:val="00971841"/>
    <w:rsid w:val="00971EBB"/>
    <w:rsid w:val="009726D1"/>
    <w:rsid w:val="0097292D"/>
    <w:rsid w:val="009729B8"/>
    <w:rsid w:val="00972A8B"/>
    <w:rsid w:val="00972CCF"/>
    <w:rsid w:val="0097312B"/>
    <w:rsid w:val="00974DD3"/>
    <w:rsid w:val="00975AE8"/>
    <w:rsid w:val="00975C92"/>
    <w:rsid w:val="00975E5B"/>
    <w:rsid w:val="00975E8E"/>
    <w:rsid w:val="00975F43"/>
    <w:rsid w:val="00975F51"/>
    <w:rsid w:val="00976679"/>
    <w:rsid w:val="00976860"/>
    <w:rsid w:val="00976970"/>
    <w:rsid w:val="00976CD6"/>
    <w:rsid w:val="00976D48"/>
    <w:rsid w:val="00976F22"/>
    <w:rsid w:val="00976FF9"/>
    <w:rsid w:val="009779B1"/>
    <w:rsid w:val="009779F8"/>
    <w:rsid w:val="00977C8F"/>
    <w:rsid w:val="00977F94"/>
    <w:rsid w:val="00977FAE"/>
    <w:rsid w:val="00977FE8"/>
    <w:rsid w:val="0098025E"/>
    <w:rsid w:val="00980A1F"/>
    <w:rsid w:val="00980CDD"/>
    <w:rsid w:val="00981131"/>
    <w:rsid w:val="0098115E"/>
    <w:rsid w:val="009815DE"/>
    <w:rsid w:val="00982A83"/>
    <w:rsid w:val="00982BD1"/>
    <w:rsid w:val="00982F57"/>
    <w:rsid w:val="009832C8"/>
    <w:rsid w:val="00983326"/>
    <w:rsid w:val="0098336D"/>
    <w:rsid w:val="009836F9"/>
    <w:rsid w:val="0098418E"/>
    <w:rsid w:val="0098515D"/>
    <w:rsid w:val="00985313"/>
    <w:rsid w:val="009853B5"/>
    <w:rsid w:val="009863E9"/>
    <w:rsid w:val="0098757B"/>
    <w:rsid w:val="00987CBC"/>
    <w:rsid w:val="00987D41"/>
    <w:rsid w:val="00987E95"/>
    <w:rsid w:val="00987F75"/>
    <w:rsid w:val="0099050D"/>
    <w:rsid w:val="009905C4"/>
    <w:rsid w:val="009918FE"/>
    <w:rsid w:val="00991A04"/>
    <w:rsid w:val="00991DC9"/>
    <w:rsid w:val="00991EEC"/>
    <w:rsid w:val="00991F31"/>
    <w:rsid w:val="00991FDD"/>
    <w:rsid w:val="00992E20"/>
    <w:rsid w:val="009935DF"/>
    <w:rsid w:val="009936FC"/>
    <w:rsid w:val="00993925"/>
    <w:rsid w:val="00993977"/>
    <w:rsid w:val="00993A00"/>
    <w:rsid w:val="00993B8B"/>
    <w:rsid w:val="0099419F"/>
    <w:rsid w:val="009944BD"/>
    <w:rsid w:val="00995D8B"/>
    <w:rsid w:val="009969B5"/>
    <w:rsid w:val="00996D2E"/>
    <w:rsid w:val="00997244"/>
    <w:rsid w:val="00997BDB"/>
    <w:rsid w:val="009A05D1"/>
    <w:rsid w:val="009A0628"/>
    <w:rsid w:val="009A063D"/>
    <w:rsid w:val="009A0920"/>
    <w:rsid w:val="009A09A7"/>
    <w:rsid w:val="009A1386"/>
    <w:rsid w:val="009A1FD3"/>
    <w:rsid w:val="009A220A"/>
    <w:rsid w:val="009A28AC"/>
    <w:rsid w:val="009A2B14"/>
    <w:rsid w:val="009A319A"/>
    <w:rsid w:val="009A37D9"/>
    <w:rsid w:val="009A3A5B"/>
    <w:rsid w:val="009A3F2A"/>
    <w:rsid w:val="009A40A8"/>
    <w:rsid w:val="009A467D"/>
    <w:rsid w:val="009A48E0"/>
    <w:rsid w:val="009A4E9E"/>
    <w:rsid w:val="009A56D0"/>
    <w:rsid w:val="009A61BF"/>
    <w:rsid w:val="009A6671"/>
    <w:rsid w:val="009A6D7D"/>
    <w:rsid w:val="009A6F60"/>
    <w:rsid w:val="009A72D4"/>
    <w:rsid w:val="009A73D8"/>
    <w:rsid w:val="009A7FCB"/>
    <w:rsid w:val="009B03AF"/>
    <w:rsid w:val="009B09E7"/>
    <w:rsid w:val="009B1337"/>
    <w:rsid w:val="009B1707"/>
    <w:rsid w:val="009B187C"/>
    <w:rsid w:val="009B19C3"/>
    <w:rsid w:val="009B1BFA"/>
    <w:rsid w:val="009B1C62"/>
    <w:rsid w:val="009B1F41"/>
    <w:rsid w:val="009B2794"/>
    <w:rsid w:val="009B27D5"/>
    <w:rsid w:val="009B2AAC"/>
    <w:rsid w:val="009B2B6D"/>
    <w:rsid w:val="009B3298"/>
    <w:rsid w:val="009B3521"/>
    <w:rsid w:val="009B35C8"/>
    <w:rsid w:val="009B370B"/>
    <w:rsid w:val="009B37CF"/>
    <w:rsid w:val="009B3D5F"/>
    <w:rsid w:val="009B445A"/>
    <w:rsid w:val="009B4B94"/>
    <w:rsid w:val="009B4BEC"/>
    <w:rsid w:val="009B541C"/>
    <w:rsid w:val="009B5505"/>
    <w:rsid w:val="009B554C"/>
    <w:rsid w:val="009B5A06"/>
    <w:rsid w:val="009B6291"/>
    <w:rsid w:val="009B659F"/>
    <w:rsid w:val="009B6B8B"/>
    <w:rsid w:val="009B6E27"/>
    <w:rsid w:val="009B6FD2"/>
    <w:rsid w:val="009B706A"/>
    <w:rsid w:val="009B7404"/>
    <w:rsid w:val="009B786F"/>
    <w:rsid w:val="009B7A52"/>
    <w:rsid w:val="009C076C"/>
    <w:rsid w:val="009C14A1"/>
    <w:rsid w:val="009C14F7"/>
    <w:rsid w:val="009C1B70"/>
    <w:rsid w:val="009C3B19"/>
    <w:rsid w:val="009C3B8F"/>
    <w:rsid w:val="009C413A"/>
    <w:rsid w:val="009C4460"/>
    <w:rsid w:val="009C4671"/>
    <w:rsid w:val="009C4706"/>
    <w:rsid w:val="009C472B"/>
    <w:rsid w:val="009C5322"/>
    <w:rsid w:val="009C5345"/>
    <w:rsid w:val="009C554D"/>
    <w:rsid w:val="009C5613"/>
    <w:rsid w:val="009C5992"/>
    <w:rsid w:val="009C6210"/>
    <w:rsid w:val="009C642E"/>
    <w:rsid w:val="009C78B8"/>
    <w:rsid w:val="009D03A0"/>
    <w:rsid w:val="009D0462"/>
    <w:rsid w:val="009D05C1"/>
    <w:rsid w:val="009D1DA5"/>
    <w:rsid w:val="009D2C16"/>
    <w:rsid w:val="009D36F1"/>
    <w:rsid w:val="009D3BEF"/>
    <w:rsid w:val="009D3D6B"/>
    <w:rsid w:val="009D4166"/>
    <w:rsid w:val="009D4F56"/>
    <w:rsid w:val="009D5239"/>
    <w:rsid w:val="009D52C6"/>
    <w:rsid w:val="009D543C"/>
    <w:rsid w:val="009D5528"/>
    <w:rsid w:val="009D56A2"/>
    <w:rsid w:val="009D575F"/>
    <w:rsid w:val="009D598D"/>
    <w:rsid w:val="009D59BB"/>
    <w:rsid w:val="009D5A66"/>
    <w:rsid w:val="009D5CC0"/>
    <w:rsid w:val="009D641E"/>
    <w:rsid w:val="009D6740"/>
    <w:rsid w:val="009D6BBA"/>
    <w:rsid w:val="009D7167"/>
    <w:rsid w:val="009D7192"/>
    <w:rsid w:val="009D7223"/>
    <w:rsid w:val="009D7570"/>
    <w:rsid w:val="009D7EE8"/>
    <w:rsid w:val="009D7F6F"/>
    <w:rsid w:val="009E0E38"/>
    <w:rsid w:val="009E0F96"/>
    <w:rsid w:val="009E1243"/>
    <w:rsid w:val="009E1A35"/>
    <w:rsid w:val="009E1C5A"/>
    <w:rsid w:val="009E1DB4"/>
    <w:rsid w:val="009E2375"/>
    <w:rsid w:val="009E2B94"/>
    <w:rsid w:val="009E2D23"/>
    <w:rsid w:val="009E33D4"/>
    <w:rsid w:val="009E38A2"/>
    <w:rsid w:val="009E3EDF"/>
    <w:rsid w:val="009E4D49"/>
    <w:rsid w:val="009E5096"/>
    <w:rsid w:val="009E594C"/>
    <w:rsid w:val="009E688D"/>
    <w:rsid w:val="009E6B67"/>
    <w:rsid w:val="009E6ECF"/>
    <w:rsid w:val="009E6EEF"/>
    <w:rsid w:val="009E6F65"/>
    <w:rsid w:val="009E6FD1"/>
    <w:rsid w:val="009E7199"/>
    <w:rsid w:val="009E71EC"/>
    <w:rsid w:val="009E7969"/>
    <w:rsid w:val="009E7C3A"/>
    <w:rsid w:val="009F01BE"/>
    <w:rsid w:val="009F09AA"/>
    <w:rsid w:val="009F0AB1"/>
    <w:rsid w:val="009F0BC9"/>
    <w:rsid w:val="009F0F00"/>
    <w:rsid w:val="009F12A5"/>
    <w:rsid w:val="009F1340"/>
    <w:rsid w:val="009F1BAE"/>
    <w:rsid w:val="009F1C49"/>
    <w:rsid w:val="009F2754"/>
    <w:rsid w:val="009F2AC6"/>
    <w:rsid w:val="009F2BDB"/>
    <w:rsid w:val="009F2C16"/>
    <w:rsid w:val="009F2C1B"/>
    <w:rsid w:val="009F2DF6"/>
    <w:rsid w:val="009F2F78"/>
    <w:rsid w:val="009F2FBD"/>
    <w:rsid w:val="009F3029"/>
    <w:rsid w:val="009F335C"/>
    <w:rsid w:val="009F5039"/>
    <w:rsid w:val="009F5A14"/>
    <w:rsid w:val="009F615D"/>
    <w:rsid w:val="009F6F4B"/>
    <w:rsid w:val="009F708C"/>
    <w:rsid w:val="009F7283"/>
    <w:rsid w:val="009F7987"/>
    <w:rsid w:val="009F7FA6"/>
    <w:rsid w:val="00A002B5"/>
    <w:rsid w:val="00A0081D"/>
    <w:rsid w:val="00A00FBE"/>
    <w:rsid w:val="00A01F4A"/>
    <w:rsid w:val="00A0228A"/>
    <w:rsid w:val="00A0260C"/>
    <w:rsid w:val="00A0286B"/>
    <w:rsid w:val="00A02AFE"/>
    <w:rsid w:val="00A02EFB"/>
    <w:rsid w:val="00A0311F"/>
    <w:rsid w:val="00A0352E"/>
    <w:rsid w:val="00A03813"/>
    <w:rsid w:val="00A0407B"/>
    <w:rsid w:val="00A041B5"/>
    <w:rsid w:val="00A042E4"/>
    <w:rsid w:val="00A04E5D"/>
    <w:rsid w:val="00A04F8C"/>
    <w:rsid w:val="00A05158"/>
    <w:rsid w:val="00A053EB"/>
    <w:rsid w:val="00A05E3D"/>
    <w:rsid w:val="00A067E8"/>
    <w:rsid w:val="00A06B5D"/>
    <w:rsid w:val="00A0706E"/>
    <w:rsid w:val="00A07559"/>
    <w:rsid w:val="00A07D50"/>
    <w:rsid w:val="00A102AD"/>
    <w:rsid w:val="00A103F3"/>
    <w:rsid w:val="00A103F7"/>
    <w:rsid w:val="00A105BD"/>
    <w:rsid w:val="00A10873"/>
    <w:rsid w:val="00A10C76"/>
    <w:rsid w:val="00A11370"/>
    <w:rsid w:val="00A11627"/>
    <w:rsid w:val="00A11733"/>
    <w:rsid w:val="00A11A30"/>
    <w:rsid w:val="00A11D81"/>
    <w:rsid w:val="00A123ED"/>
    <w:rsid w:val="00A12DFB"/>
    <w:rsid w:val="00A12F05"/>
    <w:rsid w:val="00A13AD2"/>
    <w:rsid w:val="00A13BF5"/>
    <w:rsid w:val="00A1428B"/>
    <w:rsid w:val="00A1474E"/>
    <w:rsid w:val="00A14837"/>
    <w:rsid w:val="00A14857"/>
    <w:rsid w:val="00A148C1"/>
    <w:rsid w:val="00A153E2"/>
    <w:rsid w:val="00A15722"/>
    <w:rsid w:val="00A15ADD"/>
    <w:rsid w:val="00A1671F"/>
    <w:rsid w:val="00A16BA6"/>
    <w:rsid w:val="00A16F61"/>
    <w:rsid w:val="00A175DA"/>
    <w:rsid w:val="00A17E9D"/>
    <w:rsid w:val="00A2044A"/>
    <w:rsid w:val="00A20815"/>
    <w:rsid w:val="00A20BA8"/>
    <w:rsid w:val="00A2159A"/>
    <w:rsid w:val="00A216F5"/>
    <w:rsid w:val="00A21C98"/>
    <w:rsid w:val="00A21EF7"/>
    <w:rsid w:val="00A2212D"/>
    <w:rsid w:val="00A225E3"/>
    <w:rsid w:val="00A229F8"/>
    <w:rsid w:val="00A23A26"/>
    <w:rsid w:val="00A23A7A"/>
    <w:rsid w:val="00A2437A"/>
    <w:rsid w:val="00A247F4"/>
    <w:rsid w:val="00A24A8F"/>
    <w:rsid w:val="00A24F40"/>
    <w:rsid w:val="00A2568A"/>
    <w:rsid w:val="00A25708"/>
    <w:rsid w:val="00A25AB3"/>
    <w:rsid w:val="00A25BF0"/>
    <w:rsid w:val="00A25C83"/>
    <w:rsid w:val="00A25F2D"/>
    <w:rsid w:val="00A262AA"/>
    <w:rsid w:val="00A26BFA"/>
    <w:rsid w:val="00A26CA4"/>
    <w:rsid w:val="00A26EEA"/>
    <w:rsid w:val="00A277E6"/>
    <w:rsid w:val="00A278E7"/>
    <w:rsid w:val="00A2796B"/>
    <w:rsid w:val="00A300D6"/>
    <w:rsid w:val="00A3026E"/>
    <w:rsid w:val="00A30B1F"/>
    <w:rsid w:val="00A314CE"/>
    <w:rsid w:val="00A31554"/>
    <w:rsid w:val="00A315C5"/>
    <w:rsid w:val="00A3183D"/>
    <w:rsid w:val="00A31857"/>
    <w:rsid w:val="00A31918"/>
    <w:rsid w:val="00A31B60"/>
    <w:rsid w:val="00A31F0B"/>
    <w:rsid w:val="00A32042"/>
    <w:rsid w:val="00A32052"/>
    <w:rsid w:val="00A320F4"/>
    <w:rsid w:val="00A321B4"/>
    <w:rsid w:val="00A3291B"/>
    <w:rsid w:val="00A3296A"/>
    <w:rsid w:val="00A331A6"/>
    <w:rsid w:val="00A331B3"/>
    <w:rsid w:val="00A33691"/>
    <w:rsid w:val="00A336AE"/>
    <w:rsid w:val="00A33D3A"/>
    <w:rsid w:val="00A33E01"/>
    <w:rsid w:val="00A34136"/>
    <w:rsid w:val="00A368E8"/>
    <w:rsid w:val="00A36C34"/>
    <w:rsid w:val="00A371C0"/>
    <w:rsid w:val="00A3756D"/>
    <w:rsid w:val="00A376A3"/>
    <w:rsid w:val="00A37945"/>
    <w:rsid w:val="00A403A5"/>
    <w:rsid w:val="00A40884"/>
    <w:rsid w:val="00A40AD0"/>
    <w:rsid w:val="00A40AFA"/>
    <w:rsid w:val="00A40E3B"/>
    <w:rsid w:val="00A424B3"/>
    <w:rsid w:val="00A42BEA"/>
    <w:rsid w:val="00A42C12"/>
    <w:rsid w:val="00A43093"/>
    <w:rsid w:val="00A435D9"/>
    <w:rsid w:val="00A43786"/>
    <w:rsid w:val="00A43F29"/>
    <w:rsid w:val="00A43F34"/>
    <w:rsid w:val="00A45287"/>
    <w:rsid w:val="00A452DC"/>
    <w:rsid w:val="00A4576A"/>
    <w:rsid w:val="00A45AD0"/>
    <w:rsid w:val="00A45EE9"/>
    <w:rsid w:val="00A4667A"/>
    <w:rsid w:val="00A46711"/>
    <w:rsid w:val="00A46A53"/>
    <w:rsid w:val="00A46E3A"/>
    <w:rsid w:val="00A46FE8"/>
    <w:rsid w:val="00A47360"/>
    <w:rsid w:val="00A47564"/>
    <w:rsid w:val="00A47A81"/>
    <w:rsid w:val="00A47B00"/>
    <w:rsid w:val="00A47BD5"/>
    <w:rsid w:val="00A47D18"/>
    <w:rsid w:val="00A5010D"/>
    <w:rsid w:val="00A5013C"/>
    <w:rsid w:val="00A506FC"/>
    <w:rsid w:val="00A5090E"/>
    <w:rsid w:val="00A50F16"/>
    <w:rsid w:val="00A51968"/>
    <w:rsid w:val="00A522C1"/>
    <w:rsid w:val="00A5279E"/>
    <w:rsid w:val="00A5283F"/>
    <w:rsid w:val="00A529AF"/>
    <w:rsid w:val="00A52F32"/>
    <w:rsid w:val="00A5319B"/>
    <w:rsid w:val="00A53374"/>
    <w:rsid w:val="00A533AC"/>
    <w:rsid w:val="00A53774"/>
    <w:rsid w:val="00A53C14"/>
    <w:rsid w:val="00A541C2"/>
    <w:rsid w:val="00A54778"/>
    <w:rsid w:val="00A54817"/>
    <w:rsid w:val="00A5526E"/>
    <w:rsid w:val="00A56188"/>
    <w:rsid w:val="00A564C4"/>
    <w:rsid w:val="00A57127"/>
    <w:rsid w:val="00A57689"/>
    <w:rsid w:val="00A5768A"/>
    <w:rsid w:val="00A57C4B"/>
    <w:rsid w:val="00A57D48"/>
    <w:rsid w:val="00A60DDF"/>
    <w:rsid w:val="00A61058"/>
    <w:rsid w:val="00A61362"/>
    <w:rsid w:val="00A61410"/>
    <w:rsid w:val="00A6198A"/>
    <w:rsid w:val="00A62AA8"/>
    <w:rsid w:val="00A62AC3"/>
    <w:rsid w:val="00A63CF7"/>
    <w:rsid w:val="00A63E26"/>
    <w:rsid w:val="00A64536"/>
    <w:rsid w:val="00A645AA"/>
    <w:rsid w:val="00A646BF"/>
    <w:rsid w:val="00A6470D"/>
    <w:rsid w:val="00A649CF"/>
    <w:rsid w:val="00A64A75"/>
    <w:rsid w:val="00A64F58"/>
    <w:rsid w:val="00A65108"/>
    <w:rsid w:val="00A65438"/>
    <w:rsid w:val="00A65760"/>
    <w:rsid w:val="00A65D86"/>
    <w:rsid w:val="00A660BD"/>
    <w:rsid w:val="00A66140"/>
    <w:rsid w:val="00A665E6"/>
    <w:rsid w:val="00A668D0"/>
    <w:rsid w:val="00A66B1B"/>
    <w:rsid w:val="00A66C40"/>
    <w:rsid w:val="00A673E9"/>
    <w:rsid w:val="00A67FAF"/>
    <w:rsid w:val="00A7037E"/>
    <w:rsid w:val="00A705AD"/>
    <w:rsid w:val="00A7067F"/>
    <w:rsid w:val="00A706D7"/>
    <w:rsid w:val="00A70767"/>
    <w:rsid w:val="00A707A7"/>
    <w:rsid w:val="00A70D31"/>
    <w:rsid w:val="00A713C4"/>
    <w:rsid w:val="00A71790"/>
    <w:rsid w:val="00A718FD"/>
    <w:rsid w:val="00A719D9"/>
    <w:rsid w:val="00A72341"/>
    <w:rsid w:val="00A72486"/>
    <w:rsid w:val="00A728D3"/>
    <w:rsid w:val="00A739C0"/>
    <w:rsid w:val="00A73A83"/>
    <w:rsid w:val="00A73BFB"/>
    <w:rsid w:val="00A7472D"/>
    <w:rsid w:val="00A74F10"/>
    <w:rsid w:val="00A75373"/>
    <w:rsid w:val="00A75447"/>
    <w:rsid w:val="00A757E2"/>
    <w:rsid w:val="00A76125"/>
    <w:rsid w:val="00A77102"/>
    <w:rsid w:val="00A7712B"/>
    <w:rsid w:val="00A77138"/>
    <w:rsid w:val="00A7754F"/>
    <w:rsid w:val="00A776ED"/>
    <w:rsid w:val="00A77804"/>
    <w:rsid w:val="00A778AA"/>
    <w:rsid w:val="00A779C0"/>
    <w:rsid w:val="00A77AD8"/>
    <w:rsid w:val="00A77BDA"/>
    <w:rsid w:val="00A77EA2"/>
    <w:rsid w:val="00A80E50"/>
    <w:rsid w:val="00A80FEC"/>
    <w:rsid w:val="00A811B6"/>
    <w:rsid w:val="00A81279"/>
    <w:rsid w:val="00A813B1"/>
    <w:rsid w:val="00A82123"/>
    <w:rsid w:val="00A82800"/>
    <w:rsid w:val="00A83663"/>
    <w:rsid w:val="00A83741"/>
    <w:rsid w:val="00A83B0F"/>
    <w:rsid w:val="00A84216"/>
    <w:rsid w:val="00A844E8"/>
    <w:rsid w:val="00A8511A"/>
    <w:rsid w:val="00A855E0"/>
    <w:rsid w:val="00A859EC"/>
    <w:rsid w:val="00A8660A"/>
    <w:rsid w:val="00A878A1"/>
    <w:rsid w:val="00A87974"/>
    <w:rsid w:val="00A87B61"/>
    <w:rsid w:val="00A905E6"/>
    <w:rsid w:val="00A90BFA"/>
    <w:rsid w:val="00A90C89"/>
    <w:rsid w:val="00A912C2"/>
    <w:rsid w:val="00A91433"/>
    <w:rsid w:val="00A9260A"/>
    <w:rsid w:val="00A92B85"/>
    <w:rsid w:val="00A92B93"/>
    <w:rsid w:val="00A92BF3"/>
    <w:rsid w:val="00A92E53"/>
    <w:rsid w:val="00A93830"/>
    <w:rsid w:val="00A9385F"/>
    <w:rsid w:val="00A938CB"/>
    <w:rsid w:val="00A93C3E"/>
    <w:rsid w:val="00A93D82"/>
    <w:rsid w:val="00A943C8"/>
    <w:rsid w:val="00A94AB3"/>
    <w:rsid w:val="00A94FFA"/>
    <w:rsid w:val="00A950A4"/>
    <w:rsid w:val="00A9520D"/>
    <w:rsid w:val="00A9596F"/>
    <w:rsid w:val="00A95D26"/>
    <w:rsid w:val="00A95DE6"/>
    <w:rsid w:val="00A96012"/>
    <w:rsid w:val="00A96479"/>
    <w:rsid w:val="00A96588"/>
    <w:rsid w:val="00A96635"/>
    <w:rsid w:val="00A96CD7"/>
    <w:rsid w:val="00A96F9E"/>
    <w:rsid w:val="00A97026"/>
    <w:rsid w:val="00A9747D"/>
    <w:rsid w:val="00AA00A6"/>
    <w:rsid w:val="00AA02E4"/>
    <w:rsid w:val="00AA0DD0"/>
    <w:rsid w:val="00AA0FD3"/>
    <w:rsid w:val="00AA128D"/>
    <w:rsid w:val="00AA1830"/>
    <w:rsid w:val="00AA1AB1"/>
    <w:rsid w:val="00AA21BD"/>
    <w:rsid w:val="00AA24EF"/>
    <w:rsid w:val="00AA2AD2"/>
    <w:rsid w:val="00AA2B6B"/>
    <w:rsid w:val="00AA2D3D"/>
    <w:rsid w:val="00AA3206"/>
    <w:rsid w:val="00AA3922"/>
    <w:rsid w:val="00AA3DCD"/>
    <w:rsid w:val="00AA41E1"/>
    <w:rsid w:val="00AA4966"/>
    <w:rsid w:val="00AA4D18"/>
    <w:rsid w:val="00AA5029"/>
    <w:rsid w:val="00AA5053"/>
    <w:rsid w:val="00AA52B8"/>
    <w:rsid w:val="00AA5333"/>
    <w:rsid w:val="00AA5897"/>
    <w:rsid w:val="00AA5A75"/>
    <w:rsid w:val="00AA646F"/>
    <w:rsid w:val="00AA6B49"/>
    <w:rsid w:val="00AA6BA8"/>
    <w:rsid w:val="00AA6C65"/>
    <w:rsid w:val="00AA757B"/>
    <w:rsid w:val="00AA7B14"/>
    <w:rsid w:val="00AA7B5F"/>
    <w:rsid w:val="00AA7F5A"/>
    <w:rsid w:val="00AA7F87"/>
    <w:rsid w:val="00AB0111"/>
    <w:rsid w:val="00AB0410"/>
    <w:rsid w:val="00AB09A5"/>
    <w:rsid w:val="00AB09D6"/>
    <w:rsid w:val="00AB0B6B"/>
    <w:rsid w:val="00AB0F69"/>
    <w:rsid w:val="00AB1A75"/>
    <w:rsid w:val="00AB21E6"/>
    <w:rsid w:val="00AB2340"/>
    <w:rsid w:val="00AB2463"/>
    <w:rsid w:val="00AB247E"/>
    <w:rsid w:val="00AB280E"/>
    <w:rsid w:val="00AB2C3E"/>
    <w:rsid w:val="00AB31A3"/>
    <w:rsid w:val="00AB3B10"/>
    <w:rsid w:val="00AB3CFC"/>
    <w:rsid w:val="00AB3EE2"/>
    <w:rsid w:val="00AB41AE"/>
    <w:rsid w:val="00AB4851"/>
    <w:rsid w:val="00AB4F95"/>
    <w:rsid w:val="00AB553D"/>
    <w:rsid w:val="00AB55FD"/>
    <w:rsid w:val="00AB5D36"/>
    <w:rsid w:val="00AB5E23"/>
    <w:rsid w:val="00AB5F1C"/>
    <w:rsid w:val="00AB5FE4"/>
    <w:rsid w:val="00AB659D"/>
    <w:rsid w:val="00AB6713"/>
    <w:rsid w:val="00AB6998"/>
    <w:rsid w:val="00AB6BA2"/>
    <w:rsid w:val="00AB6DBE"/>
    <w:rsid w:val="00AB6F76"/>
    <w:rsid w:val="00AB738A"/>
    <w:rsid w:val="00AB7476"/>
    <w:rsid w:val="00AB7869"/>
    <w:rsid w:val="00AC026E"/>
    <w:rsid w:val="00AC0392"/>
    <w:rsid w:val="00AC0AFF"/>
    <w:rsid w:val="00AC140C"/>
    <w:rsid w:val="00AC140E"/>
    <w:rsid w:val="00AC1567"/>
    <w:rsid w:val="00AC19AD"/>
    <w:rsid w:val="00AC229F"/>
    <w:rsid w:val="00AC252A"/>
    <w:rsid w:val="00AC25C5"/>
    <w:rsid w:val="00AC2E24"/>
    <w:rsid w:val="00AC32AB"/>
    <w:rsid w:val="00AC3FC0"/>
    <w:rsid w:val="00AC426C"/>
    <w:rsid w:val="00AC43CC"/>
    <w:rsid w:val="00AC4B85"/>
    <w:rsid w:val="00AC53A9"/>
    <w:rsid w:val="00AC5417"/>
    <w:rsid w:val="00AC5A5C"/>
    <w:rsid w:val="00AC5EA5"/>
    <w:rsid w:val="00AC60CA"/>
    <w:rsid w:val="00AC6351"/>
    <w:rsid w:val="00AC6D51"/>
    <w:rsid w:val="00AC6F58"/>
    <w:rsid w:val="00AC7A58"/>
    <w:rsid w:val="00AC7B00"/>
    <w:rsid w:val="00AC7C07"/>
    <w:rsid w:val="00AC7DF7"/>
    <w:rsid w:val="00AC7E86"/>
    <w:rsid w:val="00AC7F0A"/>
    <w:rsid w:val="00AD0614"/>
    <w:rsid w:val="00AD0FB6"/>
    <w:rsid w:val="00AD1D27"/>
    <w:rsid w:val="00AD2016"/>
    <w:rsid w:val="00AD2569"/>
    <w:rsid w:val="00AD3070"/>
    <w:rsid w:val="00AD3627"/>
    <w:rsid w:val="00AD3774"/>
    <w:rsid w:val="00AD3E47"/>
    <w:rsid w:val="00AD42E0"/>
    <w:rsid w:val="00AD4A0A"/>
    <w:rsid w:val="00AD4C32"/>
    <w:rsid w:val="00AD4D54"/>
    <w:rsid w:val="00AD4E7C"/>
    <w:rsid w:val="00AD4ED8"/>
    <w:rsid w:val="00AD575C"/>
    <w:rsid w:val="00AD592D"/>
    <w:rsid w:val="00AD718F"/>
    <w:rsid w:val="00AD7671"/>
    <w:rsid w:val="00AD7D1E"/>
    <w:rsid w:val="00AD7D7B"/>
    <w:rsid w:val="00AD7DA7"/>
    <w:rsid w:val="00AE05E6"/>
    <w:rsid w:val="00AE0B30"/>
    <w:rsid w:val="00AE1109"/>
    <w:rsid w:val="00AE14A2"/>
    <w:rsid w:val="00AE1966"/>
    <w:rsid w:val="00AE1F28"/>
    <w:rsid w:val="00AE1F75"/>
    <w:rsid w:val="00AE232C"/>
    <w:rsid w:val="00AE23C9"/>
    <w:rsid w:val="00AE2997"/>
    <w:rsid w:val="00AE2A21"/>
    <w:rsid w:val="00AE2CF7"/>
    <w:rsid w:val="00AE2D0C"/>
    <w:rsid w:val="00AE365B"/>
    <w:rsid w:val="00AE3939"/>
    <w:rsid w:val="00AE3D8F"/>
    <w:rsid w:val="00AE4119"/>
    <w:rsid w:val="00AE424D"/>
    <w:rsid w:val="00AE4AAF"/>
    <w:rsid w:val="00AE4EFA"/>
    <w:rsid w:val="00AE53E8"/>
    <w:rsid w:val="00AE5B1D"/>
    <w:rsid w:val="00AE5CF6"/>
    <w:rsid w:val="00AE5E09"/>
    <w:rsid w:val="00AE60CB"/>
    <w:rsid w:val="00AE639B"/>
    <w:rsid w:val="00AE6AF7"/>
    <w:rsid w:val="00AE6FE4"/>
    <w:rsid w:val="00AE781F"/>
    <w:rsid w:val="00AE7916"/>
    <w:rsid w:val="00AE7941"/>
    <w:rsid w:val="00AF048D"/>
    <w:rsid w:val="00AF1242"/>
    <w:rsid w:val="00AF1258"/>
    <w:rsid w:val="00AF138F"/>
    <w:rsid w:val="00AF13A6"/>
    <w:rsid w:val="00AF13F9"/>
    <w:rsid w:val="00AF1D2D"/>
    <w:rsid w:val="00AF1D5C"/>
    <w:rsid w:val="00AF2059"/>
    <w:rsid w:val="00AF2186"/>
    <w:rsid w:val="00AF25EC"/>
    <w:rsid w:val="00AF2F5F"/>
    <w:rsid w:val="00AF316C"/>
    <w:rsid w:val="00AF342D"/>
    <w:rsid w:val="00AF3769"/>
    <w:rsid w:val="00AF3941"/>
    <w:rsid w:val="00AF3AF2"/>
    <w:rsid w:val="00AF3D73"/>
    <w:rsid w:val="00AF3D84"/>
    <w:rsid w:val="00AF3F29"/>
    <w:rsid w:val="00AF4161"/>
    <w:rsid w:val="00AF45BD"/>
    <w:rsid w:val="00AF464F"/>
    <w:rsid w:val="00AF5044"/>
    <w:rsid w:val="00AF580B"/>
    <w:rsid w:val="00AF5E7E"/>
    <w:rsid w:val="00AF67F9"/>
    <w:rsid w:val="00AF6B5A"/>
    <w:rsid w:val="00AF6EB0"/>
    <w:rsid w:val="00AF6F6A"/>
    <w:rsid w:val="00AF70B9"/>
    <w:rsid w:val="00AF76EA"/>
    <w:rsid w:val="00AF7ACC"/>
    <w:rsid w:val="00B00628"/>
    <w:rsid w:val="00B007C8"/>
    <w:rsid w:val="00B008AA"/>
    <w:rsid w:val="00B00A4D"/>
    <w:rsid w:val="00B00AAF"/>
    <w:rsid w:val="00B01442"/>
    <w:rsid w:val="00B015AA"/>
    <w:rsid w:val="00B02546"/>
    <w:rsid w:val="00B02B4D"/>
    <w:rsid w:val="00B02E2D"/>
    <w:rsid w:val="00B03205"/>
    <w:rsid w:val="00B03533"/>
    <w:rsid w:val="00B04059"/>
    <w:rsid w:val="00B04296"/>
    <w:rsid w:val="00B046FA"/>
    <w:rsid w:val="00B047B2"/>
    <w:rsid w:val="00B04999"/>
    <w:rsid w:val="00B04C3B"/>
    <w:rsid w:val="00B04CB5"/>
    <w:rsid w:val="00B04CE6"/>
    <w:rsid w:val="00B057A6"/>
    <w:rsid w:val="00B05F2D"/>
    <w:rsid w:val="00B060BD"/>
    <w:rsid w:val="00B0610A"/>
    <w:rsid w:val="00B06268"/>
    <w:rsid w:val="00B06602"/>
    <w:rsid w:val="00B07032"/>
    <w:rsid w:val="00B07883"/>
    <w:rsid w:val="00B1036E"/>
    <w:rsid w:val="00B10413"/>
    <w:rsid w:val="00B108BF"/>
    <w:rsid w:val="00B10A8F"/>
    <w:rsid w:val="00B10B6D"/>
    <w:rsid w:val="00B11042"/>
    <w:rsid w:val="00B11834"/>
    <w:rsid w:val="00B1224D"/>
    <w:rsid w:val="00B122CA"/>
    <w:rsid w:val="00B126AC"/>
    <w:rsid w:val="00B136E9"/>
    <w:rsid w:val="00B138D3"/>
    <w:rsid w:val="00B14410"/>
    <w:rsid w:val="00B14699"/>
    <w:rsid w:val="00B14778"/>
    <w:rsid w:val="00B14C1B"/>
    <w:rsid w:val="00B14DF7"/>
    <w:rsid w:val="00B15803"/>
    <w:rsid w:val="00B15A26"/>
    <w:rsid w:val="00B15A93"/>
    <w:rsid w:val="00B15E61"/>
    <w:rsid w:val="00B1628B"/>
    <w:rsid w:val="00B16478"/>
    <w:rsid w:val="00B169E9"/>
    <w:rsid w:val="00B16A66"/>
    <w:rsid w:val="00B16ACC"/>
    <w:rsid w:val="00B17B0C"/>
    <w:rsid w:val="00B17D1B"/>
    <w:rsid w:val="00B205C2"/>
    <w:rsid w:val="00B209A1"/>
    <w:rsid w:val="00B20EE6"/>
    <w:rsid w:val="00B20F1F"/>
    <w:rsid w:val="00B217B7"/>
    <w:rsid w:val="00B21854"/>
    <w:rsid w:val="00B22B07"/>
    <w:rsid w:val="00B22EF8"/>
    <w:rsid w:val="00B24245"/>
    <w:rsid w:val="00B2484B"/>
    <w:rsid w:val="00B2485C"/>
    <w:rsid w:val="00B24954"/>
    <w:rsid w:val="00B24F15"/>
    <w:rsid w:val="00B24F35"/>
    <w:rsid w:val="00B25AF5"/>
    <w:rsid w:val="00B25C01"/>
    <w:rsid w:val="00B25C80"/>
    <w:rsid w:val="00B25D3F"/>
    <w:rsid w:val="00B26207"/>
    <w:rsid w:val="00B26488"/>
    <w:rsid w:val="00B270E4"/>
    <w:rsid w:val="00B27CED"/>
    <w:rsid w:val="00B27D46"/>
    <w:rsid w:val="00B27F20"/>
    <w:rsid w:val="00B3024D"/>
    <w:rsid w:val="00B30CAE"/>
    <w:rsid w:val="00B30D7B"/>
    <w:rsid w:val="00B31AA4"/>
    <w:rsid w:val="00B31BA6"/>
    <w:rsid w:val="00B321F6"/>
    <w:rsid w:val="00B32219"/>
    <w:rsid w:val="00B32C88"/>
    <w:rsid w:val="00B32EE1"/>
    <w:rsid w:val="00B33080"/>
    <w:rsid w:val="00B33F2E"/>
    <w:rsid w:val="00B34249"/>
    <w:rsid w:val="00B34747"/>
    <w:rsid w:val="00B347DB"/>
    <w:rsid w:val="00B35047"/>
    <w:rsid w:val="00B35996"/>
    <w:rsid w:val="00B35D07"/>
    <w:rsid w:val="00B35D2B"/>
    <w:rsid w:val="00B36369"/>
    <w:rsid w:val="00B36F77"/>
    <w:rsid w:val="00B3714B"/>
    <w:rsid w:val="00B37848"/>
    <w:rsid w:val="00B37B0D"/>
    <w:rsid w:val="00B37D93"/>
    <w:rsid w:val="00B37FAD"/>
    <w:rsid w:val="00B409AE"/>
    <w:rsid w:val="00B4126E"/>
    <w:rsid w:val="00B42246"/>
    <w:rsid w:val="00B4256D"/>
    <w:rsid w:val="00B42AB7"/>
    <w:rsid w:val="00B42CBA"/>
    <w:rsid w:val="00B42E49"/>
    <w:rsid w:val="00B431DC"/>
    <w:rsid w:val="00B432CC"/>
    <w:rsid w:val="00B438D2"/>
    <w:rsid w:val="00B43F89"/>
    <w:rsid w:val="00B444D7"/>
    <w:rsid w:val="00B44D0B"/>
    <w:rsid w:val="00B45128"/>
    <w:rsid w:val="00B4557C"/>
    <w:rsid w:val="00B45BB6"/>
    <w:rsid w:val="00B45F40"/>
    <w:rsid w:val="00B46895"/>
    <w:rsid w:val="00B4716E"/>
    <w:rsid w:val="00B471A0"/>
    <w:rsid w:val="00B471A5"/>
    <w:rsid w:val="00B50903"/>
    <w:rsid w:val="00B5099F"/>
    <w:rsid w:val="00B509C2"/>
    <w:rsid w:val="00B50A30"/>
    <w:rsid w:val="00B50C75"/>
    <w:rsid w:val="00B51241"/>
    <w:rsid w:val="00B513E2"/>
    <w:rsid w:val="00B5150D"/>
    <w:rsid w:val="00B51AF0"/>
    <w:rsid w:val="00B51C70"/>
    <w:rsid w:val="00B51C71"/>
    <w:rsid w:val="00B522C8"/>
    <w:rsid w:val="00B523BA"/>
    <w:rsid w:val="00B52998"/>
    <w:rsid w:val="00B52FDF"/>
    <w:rsid w:val="00B5314E"/>
    <w:rsid w:val="00B53666"/>
    <w:rsid w:val="00B548B1"/>
    <w:rsid w:val="00B54CB1"/>
    <w:rsid w:val="00B55B0E"/>
    <w:rsid w:val="00B5662D"/>
    <w:rsid w:val="00B574B6"/>
    <w:rsid w:val="00B57A25"/>
    <w:rsid w:val="00B60104"/>
    <w:rsid w:val="00B60A2D"/>
    <w:rsid w:val="00B60BDA"/>
    <w:rsid w:val="00B60ECE"/>
    <w:rsid w:val="00B61D9F"/>
    <w:rsid w:val="00B6233F"/>
    <w:rsid w:val="00B62F8C"/>
    <w:rsid w:val="00B62FFE"/>
    <w:rsid w:val="00B63BD4"/>
    <w:rsid w:val="00B641CB"/>
    <w:rsid w:val="00B642AB"/>
    <w:rsid w:val="00B646F3"/>
    <w:rsid w:val="00B64821"/>
    <w:rsid w:val="00B65013"/>
    <w:rsid w:val="00B650FE"/>
    <w:rsid w:val="00B6525C"/>
    <w:rsid w:val="00B65643"/>
    <w:rsid w:val="00B65B26"/>
    <w:rsid w:val="00B66928"/>
    <w:rsid w:val="00B66F3E"/>
    <w:rsid w:val="00B66F41"/>
    <w:rsid w:val="00B671D3"/>
    <w:rsid w:val="00B700AC"/>
    <w:rsid w:val="00B7012C"/>
    <w:rsid w:val="00B708B9"/>
    <w:rsid w:val="00B70998"/>
    <w:rsid w:val="00B709A6"/>
    <w:rsid w:val="00B7123A"/>
    <w:rsid w:val="00B71346"/>
    <w:rsid w:val="00B71C21"/>
    <w:rsid w:val="00B71EDD"/>
    <w:rsid w:val="00B71EFD"/>
    <w:rsid w:val="00B72540"/>
    <w:rsid w:val="00B72AC4"/>
    <w:rsid w:val="00B72B94"/>
    <w:rsid w:val="00B72C48"/>
    <w:rsid w:val="00B739B9"/>
    <w:rsid w:val="00B74019"/>
    <w:rsid w:val="00B7435C"/>
    <w:rsid w:val="00B74477"/>
    <w:rsid w:val="00B748C1"/>
    <w:rsid w:val="00B74C1A"/>
    <w:rsid w:val="00B75493"/>
    <w:rsid w:val="00B75A6A"/>
    <w:rsid w:val="00B75C90"/>
    <w:rsid w:val="00B75EA2"/>
    <w:rsid w:val="00B76666"/>
    <w:rsid w:val="00B76F38"/>
    <w:rsid w:val="00B7753D"/>
    <w:rsid w:val="00B77633"/>
    <w:rsid w:val="00B77894"/>
    <w:rsid w:val="00B77D0E"/>
    <w:rsid w:val="00B8002A"/>
    <w:rsid w:val="00B8002F"/>
    <w:rsid w:val="00B803EA"/>
    <w:rsid w:val="00B8085D"/>
    <w:rsid w:val="00B80B24"/>
    <w:rsid w:val="00B80DF8"/>
    <w:rsid w:val="00B81482"/>
    <w:rsid w:val="00B814D7"/>
    <w:rsid w:val="00B81668"/>
    <w:rsid w:val="00B81A63"/>
    <w:rsid w:val="00B81A89"/>
    <w:rsid w:val="00B81EFF"/>
    <w:rsid w:val="00B8228E"/>
    <w:rsid w:val="00B82528"/>
    <w:rsid w:val="00B825BF"/>
    <w:rsid w:val="00B82623"/>
    <w:rsid w:val="00B82B9A"/>
    <w:rsid w:val="00B83198"/>
    <w:rsid w:val="00B831BA"/>
    <w:rsid w:val="00B836BB"/>
    <w:rsid w:val="00B83B87"/>
    <w:rsid w:val="00B83BDB"/>
    <w:rsid w:val="00B83C2D"/>
    <w:rsid w:val="00B83D77"/>
    <w:rsid w:val="00B83F8C"/>
    <w:rsid w:val="00B84033"/>
    <w:rsid w:val="00B84122"/>
    <w:rsid w:val="00B84E59"/>
    <w:rsid w:val="00B85E73"/>
    <w:rsid w:val="00B8610E"/>
    <w:rsid w:val="00B86274"/>
    <w:rsid w:val="00B862B0"/>
    <w:rsid w:val="00B86379"/>
    <w:rsid w:val="00B864FB"/>
    <w:rsid w:val="00B86939"/>
    <w:rsid w:val="00B86CD0"/>
    <w:rsid w:val="00B870D6"/>
    <w:rsid w:val="00B87198"/>
    <w:rsid w:val="00B87784"/>
    <w:rsid w:val="00B90AB6"/>
    <w:rsid w:val="00B90B94"/>
    <w:rsid w:val="00B90C65"/>
    <w:rsid w:val="00B90EBD"/>
    <w:rsid w:val="00B91D05"/>
    <w:rsid w:val="00B92043"/>
    <w:rsid w:val="00B9220C"/>
    <w:rsid w:val="00B92C62"/>
    <w:rsid w:val="00B92F80"/>
    <w:rsid w:val="00B931D1"/>
    <w:rsid w:val="00B932C1"/>
    <w:rsid w:val="00B93314"/>
    <w:rsid w:val="00B93D79"/>
    <w:rsid w:val="00B93EF6"/>
    <w:rsid w:val="00B9441D"/>
    <w:rsid w:val="00B95740"/>
    <w:rsid w:val="00B95AB9"/>
    <w:rsid w:val="00B96105"/>
    <w:rsid w:val="00B96187"/>
    <w:rsid w:val="00B97AFC"/>
    <w:rsid w:val="00B97B23"/>
    <w:rsid w:val="00B97F71"/>
    <w:rsid w:val="00BA0547"/>
    <w:rsid w:val="00BA09C2"/>
    <w:rsid w:val="00BA0A92"/>
    <w:rsid w:val="00BA0B67"/>
    <w:rsid w:val="00BA0CBF"/>
    <w:rsid w:val="00BA10BA"/>
    <w:rsid w:val="00BA1908"/>
    <w:rsid w:val="00BA214F"/>
    <w:rsid w:val="00BA2946"/>
    <w:rsid w:val="00BA2B7C"/>
    <w:rsid w:val="00BA34A6"/>
    <w:rsid w:val="00BA3629"/>
    <w:rsid w:val="00BA3B07"/>
    <w:rsid w:val="00BA3DFA"/>
    <w:rsid w:val="00BA44B0"/>
    <w:rsid w:val="00BA4775"/>
    <w:rsid w:val="00BA4A20"/>
    <w:rsid w:val="00BA53CB"/>
    <w:rsid w:val="00BA5600"/>
    <w:rsid w:val="00BA5CFF"/>
    <w:rsid w:val="00BA5F17"/>
    <w:rsid w:val="00BA6968"/>
    <w:rsid w:val="00BA7867"/>
    <w:rsid w:val="00BA79C8"/>
    <w:rsid w:val="00BA7D36"/>
    <w:rsid w:val="00BA7E70"/>
    <w:rsid w:val="00BA7FE3"/>
    <w:rsid w:val="00BB0549"/>
    <w:rsid w:val="00BB07B4"/>
    <w:rsid w:val="00BB0A31"/>
    <w:rsid w:val="00BB0A76"/>
    <w:rsid w:val="00BB0B0C"/>
    <w:rsid w:val="00BB0DAC"/>
    <w:rsid w:val="00BB1089"/>
    <w:rsid w:val="00BB1149"/>
    <w:rsid w:val="00BB127D"/>
    <w:rsid w:val="00BB142A"/>
    <w:rsid w:val="00BB2262"/>
    <w:rsid w:val="00BB2334"/>
    <w:rsid w:val="00BB29A4"/>
    <w:rsid w:val="00BB2A78"/>
    <w:rsid w:val="00BB2E12"/>
    <w:rsid w:val="00BB2E23"/>
    <w:rsid w:val="00BB2F69"/>
    <w:rsid w:val="00BB30CF"/>
    <w:rsid w:val="00BB3469"/>
    <w:rsid w:val="00BB34B9"/>
    <w:rsid w:val="00BB35C2"/>
    <w:rsid w:val="00BB3743"/>
    <w:rsid w:val="00BB383B"/>
    <w:rsid w:val="00BB3987"/>
    <w:rsid w:val="00BB3989"/>
    <w:rsid w:val="00BB3E64"/>
    <w:rsid w:val="00BB4146"/>
    <w:rsid w:val="00BB42AB"/>
    <w:rsid w:val="00BB46FF"/>
    <w:rsid w:val="00BB476E"/>
    <w:rsid w:val="00BB4841"/>
    <w:rsid w:val="00BB4DA3"/>
    <w:rsid w:val="00BB548B"/>
    <w:rsid w:val="00BB553B"/>
    <w:rsid w:val="00BB5606"/>
    <w:rsid w:val="00BB5607"/>
    <w:rsid w:val="00BB57AC"/>
    <w:rsid w:val="00BB5CAC"/>
    <w:rsid w:val="00BB5CDF"/>
    <w:rsid w:val="00BB5D9C"/>
    <w:rsid w:val="00BB6078"/>
    <w:rsid w:val="00BB6120"/>
    <w:rsid w:val="00BB7180"/>
    <w:rsid w:val="00BB71AB"/>
    <w:rsid w:val="00BB74C6"/>
    <w:rsid w:val="00BB79EE"/>
    <w:rsid w:val="00BB7FD6"/>
    <w:rsid w:val="00BC0860"/>
    <w:rsid w:val="00BC0913"/>
    <w:rsid w:val="00BC0B83"/>
    <w:rsid w:val="00BC0C0C"/>
    <w:rsid w:val="00BC12B7"/>
    <w:rsid w:val="00BC1A8B"/>
    <w:rsid w:val="00BC1B66"/>
    <w:rsid w:val="00BC1EBE"/>
    <w:rsid w:val="00BC20EB"/>
    <w:rsid w:val="00BC28D7"/>
    <w:rsid w:val="00BC376C"/>
    <w:rsid w:val="00BC3849"/>
    <w:rsid w:val="00BC3DF0"/>
    <w:rsid w:val="00BC4B0A"/>
    <w:rsid w:val="00BC4EA5"/>
    <w:rsid w:val="00BC4F7A"/>
    <w:rsid w:val="00BC55C3"/>
    <w:rsid w:val="00BC5711"/>
    <w:rsid w:val="00BC5EBC"/>
    <w:rsid w:val="00BC5F41"/>
    <w:rsid w:val="00BC6321"/>
    <w:rsid w:val="00BC7817"/>
    <w:rsid w:val="00BC7DBF"/>
    <w:rsid w:val="00BC7E51"/>
    <w:rsid w:val="00BD030E"/>
    <w:rsid w:val="00BD09B2"/>
    <w:rsid w:val="00BD0D79"/>
    <w:rsid w:val="00BD13EA"/>
    <w:rsid w:val="00BD19C5"/>
    <w:rsid w:val="00BD222E"/>
    <w:rsid w:val="00BD2676"/>
    <w:rsid w:val="00BD3001"/>
    <w:rsid w:val="00BD371B"/>
    <w:rsid w:val="00BD3819"/>
    <w:rsid w:val="00BD3BF0"/>
    <w:rsid w:val="00BD3D6B"/>
    <w:rsid w:val="00BD3D93"/>
    <w:rsid w:val="00BD4158"/>
    <w:rsid w:val="00BD45EB"/>
    <w:rsid w:val="00BD486F"/>
    <w:rsid w:val="00BD4E9F"/>
    <w:rsid w:val="00BD5272"/>
    <w:rsid w:val="00BD5766"/>
    <w:rsid w:val="00BD6173"/>
    <w:rsid w:val="00BD62C5"/>
    <w:rsid w:val="00BD642D"/>
    <w:rsid w:val="00BD6988"/>
    <w:rsid w:val="00BD6A68"/>
    <w:rsid w:val="00BD6BFF"/>
    <w:rsid w:val="00BD725D"/>
    <w:rsid w:val="00BD7474"/>
    <w:rsid w:val="00BE0190"/>
    <w:rsid w:val="00BE08DC"/>
    <w:rsid w:val="00BE0C60"/>
    <w:rsid w:val="00BE0D80"/>
    <w:rsid w:val="00BE1433"/>
    <w:rsid w:val="00BE1484"/>
    <w:rsid w:val="00BE19F0"/>
    <w:rsid w:val="00BE1A77"/>
    <w:rsid w:val="00BE1DF8"/>
    <w:rsid w:val="00BE21D3"/>
    <w:rsid w:val="00BE2911"/>
    <w:rsid w:val="00BE2C0B"/>
    <w:rsid w:val="00BE2DD1"/>
    <w:rsid w:val="00BE39E2"/>
    <w:rsid w:val="00BE3BC2"/>
    <w:rsid w:val="00BE4742"/>
    <w:rsid w:val="00BE66DA"/>
    <w:rsid w:val="00BE6772"/>
    <w:rsid w:val="00BE6F61"/>
    <w:rsid w:val="00BE7383"/>
    <w:rsid w:val="00BE754D"/>
    <w:rsid w:val="00BE7574"/>
    <w:rsid w:val="00BE76A9"/>
    <w:rsid w:val="00BE78D6"/>
    <w:rsid w:val="00BE7C1E"/>
    <w:rsid w:val="00BF0945"/>
    <w:rsid w:val="00BF124B"/>
    <w:rsid w:val="00BF1DB9"/>
    <w:rsid w:val="00BF1E3B"/>
    <w:rsid w:val="00BF2273"/>
    <w:rsid w:val="00BF3207"/>
    <w:rsid w:val="00BF3213"/>
    <w:rsid w:val="00BF360D"/>
    <w:rsid w:val="00BF3782"/>
    <w:rsid w:val="00BF47D8"/>
    <w:rsid w:val="00BF51AB"/>
    <w:rsid w:val="00BF549C"/>
    <w:rsid w:val="00BF555B"/>
    <w:rsid w:val="00BF5588"/>
    <w:rsid w:val="00BF5ABB"/>
    <w:rsid w:val="00BF5C0B"/>
    <w:rsid w:val="00BF5EF6"/>
    <w:rsid w:val="00BF6D10"/>
    <w:rsid w:val="00BF6E79"/>
    <w:rsid w:val="00BF7177"/>
    <w:rsid w:val="00BF742C"/>
    <w:rsid w:val="00BF7495"/>
    <w:rsid w:val="00BF751B"/>
    <w:rsid w:val="00BF7592"/>
    <w:rsid w:val="00BF7627"/>
    <w:rsid w:val="00C00113"/>
    <w:rsid w:val="00C002BB"/>
    <w:rsid w:val="00C002FE"/>
    <w:rsid w:val="00C00DA3"/>
    <w:rsid w:val="00C0116B"/>
    <w:rsid w:val="00C014EC"/>
    <w:rsid w:val="00C0174D"/>
    <w:rsid w:val="00C019B2"/>
    <w:rsid w:val="00C019E1"/>
    <w:rsid w:val="00C0222F"/>
    <w:rsid w:val="00C022C3"/>
    <w:rsid w:val="00C0253F"/>
    <w:rsid w:val="00C02592"/>
    <w:rsid w:val="00C02F5E"/>
    <w:rsid w:val="00C03251"/>
    <w:rsid w:val="00C03C4F"/>
    <w:rsid w:val="00C03F6C"/>
    <w:rsid w:val="00C04071"/>
    <w:rsid w:val="00C04F1B"/>
    <w:rsid w:val="00C05472"/>
    <w:rsid w:val="00C0606E"/>
    <w:rsid w:val="00C06275"/>
    <w:rsid w:val="00C06385"/>
    <w:rsid w:val="00C0737F"/>
    <w:rsid w:val="00C074E6"/>
    <w:rsid w:val="00C07564"/>
    <w:rsid w:val="00C1033B"/>
    <w:rsid w:val="00C105B5"/>
    <w:rsid w:val="00C1091D"/>
    <w:rsid w:val="00C10BDA"/>
    <w:rsid w:val="00C11253"/>
    <w:rsid w:val="00C12108"/>
    <w:rsid w:val="00C121D9"/>
    <w:rsid w:val="00C12516"/>
    <w:rsid w:val="00C1292D"/>
    <w:rsid w:val="00C12AFC"/>
    <w:rsid w:val="00C12D5F"/>
    <w:rsid w:val="00C12E14"/>
    <w:rsid w:val="00C12E70"/>
    <w:rsid w:val="00C1336F"/>
    <w:rsid w:val="00C13453"/>
    <w:rsid w:val="00C13CBB"/>
    <w:rsid w:val="00C13F24"/>
    <w:rsid w:val="00C1468F"/>
    <w:rsid w:val="00C152AD"/>
    <w:rsid w:val="00C154C0"/>
    <w:rsid w:val="00C1550C"/>
    <w:rsid w:val="00C159DF"/>
    <w:rsid w:val="00C15BDB"/>
    <w:rsid w:val="00C15C0D"/>
    <w:rsid w:val="00C161F0"/>
    <w:rsid w:val="00C16225"/>
    <w:rsid w:val="00C1646A"/>
    <w:rsid w:val="00C16908"/>
    <w:rsid w:val="00C16A18"/>
    <w:rsid w:val="00C173CD"/>
    <w:rsid w:val="00C17664"/>
    <w:rsid w:val="00C2037D"/>
    <w:rsid w:val="00C20471"/>
    <w:rsid w:val="00C2085E"/>
    <w:rsid w:val="00C20BA7"/>
    <w:rsid w:val="00C20F03"/>
    <w:rsid w:val="00C21AB3"/>
    <w:rsid w:val="00C21DB7"/>
    <w:rsid w:val="00C220F9"/>
    <w:rsid w:val="00C2223B"/>
    <w:rsid w:val="00C22424"/>
    <w:rsid w:val="00C22597"/>
    <w:rsid w:val="00C22B74"/>
    <w:rsid w:val="00C22F2F"/>
    <w:rsid w:val="00C23026"/>
    <w:rsid w:val="00C23207"/>
    <w:rsid w:val="00C237E7"/>
    <w:rsid w:val="00C23A05"/>
    <w:rsid w:val="00C23C30"/>
    <w:rsid w:val="00C23CFC"/>
    <w:rsid w:val="00C2428E"/>
    <w:rsid w:val="00C247F9"/>
    <w:rsid w:val="00C2487E"/>
    <w:rsid w:val="00C2541C"/>
    <w:rsid w:val="00C2590F"/>
    <w:rsid w:val="00C25D63"/>
    <w:rsid w:val="00C261B6"/>
    <w:rsid w:val="00C26290"/>
    <w:rsid w:val="00C26676"/>
    <w:rsid w:val="00C267D0"/>
    <w:rsid w:val="00C26862"/>
    <w:rsid w:val="00C26C97"/>
    <w:rsid w:val="00C271EB"/>
    <w:rsid w:val="00C2757D"/>
    <w:rsid w:val="00C2787E"/>
    <w:rsid w:val="00C27BF9"/>
    <w:rsid w:val="00C27C21"/>
    <w:rsid w:val="00C30458"/>
    <w:rsid w:val="00C306EA"/>
    <w:rsid w:val="00C309D0"/>
    <w:rsid w:val="00C313E0"/>
    <w:rsid w:val="00C3148F"/>
    <w:rsid w:val="00C31DA6"/>
    <w:rsid w:val="00C323D0"/>
    <w:rsid w:val="00C325E6"/>
    <w:rsid w:val="00C3285F"/>
    <w:rsid w:val="00C32AE9"/>
    <w:rsid w:val="00C3306F"/>
    <w:rsid w:val="00C33260"/>
    <w:rsid w:val="00C33612"/>
    <w:rsid w:val="00C34064"/>
    <w:rsid w:val="00C3546B"/>
    <w:rsid w:val="00C36803"/>
    <w:rsid w:val="00C37964"/>
    <w:rsid w:val="00C40385"/>
    <w:rsid w:val="00C40D0B"/>
    <w:rsid w:val="00C410A7"/>
    <w:rsid w:val="00C414B6"/>
    <w:rsid w:val="00C41750"/>
    <w:rsid w:val="00C41EA9"/>
    <w:rsid w:val="00C42403"/>
    <w:rsid w:val="00C42E31"/>
    <w:rsid w:val="00C43DB0"/>
    <w:rsid w:val="00C43EAF"/>
    <w:rsid w:val="00C44416"/>
    <w:rsid w:val="00C44543"/>
    <w:rsid w:val="00C446C5"/>
    <w:rsid w:val="00C44CC1"/>
    <w:rsid w:val="00C4598F"/>
    <w:rsid w:val="00C459C4"/>
    <w:rsid w:val="00C45AD3"/>
    <w:rsid w:val="00C45CA6"/>
    <w:rsid w:val="00C45D0B"/>
    <w:rsid w:val="00C46043"/>
    <w:rsid w:val="00C46549"/>
    <w:rsid w:val="00C46740"/>
    <w:rsid w:val="00C46A92"/>
    <w:rsid w:val="00C47334"/>
    <w:rsid w:val="00C50360"/>
    <w:rsid w:val="00C50620"/>
    <w:rsid w:val="00C51070"/>
    <w:rsid w:val="00C5125D"/>
    <w:rsid w:val="00C512D6"/>
    <w:rsid w:val="00C51347"/>
    <w:rsid w:val="00C51AD5"/>
    <w:rsid w:val="00C52403"/>
    <w:rsid w:val="00C524A4"/>
    <w:rsid w:val="00C528B2"/>
    <w:rsid w:val="00C52A1A"/>
    <w:rsid w:val="00C531BE"/>
    <w:rsid w:val="00C533D9"/>
    <w:rsid w:val="00C5363C"/>
    <w:rsid w:val="00C5446A"/>
    <w:rsid w:val="00C54E12"/>
    <w:rsid w:val="00C552ED"/>
    <w:rsid w:val="00C553F6"/>
    <w:rsid w:val="00C55468"/>
    <w:rsid w:val="00C557DA"/>
    <w:rsid w:val="00C55A6D"/>
    <w:rsid w:val="00C565E1"/>
    <w:rsid w:val="00C567D3"/>
    <w:rsid w:val="00C573B2"/>
    <w:rsid w:val="00C5742C"/>
    <w:rsid w:val="00C57D6A"/>
    <w:rsid w:val="00C60394"/>
    <w:rsid w:val="00C60532"/>
    <w:rsid w:val="00C60C53"/>
    <w:rsid w:val="00C60E5E"/>
    <w:rsid w:val="00C6131E"/>
    <w:rsid w:val="00C613C5"/>
    <w:rsid w:val="00C615F8"/>
    <w:rsid w:val="00C618F4"/>
    <w:rsid w:val="00C619A6"/>
    <w:rsid w:val="00C622C3"/>
    <w:rsid w:val="00C624FB"/>
    <w:rsid w:val="00C625F8"/>
    <w:rsid w:val="00C62A99"/>
    <w:rsid w:val="00C6370F"/>
    <w:rsid w:val="00C63BD5"/>
    <w:rsid w:val="00C6512D"/>
    <w:rsid w:val="00C65307"/>
    <w:rsid w:val="00C6586C"/>
    <w:rsid w:val="00C65986"/>
    <w:rsid w:val="00C65ABF"/>
    <w:rsid w:val="00C66EAB"/>
    <w:rsid w:val="00C6719E"/>
    <w:rsid w:val="00C67355"/>
    <w:rsid w:val="00C6776F"/>
    <w:rsid w:val="00C67AF3"/>
    <w:rsid w:val="00C70101"/>
    <w:rsid w:val="00C707D6"/>
    <w:rsid w:val="00C708ED"/>
    <w:rsid w:val="00C70BFF"/>
    <w:rsid w:val="00C70C21"/>
    <w:rsid w:val="00C7170C"/>
    <w:rsid w:val="00C73CB8"/>
    <w:rsid w:val="00C7447F"/>
    <w:rsid w:val="00C745E8"/>
    <w:rsid w:val="00C745F0"/>
    <w:rsid w:val="00C74906"/>
    <w:rsid w:val="00C74B06"/>
    <w:rsid w:val="00C75698"/>
    <w:rsid w:val="00C75B20"/>
    <w:rsid w:val="00C75B9A"/>
    <w:rsid w:val="00C7771E"/>
    <w:rsid w:val="00C80248"/>
    <w:rsid w:val="00C80CF7"/>
    <w:rsid w:val="00C81042"/>
    <w:rsid w:val="00C81147"/>
    <w:rsid w:val="00C814C9"/>
    <w:rsid w:val="00C81B40"/>
    <w:rsid w:val="00C81D8F"/>
    <w:rsid w:val="00C81D95"/>
    <w:rsid w:val="00C81EA9"/>
    <w:rsid w:val="00C81FEA"/>
    <w:rsid w:val="00C82637"/>
    <w:rsid w:val="00C82E05"/>
    <w:rsid w:val="00C83969"/>
    <w:rsid w:val="00C8396A"/>
    <w:rsid w:val="00C83994"/>
    <w:rsid w:val="00C839F6"/>
    <w:rsid w:val="00C8467D"/>
    <w:rsid w:val="00C84B58"/>
    <w:rsid w:val="00C84E20"/>
    <w:rsid w:val="00C85234"/>
    <w:rsid w:val="00C85F9C"/>
    <w:rsid w:val="00C86154"/>
    <w:rsid w:val="00C866E5"/>
    <w:rsid w:val="00C86C7D"/>
    <w:rsid w:val="00C86C95"/>
    <w:rsid w:val="00C8719E"/>
    <w:rsid w:val="00C87439"/>
    <w:rsid w:val="00C87517"/>
    <w:rsid w:val="00C875A8"/>
    <w:rsid w:val="00C8791D"/>
    <w:rsid w:val="00C90979"/>
    <w:rsid w:val="00C90C09"/>
    <w:rsid w:val="00C910EF"/>
    <w:rsid w:val="00C9253E"/>
    <w:rsid w:val="00C9287B"/>
    <w:rsid w:val="00C937D2"/>
    <w:rsid w:val="00C93915"/>
    <w:rsid w:val="00C949BF"/>
    <w:rsid w:val="00C95A0E"/>
    <w:rsid w:val="00C9624F"/>
    <w:rsid w:val="00C96628"/>
    <w:rsid w:val="00C9665D"/>
    <w:rsid w:val="00C96BD5"/>
    <w:rsid w:val="00C97209"/>
    <w:rsid w:val="00C97847"/>
    <w:rsid w:val="00C97C9C"/>
    <w:rsid w:val="00CA0088"/>
    <w:rsid w:val="00CA02BA"/>
    <w:rsid w:val="00CA05EB"/>
    <w:rsid w:val="00CA0C88"/>
    <w:rsid w:val="00CA3482"/>
    <w:rsid w:val="00CA3515"/>
    <w:rsid w:val="00CA3535"/>
    <w:rsid w:val="00CA3701"/>
    <w:rsid w:val="00CA3746"/>
    <w:rsid w:val="00CA3755"/>
    <w:rsid w:val="00CA3770"/>
    <w:rsid w:val="00CA3A05"/>
    <w:rsid w:val="00CA3CBF"/>
    <w:rsid w:val="00CA4665"/>
    <w:rsid w:val="00CA46BE"/>
    <w:rsid w:val="00CA4C2F"/>
    <w:rsid w:val="00CA50DE"/>
    <w:rsid w:val="00CA523A"/>
    <w:rsid w:val="00CA5894"/>
    <w:rsid w:val="00CA58EF"/>
    <w:rsid w:val="00CA5E9C"/>
    <w:rsid w:val="00CA62BE"/>
    <w:rsid w:val="00CA6587"/>
    <w:rsid w:val="00CA6898"/>
    <w:rsid w:val="00CA746B"/>
    <w:rsid w:val="00CA75D4"/>
    <w:rsid w:val="00CA76D9"/>
    <w:rsid w:val="00CA7D1D"/>
    <w:rsid w:val="00CA7D61"/>
    <w:rsid w:val="00CB04E2"/>
    <w:rsid w:val="00CB05A0"/>
    <w:rsid w:val="00CB08B2"/>
    <w:rsid w:val="00CB108D"/>
    <w:rsid w:val="00CB11BF"/>
    <w:rsid w:val="00CB14E9"/>
    <w:rsid w:val="00CB1B6A"/>
    <w:rsid w:val="00CB1D83"/>
    <w:rsid w:val="00CB2909"/>
    <w:rsid w:val="00CB2947"/>
    <w:rsid w:val="00CB29C2"/>
    <w:rsid w:val="00CB3CDE"/>
    <w:rsid w:val="00CB4202"/>
    <w:rsid w:val="00CB4820"/>
    <w:rsid w:val="00CB4B2C"/>
    <w:rsid w:val="00CB4D02"/>
    <w:rsid w:val="00CB4D3A"/>
    <w:rsid w:val="00CB4F70"/>
    <w:rsid w:val="00CB56CD"/>
    <w:rsid w:val="00CB573A"/>
    <w:rsid w:val="00CB60D4"/>
    <w:rsid w:val="00CB63DA"/>
    <w:rsid w:val="00CB68D9"/>
    <w:rsid w:val="00CB6D90"/>
    <w:rsid w:val="00CB6ECC"/>
    <w:rsid w:val="00CB70CD"/>
    <w:rsid w:val="00CB71CB"/>
    <w:rsid w:val="00CB72C3"/>
    <w:rsid w:val="00CB74B5"/>
    <w:rsid w:val="00CB78B7"/>
    <w:rsid w:val="00CC04F2"/>
    <w:rsid w:val="00CC05C8"/>
    <w:rsid w:val="00CC062F"/>
    <w:rsid w:val="00CC0D27"/>
    <w:rsid w:val="00CC11BE"/>
    <w:rsid w:val="00CC125C"/>
    <w:rsid w:val="00CC184A"/>
    <w:rsid w:val="00CC2163"/>
    <w:rsid w:val="00CC24B4"/>
    <w:rsid w:val="00CC29EB"/>
    <w:rsid w:val="00CC45E4"/>
    <w:rsid w:val="00CC4620"/>
    <w:rsid w:val="00CC46E0"/>
    <w:rsid w:val="00CC4BC9"/>
    <w:rsid w:val="00CC53C3"/>
    <w:rsid w:val="00CC574E"/>
    <w:rsid w:val="00CC60B7"/>
    <w:rsid w:val="00CC6345"/>
    <w:rsid w:val="00CC67EF"/>
    <w:rsid w:val="00CC6940"/>
    <w:rsid w:val="00CC722A"/>
    <w:rsid w:val="00CC726E"/>
    <w:rsid w:val="00CC77F2"/>
    <w:rsid w:val="00CC78A9"/>
    <w:rsid w:val="00CC791B"/>
    <w:rsid w:val="00CC7A56"/>
    <w:rsid w:val="00CC7D06"/>
    <w:rsid w:val="00CD019F"/>
    <w:rsid w:val="00CD0829"/>
    <w:rsid w:val="00CD0E5B"/>
    <w:rsid w:val="00CD1069"/>
    <w:rsid w:val="00CD11A5"/>
    <w:rsid w:val="00CD196B"/>
    <w:rsid w:val="00CD1E6D"/>
    <w:rsid w:val="00CD1EE7"/>
    <w:rsid w:val="00CD1EFC"/>
    <w:rsid w:val="00CD27C5"/>
    <w:rsid w:val="00CD293A"/>
    <w:rsid w:val="00CD2BC9"/>
    <w:rsid w:val="00CD3510"/>
    <w:rsid w:val="00CD37E9"/>
    <w:rsid w:val="00CD3834"/>
    <w:rsid w:val="00CD39F7"/>
    <w:rsid w:val="00CD4139"/>
    <w:rsid w:val="00CD48E6"/>
    <w:rsid w:val="00CD4F1C"/>
    <w:rsid w:val="00CD4F79"/>
    <w:rsid w:val="00CD525A"/>
    <w:rsid w:val="00CD59B3"/>
    <w:rsid w:val="00CD5ACD"/>
    <w:rsid w:val="00CD5AE5"/>
    <w:rsid w:val="00CD6468"/>
    <w:rsid w:val="00CD6577"/>
    <w:rsid w:val="00CD663A"/>
    <w:rsid w:val="00CD68C4"/>
    <w:rsid w:val="00CD6AA4"/>
    <w:rsid w:val="00CD6BAA"/>
    <w:rsid w:val="00CD72D0"/>
    <w:rsid w:val="00CD78D2"/>
    <w:rsid w:val="00CD7C03"/>
    <w:rsid w:val="00CE0766"/>
    <w:rsid w:val="00CE0CD3"/>
    <w:rsid w:val="00CE14C6"/>
    <w:rsid w:val="00CE18F3"/>
    <w:rsid w:val="00CE1AF5"/>
    <w:rsid w:val="00CE1ED4"/>
    <w:rsid w:val="00CE1F1E"/>
    <w:rsid w:val="00CE28BE"/>
    <w:rsid w:val="00CE313E"/>
    <w:rsid w:val="00CE343B"/>
    <w:rsid w:val="00CE350B"/>
    <w:rsid w:val="00CE35D1"/>
    <w:rsid w:val="00CE4169"/>
    <w:rsid w:val="00CE427F"/>
    <w:rsid w:val="00CE5256"/>
    <w:rsid w:val="00CE5336"/>
    <w:rsid w:val="00CE57A2"/>
    <w:rsid w:val="00CE5C02"/>
    <w:rsid w:val="00CE5D21"/>
    <w:rsid w:val="00CE5D72"/>
    <w:rsid w:val="00CE5DC3"/>
    <w:rsid w:val="00CE6000"/>
    <w:rsid w:val="00CE62C7"/>
    <w:rsid w:val="00CE6334"/>
    <w:rsid w:val="00CE639D"/>
    <w:rsid w:val="00CE6853"/>
    <w:rsid w:val="00CE6B40"/>
    <w:rsid w:val="00CE6EBD"/>
    <w:rsid w:val="00CE73C4"/>
    <w:rsid w:val="00CE7894"/>
    <w:rsid w:val="00CF001D"/>
    <w:rsid w:val="00CF06A1"/>
    <w:rsid w:val="00CF0906"/>
    <w:rsid w:val="00CF1467"/>
    <w:rsid w:val="00CF18E9"/>
    <w:rsid w:val="00CF1B77"/>
    <w:rsid w:val="00CF24F7"/>
    <w:rsid w:val="00CF2645"/>
    <w:rsid w:val="00CF3412"/>
    <w:rsid w:val="00CF34EE"/>
    <w:rsid w:val="00CF3532"/>
    <w:rsid w:val="00CF47E6"/>
    <w:rsid w:val="00CF48D6"/>
    <w:rsid w:val="00CF4A2F"/>
    <w:rsid w:val="00CF4D85"/>
    <w:rsid w:val="00CF5551"/>
    <w:rsid w:val="00CF5707"/>
    <w:rsid w:val="00CF57C9"/>
    <w:rsid w:val="00CF57D6"/>
    <w:rsid w:val="00CF5C3F"/>
    <w:rsid w:val="00CF6110"/>
    <w:rsid w:val="00CF6356"/>
    <w:rsid w:val="00CF6C1B"/>
    <w:rsid w:val="00CF72E0"/>
    <w:rsid w:val="00CF75AB"/>
    <w:rsid w:val="00CF7E8B"/>
    <w:rsid w:val="00D0004E"/>
    <w:rsid w:val="00D015CB"/>
    <w:rsid w:val="00D019D5"/>
    <w:rsid w:val="00D02182"/>
    <w:rsid w:val="00D02224"/>
    <w:rsid w:val="00D02647"/>
    <w:rsid w:val="00D0272C"/>
    <w:rsid w:val="00D0285A"/>
    <w:rsid w:val="00D02EBF"/>
    <w:rsid w:val="00D02FEC"/>
    <w:rsid w:val="00D03C6B"/>
    <w:rsid w:val="00D03D62"/>
    <w:rsid w:val="00D03E5F"/>
    <w:rsid w:val="00D040FE"/>
    <w:rsid w:val="00D0412E"/>
    <w:rsid w:val="00D043C3"/>
    <w:rsid w:val="00D04417"/>
    <w:rsid w:val="00D047A2"/>
    <w:rsid w:val="00D047DE"/>
    <w:rsid w:val="00D04962"/>
    <w:rsid w:val="00D04ED4"/>
    <w:rsid w:val="00D05AA7"/>
    <w:rsid w:val="00D05B28"/>
    <w:rsid w:val="00D05FA0"/>
    <w:rsid w:val="00D06377"/>
    <w:rsid w:val="00D063D0"/>
    <w:rsid w:val="00D068CB"/>
    <w:rsid w:val="00D06EC1"/>
    <w:rsid w:val="00D0728A"/>
    <w:rsid w:val="00D07E57"/>
    <w:rsid w:val="00D1012B"/>
    <w:rsid w:val="00D1029C"/>
    <w:rsid w:val="00D104A3"/>
    <w:rsid w:val="00D1115E"/>
    <w:rsid w:val="00D114A0"/>
    <w:rsid w:val="00D118D5"/>
    <w:rsid w:val="00D12CFF"/>
    <w:rsid w:val="00D12D8A"/>
    <w:rsid w:val="00D12DF6"/>
    <w:rsid w:val="00D1322A"/>
    <w:rsid w:val="00D13999"/>
    <w:rsid w:val="00D139F5"/>
    <w:rsid w:val="00D13A70"/>
    <w:rsid w:val="00D14E89"/>
    <w:rsid w:val="00D14EA4"/>
    <w:rsid w:val="00D1544D"/>
    <w:rsid w:val="00D1594E"/>
    <w:rsid w:val="00D159BF"/>
    <w:rsid w:val="00D162E2"/>
    <w:rsid w:val="00D1668F"/>
    <w:rsid w:val="00D167D0"/>
    <w:rsid w:val="00D168BF"/>
    <w:rsid w:val="00D168FD"/>
    <w:rsid w:val="00D16F64"/>
    <w:rsid w:val="00D17052"/>
    <w:rsid w:val="00D174BE"/>
    <w:rsid w:val="00D17A92"/>
    <w:rsid w:val="00D20268"/>
    <w:rsid w:val="00D20664"/>
    <w:rsid w:val="00D207F2"/>
    <w:rsid w:val="00D212EB"/>
    <w:rsid w:val="00D21F17"/>
    <w:rsid w:val="00D22F05"/>
    <w:rsid w:val="00D230A7"/>
    <w:rsid w:val="00D233DE"/>
    <w:rsid w:val="00D23AC3"/>
    <w:rsid w:val="00D23D4C"/>
    <w:rsid w:val="00D23F8E"/>
    <w:rsid w:val="00D246A4"/>
    <w:rsid w:val="00D2472C"/>
    <w:rsid w:val="00D24BE0"/>
    <w:rsid w:val="00D24DF9"/>
    <w:rsid w:val="00D2533B"/>
    <w:rsid w:val="00D25590"/>
    <w:rsid w:val="00D2685A"/>
    <w:rsid w:val="00D268C3"/>
    <w:rsid w:val="00D26C02"/>
    <w:rsid w:val="00D2756A"/>
    <w:rsid w:val="00D279BA"/>
    <w:rsid w:val="00D27EEC"/>
    <w:rsid w:val="00D30D7A"/>
    <w:rsid w:val="00D310EC"/>
    <w:rsid w:val="00D311EA"/>
    <w:rsid w:val="00D31835"/>
    <w:rsid w:val="00D31ACE"/>
    <w:rsid w:val="00D31BB1"/>
    <w:rsid w:val="00D31E91"/>
    <w:rsid w:val="00D320D0"/>
    <w:rsid w:val="00D32148"/>
    <w:rsid w:val="00D3217D"/>
    <w:rsid w:val="00D325E1"/>
    <w:rsid w:val="00D3284D"/>
    <w:rsid w:val="00D329F4"/>
    <w:rsid w:val="00D32BD3"/>
    <w:rsid w:val="00D334A4"/>
    <w:rsid w:val="00D334D0"/>
    <w:rsid w:val="00D33BB0"/>
    <w:rsid w:val="00D34303"/>
    <w:rsid w:val="00D34413"/>
    <w:rsid w:val="00D345D3"/>
    <w:rsid w:val="00D34705"/>
    <w:rsid w:val="00D34E7B"/>
    <w:rsid w:val="00D35491"/>
    <w:rsid w:val="00D361BB"/>
    <w:rsid w:val="00D36754"/>
    <w:rsid w:val="00D36FE5"/>
    <w:rsid w:val="00D3779A"/>
    <w:rsid w:val="00D37997"/>
    <w:rsid w:val="00D40026"/>
    <w:rsid w:val="00D402C4"/>
    <w:rsid w:val="00D404B5"/>
    <w:rsid w:val="00D40864"/>
    <w:rsid w:val="00D4206C"/>
    <w:rsid w:val="00D422C4"/>
    <w:rsid w:val="00D423C6"/>
    <w:rsid w:val="00D42C56"/>
    <w:rsid w:val="00D43417"/>
    <w:rsid w:val="00D434DB"/>
    <w:rsid w:val="00D43C27"/>
    <w:rsid w:val="00D43D8B"/>
    <w:rsid w:val="00D43F74"/>
    <w:rsid w:val="00D43FDC"/>
    <w:rsid w:val="00D445B9"/>
    <w:rsid w:val="00D447CB"/>
    <w:rsid w:val="00D44943"/>
    <w:rsid w:val="00D449BA"/>
    <w:rsid w:val="00D4545C"/>
    <w:rsid w:val="00D4636F"/>
    <w:rsid w:val="00D46D2B"/>
    <w:rsid w:val="00D475F4"/>
    <w:rsid w:val="00D4790D"/>
    <w:rsid w:val="00D479A0"/>
    <w:rsid w:val="00D47A3B"/>
    <w:rsid w:val="00D47D16"/>
    <w:rsid w:val="00D47E15"/>
    <w:rsid w:val="00D47E6C"/>
    <w:rsid w:val="00D502F0"/>
    <w:rsid w:val="00D5039B"/>
    <w:rsid w:val="00D505F4"/>
    <w:rsid w:val="00D50FF7"/>
    <w:rsid w:val="00D511C9"/>
    <w:rsid w:val="00D518B9"/>
    <w:rsid w:val="00D51CE1"/>
    <w:rsid w:val="00D51EED"/>
    <w:rsid w:val="00D52132"/>
    <w:rsid w:val="00D52695"/>
    <w:rsid w:val="00D53E9B"/>
    <w:rsid w:val="00D546B7"/>
    <w:rsid w:val="00D5470D"/>
    <w:rsid w:val="00D54D1C"/>
    <w:rsid w:val="00D54DC4"/>
    <w:rsid w:val="00D55250"/>
    <w:rsid w:val="00D55369"/>
    <w:rsid w:val="00D5579E"/>
    <w:rsid w:val="00D557F5"/>
    <w:rsid w:val="00D55D76"/>
    <w:rsid w:val="00D562F2"/>
    <w:rsid w:val="00D56386"/>
    <w:rsid w:val="00D567A8"/>
    <w:rsid w:val="00D56955"/>
    <w:rsid w:val="00D56960"/>
    <w:rsid w:val="00D56ABA"/>
    <w:rsid w:val="00D56F5A"/>
    <w:rsid w:val="00D56FE3"/>
    <w:rsid w:val="00D57120"/>
    <w:rsid w:val="00D576A0"/>
    <w:rsid w:val="00D5797C"/>
    <w:rsid w:val="00D579FA"/>
    <w:rsid w:val="00D57D9E"/>
    <w:rsid w:val="00D60A2A"/>
    <w:rsid w:val="00D60CAA"/>
    <w:rsid w:val="00D61858"/>
    <w:rsid w:val="00D61966"/>
    <w:rsid w:val="00D61A8F"/>
    <w:rsid w:val="00D61B59"/>
    <w:rsid w:val="00D61B8D"/>
    <w:rsid w:val="00D61B93"/>
    <w:rsid w:val="00D622C8"/>
    <w:rsid w:val="00D62ADB"/>
    <w:rsid w:val="00D62D31"/>
    <w:rsid w:val="00D64721"/>
    <w:rsid w:val="00D651AD"/>
    <w:rsid w:val="00D6580F"/>
    <w:rsid w:val="00D65D87"/>
    <w:rsid w:val="00D66A15"/>
    <w:rsid w:val="00D673BA"/>
    <w:rsid w:val="00D67B9E"/>
    <w:rsid w:val="00D67E4A"/>
    <w:rsid w:val="00D70070"/>
    <w:rsid w:val="00D702A6"/>
    <w:rsid w:val="00D7031C"/>
    <w:rsid w:val="00D704FE"/>
    <w:rsid w:val="00D71D0B"/>
    <w:rsid w:val="00D72560"/>
    <w:rsid w:val="00D72E74"/>
    <w:rsid w:val="00D73229"/>
    <w:rsid w:val="00D732AA"/>
    <w:rsid w:val="00D73C01"/>
    <w:rsid w:val="00D74164"/>
    <w:rsid w:val="00D74181"/>
    <w:rsid w:val="00D74357"/>
    <w:rsid w:val="00D7517E"/>
    <w:rsid w:val="00D759AC"/>
    <w:rsid w:val="00D75A2B"/>
    <w:rsid w:val="00D7616B"/>
    <w:rsid w:val="00D761BF"/>
    <w:rsid w:val="00D76236"/>
    <w:rsid w:val="00D763FD"/>
    <w:rsid w:val="00D766FD"/>
    <w:rsid w:val="00D7670F"/>
    <w:rsid w:val="00D76AB5"/>
    <w:rsid w:val="00D76DB6"/>
    <w:rsid w:val="00D76F89"/>
    <w:rsid w:val="00D80C31"/>
    <w:rsid w:val="00D80DD2"/>
    <w:rsid w:val="00D81A7A"/>
    <w:rsid w:val="00D8270F"/>
    <w:rsid w:val="00D82DA0"/>
    <w:rsid w:val="00D83672"/>
    <w:rsid w:val="00D8383C"/>
    <w:rsid w:val="00D84461"/>
    <w:rsid w:val="00D845E2"/>
    <w:rsid w:val="00D84691"/>
    <w:rsid w:val="00D84738"/>
    <w:rsid w:val="00D84D3A"/>
    <w:rsid w:val="00D84D63"/>
    <w:rsid w:val="00D84E00"/>
    <w:rsid w:val="00D856E8"/>
    <w:rsid w:val="00D858C5"/>
    <w:rsid w:val="00D860A6"/>
    <w:rsid w:val="00D862FF"/>
    <w:rsid w:val="00D86663"/>
    <w:rsid w:val="00D8670D"/>
    <w:rsid w:val="00D86888"/>
    <w:rsid w:val="00D86F7D"/>
    <w:rsid w:val="00D86FEE"/>
    <w:rsid w:val="00D870B7"/>
    <w:rsid w:val="00D87B36"/>
    <w:rsid w:val="00D87EEB"/>
    <w:rsid w:val="00D9045F"/>
    <w:rsid w:val="00D90AD1"/>
    <w:rsid w:val="00D90CE4"/>
    <w:rsid w:val="00D91171"/>
    <w:rsid w:val="00D912C0"/>
    <w:rsid w:val="00D91365"/>
    <w:rsid w:val="00D915F6"/>
    <w:rsid w:val="00D917F2"/>
    <w:rsid w:val="00D91E92"/>
    <w:rsid w:val="00D91FD9"/>
    <w:rsid w:val="00D92622"/>
    <w:rsid w:val="00D92896"/>
    <w:rsid w:val="00D92B54"/>
    <w:rsid w:val="00D93792"/>
    <w:rsid w:val="00D941F7"/>
    <w:rsid w:val="00D942B8"/>
    <w:rsid w:val="00D948FA"/>
    <w:rsid w:val="00D9512D"/>
    <w:rsid w:val="00D95547"/>
    <w:rsid w:val="00D9583E"/>
    <w:rsid w:val="00D96D3D"/>
    <w:rsid w:val="00D9702F"/>
    <w:rsid w:val="00D9704A"/>
    <w:rsid w:val="00D97409"/>
    <w:rsid w:val="00D9769A"/>
    <w:rsid w:val="00D97D97"/>
    <w:rsid w:val="00D97EC6"/>
    <w:rsid w:val="00DA047F"/>
    <w:rsid w:val="00DA069D"/>
    <w:rsid w:val="00DA07A5"/>
    <w:rsid w:val="00DA0E88"/>
    <w:rsid w:val="00DA107F"/>
    <w:rsid w:val="00DA1384"/>
    <w:rsid w:val="00DA13CF"/>
    <w:rsid w:val="00DA1492"/>
    <w:rsid w:val="00DA1565"/>
    <w:rsid w:val="00DA1E08"/>
    <w:rsid w:val="00DA20AB"/>
    <w:rsid w:val="00DA2210"/>
    <w:rsid w:val="00DA23E0"/>
    <w:rsid w:val="00DA2510"/>
    <w:rsid w:val="00DA26C3"/>
    <w:rsid w:val="00DA2D5D"/>
    <w:rsid w:val="00DA2EC6"/>
    <w:rsid w:val="00DA352B"/>
    <w:rsid w:val="00DA3D72"/>
    <w:rsid w:val="00DA3F2E"/>
    <w:rsid w:val="00DA45B8"/>
    <w:rsid w:val="00DA4B81"/>
    <w:rsid w:val="00DA4DDF"/>
    <w:rsid w:val="00DA57E3"/>
    <w:rsid w:val="00DA5BD5"/>
    <w:rsid w:val="00DA5F67"/>
    <w:rsid w:val="00DA6081"/>
    <w:rsid w:val="00DA66ED"/>
    <w:rsid w:val="00DB0804"/>
    <w:rsid w:val="00DB0891"/>
    <w:rsid w:val="00DB0EC0"/>
    <w:rsid w:val="00DB1069"/>
    <w:rsid w:val="00DB18D6"/>
    <w:rsid w:val="00DB1B11"/>
    <w:rsid w:val="00DB1C2E"/>
    <w:rsid w:val="00DB1D21"/>
    <w:rsid w:val="00DB2041"/>
    <w:rsid w:val="00DB23D6"/>
    <w:rsid w:val="00DB2CF8"/>
    <w:rsid w:val="00DB2FC4"/>
    <w:rsid w:val="00DB3557"/>
    <w:rsid w:val="00DB3A88"/>
    <w:rsid w:val="00DB3BD4"/>
    <w:rsid w:val="00DB4020"/>
    <w:rsid w:val="00DB40AD"/>
    <w:rsid w:val="00DB482D"/>
    <w:rsid w:val="00DB48E2"/>
    <w:rsid w:val="00DB5026"/>
    <w:rsid w:val="00DB52BF"/>
    <w:rsid w:val="00DB532C"/>
    <w:rsid w:val="00DB5BED"/>
    <w:rsid w:val="00DB5D08"/>
    <w:rsid w:val="00DB5ED6"/>
    <w:rsid w:val="00DB68DF"/>
    <w:rsid w:val="00DB6ED6"/>
    <w:rsid w:val="00DB6F39"/>
    <w:rsid w:val="00DB7317"/>
    <w:rsid w:val="00DB7F5A"/>
    <w:rsid w:val="00DC0BE0"/>
    <w:rsid w:val="00DC13B4"/>
    <w:rsid w:val="00DC1654"/>
    <w:rsid w:val="00DC1C0B"/>
    <w:rsid w:val="00DC1D98"/>
    <w:rsid w:val="00DC1FE0"/>
    <w:rsid w:val="00DC2AAC"/>
    <w:rsid w:val="00DC2C35"/>
    <w:rsid w:val="00DC366B"/>
    <w:rsid w:val="00DC382A"/>
    <w:rsid w:val="00DC44BA"/>
    <w:rsid w:val="00DC4955"/>
    <w:rsid w:val="00DC4FF3"/>
    <w:rsid w:val="00DC54F0"/>
    <w:rsid w:val="00DC6189"/>
    <w:rsid w:val="00DC6424"/>
    <w:rsid w:val="00DC64D5"/>
    <w:rsid w:val="00DC6716"/>
    <w:rsid w:val="00DC6844"/>
    <w:rsid w:val="00DC6B49"/>
    <w:rsid w:val="00DC70D5"/>
    <w:rsid w:val="00DC75A2"/>
    <w:rsid w:val="00DC776B"/>
    <w:rsid w:val="00DC7F72"/>
    <w:rsid w:val="00DD004C"/>
    <w:rsid w:val="00DD0512"/>
    <w:rsid w:val="00DD069C"/>
    <w:rsid w:val="00DD0B22"/>
    <w:rsid w:val="00DD0C58"/>
    <w:rsid w:val="00DD1A72"/>
    <w:rsid w:val="00DD1E04"/>
    <w:rsid w:val="00DD2184"/>
    <w:rsid w:val="00DD2C87"/>
    <w:rsid w:val="00DD2F2E"/>
    <w:rsid w:val="00DD2F99"/>
    <w:rsid w:val="00DD337C"/>
    <w:rsid w:val="00DD37F2"/>
    <w:rsid w:val="00DD4128"/>
    <w:rsid w:val="00DD48BA"/>
    <w:rsid w:val="00DD51B4"/>
    <w:rsid w:val="00DD5216"/>
    <w:rsid w:val="00DD5382"/>
    <w:rsid w:val="00DD54E7"/>
    <w:rsid w:val="00DD5947"/>
    <w:rsid w:val="00DD60A9"/>
    <w:rsid w:val="00DD6254"/>
    <w:rsid w:val="00DD6B51"/>
    <w:rsid w:val="00DD6CE5"/>
    <w:rsid w:val="00DD6D5A"/>
    <w:rsid w:val="00DD73FA"/>
    <w:rsid w:val="00DE0018"/>
    <w:rsid w:val="00DE09ED"/>
    <w:rsid w:val="00DE0ABB"/>
    <w:rsid w:val="00DE0DA7"/>
    <w:rsid w:val="00DE0DF8"/>
    <w:rsid w:val="00DE1012"/>
    <w:rsid w:val="00DE1075"/>
    <w:rsid w:val="00DE14CC"/>
    <w:rsid w:val="00DE15E9"/>
    <w:rsid w:val="00DE1828"/>
    <w:rsid w:val="00DE1923"/>
    <w:rsid w:val="00DE1AFD"/>
    <w:rsid w:val="00DE1BD5"/>
    <w:rsid w:val="00DE1D08"/>
    <w:rsid w:val="00DE1D56"/>
    <w:rsid w:val="00DE1FC0"/>
    <w:rsid w:val="00DE22B5"/>
    <w:rsid w:val="00DE235E"/>
    <w:rsid w:val="00DE29A2"/>
    <w:rsid w:val="00DE2B33"/>
    <w:rsid w:val="00DE2BA4"/>
    <w:rsid w:val="00DE2C80"/>
    <w:rsid w:val="00DE3561"/>
    <w:rsid w:val="00DE360C"/>
    <w:rsid w:val="00DE3988"/>
    <w:rsid w:val="00DE3E4D"/>
    <w:rsid w:val="00DE3FA2"/>
    <w:rsid w:val="00DE4131"/>
    <w:rsid w:val="00DE433C"/>
    <w:rsid w:val="00DE434C"/>
    <w:rsid w:val="00DE4532"/>
    <w:rsid w:val="00DE506E"/>
    <w:rsid w:val="00DE5536"/>
    <w:rsid w:val="00DE55AE"/>
    <w:rsid w:val="00DE5AA1"/>
    <w:rsid w:val="00DE5C2D"/>
    <w:rsid w:val="00DE5CC7"/>
    <w:rsid w:val="00DE5D11"/>
    <w:rsid w:val="00DE61D1"/>
    <w:rsid w:val="00DE638B"/>
    <w:rsid w:val="00DE65C9"/>
    <w:rsid w:val="00DE6919"/>
    <w:rsid w:val="00DE6DB6"/>
    <w:rsid w:val="00DE72EE"/>
    <w:rsid w:val="00DE7481"/>
    <w:rsid w:val="00DE75BE"/>
    <w:rsid w:val="00DE7E67"/>
    <w:rsid w:val="00DF050C"/>
    <w:rsid w:val="00DF07D2"/>
    <w:rsid w:val="00DF0AA0"/>
    <w:rsid w:val="00DF0ADF"/>
    <w:rsid w:val="00DF0B03"/>
    <w:rsid w:val="00DF0FFD"/>
    <w:rsid w:val="00DF23CF"/>
    <w:rsid w:val="00DF26B7"/>
    <w:rsid w:val="00DF29E7"/>
    <w:rsid w:val="00DF2BC4"/>
    <w:rsid w:val="00DF2C7F"/>
    <w:rsid w:val="00DF37E5"/>
    <w:rsid w:val="00DF3895"/>
    <w:rsid w:val="00DF4208"/>
    <w:rsid w:val="00DF42C4"/>
    <w:rsid w:val="00DF51AE"/>
    <w:rsid w:val="00DF558C"/>
    <w:rsid w:val="00DF5923"/>
    <w:rsid w:val="00DF6C06"/>
    <w:rsid w:val="00DF6EA2"/>
    <w:rsid w:val="00DF71DE"/>
    <w:rsid w:val="00DF7555"/>
    <w:rsid w:val="00DF7603"/>
    <w:rsid w:val="00DF77A5"/>
    <w:rsid w:val="00E0048E"/>
    <w:rsid w:val="00E004B8"/>
    <w:rsid w:val="00E009F0"/>
    <w:rsid w:val="00E01AF7"/>
    <w:rsid w:val="00E01D70"/>
    <w:rsid w:val="00E0265F"/>
    <w:rsid w:val="00E034FE"/>
    <w:rsid w:val="00E03709"/>
    <w:rsid w:val="00E0397B"/>
    <w:rsid w:val="00E03C4D"/>
    <w:rsid w:val="00E041E5"/>
    <w:rsid w:val="00E04287"/>
    <w:rsid w:val="00E04812"/>
    <w:rsid w:val="00E04888"/>
    <w:rsid w:val="00E04DEF"/>
    <w:rsid w:val="00E0525D"/>
    <w:rsid w:val="00E053DD"/>
    <w:rsid w:val="00E05F1B"/>
    <w:rsid w:val="00E06383"/>
    <w:rsid w:val="00E0639F"/>
    <w:rsid w:val="00E0696D"/>
    <w:rsid w:val="00E06D0B"/>
    <w:rsid w:val="00E07530"/>
    <w:rsid w:val="00E0763B"/>
    <w:rsid w:val="00E0796A"/>
    <w:rsid w:val="00E07CAC"/>
    <w:rsid w:val="00E10302"/>
    <w:rsid w:val="00E107D9"/>
    <w:rsid w:val="00E10F33"/>
    <w:rsid w:val="00E11380"/>
    <w:rsid w:val="00E118E6"/>
    <w:rsid w:val="00E1195F"/>
    <w:rsid w:val="00E11DCF"/>
    <w:rsid w:val="00E11E76"/>
    <w:rsid w:val="00E1223F"/>
    <w:rsid w:val="00E1258A"/>
    <w:rsid w:val="00E129AB"/>
    <w:rsid w:val="00E12E6D"/>
    <w:rsid w:val="00E133A7"/>
    <w:rsid w:val="00E133D1"/>
    <w:rsid w:val="00E13A49"/>
    <w:rsid w:val="00E13D25"/>
    <w:rsid w:val="00E15096"/>
    <w:rsid w:val="00E1651D"/>
    <w:rsid w:val="00E16AEA"/>
    <w:rsid w:val="00E16C0E"/>
    <w:rsid w:val="00E16C82"/>
    <w:rsid w:val="00E17EC5"/>
    <w:rsid w:val="00E2009D"/>
    <w:rsid w:val="00E20155"/>
    <w:rsid w:val="00E203B0"/>
    <w:rsid w:val="00E2074D"/>
    <w:rsid w:val="00E208B6"/>
    <w:rsid w:val="00E209FB"/>
    <w:rsid w:val="00E20ADE"/>
    <w:rsid w:val="00E2124E"/>
    <w:rsid w:val="00E21AD1"/>
    <w:rsid w:val="00E21B7B"/>
    <w:rsid w:val="00E21CD2"/>
    <w:rsid w:val="00E21F2D"/>
    <w:rsid w:val="00E23147"/>
    <w:rsid w:val="00E23381"/>
    <w:rsid w:val="00E23FD8"/>
    <w:rsid w:val="00E241BE"/>
    <w:rsid w:val="00E2471F"/>
    <w:rsid w:val="00E24EC1"/>
    <w:rsid w:val="00E255DF"/>
    <w:rsid w:val="00E262E0"/>
    <w:rsid w:val="00E26545"/>
    <w:rsid w:val="00E26A41"/>
    <w:rsid w:val="00E26BFD"/>
    <w:rsid w:val="00E26C55"/>
    <w:rsid w:val="00E26E5C"/>
    <w:rsid w:val="00E2727A"/>
    <w:rsid w:val="00E27E90"/>
    <w:rsid w:val="00E30136"/>
    <w:rsid w:val="00E301F2"/>
    <w:rsid w:val="00E30D8A"/>
    <w:rsid w:val="00E32077"/>
    <w:rsid w:val="00E326BF"/>
    <w:rsid w:val="00E328A7"/>
    <w:rsid w:val="00E32A4F"/>
    <w:rsid w:val="00E32CB9"/>
    <w:rsid w:val="00E32CBA"/>
    <w:rsid w:val="00E32CF3"/>
    <w:rsid w:val="00E32E5A"/>
    <w:rsid w:val="00E3307F"/>
    <w:rsid w:val="00E332B4"/>
    <w:rsid w:val="00E33601"/>
    <w:rsid w:val="00E336AB"/>
    <w:rsid w:val="00E336C8"/>
    <w:rsid w:val="00E336EA"/>
    <w:rsid w:val="00E337B6"/>
    <w:rsid w:val="00E33C83"/>
    <w:rsid w:val="00E33D02"/>
    <w:rsid w:val="00E34970"/>
    <w:rsid w:val="00E34F2C"/>
    <w:rsid w:val="00E34FAD"/>
    <w:rsid w:val="00E3534E"/>
    <w:rsid w:val="00E35AC2"/>
    <w:rsid w:val="00E35D2F"/>
    <w:rsid w:val="00E35D79"/>
    <w:rsid w:val="00E35E6A"/>
    <w:rsid w:val="00E36496"/>
    <w:rsid w:val="00E36A2A"/>
    <w:rsid w:val="00E3724A"/>
    <w:rsid w:val="00E3743D"/>
    <w:rsid w:val="00E37ED0"/>
    <w:rsid w:val="00E40316"/>
    <w:rsid w:val="00E40603"/>
    <w:rsid w:val="00E40D9B"/>
    <w:rsid w:val="00E41DF3"/>
    <w:rsid w:val="00E42138"/>
    <w:rsid w:val="00E42314"/>
    <w:rsid w:val="00E42A4B"/>
    <w:rsid w:val="00E42F7E"/>
    <w:rsid w:val="00E434AD"/>
    <w:rsid w:val="00E434DE"/>
    <w:rsid w:val="00E4350E"/>
    <w:rsid w:val="00E43707"/>
    <w:rsid w:val="00E43D07"/>
    <w:rsid w:val="00E44202"/>
    <w:rsid w:val="00E44235"/>
    <w:rsid w:val="00E443C2"/>
    <w:rsid w:val="00E44596"/>
    <w:rsid w:val="00E44735"/>
    <w:rsid w:val="00E44E46"/>
    <w:rsid w:val="00E45DB9"/>
    <w:rsid w:val="00E45FB3"/>
    <w:rsid w:val="00E4641E"/>
    <w:rsid w:val="00E469DA"/>
    <w:rsid w:val="00E475DC"/>
    <w:rsid w:val="00E47747"/>
    <w:rsid w:val="00E47D19"/>
    <w:rsid w:val="00E501FE"/>
    <w:rsid w:val="00E50BC7"/>
    <w:rsid w:val="00E50F86"/>
    <w:rsid w:val="00E519AE"/>
    <w:rsid w:val="00E51C00"/>
    <w:rsid w:val="00E51CCC"/>
    <w:rsid w:val="00E52175"/>
    <w:rsid w:val="00E523CE"/>
    <w:rsid w:val="00E527AD"/>
    <w:rsid w:val="00E52A45"/>
    <w:rsid w:val="00E52D27"/>
    <w:rsid w:val="00E53100"/>
    <w:rsid w:val="00E532BD"/>
    <w:rsid w:val="00E5365F"/>
    <w:rsid w:val="00E53B63"/>
    <w:rsid w:val="00E53B84"/>
    <w:rsid w:val="00E53E1B"/>
    <w:rsid w:val="00E54B8B"/>
    <w:rsid w:val="00E54B92"/>
    <w:rsid w:val="00E5521A"/>
    <w:rsid w:val="00E55C3E"/>
    <w:rsid w:val="00E55C5B"/>
    <w:rsid w:val="00E560DE"/>
    <w:rsid w:val="00E56149"/>
    <w:rsid w:val="00E561B7"/>
    <w:rsid w:val="00E5629D"/>
    <w:rsid w:val="00E563A8"/>
    <w:rsid w:val="00E56918"/>
    <w:rsid w:val="00E56D9E"/>
    <w:rsid w:val="00E570F4"/>
    <w:rsid w:val="00E578EF"/>
    <w:rsid w:val="00E57AF7"/>
    <w:rsid w:val="00E57B0E"/>
    <w:rsid w:val="00E57B2F"/>
    <w:rsid w:val="00E57CBE"/>
    <w:rsid w:val="00E57F60"/>
    <w:rsid w:val="00E57F97"/>
    <w:rsid w:val="00E602FF"/>
    <w:rsid w:val="00E603CE"/>
    <w:rsid w:val="00E6085A"/>
    <w:rsid w:val="00E6105E"/>
    <w:rsid w:val="00E610E8"/>
    <w:rsid w:val="00E6135A"/>
    <w:rsid w:val="00E6155D"/>
    <w:rsid w:val="00E6166A"/>
    <w:rsid w:val="00E61717"/>
    <w:rsid w:val="00E61A8C"/>
    <w:rsid w:val="00E61EEC"/>
    <w:rsid w:val="00E6241B"/>
    <w:rsid w:val="00E6338A"/>
    <w:rsid w:val="00E63554"/>
    <w:rsid w:val="00E6419A"/>
    <w:rsid w:val="00E641BA"/>
    <w:rsid w:val="00E6455F"/>
    <w:rsid w:val="00E645DC"/>
    <w:rsid w:val="00E64628"/>
    <w:rsid w:val="00E649DB"/>
    <w:rsid w:val="00E64FCC"/>
    <w:rsid w:val="00E64FD7"/>
    <w:rsid w:val="00E65196"/>
    <w:rsid w:val="00E65853"/>
    <w:rsid w:val="00E65CEC"/>
    <w:rsid w:val="00E65F7E"/>
    <w:rsid w:val="00E66085"/>
    <w:rsid w:val="00E6637C"/>
    <w:rsid w:val="00E66782"/>
    <w:rsid w:val="00E670AC"/>
    <w:rsid w:val="00E67173"/>
    <w:rsid w:val="00E67492"/>
    <w:rsid w:val="00E67B57"/>
    <w:rsid w:val="00E703B6"/>
    <w:rsid w:val="00E704A2"/>
    <w:rsid w:val="00E70AA1"/>
    <w:rsid w:val="00E70C04"/>
    <w:rsid w:val="00E7190F"/>
    <w:rsid w:val="00E71F15"/>
    <w:rsid w:val="00E72200"/>
    <w:rsid w:val="00E7247F"/>
    <w:rsid w:val="00E724B8"/>
    <w:rsid w:val="00E7262D"/>
    <w:rsid w:val="00E72B1B"/>
    <w:rsid w:val="00E72BD5"/>
    <w:rsid w:val="00E72C0C"/>
    <w:rsid w:val="00E72DD5"/>
    <w:rsid w:val="00E72ECD"/>
    <w:rsid w:val="00E731DC"/>
    <w:rsid w:val="00E73207"/>
    <w:rsid w:val="00E735F8"/>
    <w:rsid w:val="00E73E22"/>
    <w:rsid w:val="00E73F53"/>
    <w:rsid w:val="00E74A5D"/>
    <w:rsid w:val="00E74D26"/>
    <w:rsid w:val="00E75198"/>
    <w:rsid w:val="00E75C9B"/>
    <w:rsid w:val="00E75D47"/>
    <w:rsid w:val="00E75E00"/>
    <w:rsid w:val="00E75E4D"/>
    <w:rsid w:val="00E763BF"/>
    <w:rsid w:val="00E76573"/>
    <w:rsid w:val="00E766F5"/>
    <w:rsid w:val="00E76932"/>
    <w:rsid w:val="00E76B24"/>
    <w:rsid w:val="00E76E5C"/>
    <w:rsid w:val="00E770AE"/>
    <w:rsid w:val="00E7748F"/>
    <w:rsid w:val="00E77A28"/>
    <w:rsid w:val="00E77F0E"/>
    <w:rsid w:val="00E808A3"/>
    <w:rsid w:val="00E80EDF"/>
    <w:rsid w:val="00E80FC3"/>
    <w:rsid w:val="00E8145D"/>
    <w:rsid w:val="00E82948"/>
    <w:rsid w:val="00E82B28"/>
    <w:rsid w:val="00E82B46"/>
    <w:rsid w:val="00E82CCA"/>
    <w:rsid w:val="00E82F9C"/>
    <w:rsid w:val="00E83073"/>
    <w:rsid w:val="00E83206"/>
    <w:rsid w:val="00E83906"/>
    <w:rsid w:val="00E83928"/>
    <w:rsid w:val="00E848FB"/>
    <w:rsid w:val="00E84A0E"/>
    <w:rsid w:val="00E84FA1"/>
    <w:rsid w:val="00E85255"/>
    <w:rsid w:val="00E85AC3"/>
    <w:rsid w:val="00E85B8B"/>
    <w:rsid w:val="00E85C75"/>
    <w:rsid w:val="00E85E65"/>
    <w:rsid w:val="00E86A8F"/>
    <w:rsid w:val="00E86C86"/>
    <w:rsid w:val="00E87333"/>
    <w:rsid w:val="00E873D0"/>
    <w:rsid w:val="00E87A46"/>
    <w:rsid w:val="00E87FB0"/>
    <w:rsid w:val="00E9013A"/>
    <w:rsid w:val="00E90218"/>
    <w:rsid w:val="00E913BB"/>
    <w:rsid w:val="00E916D6"/>
    <w:rsid w:val="00E9184A"/>
    <w:rsid w:val="00E91DB5"/>
    <w:rsid w:val="00E92708"/>
    <w:rsid w:val="00E93170"/>
    <w:rsid w:val="00E931A9"/>
    <w:rsid w:val="00E947D2"/>
    <w:rsid w:val="00E948E3"/>
    <w:rsid w:val="00E94B1C"/>
    <w:rsid w:val="00E94C21"/>
    <w:rsid w:val="00E94FAD"/>
    <w:rsid w:val="00E95A35"/>
    <w:rsid w:val="00E95A94"/>
    <w:rsid w:val="00E95F2E"/>
    <w:rsid w:val="00E96213"/>
    <w:rsid w:val="00E96388"/>
    <w:rsid w:val="00E96A23"/>
    <w:rsid w:val="00E96DF6"/>
    <w:rsid w:val="00E97177"/>
    <w:rsid w:val="00E9792E"/>
    <w:rsid w:val="00E97DC3"/>
    <w:rsid w:val="00EA0137"/>
    <w:rsid w:val="00EA0235"/>
    <w:rsid w:val="00EA06A5"/>
    <w:rsid w:val="00EA0834"/>
    <w:rsid w:val="00EA08E7"/>
    <w:rsid w:val="00EA0D27"/>
    <w:rsid w:val="00EA109C"/>
    <w:rsid w:val="00EA1113"/>
    <w:rsid w:val="00EA1508"/>
    <w:rsid w:val="00EA1541"/>
    <w:rsid w:val="00EA1988"/>
    <w:rsid w:val="00EA1A5D"/>
    <w:rsid w:val="00EA29F4"/>
    <w:rsid w:val="00EA2B78"/>
    <w:rsid w:val="00EA2C8D"/>
    <w:rsid w:val="00EA2FB5"/>
    <w:rsid w:val="00EA3189"/>
    <w:rsid w:val="00EA32E4"/>
    <w:rsid w:val="00EA3404"/>
    <w:rsid w:val="00EA3630"/>
    <w:rsid w:val="00EA3C0D"/>
    <w:rsid w:val="00EA3D71"/>
    <w:rsid w:val="00EA4618"/>
    <w:rsid w:val="00EA484F"/>
    <w:rsid w:val="00EA4E37"/>
    <w:rsid w:val="00EA55EF"/>
    <w:rsid w:val="00EA59DF"/>
    <w:rsid w:val="00EA6859"/>
    <w:rsid w:val="00EA6C3B"/>
    <w:rsid w:val="00EA6E55"/>
    <w:rsid w:val="00EA71A7"/>
    <w:rsid w:val="00EA7B73"/>
    <w:rsid w:val="00EA7E36"/>
    <w:rsid w:val="00EB0335"/>
    <w:rsid w:val="00EB0650"/>
    <w:rsid w:val="00EB0898"/>
    <w:rsid w:val="00EB0AC1"/>
    <w:rsid w:val="00EB0CF4"/>
    <w:rsid w:val="00EB119E"/>
    <w:rsid w:val="00EB1957"/>
    <w:rsid w:val="00EB19B7"/>
    <w:rsid w:val="00EB1D27"/>
    <w:rsid w:val="00EB1E9C"/>
    <w:rsid w:val="00EB22CA"/>
    <w:rsid w:val="00EB24A7"/>
    <w:rsid w:val="00EB24CF"/>
    <w:rsid w:val="00EB2591"/>
    <w:rsid w:val="00EB2C4C"/>
    <w:rsid w:val="00EB314E"/>
    <w:rsid w:val="00EB315D"/>
    <w:rsid w:val="00EB35DF"/>
    <w:rsid w:val="00EB36F5"/>
    <w:rsid w:val="00EB47C1"/>
    <w:rsid w:val="00EB49B9"/>
    <w:rsid w:val="00EB4EA0"/>
    <w:rsid w:val="00EB51EB"/>
    <w:rsid w:val="00EB5BEB"/>
    <w:rsid w:val="00EB5CEF"/>
    <w:rsid w:val="00EB5F7D"/>
    <w:rsid w:val="00EB6239"/>
    <w:rsid w:val="00EB627B"/>
    <w:rsid w:val="00EB6906"/>
    <w:rsid w:val="00EB6AB1"/>
    <w:rsid w:val="00EB6D94"/>
    <w:rsid w:val="00EB7206"/>
    <w:rsid w:val="00EB7815"/>
    <w:rsid w:val="00EB7C4B"/>
    <w:rsid w:val="00EB7DDF"/>
    <w:rsid w:val="00EC05E6"/>
    <w:rsid w:val="00EC0724"/>
    <w:rsid w:val="00EC07D7"/>
    <w:rsid w:val="00EC0880"/>
    <w:rsid w:val="00EC0DC0"/>
    <w:rsid w:val="00EC17EA"/>
    <w:rsid w:val="00EC206D"/>
    <w:rsid w:val="00EC2098"/>
    <w:rsid w:val="00EC27E5"/>
    <w:rsid w:val="00EC281E"/>
    <w:rsid w:val="00EC4183"/>
    <w:rsid w:val="00EC4EA2"/>
    <w:rsid w:val="00EC53AA"/>
    <w:rsid w:val="00EC575F"/>
    <w:rsid w:val="00EC5950"/>
    <w:rsid w:val="00EC59EE"/>
    <w:rsid w:val="00EC5F32"/>
    <w:rsid w:val="00EC61A4"/>
    <w:rsid w:val="00EC6468"/>
    <w:rsid w:val="00EC653F"/>
    <w:rsid w:val="00EC656E"/>
    <w:rsid w:val="00EC6570"/>
    <w:rsid w:val="00EC6708"/>
    <w:rsid w:val="00EC68CC"/>
    <w:rsid w:val="00EC6E20"/>
    <w:rsid w:val="00EC7248"/>
    <w:rsid w:val="00EC7394"/>
    <w:rsid w:val="00EC74BE"/>
    <w:rsid w:val="00EC7A32"/>
    <w:rsid w:val="00ED02B3"/>
    <w:rsid w:val="00ED0361"/>
    <w:rsid w:val="00ED086A"/>
    <w:rsid w:val="00ED0D7F"/>
    <w:rsid w:val="00ED12E5"/>
    <w:rsid w:val="00ED1670"/>
    <w:rsid w:val="00ED1A98"/>
    <w:rsid w:val="00ED1CB6"/>
    <w:rsid w:val="00ED207C"/>
    <w:rsid w:val="00ED21BF"/>
    <w:rsid w:val="00ED2461"/>
    <w:rsid w:val="00ED24CB"/>
    <w:rsid w:val="00ED2D30"/>
    <w:rsid w:val="00ED2F16"/>
    <w:rsid w:val="00ED325A"/>
    <w:rsid w:val="00ED38A4"/>
    <w:rsid w:val="00ED3D6C"/>
    <w:rsid w:val="00ED3D76"/>
    <w:rsid w:val="00ED3E67"/>
    <w:rsid w:val="00ED3EA7"/>
    <w:rsid w:val="00ED3F41"/>
    <w:rsid w:val="00ED4089"/>
    <w:rsid w:val="00ED4D16"/>
    <w:rsid w:val="00ED5615"/>
    <w:rsid w:val="00ED6234"/>
    <w:rsid w:val="00ED692E"/>
    <w:rsid w:val="00ED69AF"/>
    <w:rsid w:val="00ED6B3B"/>
    <w:rsid w:val="00ED6C5A"/>
    <w:rsid w:val="00ED793C"/>
    <w:rsid w:val="00ED7D7F"/>
    <w:rsid w:val="00EE023D"/>
    <w:rsid w:val="00EE0B35"/>
    <w:rsid w:val="00EE116C"/>
    <w:rsid w:val="00EE1286"/>
    <w:rsid w:val="00EE13CF"/>
    <w:rsid w:val="00EE1847"/>
    <w:rsid w:val="00EE240E"/>
    <w:rsid w:val="00EE2560"/>
    <w:rsid w:val="00EE3092"/>
    <w:rsid w:val="00EE329E"/>
    <w:rsid w:val="00EE3421"/>
    <w:rsid w:val="00EE3546"/>
    <w:rsid w:val="00EE44CE"/>
    <w:rsid w:val="00EE47AE"/>
    <w:rsid w:val="00EE544C"/>
    <w:rsid w:val="00EE5654"/>
    <w:rsid w:val="00EE5655"/>
    <w:rsid w:val="00EE6308"/>
    <w:rsid w:val="00EE66C0"/>
    <w:rsid w:val="00EE688E"/>
    <w:rsid w:val="00EE6A6D"/>
    <w:rsid w:val="00EE6AA2"/>
    <w:rsid w:val="00EE6C38"/>
    <w:rsid w:val="00EE7276"/>
    <w:rsid w:val="00EE7659"/>
    <w:rsid w:val="00EF034B"/>
    <w:rsid w:val="00EF03E2"/>
    <w:rsid w:val="00EF0B24"/>
    <w:rsid w:val="00EF0B67"/>
    <w:rsid w:val="00EF0DE1"/>
    <w:rsid w:val="00EF141D"/>
    <w:rsid w:val="00EF14DC"/>
    <w:rsid w:val="00EF171E"/>
    <w:rsid w:val="00EF1ADE"/>
    <w:rsid w:val="00EF1B85"/>
    <w:rsid w:val="00EF1C5A"/>
    <w:rsid w:val="00EF1D4E"/>
    <w:rsid w:val="00EF270E"/>
    <w:rsid w:val="00EF359F"/>
    <w:rsid w:val="00EF371A"/>
    <w:rsid w:val="00EF37D0"/>
    <w:rsid w:val="00EF39B8"/>
    <w:rsid w:val="00EF3A19"/>
    <w:rsid w:val="00EF43CE"/>
    <w:rsid w:val="00EF4C92"/>
    <w:rsid w:val="00EF4E55"/>
    <w:rsid w:val="00EF58DD"/>
    <w:rsid w:val="00EF5931"/>
    <w:rsid w:val="00EF6EA7"/>
    <w:rsid w:val="00EF7069"/>
    <w:rsid w:val="00EF77AF"/>
    <w:rsid w:val="00EF7F8B"/>
    <w:rsid w:val="00F0002B"/>
    <w:rsid w:val="00F00120"/>
    <w:rsid w:val="00F00BC0"/>
    <w:rsid w:val="00F00FBF"/>
    <w:rsid w:val="00F01146"/>
    <w:rsid w:val="00F01384"/>
    <w:rsid w:val="00F0153C"/>
    <w:rsid w:val="00F01C81"/>
    <w:rsid w:val="00F02115"/>
    <w:rsid w:val="00F02541"/>
    <w:rsid w:val="00F025FC"/>
    <w:rsid w:val="00F02AE7"/>
    <w:rsid w:val="00F02CBA"/>
    <w:rsid w:val="00F02DFC"/>
    <w:rsid w:val="00F0300F"/>
    <w:rsid w:val="00F032E6"/>
    <w:rsid w:val="00F03814"/>
    <w:rsid w:val="00F03A41"/>
    <w:rsid w:val="00F03BBA"/>
    <w:rsid w:val="00F03C69"/>
    <w:rsid w:val="00F03D11"/>
    <w:rsid w:val="00F04489"/>
    <w:rsid w:val="00F04693"/>
    <w:rsid w:val="00F04B5E"/>
    <w:rsid w:val="00F05298"/>
    <w:rsid w:val="00F05E71"/>
    <w:rsid w:val="00F063A5"/>
    <w:rsid w:val="00F0660F"/>
    <w:rsid w:val="00F066B1"/>
    <w:rsid w:val="00F07A09"/>
    <w:rsid w:val="00F10B88"/>
    <w:rsid w:val="00F11178"/>
    <w:rsid w:val="00F1193C"/>
    <w:rsid w:val="00F11EC1"/>
    <w:rsid w:val="00F12934"/>
    <w:rsid w:val="00F12B49"/>
    <w:rsid w:val="00F12DD6"/>
    <w:rsid w:val="00F12E4F"/>
    <w:rsid w:val="00F1390C"/>
    <w:rsid w:val="00F13E69"/>
    <w:rsid w:val="00F145E4"/>
    <w:rsid w:val="00F14D98"/>
    <w:rsid w:val="00F14F2E"/>
    <w:rsid w:val="00F15110"/>
    <w:rsid w:val="00F159C1"/>
    <w:rsid w:val="00F15C7D"/>
    <w:rsid w:val="00F15FBD"/>
    <w:rsid w:val="00F16662"/>
    <w:rsid w:val="00F1677B"/>
    <w:rsid w:val="00F16899"/>
    <w:rsid w:val="00F16A12"/>
    <w:rsid w:val="00F16E95"/>
    <w:rsid w:val="00F17123"/>
    <w:rsid w:val="00F17464"/>
    <w:rsid w:val="00F175A3"/>
    <w:rsid w:val="00F17A9E"/>
    <w:rsid w:val="00F17FC9"/>
    <w:rsid w:val="00F20C5E"/>
    <w:rsid w:val="00F20E38"/>
    <w:rsid w:val="00F2104A"/>
    <w:rsid w:val="00F21187"/>
    <w:rsid w:val="00F21295"/>
    <w:rsid w:val="00F21341"/>
    <w:rsid w:val="00F214DD"/>
    <w:rsid w:val="00F216FD"/>
    <w:rsid w:val="00F22722"/>
    <w:rsid w:val="00F22A54"/>
    <w:rsid w:val="00F22A7B"/>
    <w:rsid w:val="00F23A10"/>
    <w:rsid w:val="00F23A49"/>
    <w:rsid w:val="00F24D4A"/>
    <w:rsid w:val="00F257EF"/>
    <w:rsid w:val="00F25817"/>
    <w:rsid w:val="00F25868"/>
    <w:rsid w:val="00F26B34"/>
    <w:rsid w:val="00F2722A"/>
    <w:rsid w:val="00F27A40"/>
    <w:rsid w:val="00F301F8"/>
    <w:rsid w:val="00F30575"/>
    <w:rsid w:val="00F307DB"/>
    <w:rsid w:val="00F30A22"/>
    <w:rsid w:val="00F30C5B"/>
    <w:rsid w:val="00F30E6C"/>
    <w:rsid w:val="00F31BCE"/>
    <w:rsid w:val="00F31CC2"/>
    <w:rsid w:val="00F31FB7"/>
    <w:rsid w:val="00F32318"/>
    <w:rsid w:val="00F32BED"/>
    <w:rsid w:val="00F33118"/>
    <w:rsid w:val="00F33AF4"/>
    <w:rsid w:val="00F34276"/>
    <w:rsid w:val="00F342DE"/>
    <w:rsid w:val="00F343A7"/>
    <w:rsid w:val="00F34B89"/>
    <w:rsid w:val="00F352D2"/>
    <w:rsid w:val="00F356BE"/>
    <w:rsid w:val="00F35AED"/>
    <w:rsid w:val="00F35F50"/>
    <w:rsid w:val="00F365C6"/>
    <w:rsid w:val="00F36A1D"/>
    <w:rsid w:val="00F36ACD"/>
    <w:rsid w:val="00F36BE8"/>
    <w:rsid w:val="00F36C80"/>
    <w:rsid w:val="00F36E32"/>
    <w:rsid w:val="00F37291"/>
    <w:rsid w:val="00F37567"/>
    <w:rsid w:val="00F378FE"/>
    <w:rsid w:val="00F37D64"/>
    <w:rsid w:val="00F37EBC"/>
    <w:rsid w:val="00F40245"/>
    <w:rsid w:val="00F4036D"/>
    <w:rsid w:val="00F405AE"/>
    <w:rsid w:val="00F40888"/>
    <w:rsid w:val="00F4095C"/>
    <w:rsid w:val="00F40B0F"/>
    <w:rsid w:val="00F40EA3"/>
    <w:rsid w:val="00F41122"/>
    <w:rsid w:val="00F41969"/>
    <w:rsid w:val="00F41C24"/>
    <w:rsid w:val="00F425EA"/>
    <w:rsid w:val="00F42B7B"/>
    <w:rsid w:val="00F42E49"/>
    <w:rsid w:val="00F43B94"/>
    <w:rsid w:val="00F43FE0"/>
    <w:rsid w:val="00F44079"/>
    <w:rsid w:val="00F44278"/>
    <w:rsid w:val="00F445A3"/>
    <w:rsid w:val="00F44A8C"/>
    <w:rsid w:val="00F44D06"/>
    <w:rsid w:val="00F44EF7"/>
    <w:rsid w:val="00F453A3"/>
    <w:rsid w:val="00F456A7"/>
    <w:rsid w:val="00F460AF"/>
    <w:rsid w:val="00F46555"/>
    <w:rsid w:val="00F4748C"/>
    <w:rsid w:val="00F4773E"/>
    <w:rsid w:val="00F47971"/>
    <w:rsid w:val="00F47E45"/>
    <w:rsid w:val="00F505AE"/>
    <w:rsid w:val="00F50793"/>
    <w:rsid w:val="00F515E8"/>
    <w:rsid w:val="00F517E1"/>
    <w:rsid w:val="00F519E9"/>
    <w:rsid w:val="00F51B65"/>
    <w:rsid w:val="00F51DE6"/>
    <w:rsid w:val="00F51E25"/>
    <w:rsid w:val="00F52958"/>
    <w:rsid w:val="00F52AAB"/>
    <w:rsid w:val="00F52DC6"/>
    <w:rsid w:val="00F52EB6"/>
    <w:rsid w:val="00F52F49"/>
    <w:rsid w:val="00F53B46"/>
    <w:rsid w:val="00F551A4"/>
    <w:rsid w:val="00F55260"/>
    <w:rsid w:val="00F55592"/>
    <w:rsid w:val="00F55DC9"/>
    <w:rsid w:val="00F5619F"/>
    <w:rsid w:val="00F562D0"/>
    <w:rsid w:val="00F56356"/>
    <w:rsid w:val="00F56481"/>
    <w:rsid w:val="00F57769"/>
    <w:rsid w:val="00F57CFF"/>
    <w:rsid w:val="00F60021"/>
    <w:rsid w:val="00F60E62"/>
    <w:rsid w:val="00F60F87"/>
    <w:rsid w:val="00F61686"/>
    <w:rsid w:val="00F62321"/>
    <w:rsid w:val="00F6251D"/>
    <w:rsid w:val="00F62FD2"/>
    <w:rsid w:val="00F6316B"/>
    <w:rsid w:val="00F633F3"/>
    <w:rsid w:val="00F63403"/>
    <w:rsid w:val="00F63B68"/>
    <w:rsid w:val="00F63CC8"/>
    <w:rsid w:val="00F63FED"/>
    <w:rsid w:val="00F64381"/>
    <w:rsid w:val="00F646FB"/>
    <w:rsid w:val="00F64A9F"/>
    <w:rsid w:val="00F65376"/>
    <w:rsid w:val="00F657A1"/>
    <w:rsid w:val="00F657D2"/>
    <w:rsid w:val="00F65AE0"/>
    <w:rsid w:val="00F65C0B"/>
    <w:rsid w:val="00F66361"/>
    <w:rsid w:val="00F66971"/>
    <w:rsid w:val="00F67036"/>
    <w:rsid w:val="00F67399"/>
    <w:rsid w:val="00F67D8F"/>
    <w:rsid w:val="00F70018"/>
    <w:rsid w:val="00F7024A"/>
    <w:rsid w:val="00F7085C"/>
    <w:rsid w:val="00F70EC9"/>
    <w:rsid w:val="00F71151"/>
    <w:rsid w:val="00F7119A"/>
    <w:rsid w:val="00F71243"/>
    <w:rsid w:val="00F71F2B"/>
    <w:rsid w:val="00F72DA5"/>
    <w:rsid w:val="00F73CD9"/>
    <w:rsid w:val="00F74554"/>
    <w:rsid w:val="00F74561"/>
    <w:rsid w:val="00F74A3D"/>
    <w:rsid w:val="00F74E38"/>
    <w:rsid w:val="00F7520F"/>
    <w:rsid w:val="00F761B8"/>
    <w:rsid w:val="00F7623E"/>
    <w:rsid w:val="00F764F1"/>
    <w:rsid w:val="00F76BBD"/>
    <w:rsid w:val="00F76D6F"/>
    <w:rsid w:val="00F77124"/>
    <w:rsid w:val="00F778B0"/>
    <w:rsid w:val="00F7792E"/>
    <w:rsid w:val="00F77965"/>
    <w:rsid w:val="00F80A95"/>
    <w:rsid w:val="00F80B33"/>
    <w:rsid w:val="00F80EBD"/>
    <w:rsid w:val="00F8112C"/>
    <w:rsid w:val="00F814CB"/>
    <w:rsid w:val="00F8186E"/>
    <w:rsid w:val="00F81A39"/>
    <w:rsid w:val="00F81B4D"/>
    <w:rsid w:val="00F81BB2"/>
    <w:rsid w:val="00F81EDE"/>
    <w:rsid w:val="00F81F03"/>
    <w:rsid w:val="00F82A04"/>
    <w:rsid w:val="00F82B42"/>
    <w:rsid w:val="00F82E38"/>
    <w:rsid w:val="00F8307E"/>
    <w:rsid w:val="00F830C3"/>
    <w:rsid w:val="00F83293"/>
    <w:rsid w:val="00F833F6"/>
    <w:rsid w:val="00F8352C"/>
    <w:rsid w:val="00F83BC2"/>
    <w:rsid w:val="00F83C73"/>
    <w:rsid w:val="00F83E4C"/>
    <w:rsid w:val="00F84086"/>
    <w:rsid w:val="00F84229"/>
    <w:rsid w:val="00F845BD"/>
    <w:rsid w:val="00F8475F"/>
    <w:rsid w:val="00F848A4"/>
    <w:rsid w:val="00F84B03"/>
    <w:rsid w:val="00F84DBD"/>
    <w:rsid w:val="00F85144"/>
    <w:rsid w:val="00F8544A"/>
    <w:rsid w:val="00F8570D"/>
    <w:rsid w:val="00F857DB"/>
    <w:rsid w:val="00F85FB8"/>
    <w:rsid w:val="00F8611E"/>
    <w:rsid w:val="00F8619C"/>
    <w:rsid w:val="00F86DF6"/>
    <w:rsid w:val="00F87551"/>
    <w:rsid w:val="00F904E2"/>
    <w:rsid w:val="00F907B7"/>
    <w:rsid w:val="00F90B8D"/>
    <w:rsid w:val="00F90CE3"/>
    <w:rsid w:val="00F90D80"/>
    <w:rsid w:val="00F90D84"/>
    <w:rsid w:val="00F90DAD"/>
    <w:rsid w:val="00F91006"/>
    <w:rsid w:val="00F9137F"/>
    <w:rsid w:val="00F916B9"/>
    <w:rsid w:val="00F919A7"/>
    <w:rsid w:val="00F91ADE"/>
    <w:rsid w:val="00F91B02"/>
    <w:rsid w:val="00F91D16"/>
    <w:rsid w:val="00F92380"/>
    <w:rsid w:val="00F923AF"/>
    <w:rsid w:val="00F92DC5"/>
    <w:rsid w:val="00F92EC1"/>
    <w:rsid w:val="00F932F6"/>
    <w:rsid w:val="00F934B6"/>
    <w:rsid w:val="00F93691"/>
    <w:rsid w:val="00F938CE"/>
    <w:rsid w:val="00F93912"/>
    <w:rsid w:val="00F94686"/>
    <w:rsid w:val="00F946F5"/>
    <w:rsid w:val="00F9475B"/>
    <w:rsid w:val="00F94BCB"/>
    <w:rsid w:val="00F94C47"/>
    <w:rsid w:val="00F951F8"/>
    <w:rsid w:val="00F953C9"/>
    <w:rsid w:val="00F95710"/>
    <w:rsid w:val="00F9595A"/>
    <w:rsid w:val="00F9659B"/>
    <w:rsid w:val="00F968E7"/>
    <w:rsid w:val="00F96AA9"/>
    <w:rsid w:val="00F96C4B"/>
    <w:rsid w:val="00F96D0D"/>
    <w:rsid w:val="00F97425"/>
    <w:rsid w:val="00F975D6"/>
    <w:rsid w:val="00F97F68"/>
    <w:rsid w:val="00FA0148"/>
    <w:rsid w:val="00FA0421"/>
    <w:rsid w:val="00FA090A"/>
    <w:rsid w:val="00FA0912"/>
    <w:rsid w:val="00FA0C66"/>
    <w:rsid w:val="00FA1956"/>
    <w:rsid w:val="00FA1CDA"/>
    <w:rsid w:val="00FA1D9D"/>
    <w:rsid w:val="00FA1DCF"/>
    <w:rsid w:val="00FA1DD9"/>
    <w:rsid w:val="00FA1E63"/>
    <w:rsid w:val="00FA1EE4"/>
    <w:rsid w:val="00FA2310"/>
    <w:rsid w:val="00FA25F5"/>
    <w:rsid w:val="00FA2BD2"/>
    <w:rsid w:val="00FA2CA8"/>
    <w:rsid w:val="00FA2EB8"/>
    <w:rsid w:val="00FA3389"/>
    <w:rsid w:val="00FA3475"/>
    <w:rsid w:val="00FA3476"/>
    <w:rsid w:val="00FA361A"/>
    <w:rsid w:val="00FA4423"/>
    <w:rsid w:val="00FA44E5"/>
    <w:rsid w:val="00FA4CA1"/>
    <w:rsid w:val="00FA4F43"/>
    <w:rsid w:val="00FA5305"/>
    <w:rsid w:val="00FA5335"/>
    <w:rsid w:val="00FA56BC"/>
    <w:rsid w:val="00FA5A71"/>
    <w:rsid w:val="00FA5C31"/>
    <w:rsid w:val="00FA5C75"/>
    <w:rsid w:val="00FA65E2"/>
    <w:rsid w:val="00FA669E"/>
    <w:rsid w:val="00FA6798"/>
    <w:rsid w:val="00FA6919"/>
    <w:rsid w:val="00FA69E6"/>
    <w:rsid w:val="00FA75C6"/>
    <w:rsid w:val="00FA7886"/>
    <w:rsid w:val="00FA7E49"/>
    <w:rsid w:val="00FB0A5A"/>
    <w:rsid w:val="00FB0C10"/>
    <w:rsid w:val="00FB1181"/>
    <w:rsid w:val="00FB12B9"/>
    <w:rsid w:val="00FB14D8"/>
    <w:rsid w:val="00FB257D"/>
    <w:rsid w:val="00FB2E48"/>
    <w:rsid w:val="00FB3364"/>
    <w:rsid w:val="00FB3C36"/>
    <w:rsid w:val="00FB423D"/>
    <w:rsid w:val="00FB4280"/>
    <w:rsid w:val="00FB455E"/>
    <w:rsid w:val="00FB4B60"/>
    <w:rsid w:val="00FB5191"/>
    <w:rsid w:val="00FB5214"/>
    <w:rsid w:val="00FB57F8"/>
    <w:rsid w:val="00FB580D"/>
    <w:rsid w:val="00FB5B7F"/>
    <w:rsid w:val="00FB5C2A"/>
    <w:rsid w:val="00FB5CB5"/>
    <w:rsid w:val="00FB645A"/>
    <w:rsid w:val="00FB671F"/>
    <w:rsid w:val="00FB68DE"/>
    <w:rsid w:val="00FB6B05"/>
    <w:rsid w:val="00FB6DA7"/>
    <w:rsid w:val="00FB702A"/>
    <w:rsid w:val="00FB75AE"/>
    <w:rsid w:val="00FB77D8"/>
    <w:rsid w:val="00FB7B14"/>
    <w:rsid w:val="00FB7CCE"/>
    <w:rsid w:val="00FC0104"/>
    <w:rsid w:val="00FC01C8"/>
    <w:rsid w:val="00FC0519"/>
    <w:rsid w:val="00FC06D9"/>
    <w:rsid w:val="00FC0A92"/>
    <w:rsid w:val="00FC0D8F"/>
    <w:rsid w:val="00FC0F61"/>
    <w:rsid w:val="00FC145B"/>
    <w:rsid w:val="00FC1577"/>
    <w:rsid w:val="00FC198F"/>
    <w:rsid w:val="00FC1ED9"/>
    <w:rsid w:val="00FC2CA4"/>
    <w:rsid w:val="00FC2DEE"/>
    <w:rsid w:val="00FC3501"/>
    <w:rsid w:val="00FC36A1"/>
    <w:rsid w:val="00FC3790"/>
    <w:rsid w:val="00FC3864"/>
    <w:rsid w:val="00FC397F"/>
    <w:rsid w:val="00FC39FD"/>
    <w:rsid w:val="00FC3D67"/>
    <w:rsid w:val="00FC423D"/>
    <w:rsid w:val="00FC44C9"/>
    <w:rsid w:val="00FC46CF"/>
    <w:rsid w:val="00FC46E6"/>
    <w:rsid w:val="00FC49D9"/>
    <w:rsid w:val="00FC5027"/>
    <w:rsid w:val="00FC50C7"/>
    <w:rsid w:val="00FC511D"/>
    <w:rsid w:val="00FC6034"/>
    <w:rsid w:val="00FC6874"/>
    <w:rsid w:val="00FC68BC"/>
    <w:rsid w:val="00FC7366"/>
    <w:rsid w:val="00FC74ED"/>
    <w:rsid w:val="00FC75E3"/>
    <w:rsid w:val="00FC76E2"/>
    <w:rsid w:val="00FC7925"/>
    <w:rsid w:val="00FC7938"/>
    <w:rsid w:val="00FC7FA4"/>
    <w:rsid w:val="00FD035C"/>
    <w:rsid w:val="00FD07EF"/>
    <w:rsid w:val="00FD097A"/>
    <w:rsid w:val="00FD0E3D"/>
    <w:rsid w:val="00FD11D4"/>
    <w:rsid w:val="00FD1DD0"/>
    <w:rsid w:val="00FD217B"/>
    <w:rsid w:val="00FD225D"/>
    <w:rsid w:val="00FD2384"/>
    <w:rsid w:val="00FD29D4"/>
    <w:rsid w:val="00FD2DC5"/>
    <w:rsid w:val="00FD2E6C"/>
    <w:rsid w:val="00FD3B86"/>
    <w:rsid w:val="00FD42AA"/>
    <w:rsid w:val="00FD4C24"/>
    <w:rsid w:val="00FD4C88"/>
    <w:rsid w:val="00FD4F32"/>
    <w:rsid w:val="00FD5989"/>
    <w:rsid w:val="00FD59ED"/>
    <w:rsid w:val="00FD66C6"/>
    <w:rsid w:val="00FD6873"/>
    <w:rsid w:val="00FD7851"/>
    <w:rsid w:val="00FD7C9B"/>
    <w:rsid w:val="00FD7D34"/>
    <w:rsid w:val="00FD7E19"/>
    <w:rsid w:val="00FD7F27"/>
    <w:rsid w:val="00FE035B"/>
    <w:rsid w:val="00FE0E7B"/>
    <w:rsid w:val="00FE0F68"/>
    <w:rsid w:val="00FE0FFD"/>
    <w:rsid w:val="00FE11B5"/>
    <w:rsid w:val="00FE125C"/>
    <w:rsid w:val="00FE15D9"/>
    <w:rsid w:val="00FE1F3B"/>
    <w:rsid w:val="00FE2390"/>
    <w:rsid w:val="00FE2BEA"/>
    <w:rsid w:val="00FE2F3B"/>
    <w:rsid w:val="00FE3482"/>
    <w:rsid w:val="00FE3549"/>
    <w:rsid w:val="00FE452E"/>
    <w:rsid w:val="00FE4827"/>
    <w:rsid w:val="00FE4963"/>
    <w:rsid w:val="00FE4D94"/>
    <w:rsid w:val="00FE4F7D"/>
    <w:rsid w:val="00FE4FA3"/>
    <w:rsid w:val="00FE58C7"/>
    <w:rsid w:val="00FE5C7B"/>
    <w:rsid w:val="00FE6060"/>
    <w:rsid w:val="00FE630D"/>
    <w:rsid w:val="00FE650C"/>
    <w:rsid w:val="00FE740F"/>
    <w:rsid w:val="00FE7418"/>
    <w:rsid w:val="00FE7AD8"/>
    <w:rsid w:val="00FE7B6C"/>
    <w:rsid w:val="00FF03C0"/>
    <w:rsid w:val="00FF0667"/>
    <w:rsid w:val="00FF14E2"/>
    <w:rsid w:val="00FF1B5F"/>
    <w:rsid w:val="00FF2806"/>
    <w:rsid w:val="00FF2AED"/>
    <w:rsid w:val="00FF2D9A"/>
    <w:rsid w:val="00FF3663"/>
    <w:rsid w:val="00FF37F8"/>
    <w:rsid w:val="00FF3AF0"/>
    <w:rsid w:val="00FF3B7A"/>
    <w:rsid w:val="00FF4275"/>
    <w:rsid w:val="00FF436A"/>
    <w:rsid w:val="00FF4586"/>
    <w:rsid w:val="00FF4A4C"/>
    <w:rsid w:val="00FF4C15"/>
    <w:rsid w:val="00FF4C8C"/>
    <w:rsid w:val="00FF4F2F"/>
    <w:rsid w:val="00FF5BFB"/>
    <w:rsid w:val="00FF5E54"/>
    <w:rsid w:val="00FF6774"/>
    <w:rsid w:val="00FF69EA"/>
    <w:rsid w:val="00FF70A3"/>
    <w:rsid w:val="00FF70F1"/>
    <w:rsid w:val="00FF754D"/>
    <w:rsid w:val="00FF761C"/>
    <w:rsid w:val="00FF7DD5"/>
    <w:rsid w:val="00FF7E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47BD5"/>
    <w:pPr>
      <w:spacing w:after="140"/>
      <w:ind w:firstLine="567"/>
      <w:jc w:val="both"/>
    </w:pPr>
    <w:rPr>
      <w:lang w:val="es-ES_tradnl" w:eastAsia="en-US"/>
    </w:rPr>
  </w:style>
  <w:style w:type="paragraph" w:styleId="Ttulo1">
    <w:name w:val="heading 1"/>
    <w:basedOn w:val="Normal"/>
    <w:next w:val="Normal"/>
    <w:link w:val="Ttulo1Car"/>
    <w:uiPriority w:val="9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6535AB"/>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6535AB"/>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rsid w:val="001D4F09"/>
    <w:rPr>
      <w:spacing w:val="6"/>
      <w:sz w:val="26"/>
      <w:szCs w:val="24"/>
      <w:lang w:val="es-ES_tradnl" w:eastAsia="en-US" w:bidi="ar-SA"/>
    </w:rPr>
  </w:style>
  <w:style w:type="paragraph" w:customStyle="1" w:styleId="recomen">
    <w:name w:val="recomen"/>
    <w:basedOn w:val="texto"/>
    <w:rsid w:val="001D4F09"/>
    <w:pPr>
      <w:numPr>
        <w:numId w:val="2"/>
      </w:numPr>
      <w:tabs>
        <w:tab w:val="clear" w:pos="2835"/>
        <w:tab w:val="clear" w:pos="3969"/>
        <w:tab w:val="clear" w:pos="5103"/>
        <w:tab w:val="clear" w:pos="6237"/>
        <w:tab w:val="clear" w:pos="7371"/>
      </w:tabs>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character" w:customStyle="1" w:styleId="atitulo2Car">
    <w:name w:val="atitulo2 Car"/>
    <w:link w:val="atitulo2"/>
    <w:rsid w:val="00882BEB"/>
    <w:rPr>
      <w:rFonts w:ascii="Arial" w:hAnsi="Arial"/>
      <w:bCs/>
      <w:iCs/>
      <w:color w:val="000000"/>
      <w:spacing w:val="10"/>
      <w:kern w:val="28"/>
      <w:sz w:val="25"/>
      <w:szCs w:val="26"/>
      <w:lang w:val="es-ES_tradnl" w:eastAsia="en-US" w:bidi="ar-SA"/>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FA7886"/>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8C27C2"/>
    <w:pPr>
      <w:tabs>
        <w:tab w:val="right" w:leader="dot" w:pos="8930"/>
      </w:tabs>
      <w:spacing w:after="0"/>
      <w:ind w:left="378" w:firstLine="0"/>
      <w:jc w:val="left"/>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Epgrafe">
    <w:name w:val="caption"/>
    <w:basedOn w:val="Normal"/>
    <w:next w:val="Normal"/>
    <w:uiPriority w:val="99"/>
    <w:qFormat/>
    <w:rsid w:val="00891D73"/>
    <w:rPr>
      <w:b/>
      <w:bCs/>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uiPriority w:val="99"/>
    <w:qFormat/>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customStyle="1" w:styleId="Estndar">
    <w:name w:val="Estándar"/>
    <w:rsid w:val="00882BEB"/>
    <w:pPr>
      <w:snapToGrid w:val="0"/>
    </w:pPr>
    <w:rPr>
      <w:rFonts w:ascii="CG Omega" w:hAnsi="CG Omega"/>
      <w:color w:val="000000"/>
      <w:sz w:val="22"/>
    </w:rPr>
  </w:style>
  <w:style w:type="paragraph" w:customStyle="1" w:styleId="tabla10">
    <w:name w:val="tabla10"/>
    <w:rsid w:val="00882BEB"/>
    <w:pPr>
      <w:tabs>
        <w:tab w:val="left" w:pos="567"/>
        <w:tab w:val="left" w:pos="1134"/>
      </w:tabs>
      <w:snapToGrid w:val="0"/>
    </w:pPr>
    <w:rPr>
      <w:rFonts w:ascii="CG Times" w:hAnsi="CG Times"/>
      <w:color w:val="000000"/>
    </w:rPr>
  </w:style>
  <w:style w:type="paragraph" w:styleId="NormalWeb">
    <w:name w:val="Normal (Web)"/>
    <w:basedOn w:val="Normal"/>
    <w:uiPriority w:val="99"/>
    <w:rsid w:val="00882BEB"/>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semiHidden/>
    <w:rsid w:val="00882BEB"/>
  </w:style>
  <w:style w:type="character" w:customStyle="1" w:styleId="TextocomentarioCar">
    <w:name w:val="Texto comentario Car"/>
    <w:link w:val="Textocomentario"/>
    <w:semiHidden/>
    <w:rsid w:val="00882BEB"/>
    <w:rPr>
      <w:lang w:val="es-ES_tradnl" w:eastAsia="en-US" w:bidi="ar-SA"/>
    </w:rPr>
  </w:style>
  <w:style w:type="paragraph" w:styleId="Asuntodelcomentario">
    <w:name w:val="annotation subject"/>
    <w:basedOn w:val="Textocomentario"/>
    <w:next w:val="Textocomentario"/>
    <w:semiHidden/>
    <w:rsid w:val="00882BEB"/>
    <w:rPr>
      <w:b/>
      <w:bCs/>
    </w:rPr>
  </w:style>
  <w:style w:type="paragraph" w:styleId="Mapadeldocumento">
    <w:name w:val="Document Map"/>
    <w:basedOn w:val="Normal"/>
    <w:semiHidden/>
    <w:rsid w:val="00882BEB"/>
    <w:pPr>
      <w:shd w:val="clear" w:color="auto" w:fill="000080"/>
    </w:pPr>
    <w:rPr>
      <w:rFonts w:ascii="Tahoma" w:hAnsi="Tahoma" w:cs="Tahoma"/>
    </w:rPr>
  </w:style>
  <w:style w:type="paragraph" w:styleId="Textonotapie">
    <w:name w:val="footnote text"/>
    <w:basedOn w:val="Normal"/>
    <w:link w:val="TextonotapieCar"/>
    <w:rsid w:val="00882BEB"/>
  </w:style>
  <w:style w:type="character" w:customStyle="1" w:styleId="TextonotapieCar">
    <w:name w:val="Texto nota pie Car"/>
    <w:link w:val="Textonotapie"/>
    <w:rsid w:val="00882BEB"/>
    <w:rPr>
      <w:lang w:val="es-ES_tradnl" w:eastAsia="en-US" w:bidi="ar-SA"/>
    </w:rPr>
  </w:style>
  <w:style w:type="character" w:styleId="Refdenotaalpie">
    <w:name w:val="footnote reference"/>
    <w:rsid w:val="00882BEB"/>
    <w:rPr>
      <w:vertAlign w:val="superscript"/>
    </w:rPr>
  </w:style>
  <w:style w:type="paragraph" w:styleId="Prrafodelista">
    <w:name w:val="List Paragraph"/>
    <w:basedOn w:val="Normal"/>
    <w:uiPriority w:val="34"/>
    <w:qFormat/>
    <w:rsid w:val="002E399F"/>
    <w:pPr>
      <w:ind w:left="720"/>
      <w:contextualSpacing/>
    </w:pPr>
  </w:style>
  <w:style w:type="character" w:customStyle="1" w:styleId="PiedepginaCar">
    <w:name w:val="Pie de página Car"/>
    <w:basedOn w:val="Fuentedeprrafopredeter"/>
    <w:link w:val="Piedepgina"/>
    <w:uiPriority w:val="99"/>
    <w:rsid w:val="00667D3D"/>
    <w:rPr>
      <w:spacing w:val="6"/>
      <w:lang w:val="es-ES_tradnl" w:eastAsia="en-US"/>
    </w:rPr>
  </w:style>
  <w:style w:type="character" w:customStyle="1" w:styleId="atitulo1Car">
    <w:name w:val="atitulo1 Car"/>
    <w:link w:val="atitulo1"/>
    <w:rsid w:val="0066012B"/>
    <w:rPr>
      <w:rFonts w:ascii="Arial" w:hAnsi="Arial"/>
      <w:b/>
      <w:color w:val="000000"/>
      <w:kern w:val="28"/>
      <w:sz w:val="25"/>
      <w:szCs w:val="26"/>
      <w:lang w:val="es-ES_tradnl" w:eastAsia="en-US"/>
    </w:rPr>
  </w:style>
  <w:style w:type="paragraph" w:customStyle="1" w:styleId="Default">
    <w:name w:val="Default"/>
    <w:rsid w:val="006C2717"/>
    <w:pPr>
      <w:autoSpaceDE w:val="0"/>
      <w:autoSpaceDN w:val="0"/>
      <w:adjustRightInd w:val="0"/>
    </w:pPr>
    <w:rPr>
      <w:rFonts w:ascii="Arial" w:hAnsi="Arial" w:cs="Arial"/>
      <w:color w:val="000000"/>
      <w:sz w:val="24"/>
      <w:szCs w:val="24"/>
    </w:rPr>
  </w:style>
  <w:style w:type="paragraph" w:customStyle="1" w:styleId="foral-f-parrafo-c">
    <w:name w:val="foral-f-parrafo-c"/>
    <w:basedOn w:val="Default"/>
    <w:next w:val="Default"/>
    <w:uiPriority w:val="99"/>
    <w:rsid w:val="006C2717"/>
    <w:rPr>
      <w:color w:val="auto"/>
    </w:rPr>
  </w:style>
  <w:style w:type="paragraph" w:styleId="Textoindependiente">
    <w:name w:val="Body Text"/>
    <w:basedOn w:val="Normal"/>
    <w:link w:val="TextoindependienteCar"/>
    <w:rsid w:val="00794AA5"/>
    <w:pPr>
      <w:spacing w:after="120"/>
      <w:ind w:firstLine="709"/>
    </w:pPr>
    <w:rPr>
      <w:rFonts w:ascii="Arial" w:hAnsi="Arial"/>
      <w:sz w:val="24"/>
      <w:lang w:eastAsia="es-ES"/>
    </w:rPr>
  </w:style>
  <w:style w:type="character" w:customStyle="1" w:styleId="TextoindependienteCar">
    <w:name w:val="Texto independiente Car"/>
    <w:basedOn w:val="Fuentedeprrafopredeter"/>
    <w:link w:val="Textoindependiente"/>
    <w:rsid w:val="00794AA5"/>
    <w:rPr>
      <w:rFonts w:ascii="Arial" w:hAnsi="Arial"/>
      <w:sz w:val="24"/>
      <w:lang w:val="es-ES_tradnl"/>
    </w:rPr>
  </w:style>
  <w:style w:type="paragraph" w:customStyle="1" w:styleId="Pa7">
    <w:name w:val="Pa7"/>
    <w:basedOn w:val="Default"/>
    <w:next w:val="Default"/>
    <w:uiPriority w:val="99"/>
    <w:rsid w:val="00B82623"/>
    <w:pPr>
      <w:spacing w:line="201" w:lineRule="atLeast"/>
    </w:pPr>
    <w:rPr>
      <w:color w:val="auto"/>
    </w:rPr>
  </w:style>
  <w:style w:type="character" w:customStyle="1" w:styleId="corchete-llamada1">
    <w:name w:val="corchete-llamada1"/>
    <w:basedOn w:val="Fuentedeprrafopredeter"/>
    <w:rsid w:val="00974DD3"/>
    <w:rPr>
      <w:vanish/>
      <w:webHidden w:val="0"/>
      <w:specVanish w:val="0"/>
    </w:rPr>
  </w:style>
  <w:style w:type="paragraph" w:customStyle="1" w:styleId="xl1">
    <w:name w:val="xl1"/>
    <w:basedOn w:val="Normal"/>
    <w:rsid w:val="00870FA1"/>
    <w:pPr>
      <w:spacing w:after="240"/>
      <w:ind w:left="300" w:right="75" w:hanging="225"/>
    </w:pPr>
    <w:rPr>
      <w:sz w:val="24"/>
      <w:szCs w:val="24"/>
      <w:lang w:val="es-ES" w:eastAsia="es-ES"/>
    </w:rPr>
  </w:style>
  <w:style w:type="paragraph" w:customStyle="1" w:styleId="xl2">
    <w:name w:val="xl2"/>
    <w:basedOn w:val="Normal"/>
    <w:rsid w:val="00E2009D"/>
    <w:pPr>
      <w:spacing w:after="240"/>
      <w:ind w:left="525" w:right="75" w:hanging="225"/>
    </w:pPr>
    <w:rPr>
      <w:sz w:val="24"/>
      <w:szCs w:val="24"/>
      <w:lang w:val="es-ES" w:eastAsia="es-ES"/>
    </w:rPr>
  </w:style>
  <w:style w:type="numbering" w:customStyle="1" w:styleId="Sinlista1">
    <w:name w:val="Sin lista1"/>
    <w:next w:val="Sinlista"/>
    <w:uiPriority w:val="99"/>
    <w:semiHidden/>
    <w:unhideWhenUsed/>
    <w:rsid w:val="00FC2CA4"/>
  </w:style>
  <w:style w:type="table" w:styleId="Sombreadoclaro">
    <w:name w:val="Light Shading"/>
    <w:aliases w:val="tabla informe"/>
    <w:basedOn w:val="Tablanormal"/>
    <w:uiPriority w:val="60"/>
    <w:rsid w:val="00FC2CA4"/>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9197CF" w:themeFill="text2" w:themeFillTint="66"/>
      </w:tcPr>
    </w:tblStylePr>
    <w:tblStylePr w:type="lastRow">
      <w:pPr>
        <w:spacing w:before="0" w:after="0" w:line="240" w:lineRule="auto"/>
        <w:jc w:val="right"/>
      </w:pPr>
      <w:rPr>
        <w:rFonts w:ascii="Arial" w:hAnsi="Arial"/>
        <w:b w:val="0"/>
        <w:bCs/>
        <w:sz w:val="18"/>
      </w:rPr>
      <w:tblPr/>
      <w:tcPr>
        <w:shd w:val="clear" w:color="auto" w:fill="9197CF"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table" w:customStyle="1" w:styleId="Tablaconcuadrcula1">
    <w:name w:val="Tabla con cuadrícula1"/>
    <w:basedOn w:val="Tablanormal"/>
    <w:next w:val="Tablaconcuadrcula"/>
    <w:uiPriority w:val="59"/>
    <w:rsid w:val="00FC2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C2CA4"/>
    <w:rPr>
      <w:rFonts w:ascii="Tahoma" w:hAnsi="Tahoma" w:cs="Tahoma"/>
      <w:sz w:val="16"/>
      <w:szCs w:val="16"/>
      <w:lang w:val="es-ES_tradnl" w:eastAsia="en-US"/>
    </w:rPr>
  </w:style>
  <w:style w:type="character" w:customStyle="1" w:styleId="Ttulo4Car">
    <w:name w:val="Título 4 Car"/>
    <w:basedOn w:val="Fuentedeprrafopredeter"/>
    <w:link w:val="Ttulo4"/>
    <w:uiPriority w:val="99"/>
    <w:rsid w:val="006535AB"/>
    <w:rPr>
      <w:b/>
      <w:bCs/>
      <w:sz w:val="28"/>
      <w:szCs w:val="28"/>
      <w:lang w:val="es-ES_tradnl" w:eastAsia="en-US"/>
    </w:rPr>
  </w:style>
  <w:style w:type="character" w:customStyle="1" w:styleId="Ttulo7Car">
    <w:name w:val="Título 7 Car"/>
    <w:basedOn w:val="Fuentedeprrafopredeter"/>
    <w:link w:val="Ttulo7"/>
    <w:uiPriority w:val="99"/>
    <w:rsid w:val="006535AB"/>
    <w:rPr>
      <w:sz w:val="52"/>
    </w:rPr>
  </w:style>
  <w:style w:type="character" w:customStyle="1" w:styleId="Ttulo1Car">
    <w:name w:val="Título 1 Car"/>
    <w:basedOn w:val="Fuentedeprrafopredeter"/>
    <w:link w:val="Ttulo1"/>
    <w:uiPriority w:val="99"/>
    <w:rsid w:val="006535AB"/>
    <w:rPr>
      <w:rFonts w:ascii="Arial" w:hAnsi="Arial" w:cs="Arial"/>
      <w:b/>
      <w:bCs/>
      <w:kern w:val="32"/>
      <w:sz w:val="32"/>
      <w:szCs w:val="32"/>
      <w:lang w:val="es-ES_tradnl" w:eastAsia="en-US"/>
    </w:rPr>
  </w:style>
  <w:style w:type="character" w:customStyle="1" w:styleId="Ttulo2Car">
    <w:name w:val="Título 2 Car"/>
    <w:basedOn w:val="Fuentedeprrafopredeter"/>
    <w:link w:val="Ttulo2"/>
    <w:uiPriority w:val="99"/>
    <w:rsid w:val="006535AB"/>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9"/>
    <w:rsid w:val="006535AB"/>
    <w:rPr>
      <w:rFonts w:ascii="Arial" w:hAnsi="Arial" w:cs="Arial"/>
      <w:b/>
      <w:bCs/>
      <w:szCs w:val="26"/>
      <w:lang w:val="es-ES_tradnl" w:eastAsia="en-US"/>
    </w:rPr>
  </w:style>
  <w:style w:type="character" w:customStyle="1" w:styleId="Ttulo5Car">
    <w:name w:val="Título 5 Car"/>
    <w:basedOn w:val="Fuentedeprrafopredeter"/>
    <w:link w:val="Ttulo5"/>
    <w:uiPriority w:val="99"/>
    <w:rsid w:val="006535AB"/>
    <w:rPr>
      <w:b/>
      <w:sz w:val="28"/>
      <w:lang w:eastAsia="en-US"/>
    </w:rPr>
  </w:style>
  <w:style w:type="paragraph" w:styleId="Ttulo">
    <w:name w:val="Title"/>
    <w:basedOn w:val="Normal"/>
    <w:next w:val="Normal"/>
    <w:link w:val="TtuloCar"/>
    <w:uiPriority w:val="10"/>
    <w:qFormat/>
    <w:rsid w:val="006535AB"/>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6535AB"/>
    <w:rPr>
      <w:rFonts w:asciiTheme="majorHAnsi" w:eastAsiaTheme="majorEastAsia" w:hAnsiTheme="majorHAnsi" w:cstheme="majorBidi"/>
      <w:color w:val="1B1D3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6535AB"/>
    <w:pPr>
      <w:numPr>
        <w:ilvl w:val="1"/>
      </w:numPr>
      <w:ind w:firstLine="567"/>
    </w:pPr>
    <w:rPr>
      <w:rFonts w:asciiTheme="majorHAnsi" w:eastAsiaTheme="majorEastAsia" w:hAnsiTheme="majorHAnsi" w:cstheme="majorBidi"/>
      <w:i/>
      <w:iCs/>
      <w:color w:val="629DD1" w:themeColor="accent1"/>
      <w:spacing w:val="15"/>
      <w:sz w:val="24"/>
      <w:szCs w:val="24"/>
    </w:rPr>
  </w:style>
  <w:style w:type="character" w:customStyle="1" w:styleId="SubttuloCar">
    <w:name w:val="Subtítulo Car"/>
    <w:basedOn w:val="Fuentedeprrafopredeter"/>
    <w:link w:val="Subttulo"/>
    <w:uiPriority w:val="11"/>
    <w:rsid w:val="006535AB"/>
    <w:rPr>
      <w:rFonts w:asciiTheme="majorHAnsi" w:eastAsiaTheme="majorEastAsia" w:hAnsiTheme="majorHAnsi" w:cstheme="majorBidi"/>
      <w:i/>
      <w:iCs/>
      <w:color w:val="629DD1" w:themeColor="accent1"/>
      <w:spacing w:val="15"/>
      <w:sz w:val="24"/>
      <w:szCs w:val="24"/>
      <w:lang w:val="es-ES_tradnl" w:eastAsia="en-US"/>
    </w:rPr>
  </w:style>
  <w:style w:type="character" w:styleId="Textoennegrita">
    <w:name w:val="Strong"/>
    <w:basedOn w:val="Fuentedeprrafopredeter"/>
    <w:uiPriority w:val="22"/>
    <w:qFormat/>
    <w:rsid w:val="006535AB"/>
    <w:rPr>
      <w:rFonts w:cs="Times New Roman"/>
      <w:b/>
    </w:rPr>
  </w:style>
  <w:style w:type="character" w:styleId="nfasis">
    <w:name w:val="Emphasis"/>
    <w:basedOn w:val="Fuentedeprrafopredeter"/>
    <w:uiPriority w:val="99"/>
    <w:qFormat/>
    <w:rsid w:val="006535AB"/>
    <w:rPr>
      <w:rFonts w:cs="Times New Roman"/>
      <w:i/>
      <w:iCs/>
    </w:rPr>
  </w:style>
  <w:style w:type="paragraph" w:styleId="Cita">
    <w:name w:val="Quote"/>
    <w:basedOn w:val="Normal"/>
    <w:next w:val="Normal"/>
    <w:link w:val="CitaCar"/>
    <w:uiPriority w:val="29"/>
    <w:qFormat/>
    <w:rsid w:val="006535AB"/>
    <w:rPr>
      <w:i/>
      <w:iCs/>
      <w:color w:val="000000" w:themeColor="text1"/>
    </w:rPr>
  </w:style>
  <w:style w:type="character" w:customStyle="1" w:styleId="CitaCar">
    <w:name w:val="Cita Car"/>
    <w:basedOn w:val="Fuentedeprrafopredeter"/>
    <w:link w:val="Cita"/>
    <w:uiPriority w:val="29"/>
    <w:rsid w:val="006535AB"/>
    <w:rPr>
      <w:i/>
      <w:iCs/>
      <w:color w:val="000000" w:themeColor="text1"/>
      <w:lang w:val="es-ES_tradnl" w:eastAsia="en-US"/>
    </w:rPr>
  </w:style>
  <w:style w:type="character" w:styleId="nfasissutil">
    <w:name w:val="Subtle Emphasis"/>
    <w:basedOn w:val="Fuentedeprrafopredeter"/>
    <w:uiPriority w:val="19"/>
    <w:qFormat/>
    <w:rsid w:val="006535AB"/>
    <w:rPr>
      <w:i/>
      <w:iCs/>
      <w:color w:val="808080" w:themeColor="text1" w:themeTint="7F"/>
    </w:rPr>
  </w:style>
  <w:style w:type="character" w:styleId="nfasisintenso">
    <w:name w:val="Intense Emphasis"/>
    <w:basedOn w:val="Fuentedeprrafopredeter"/>
    <w:uiPriority w:val="21"/>
    <w:qFormat/>
    <w:rsid w:val="006535AB"/>
    <w:rPr>
      <w:b/>
      <w:bCs/>
      <w:i/>
      <w:iCs/>
      <w:color w:val="629DD1" w:themeColor="accent1"/>
    </w:rPr>
  </w:style>
  <w:style w:type="character" w:styleId="Referenciasutil">
    <w:name w:val="Subtle Reference"/>
    <w:basedOn w:val="Fuentedeprrafopredeter"/>
    <w:uiPriority w:val="31"/>
    <w:qFormat/>
    <w:rsid w:val="006535AB"/>
    <w:rPr>
      <w:smallCaps/>
      <w:color w:val="297FD5" w:themeColor="accent2"/>
      <w:u w:val="single"/>
    </w:rPr>
  </w:style>
  <w:style w:type="character" w:styleId="Referenciaintensa">
    <w:name w:val="Intense Reference"/>
    <w:basedOn w:val="Fuentedeprrafopredeter"/>
    <w:uiPriority w:val="32"/>
    <w:qFormat/>
    <w:rsid w:val="006535AB"/>
    <w:rPr>
      <w:b/>
      <w:bCs/>
      <w:smallCaps/>
      <w:color w:val="297FD5" w:themeColor="accent2"/>
      <w:spacing w:val="5"/>
      <w:u w:val="single"/>
    </w:rPr>
  </w:style>
  <w:style w:type="character" w:customStyle="1" w:styleId="EncabezadoCar">
    <w:name w:val="Encabezado Car"/>
    <w:basedOn w:val="Fuentedeprrafopredeter"/>
    <w:link w:val="Encabezado"/>
    <w:rsid w:val="00074ECC"/>
    <w:rPr>
      <w:bCs/>
      <w:caps/>
      <w:sz w:val="14"/>
      <w:szCs w:val="12"/>
      <w:lang w:val="es-ES_tradnl" w:eastAsia="en-US"/>
    </w:rPr>
  </w:style>
  <w:style w:type="paragraph" w:styleId="Textoindependiente3">
    <w:name w:val="Body Text 3"/>
    <w:basedOn w:val="Normal"/>
    <w:link w:val="Textoindependiente3Car"/>
    <w:rsid w:val="00FB0A5A"/>
    <w:pPr>
      <w:spacing w:after="120"/>
    </w:pPr>
    <w:rPr>
      <w:sz w:val="16"/>
      <w:szCs w:val="16"/>
    </w:rPr>
  </w:style>
  <w:style w:type="character" w:customStyle="1" w:styleId="Textoindependiente3Car">
    <w:name w:val="Texto independiente 3 Car"/>
    <w:basedOn w:val="Fuentedeprrafopredeter"/>
    <w:link w:val="Textoindependiente3"/>
    <w:rsid w:val="00FB0A5A"/>
    <w:rPr>
      <w:sz w:val="16"/>
      <w:szCs w:val="16"/>
      <w:lang w:val="es-ES_tradnl" w:eastAsia="en-US"/>
    </w:rPr>
  </w:style>
  <w:style w:type="paragraph" w:styleId="Textosinformato">
    <w:name w:val="Plain Text"/>
    <w:basedOn w:val="Normal"/>
    <w:link w:val="TextosinformatoCar"/>
    <w:uiPriority w:val="99"/>
    <w:unhideWhenUsed/>
    <w:rsid w:val="00133BB9"/>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rsid w:val="00133BB9"/>
    <w:rPr>
      <w:rFonts w:ascii="Calibri" w:eastAsiaTheme="minorHAnsi" w:hAnsi="Calibri" w:cstheme="minorBidi"/>
      <w:sz w:val="22"/>
      <w:szCs w:val="21"/>
      <w:lang w:eastAsia="en-US"/>
    </w:rPr>
  </w:style>
  <w:style w:type="paragraph" w:customStyle="1" w:styleId="cuatitul">
    <w:name w:val="cuatitul"/>
    <w:basedOn w:val="Normal"/>
    <w:rsid w:val="00497839"/>
    <w:pPr>
      <w:spacing w:after="60"/>
      <w:ind w:firstLine="0"/>
      <w:jc w:val="center"/>
    </w:pPr>
    <w:rPr>
      <w:rFonts w:ascii="GillSans" w:hAnsi="GillSans"/>
      <w:sz w:val="22"/>
      <w:lang w:eastAsia="es-ES"/>
    </w:rPr>
  </w:style>
  <w:style w:type="paragraph" w:customStyle="1" w:styleId="Tabla">
    <w:name w:val="Tabla"/>
    <w:basedOn w:val="Normal"/>
    <w:rsid w:val="00497839"/>
    <w:pPr>
      <w:spacing w:after="0"/>
      <w:ind w:firstLine="0"/>
    </w:pPr>
    <w:rPr>
      <w:rFonts w:ascii="Arial" w:hAnsi="Arial"/>
      <w:sz w:val="16"/>
      <w:lang w:eastAsia="es-ES"/>
    </w:rPr>
  </w:style>
  <w:style w:type="character" w:customStyle="1" w:styleId="atitulo3Car">
    <w:name w:val="atitulo3 Car"/>
    <w:link w:val="atitulo3"/>
    <w:rsid w:val="004C3AFE"/>
    <w:rPr>
      <w:rFonts w:ascii="Arial" w:hAnsi="Arial"/>
      <w:i/>
      <w:iCs/>
      <w:color w:val="000000"/>
      <w:spacing w:val="10"/>
      <w:kern w:val="28"/>
      <w:sz w:val="25"/>
      <w:szCs w:val="26"/>
      <w:lang w:val="es-ES_tradnl" w:eastAsia="en-US"/>
    </w:rPr>
  </w:style>
  <w:style w:type="table" w:customStyle="1" w:styleId="Tablaconcuadrcula2">
    <w:name w:val="Tabla con cuadrícula2"/>
    <w:basedOn w:val="Tablanormal"/>
    <w:next w:val="Tablaconcuadrcula"/>
    <w:uiPriority w:val="59"/>
    <w:rsid w:val="00963DE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1">
    <w:name w:val="xa1"/>
    <w:basedOn w:val="Normal"/>
    <w:rsid w:val="00C42403"/>
    <w:pPr>
      <w:spacing w:after="240"/>
      <w:ind w:left="300" w:right="75" w:firstLine="0"/>
    </w:pPr>
    <w:rPr>
      <w:sz w:val="24"/>
      <w:szCs w:val="24"/>
      <w:lang w:val="es-ES" w:eastAsia="es-ES"/>
    </w:rPr>
  </w:style>
  <w:style w:type="character" w:customStyle="1" w:styleId="st1">
    <w:name w:val="st1"/>
    <w:basedOn w:val="Fuentedeprrafopredeter"/>
    <w:rsid w:val="007A4B43"/>
  </w:style>
  <w:style w:type="character" w:customStyle="1" w:styleId="apple-converted-space">
    <w:name w:val="apple-converted-space"/>
    <w:basedOn w:val="Fuentedeprrafopredeter"/>
    <w:rsid w:val="008B12F7"/>
  </w:style>
  <w:style w:type="paragraph" w:styleId="Textonotaalfinal">
    <w:name w:val="endnote text"/>
    <w:basedOn w:val="Normal"/>
    <w:link w:val="TextonotaalfinalCar"/>
    <w:rsid w:val="00D579FA"/>
    <w:pPr>
      <w:spacing w:after="0"/>
    </w:pPr>
  </w:style>
  <w:style w:type="character" w:customStyle="1" w:styleId="TextonotaalfinalCar">
    <w:name w:val="Texto nota al final Car"/>
    <w:basedOn w:val="Fuentedeprrafopredeter"/>
    <w:link w:val="Textonotaalfinal"/>
    <w:rsid w:val="00D579FA"/>
    <w:rPr>
      <w:lang w:val="es-ES_tradnl" w:eastAsia="en-US"/>
    </w:rPr>
  </w:style>
  <w:style w:type="character" w:styleId="Refdenotaalfinal">
    <w:name w:val="endnote reference"/>
    <w:basedOn w:val="Fuentedeprrafopredeter"/>
    <w:rsid w:val="00D579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47BD5"/>
    <w:pPr>
      <w:spacing w:after="140"/>
      <w:ind w:firstLine="567"/>
      <w:jc w:val="both"/>
    </w:pPr>
    <w:rPr>
      <w:lang w:val="es-ES_tradnl" w:eastAsia="en-US"/>
    </w:rPr>
  </w:style>
  <w:style w:type="paragraph" w:styleId="Ttulo1">
    <w:name w:val="heading 1"/>
    <w:basedOn w:val="Normal"/>
    <w:next w:val="Normal"/>
    <w:link w:val="Ttulo1Car"/>
    <w:uiPriority w:val="9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6535AB"/>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6535AB"/>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rsid w:val="001D4F09"/>
    <w:rPr>
      <w:spacing w:val="6"/>
      <w:sz w:val="26"/>
      <w:szCs w:val="24"/>
      <w:lang w:val="es-ES_tradnl" w:eastAsia="en-US" w:bidi="ar-SA"/>
    </w:rPr>
  </w:style>
  <w:style w:type="paragraph" w:customStyle="1" w:styleId="recomen">
    <w:name w:val="recomen"/>
    <w:basedOn w:val="texto"/>
    <w:rsid w:val="001D4F09"/>
    <w:pPr>
      <w:numPr>
        <w:numId w:val="2"/>
      </w:numPr>
      <w:tabs>
        <w:tab w:val="clear" w:pos="2835"/>
        <w:tab w:val="clear" w:pos="3969"/>
        <w:tab w:val="clear" w:pos="5103"/>
        <w:tab w:val="clear" w:pos="6237"/>
        <w:tab w:val="clear" w:pos="7371"/>
      </w:tabs>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character" w:customStyle="1" w:styleId="atitulo2Car">
    <w:name w:val="atitulo2 Car"/>
    <w:link w:val="atitulo2"/>
    <w:rsid w:val="00882BEB"/>
    <w:rPr>
      <w:rFonts w:ascii="Arial" w:hAnsi="Arial"/>
      <w:bCs/>
      <w:iCs/>
      <w:color w:val="000000"/>
      <w:spacing w:val="10"/>
      <w:kern w:val="28"/>
      <w:sz w:val="25"/>
      <w:szCs w:val="26"/>
      <w:lang w:val="es-ES_tradnl" w:eastAsia="en-US" w:bidi="ar-SA"/>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FA7886"/>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8C27C2"/>
    <w:pPr>
      <w:tabs>
        <w:tab w:val="right" w:leader="dot" w:pos="8930"/>
      </w:tabs>
      <w:spacing w:after="0"/>
      <w:ind w:left="378" w:firstLine="0"/>
      <w:jc w:val="left"/>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Epgrafe">
    <w:name w:val="caption"/>
    <w:basedOn w:val="Normal"/>
    <w:next w:val="Normal"/>
    <w:uiPriority w:val="99"/>
    <w:qFormat/>
    <w:rsid w:val="00891D73"/>
    <w:rPr>
      <w:b/>
      <w:bCs/>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uiPriority w:val="99"/>
    <w:qFormat/>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customStyle="1" w:styleId="Estndar">
    <w:name w:val="Estándar"/>
    <w:rsid w:val="00882BEB"/>
    <w:pPr>
      <w:snapToGrid w:val="0"/>
    </w:pPr>
    <w:rPr>
      <w:rFonts w:ascii="CG Omega" w:hAnsi="CG Omega"/>
      <w:color w:val="000000"/>
      <w:sz w:val="22"/>
    </w:rPr>
  </w:style>
  <w:style w:type="paragraph" w:customStyle="1" w:styleId="tabla10">
    <w:name w:val="tabla10"/>
    <w:rsid w:val="00882BEB"/>
    <w:pPr>
      <w:tabs>
        <w:tab w:val="left" w:pos="567"/>
        <w:tab w:val="left" w:pos="1134"/>
      </w:tabs>
      <w:snapToGrid w:val="0"/>
    </w:pPr>
    <w:rPr>
      <w:rFonts w:ascii="CG Times" w:hAnsi="CG Times"/>
      <w:color w:val="000000"/>
    </w:rPr>
  </w:style>
  <w:style w:type="paragraph" w:styleId="NormalWeb">
    <w:name w:val="Normal (Web)"/>
    <w:basedOn w:val="Normal"/>
    <w:uiPriority w:val="99"/>
    <w:rsid w:val="00882BEB"/>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semiHidden/>
    <w:rsid w:val="00882BEB"/>
  </w:style>
  <w:style w:type="character" w:customStyle="1" w:styleId="TextocomentarioCar">
    <w:name w:val="Texto comentario Car"/>
    <w:link w:val="Textocomentario"/>
    <w:semiHidden/>
    <w:rsid w:val="00882BEB"/>
    <w:rPr>
      <w:lang w:val="es-ES_tradnl" w:eastAsia="en-US" w:bidi="ar-SA"/>
    </w:rPr>
  </w:style>
  <w:style w:type="paragraph" w:styleId="Asuntodelcomentario">
    <w:name w:val="annotation subject"/>
    <w:basedOn w:val="Textocomentario"/>
    <w:next w:val="Textocomentario"/>
    <w:semiHidden/>
    <w:rsid w:val="00882BEB"/>
    <w:rPr>
      <w:b/>
      <w:bCs/>
    </w:rPr>
  </w:style>
  <w:style w:type="paragraph" w:styleId="Mapadeldocumento">
    <w:name w:val="Document Map"/>
    <w:basedOn w:val="Normal"/>
    <w:semiHidden/>
    <w:rsid w:val="00882BEB"/>
    <w:pPr>
      <w:shd w:val="clear" w:color="auto" w:fill="000080"/>
    </w:pPr>
    <w:rPr>
      <w:rFonts w:ascii="Tahoma" w:hAnsi="Tahoma" w:cs="Tahoma"/>
    </w:rPr>
  </w:style>
  <w:style w:type="paragraph" w:styleId="Textonotapie">
    <w:name w:val="footnote text"/>
    <w:basedOn w:val="Normal"/>
    <w:link w:val="TextonotapieCar"/>
    <w:rsid w:val="00882BEB"/>
  </w:style>
  <w:style w:type="character" w:customStyle="1" w:styleId="TextonotapieCar">
    <w:name w:val="Texto nota pie Car"/>
    <w:link w:val="Textonotapie"/>
    <w:rsid w:val="00882BEB"/>
    <w:rPr>
      <w:lang w:val="es-ES_tradnl" w:eastAsia="en-US" w:bidi="ar-SA"/>
    </w:rPr>
  </w:style>
  <w:style w:type="character" w:styleId="Refdenotaalpie">
    <w:name w:val="footnote reference"/>
    <w:rsid w:val="00882BEB"/>
    <w:rPr>
      <w:vertAlign w:val="superscript"/>
    </w:rPr>
  </w:style>
  <w:style w:type="paragraph" w:styleId="Prrafodelista">
    <w:name w:val="List Paragraph"/>
    <w:basedOn w:val="Normal"/>
    <w:uiPriority w:val="34"/>
    <w:qFormat/>
    <w:rsid w:val="002E399F"/>
    <w:pPr>
      <w:ind w:left="720"/>
      <w:contextualSpacing/>
    </w:pPr>
  </w:style>
  <w:style w:type="character" w:customStyle="1" w:styleId="PiedepginaCar">
    <w:name w:val="Pie de página Car"/>
    <w:basedOn w:val="Fuentedeprrafopredeter"/>
    <w:link w:val="Piedepgina"/>
    <w:uiPriority w:val="99"/>
    <w:rsid w:val="00667D3D"/>
    <w:rPr>
      <w:spacing w:val="6"/>
      <w:lang w:val="es-ES_tradnl" w:eastAsia="en-US"/>
    </w:rPr>
  </w:style>
  <w:style w:type="character" w:customStyle="1" w:styleId="atitulo1Car">
    <w:name w:val="atitulo1 Car"/>
    <w:link w:val="atitulo1"/>
    <w:rsid w:val="0066012B"/>
    <w:rPr>
      <w:rFonts w:ascii="Arial" w:hAnsi="Arial"/>
      <w:b/>
      <w:color w:val="000000"/>
      <w:kern w:val="28"/>
      <w:sz w:val="25"/>
      <w:szCs w:val="26"/>
      <w:lang w:val="es-ES_tradnl" w:eastAsia="en-US"/>
    </w:rPr>
  </w:style>
  <w:style w:type="paragraph" w:customStyle="1" w:styleId="Default">
    <w:name w:val="Default"/>
    <w:rsid w:val="006C2717"/>
    <w:pPr>
      <w:autoSpaceDE w:val="0"/>
      <w:autoSpaceDN w:val="0"/>
      <w:adjustRightInd w:val="0"/>
    </w:pPr>
    <w:rPr>
      <w:rFonts w:ascii="Arial" w:hAnsi="Arial" w:cs="Arial"/>
      <w:color w:val="000000"/>
      <w:sz w:val="24"/>
      <w:szCs w:val="24"/>
    </w:rPr>
  </w:style>
  <w:style w:type="paragraph" w:customStyle="1" w:styleId="foral-f-parrafo-c">
    <w:name w:val="foral-f-parrafo-c"/>
    <w:basedOn w:val="Default"/>
    <w:next w:val="Default"/>
    <w:uiPriority w:val="99"/>
    <w:rsid w:val="006C2717"/>
    <w:rPr>
      <w:color w:val="auto"/>
    </w:rPr>
  </w:style>
  <w:style w:type="paragraph" w:styleId="Textoindependiente">
    <w:name w:val="Body Text"/>
    <w:basedOn w:val="Normal"/>
    <w:link w:val="TextoindependienteCar"/>
    <w:rsid w:val="00794AA5"/>
    <w:pPr>
      <w:spacing w:after="120"/>
      <w:ind w:firstLine="709"/>
    </w:pPr>
    <w:rPr>
      <w:rFonts w:ascii="Arial" w:hAnsi="Arial"/>
      <w:sz w:val="24"/>
      <w:lang w:eastAsia="es-ES"/>
    </w:rPr>
  </w:style>
  <w:style w:type="character" w:customStyle="1" w:styleId="TextoindependienteCar">
    <w:name w:val="Texto independiente Car"/>
    <w:basedOn w:val="Fuentedeprrafopredeter"/>
    <w:link w:val="Textoindependiente"/>
    <w:rsid w:val="00794AA5"/>
    <w:rPr>
      <w:rFonts w:ascii="Arial" w:hAnsi="Arial"/>
      <w:sz w:val="24"/>
      <w:lang w:val="es-ES_tradnl"/>
    </w:rPr>
  </w:style>
  <w:style w:type="paragraph" w:customStyle="1" w:styleId="Pa7">
    <w:name w:val="Pa7"/>
    <w:basedOn w:val="Default"/>
    <w:next w:val="Default"/>
    <w:uiPriority w:val="99"/>
    <w:rsid w:val="00B82623"/>
    <w:pPr>
      <w:spacing w:line="201" w:lineRule="atLeast"/>
    </w:pPr>
    <w:rPr>
      <w:color w:val="auto"/>
    </w:rPr>
  </w:style>
  <w:style w:type="character" w:customStyle="1" w:styleId="corchete-llamada1">
    <w:name w:val="corchete-llamada1"/>
    <w:basedOn w:val="Fuentedeprrafopredeter"/>
    <w:rsid w:val="00974DD3"/>
    <w:rPr>
      <w:vanish/>
      <w:webHidden w:val="0"/>
      <w:specVanish w:val="0"/>
    </w:rPr>
  </w:style>
  <w:style w:type="paragraph" w:customStyle="1" w:styleId="xl1">
    <w:name w:val="xl1"/>
    <w:basedOn w:val="Normal"/>
    <w:rsid w:val="00870FA1"/>
    <w:pPr>
      <w:spacing w:after="240"/>
      <w:ind w:left="300" w:right="75" w:hanging="225"/>
    </w:pPr>
    <w:rPr>
      <w:sz w:val="24"/>
      <w:szCs w:val="24"/>
      <w:lang w:val="es-ES" w:eastAsia="es-ES"/>
    </w:rPr>
  </w:style>
  <w:style w:type="paragraph" w:customStyle="1" w:styleId="xl2">
    <w:name w:val="xl2"/>
    <w:basedOn w:val="Normal"/>
    <w:rsid w:val="00E2009D"/>
    <w:pPr>
      <w:spacing w:after="240"/>
      <w:ind w:left="525" w:right="75" w:hanging="225"/>
    </w:pPr>
    <w:rPr>
      <w:sz w:val="24"/>
      <w:szCs w:val="24"/>
      <w:lang w:val="es-ES" w:eastAsia="es-ES"/>
    </w:rPr>
  </w:style>
  <w:style w:type="numbering" w:customStyle="1" w:styleId="Sinlista1">
    <w:name w:val="Sin lista1"/>
    <w:next w:val="Sinlista"/>
    <w:uiPriority w:val="99"/>
    <w:semiHidden/>
    <w:unhideWhenUsed/>
    <w:rsid w:val="00FC2CA4"/>
  </w:style>
  <w:style w:type="table" w:styleId="Sombreadoclaro">
    <w:name w:val="Light Shading"/>
    <w:aliases w:val="tabla informe"/>
    <w:basedOn w:val="Tablanormal"/>
    <w:uiPriority w:val="60"/>
    <w:rsid w:val="00FC2CA4"/>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9197CF" w:themeFill="text2" w:themeFillTint="66"/>
      </w:tcPr>
    </w:tblStylePr>
    <w:tblStylePr w:type="lastRow">
      <w:pPr>
        <w:spacing w:before="0" w:after="0" w:line="240" w:lineRule="auto"/>
        <w:jc w:val="right"/>
      </w:pPr>
      <w:rPr>
        <w:rFonts w:ascii="Arial" w:hAnsi="Arial"/>
        <w:b w:val="0"/>
        <w:bCs/>
        <w:sz w:val="18"/>
      </w:rPr>
      <w:tblPr/>
      <w:tcPr>
        <w:shd w:val="clear" w:color="auto" w:fill="9197CF"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table" w:customStyle="1" w:styleId="Tablaconcuadrcula1">
    <w:name w:val="Tabla con cuadrícula1"/>
    <w:basedOn w:val="Tablanormal"/>
    <w:next w:val="Tablaconcuadrcula"/>
    <w:uiPriority w:val="59"/>
    <w:rsid w:val="00FC2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C2CA4"/>
    <w:rPr>
      <w:rFonts w:ascii="Tahoma" w:hAnsi="Tahoma" w:cs="Tahoma"/>
      <w:sz w:val="16"/>
      <w:szCs w:val="16"/>
      <w:lang w:val="es-ES_tradnl" w:eastAsia="en-US"/>
    </w:rPr>
  </w:style>
  <w:style w:type="character" w:customStyle="1" w:styleId="Ttulo4Car">
    <w:name w:val="Título 4 Car"/>
    <w:basedOn w:val="Fuentedeprrafopredeter"/>
    <w:link w:val="Ttulo4"/>
    <w:uiPriority w:val="99"/>
    <w:rsid w:val="006535AB"/>
    <w:rPr>
      <w:b/>
      <w:bCs/>
      <w:sz w:val="28"/>
      <w:szCs w:val="28"/>
      <w:lang w:val="es-ES_tradnl" w:eastAsia="en-US"/>
    </w:rPr>
  </w:style>
  <w:style w:type="character" w:customStyle="1" w:styleId="Ttulo7Car">
    <w:name w:val="Título 7 Car"/>
    <w:basedOn w:val="Fuentedeprrafopredeter"/>
    <w:link w:val="Ttulo7"/>
    <w:uiPriority w:val="99"/>
    <w:rsid w:val="006535AB"/>
    <w:rPr>
      <w:sz w:val="52"/>
    </w:rPr>
  </w:style>
  <w:style w:type="character" w:customStyle="1" w:styleId="Ttulo1Car">
    <w:name w:val="Título 1 Car"/>
    <w:basedOn w:val="Fuentedeprrafopredeter"/>
    <w:link w:val="Ttulo1"/>
    <w:uiPriority w:val="99"/>
    <w:rsid w:val="006535AB"/>
    <w:rPr>
      <w:rFonts w:ascii="Arial" w:hAnsi="Arial" w:cs="Arial"/>
      <w:b/>
      <w:bCs/>
      <w:kern w:val="32"/>
      <w:sz w:val="32"/>
      <w:szCs w:val="32"/>
      <w:lang w:val="es-ES_tradnl" w:eastAsia="en-US"/>
    </w:rPr>
  </w:style>
  <w:style w:type="character" w:customStyle="1" w:styleId="Ttulo2Car">
    <w:name w:val="Título 2 Car"/>
    <w:basedOn w:val="Fuentedeprrafopredeter"/>
    <w:link w:val="Ttulo2"/>
    <w:uiPriority w:val="99"/>
    <w:rsid w:val="006535AB"/>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9"/>
    <w:rsid w:val="006535AB"/>
    <w:rPr>
      <w:rFonts w:ascii="Arial" w:hAnsi="Arial" w:cs="Arial"/>
      <w:b/>
      <w:bCs/>
      <w:szCs w:val="26"/>
      <w:lang w:val="es-ES_tradnl" w:eastAsia="en-US"/>
    </w:rPr>
  </w:style>
  <w:style w:type="character" w:customStyle="1" w:styleId="Ttulo5Car">
    <w:name w:val="Título 5 Car"/>
    <w:basedOn w:val="Fuentedeprrafopredeter"/>
    <w:link w:val="Ttulo5"/>
    <w:uiPriority w:val="99"/>
    <w:rsid w:val="006535AB"/>
    <w:rPr>
      <w:b/>
      <w:sz w:val="28"/>
      <w:lang w:eastAsia="en-US"/>
    </w:rPr>
  </w:style>
  <w:style w:type="paragraph" w:styleId="Ttulo">
    <w:name w:val="Title"/>
    <w:basedOn w:val="Normal"/>
    <w:next w:val="Normal"/>
    <w:link w:val="TtuloCar"/>
    <w:uiPriority w:val="10"/>
    <w:qFormat/>
    <w:rsid w:val="006535AB"/>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6535AB"/>
    <w:rPr>
      <w:rFonts w:asciiTheme="majorHAnsi" w:eastAsiaTheme="majorEastAsia" w:hAnsiTheme="majorHAnsi" w:cstheme="majorBidi"/>
      <w:color w:val="1B1D3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6535AB"/>
    <w:pPr>
      <w:numPr>
        <w:ilvl w:val="1"/>
      </w:numPr>
      <w:ind w:firstLine="567"/>
    </w:pPr>
    <w:rPr>
      <w:rFonts w:asciiTheme="majorHAnsi" w:eastAsiaTheme="majorEastAsia" w:hAnsiTheme="majorHAnsi" w:cstheme="majorBidi"/>
      <w:i/>
      <w:iCs/>
      <w:color w:val="629DD1" w:themeColor="accent1"/>
      <w:spacing w:val="15"/>
      <w:sz w:val="24"/>
      <w:szCs w:val="24"/>
    </w:rPr>
  </w:style>
  <w:style w:type="character" w:customStyle="1" w:styleId="SubttuloCar">
    <w:name w:val="Subtítulo Car"/>
    <w:basedOn w:val="Fuentedeprrafopredeter"/>
    <w:link w:val="Subttulo"/>
    <w:uiPriority w:val="11"/>
    <w:rsid w:val="006535AB"/>
    <w:rPr>
      <w:rFonts w:asciiTheme="majorHAnsi" w:eastAsiaTheme="majorEastAsia" w:hAnsiTheme="majorHAnsi" w:cstheme="majorBidi"/>
      <w:i/>
      <w:iCs/>
      <w:color w:val="629DD1" w:themeColor="accent1"/>
      <w:spacing w:val="15"/>
      <w:sz w:val="24"/>
      <w:szCs w:val="24"/>
      <w:lang w:val="es-ES_tradnl" w:eastAsia="en-US"/>
    </w:rPr>
  </w:style>
  <w:style w:type="character" w:styleId="Textoennegrita">
    <w:name w:val="Strong"/>
    <w:basedOn w:val="Fuentedeprrafopredeter"/>
    <w:uiPriority w:val="22"/>
    <w:qFormat/>
    <w:rsid w:val="006535AB"/>
    <w:rPr>
      <w:rFonts w:cs="Times New Roman"/>
      <w:b/>
    </w:rPr>
  </w:style>
  <w:style w:type="character" w:styleId="nfasis">
    <w:name w:val="Emphasis"/>
    <w:basedOn w:val="Fuentedeprrafopredeter"/>
    <w:uiPriority w:val="99"/>
    <w:qFormat/>
    <w:rsid w:val="006535AB"/>
    <w:rPr>
      <w:rFonts w:cs="Times New Roman"/>
      <w:i/>
      <w:iCs/>
    </w:rPr>
  </w:style>
  <w:style w:type="paragraph" w:styleId="Cita">
    <w:name w:val="Quote"/>
    <w:basedOn w:val="Normal"/>
    <w:next w:val="Normal"/>
    <w:link w:val="CitaCar"/>
    <w:uiPriority w:val="29"/>
    <w:qFormat/>
    <w:rsid w:val="006535AB"/>
    <w:rPr>
      <w:i/>
      <w:iCs/>
      <w:color w:val="000000" w:themeColor="text1"/>
    </w:rPr>
  </w:style>
  <w:style w:type="character" w:customStyle="1" w:styleId="CitaCar">
    <w:name w:val="Cita Car"/>
    <w:basedOn w:val="Fuentedeprrafopredeter"/>
    <w:link w:val="Cita"/>
    <w:uiPriority w:val="29"/>
    <w:rsid w:val="006535AB"/>
    <w:rPr>
      <w:i/>
      <w:iCs/>
      <w:color w:val="000000" w:themeColor="text1"/>
      <w:lang w:val="es-ES_tradnl" w:eastAsia="en-US"/>
    </w:rPr>
  </w:style>
  <w:style w:type="character" w:styleId="nfasissutil">
    <w:name w:val="Subtle Emphasis"/>
    <w:basedOn w:val="Fuentedeprrafopredeter"/>
    <w:uiPriority w:val="19"/>
    <w:qFormat/>
    <w:rsid w:val="006535AB"/>
    <w:rPr>
      <w:i/>
      <w:iCs/>
      <w:color w:val="808080" w:themeColor="text1" w:themeTint="7F"/>
    </w:rPr>
  </w:style>
  <w:style w:type="character" w:styleId="nfasisintenso">
    <w:name w:val="Intense Emphasis"/>
    <w:basedOn w:val="Fuentedeprrafopredeter"/>
    <w:uiPriority w:val="21"/>
    <w:qFormat/>
    <w:rsid w:val="006535AB"/>
    <w:rPr>
      <w:b/>
      <w:bCs/>
      <w:i/>
      <w:iCs/>
      <w:color w:val="629DD1" w:themeColor="accent1"/>
    </w:rPr>
  </w:style>
  <w:style w:type="character" w:styleId="Referenciasutil">
    <w:name w:val="Subtle Reference"/>
    <w:basedOn w:val="Fuentedeprrafopredeter"/>
    <w:uiPriority w:val="31"/>
    <w:qFormat/>
    <w:rsid w:val="006535AB"/>
    <w:rPr>
      <w:smallCaps/>
      <w:color w:val="297FD5" w:themeColor="accent2"/>
      <w:u w:val="single"/>
    </w:rPr>
  </w:style>
  <w:style w:type="character" w:styleId="Referenciaintensa">
    <w:name w:val="Intense Reference"/>
    <w:basedOn w:val="Fuentedeprrafopredeter"/>
    <w:uiPriority w:val="32"/>
    <w:qFormat/>
    <w:rsid w:val="006535AB"/>
    <w:rPr>
      <w:b/>
      <w:bCs/>
      <w:smallCaps/>
      <w:color w:val="297FD5" w:themeColor="accent2"/>
      <w:spacing w:val="5"/>
      <w:u w:val="single"/>
    </w:rPr>
  </w:style>
  <w:style w:type="character" w:customStyle="1" w:styleId="EncabezadoCar">
    <w:name w:val="Encabezado Car"/>
    <w:basedOn w:val="Fuentedeprrafopredeter"/>
    <w:link w:val="Encabezado"/>
    <w:rsid w:val="00074ECC"/>
    <w:rPr>
      <w:bCs/>
      <w:caps/>
      <w:sz w:val="14"/>
      <w:szCs w:val="12"/>
      <w:lang w:val="es-ES_tradnl" w:eastAsia="en-US"/>
    </w:rPr>
  </w:style>
  <w:style w:type="paragraph" w:styleId="Textoindependiente3">
    <w:name w:val="Body Text 3"/>
    <w:basedOn w:val="Normal"/>
    <w:link w:val="Textoindependiente3Car"/>
    <w:rsid w:val="00FB0A5A"/>
    <w:pPr>
      <w:spacing w:after="120"/>
    </w:pPr>
    <w:rPr>
      <w:sz w:val="16"/>
      <w:szCs w:val="16"/>
    </w:rPr>
  </w:style>
  <w:style w:type="character" w:customStyle="1" w:styleId="Textoindependiente3Car">
    <w:name w:val="Texto independiente 3 Car"/>
    <w:basedOn w:val="Fuentedeprrafopredeter"/>
    <w:link w:val="Textoindependiente3"/>
    <w:rsid w:val="00FB0A5A"/>
    <w:rPr>
      <w:sz w:val="16"/>
      <w:szCs w:val="16"/>
      <w:lang w:val="es-ES_tradnl" w:eastAsia="en-US"/>
    </w:rPr>
  </w:style>
  <w:style w:type="paragraph" w:styleId="Textosinformato">
    <w:name w:val="Plain Text"/>
    <w:basedOn w:val="Normal"/>
    <w:link w:val="TextosinformatoCar"/>
    <w:uiPriority w:val="99"/>
    <w:unhideWhenUsed/>
    <w:rsid w:val="00133BB9"/>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rsid w:val="00133BB9"/>
    <w:rPr>
      <w:rFonts w:ascii="Calibri" w:eastAsiaTheme="minorHAnsi" w:hAnsi="Calibri" w:cstheme="minorBidi"/>
      <w:sz w:val="22"/>
      <w:szCs w:val="21"/>
      <w:lang w:eastAsia="en-US"/>
    </w:rPr>
  </w:style>
  <w:style w:type="paragraph" w:customStyle="1" w:styleId="cuatitul">
    <w:name w:val="cuatitul"/>
    <w:basedOn w:val="Normal"/>
    <w:rsid w:val="00497839"/>
    <w:pPr>
      <w:spacing w:after="60"/>
      <w:ind w:firstLine="0"/>
      <w:jc w:val="center"/>
    </w:pPr>
    <w:rPr>
      <w:rFonts w:ascii="GillSans" w:hAnsi="GillSans"/>
      <w:sz w:val="22"/>
      <w:lang w:eastAsia="es-ES"/>
    </w:rPr>
  </w:style>
  <w:style w:type="paragraph" w:customStyle="1" w:styleId="Tabla">
    <w:name w:val="Tabla"/>
    <w:basedOn w:val="Normal"/>
    <w:rsid w:val="00497839"/>
    <w:pPr>
      <w:spacing w:after="0"/>
      <w:ind w:firstLine="0"/>
    </w:pPr>
    <w:rPr>
      <w:rFonts w:ascii="Arial" w:hAnsi="Arial"/>
      <w:sz w:val="16"/>
      <w:lang w:eastAsia="es-ES"/>
    </w:rPr>
  </w:style>
  <w:style w:type="character" w:customStyle="1" w:styleId="atitulo3Car">
    <w:name w:val="atitulo3 Car"/>
    <w:link w:val="atitulo3"/>
    <w:rsid w:val="004C3AFE"/>
    <w:rPr>
      <w:rFonts w:ascii="Arial" w:hAnsi="Arial"/>
      <w:i/>
      <w:iCs/>
      <w:color w:val="000000"/>
      <w:spacing w:val="10"/>
      <w:kern w:val="28"/>
      <w:sz w:val="25"/>
      <w:szCs w:val="26"/>
      <w:lang w:val="es-ES_tradnl" w:eastAsia="en-US"/>
    </w:rPr>
  </w:style>
  <w:style w:type="table" w:customStyle="1" w:styleId="Tablaconcuadrcula2">
    <w:name w:val="Tabla con cuadrícula2"/>
    <w:basedOn w:val="Tablanormal"/>
    <w:next w:val="Tablaconcuadrcula"/>
    <w:uiPriority w:val="59"/>
    <w:rsid w:val="00963DE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1">
    <w:name w:val="xa1"/>
    <w:basedOn w:val="Normal"/>
    <w:rsid w:val="00C42403"/>
    <w:pPr>
      <w:spacing w:after="240"/>
      <w:ind w:left="300" w:right="75" w:firstLine="0"/>
    </w:pPr>
    <w:rPr>
      <w:sz w:val="24"/>
      <w:szCs w:val="24"/>
      <w:lang w:val="es-ES" w:eastAsia="es-ES"/>
    </w:rPr>
  </w:style>
  <w:style w:type="character" w:customStyle="1" w:styleId="st1">
    <w:name w:val="st1"/>
    <w:basedOn w:val="Fuentedeprrafopredeter"/>
    <w:rsid w:val="007A4B43"/>
  </w:style>
  <w:style w:type="character" w:customStyle="1" w:styleId="apple-converted-space">
    <w:name w:val="apple-converted-space"/>
    <w:basedOn w:val="Fuentedeprrafopredeter"/>
    <w:rsid w:val="008B12F7"/>
  </w:style>
  <w:style w:type="paragraph" w:styleId="Textonotaalfinal">
    <w:name w:val="endnote text"/>
    <w:basedOn w:val="Normal"/>
    <w:link w:val="TextonotaalfinalCar"/>
    <w:rsid w:val="00D579FA"/>
    <w:pPr>
      <w:spacing w:after="0"/>
    </w:pPr>
  </w:style>
  <w:style w:type="character" w:customStyle="1" w:styleId="TextonotaalfinalCar">
    <w:name w:val="Texto nota al final Car"/>
    <w:basedOn w:val="Fuentedeprrafopredeter"/>
    <w:link w:val="Textonotaalfinal"/>
    <w:rsid w:val="00D579FA"/>
    <w:rPr>
      <w:lang w:val="es-ES_tradnl" w:eastAsia="en-US"/>
    </w:rPr>
  </w:style>
  <w:style w:type="character" w:styleId="Refdenotaalfinal">
    <w:name w:val="endnote reference"/>
    <w:basedOn w:val="Fuentedeprrafopredeter"/>
    <w:rsid w:val="00D57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53">
      <w:bodyDiv w:val="1"/>
      <w:marLeft w:val="0"/>
      <w:marRight w:val="0"/>
      <w:marTop w:val="0"/>
      <w:marBottom w:val="0"/>
      <w:divBdr>
        <w:top w:val="none" w:sz="0" w:space="0" w:color="auto"/>
        <w:left w:val="none" w:sz="0" w:space="0" w:color="auto"/>
        <w:bottom w:val="none" w:sz="0" w:space="0" w:color="auto"/>
        <w:right w:val="none" w:sz="0" w:space="0" w:color="auto"/>
      </w:divBdr>
    </w:div>
    <w:div w:id="16735955">
      <w:bodyDiv w:val="1"/>
      <w:marLeft w:val="0"/>
      <w:marRight w:val="0"/>
      <w:marTop w:val="0"/>
      <w:marBottom w:val="0"/>
      <w:divBdr>
        <w:top w:val="none" w:sz="0" w:space="0" w:color="auto"/>
        <w:left w:val="none" w:sz="0" w:space="0" w:color="auto"/>
        <w:bottom w:val="none" w:sz="0" w:space="0" w:color="auto"/>
        <w:right w:val="none" w:sz="0" w:space="0" w:color="auto"/>
      </w:divBdr>
    </w:div>
    <w:div w:id="17124647">
      <w:bodyDiv w:val="1"/>
      <w:marLeft w:val="0"/>
      <w:marRight w:val="0"/>
      <w:marTop w:val="0"/>
      <w:marBottom w:val="0"/>
      <w:divBdr>
        <w:top w:val="none" w:sz="0" w:space="0" w:color="auto"/>
        <w:left w:val="none" w:sz="0" w:space="0" w:color="auto"/>
        <w:bottom w:val="none" w:sz="0" w:space="0" w:color="auto"/>
        <w:right w:val="none" w:sz="0" w:space="0" w:color="auto"/>
      </w:divBdr>
    </w:div>
    <w:div w:id="47460152">
      <w:bodyDiv w:val="1"/>
      <w:marLeft w:val="0"/>
      <w:marRight w:val="0"/>
      <w:marTop w:val="0"/>
      <w:marBottom w:val="0"/>
      <w:divBdr>
        <w:top w:val="none" w:sz="0" w:space="0" w:color="auto"/>
        <w:left w:val="none" w:sz="0" w:space="0" w:color="auto"/>
        <w:bottom w:val="none" w:sz="0" w:space="0" w:color="auto"/>
        <w:right w:val="none" w:sz="0" w:space="0" w:color="auto"/>
      </w:divBdr>
    </w:div>
    <w:div w:id="50621157">
      <w:bodyDiv w:val="1"/>
      <w:marLeft w:val="0"/>
      <w:marRight w:val="0"/>
      <w:marTop w:val="0"/>
      <w:marBottom w:val="0"/>
      <w:divBdr>
        <w:top w:val="none" w:sz="0" w:space="0" w:color="auto"/>
        <w:left w:val="none" w:sz="0" w:space="0" w:color="auto"/>
        <w:bottom w:val="none" w:sz="0" w:space="0" w:color="auto"/>
        <w:right w:val="none" w:sz="0" w:space="0" w:color="auto"/>
      </w:divBdr>
    </w:div>
    <w:div w:id="56435535">
      <w:bodyDiv w:val="1"/>
      <w:marLeft w:val="0"/>
      <w:marRight w:val="0"/>
      <w:marTop w:val="0"/>
      <w:marBottom w:val="0"/>
      <w:divBdr>
        <w:top w:val="none" w:sz="0" w:space="0" w:color="auto"/>
        <w:left w:val="none" w:sz="0" w:space="0" w:color="auto"/>
        <w:bottom w:val="none" w:sz="0" w:space="0" w:color="auto"/>
        <w:right w:val="none" w:sz="0" w:space="0" w:color="auto"/>
      </w:divBdr>
    </w:div>
    <w:div w:id="78065607">
      <w:bodyDiv w:val="1"/>
      <w:marLeft w:val="0"/>
      <w:marRight w:val="0"/>
      <w:marTop w:val="0"/>
      <w:marBottom w:val="0"/>
      <w:divBdr>
        <w:top w:val="none" w:sz="0" w:space="0" w:color="auto"/>
        <w:left w:val="none" w:sz="0" w:space="0" w:color="auto"/>
        <w:bottom w:val="none" w:sz="0" w:space="0" w:color="auto"/>
        <w:right w:val="none" w:sz="0" w:space="0" w:color="auto"/>
      </w:divBdr>
    </w:div>
    <w:div w:id="78870331">
      <w:bodyDiv w:val="1"/>
      <w:marLeft w:val="0"/>
      <w:marRight w:val="0"/>
      <w:marTop w:val="0"/>
      <w:marBottom w:val="0"/>
      <w:divBdr>
        <w:top w:val="none" w:sz="0" w:space="0" w:color="auto"/>
        <w:left w:val="none" w:sz="0" w:space="0" w:color="auto"/>
        <w:bottom w:val="none" w:sz="0" w:space="0" w:color="auto"/>
        <w:right w:val="none" w:sz="0" w:space="0" w:color="auto"/>
      </w:divBdr>
    </w:div>
    <w:div w:id="81337087">
      <w:bodyDiv w:val="1"/>
      <w:marLeft w:val="0"/>
      <w:marRight w:val="0"/>
      <w:marTop w:val="0"/>
      <w:marBottom w:val="0"/>
      <w:divBdr>
        <w:top w:val="none" w:sz="0" w:space="0" w:color="auto"/>
        <w:left w:val="none" w:sz="0" w:space="0" w:color="auto"/>
        <w:bottom w:val="none" w:sz="0" w:space="0" w:color="auto"/>
        <w:right w:val="none" w:sz="0" w:space="0" w:color="auto"/>
      </w:divBdr>
    </w:div>
    <w:div w:id="81921736">
      <w:bodyDiv w:val="1"/>
      <w:marLeft w:val="0"/>
      <w:marRight w:val="0"/>
      <w:marTop w:val="0"/>
      <w:marBottom w:val="0"/>
      <w:divBdr>
        <w:top w:val="none" w:sz="0" w:space="0" w:color="auto"/>
        <w:left w:val="none" w:sz="0" w:space="0" w:color="auto"/>
        <w:bottom w:val="none" w:sz="0" w:space="0" w:color="auto"/>
        <w:right w:val="none" w:sz="0" w:space="0" w:color="auto"/>
      </w:divBdr>
    </w:div>
    <w:div w:id="93020105">
      <w:bodyDiv w:val="1"/>
      <w:marLeft w:val="0"/>
      <w:marRight w:val="0"/>
      <w:marTop w:val="0"/>
      <w:marBottom w:val="0"/>
      <w:divBdr>
        <w:top w:val="none" w:sz="0" w:space="0" w:color="auto"/>
        <w:left w:val="none" w:sz="0" w:space="0" w:color="auto"/>
        <w:bottom w:val="none" w:sz="0" w:space="0" w:color="auto"/>
        <w:right w:val="none" w:sz="0" w:space="0" w:color="auto"/>
      </w:divBdr>
    </w:div>
    <w:div w:id="100532505">
      <w:bodyDiv w:val="1"/>
      <w:marLeft w:val="0"/>
      <w:marRight w:val="0"/>
      <w:marTop w:val="0"/>
      <w:marBottom w:val="0"/>
      <w:divBdr>
        <w:top w:val="none" w:sz="0" w:space="0" w:color="auto"/>
        <w:left w:val="none" w:sz="0" w:space="0" w:color="auto"/>
        <w:bottom w:val="none" w:sz="0" w:space="0" w:color="auto"/>
        <w:right w:val="none" w:sz="0" w:space="0" w:color="auto"/>
      </w:divBdr>
    </w:div>
    <w:div w:id="108664643">
      <w:bodyDiv w:val="1"/>
      <w:marLeft w:val="0"/>
      <w:marRight w:val="0"/>
      <w:marTop w:val="0"/>
      <w:marBottom w:val="0"/>
      <w:divBdr>
        <w:top w:val="none" w:sz="0" w:space="0" w:color="auto"/>
        <w:left w:val="none" w:sz="0" w:space="0" w:color="auto"/>
        <w:bottom w:val="none" w:sz="0" w:space="0" w:color="auto"/>
        <w:right w:val="none" w:sz="0" w:space="0" w:color="auto"/>
      </w:divBdr>
      <w:divsChild>
        <w:div w:id="1847210755">
          <w:marLeft w:val="0"/>
          <w:marRight w:val="0"/>
          <w:marTop w:val="0"/>
          <w:marBottom w:val="240"/>
          <w:divBdr>
            <w:top w:val="none" w:sz="0" w:space="0" w:color="auto"/>
            <w:left w:val="none" w:sz="0" w:space="0" w:color="auto"/>
            <w:bottom w:val="none" w:sz="0" w:space="0" w:color="auto"/>
            <w:right w:val="none" w:sz="0" w:space="0" w:color="auto"/>
          </w:divBdr>
        </w:div>
      </w:divsChild>
    </w:div>
    <w:div w:id="109905202">
      <w:bodyDiv w:val="1"/>
      <w:marLeft w:val="0"/>
      <w:marRight w:val="0"/>
      <w:marTop w:val="0"/>
      <w:marBottom w:val="0"/>
      <w:divBdr>
        <w:top w:val="none" w:sz="0" w:space="0" w:color="auto"/>
        <w:left w:val="none" w:sz="0" w:space="0" w:color="auto"/>
        <w:bottom w:val="none" w:sz="0" w:space="0" w:color="auto"/>
        <w:right w:val="none" w:sz="0" w:space="0" w:color="auto"/>
      </w:divBdr>
    </w:div>
    <w:div w:id="110562846">
      <w:bodyDiv w:val="1"/>
      <w:marLeft w:val="0"/>
      <w:marRight w:val="0"/>
      <w:marTop w:val="0"/>
      <w:marBottom w:val="0"/>
      <w:divBdr>
        <w:top w:val="none" w:sz="0" w:space="0" w:color="auto"/>
        <w:left w:val="none" w:sz="0" w:space="0" w:color="auto"/>
        <w:bottom w:val="none" w:sz="0" w:space="0" w:color="auto"/>
        <w:right w:val="none" w:sz="0" w:space="0" w:color="auto"/>
      </w:divBdr>
    </w:div>
    <w:div w:id="115637371">
      <w:bodyDiv w:val="1"/>
      <w:marLeft w:val="0"/>
      <w:marRight w:val="0"/>
      <w:marTop w:val="0"/>
      <w:marBottom w:val="0"/>
      <w:divBdr>
        <w:top w:val="none" w:sz="0" w:space="0" w:color="auto"/>
        <w:left w:val="none" w:sz="0" w:space="0" w:color="auto"/>
        <w:bottom w:val="none" w:sz="0" w:space="0" w:color="auto"/>
        <w:right w:val="none" w:sz="0" w:space="0" w:color="auto"/>
      </w:divBdr>
    </w:div>
    <w:div w:id="116485916">
      <w:bodyDiv w:val="1"/>
      <w:marLeft w:val="0"/>
      <w:marRight w:val="0"/>
      <w:marTop w:val="0"/>
      <w:marBottom w:val="0"/>
      <w:divBdr>
        <w:top w:val="none" w:sz="0" w:space="0" w:color="auto"/>
        <w:left w:val="none" w:sz="0" w:space="0" w:color="auto"/>
        <w:bottom w:val="none" w:sz="0" w:space="0" w:color="auto"/>
        <w:right w:val="none" w:sz="0" w:space="0" w:color="auto"/>
      </w:divBdr>
    </w:div>
    <w:div w:id="122503576">
      <w:bodyDiv w:val="1"/>
      <w:marLeft w:val="0"/>
      <w:marRight w:val="0"/>
      <w:marTop w:val="0"/>
      <w:marBottom w:val="0"/>
      <w:divBdr>
        <w:top w:val="none" w:sz="0" w:space="0" w:color="auto"/>
        <w:left w:val="none" w:sz="0" w:space="0" w:color="auto"/>
        <w:bottom w:val="none" w:sz="0" w:space="0" w:color="auto"/>
        <w:right w:val="none" w:sz="0" w:space="0" w:color="auto"/>
      </w:divBdr>
    </w:div>
    <w:div w:id="146242524">
      <w:bodyDiv w:val="1"/>
      <w:marLeft w:val="0"/>
      <w:marRight w:val="0"/>
      <w:marTop w:val="0"/>
      <w:marBottom w:val="0"/>
      <w:divBdr>
        <w:top w:val="none" w:sz="0" w:space="0" w:color="auto"/>
        <w:left w:val="none" w:sz="0" w:space="0" w:color="auto"/>
        <w:bottom w:val="none" w:sz="0" w:space="0" w:color="auto"/>
        <w:right w:val="none" w:sz="0" w:space="0" w:color="auto"/>
      </w:divBdr>
    </w:div>
    <w:div w:id="149946855">
      <w:bodyDiv w:val="1"/>
      <w:marLeft w:val="0"/>
      <w:marRight w:val="0"/>
      <w:marTop w:val="0"/>
      <w:marBottom w:val="0"/>
      <w:divBdr>
        <w:top w:val="none" w:sz="0" w:space="0" w:color="auto"/>
        <w:left w:val="none" w:sz="0" w:space="0" w:color="auto"/>
        <w:bottom w:val="none" w:sz="0" w:space="0" w:color="auto"/>
        <w:right w:val="none" w:sz="0" w:space="0" w:color="auto"/>
      </w:divBdr>
    </w:div>
    <w:div w:id="169026708">
      <w:bodyDiv w:val="1"/>
      <w:marLeft w:val="0"/>
      <w:marRight w:val="0"/>
      <w:marTop w:val="0"/>
      <w:marBottom w:val="0"/>
      <w:divBdr>
        <w:top w:val="none" w:sz="0" w:space="0" w:color="auto"/>
        <w:left w:val="none" w:sz="0" w:space="0" w:color="auto"/>
        <w:bottom w:val="none" w:sz="0" w:space="0" w:color="auto"/>
        <w:right w:val="none" w:sz="0" w:space="0" w:color="auto"/>
      </w:divBdr>
    </w:div>
    <w:div w:id="169175257">
      <w:bodyDiv w:val="1"/>
      <w:marLeft w:val="0"/>
      <w:marRight w:val="0"/>
      <w:marTop w:val="0"/>
      <w:marBottom w:val="0"/>
      <w:divBdr>
        <w:top w:val="none" w:sz="0" w:space="0" w:color="auto"/>
        <w:left w:val="none" w:sz="0" w:space="0" w:color="auto"/>
        <w:bottom w:val="none" w:sz="0" w:space="0" w:color="auto"/>
        <w:right w:val="none" w:sz="0" w:space="0" w:color="auto"/>
      </w:divBdr>
    </w:div>
    <w:div w:id="175778368">
      <w:bodyDiv w:val="1"/>
      <w:marLeft w:val="0"/>
      <w:marRight w:val="0"/>
      <w:marTop w:val="0"/>
      <w:marBottom w:val="0"/>
      <w:divBdr>
        <w:top w:val="none" w:sz="0" w:space="0" w:color="auto"/>
        <w:left w:val="none" w:sz="0" w:space="0" w:color="auto"/>
        <w:bottom w:val="none" w:sz="0" w:space="0" w:color="auto"/>
        <w:right w:val="none" w:sz="0" w:space="0" w:color="auto"/>
      </w:divBdr>
    </w:div>
    <w:div w:id="180320233">
      <w:bodyDiv w:val="1"/>
      <w:marLeft w:val="0"/>
      <w:marRight w:val="0"/>
      <w:marTop w:val="0"/>
      <w:marBottom w:val="0"/>
      <w:divBdr>
        <w:top w:val="none" w:sz="0" w:space="0" w:color="auto"/>
        <w:left w:val="none" w:sz="0" w:space="0" w:color="auto"/>
        <w:bottom w:val="none" w:sz="0" w:space="0" w:color="auto"/>
        <w:right w:val="none" w:sz="0" w:space="0" w:color="auto"/>
      </w:divBdr>
    </w:div>
    <w:div w:id="190148387">
      <w:bodyDiv w:val="1"/>
      <w:marLeft w:val="0"/>
      <w:marRight w:val="0"/>
      <w:marTop w:val="0"/>
      <w:marBottom w:val="0"/>
      <w:divBdr>
        <w:top w:val="none" w:sz="0" w:space="0" w:color="auto"/>
        <w:left w:val="none" w:sz="0" w:space="0" w:color="auto"/>
        <w:bottom w:val="none" w:sz="0" w:space="0" w:color="auto"/>
        <w:right w:val="none" w:sz="0" w:space="0" w:color="auto"/>
      </w:divBdr>
    </w:div>
    <w:div w:id="190606820">
      <w:bodyDiv w:val="1"/>
      <w:marLeft w:val="0"/>
      <w:marRight w:val="0"/>
      <w:marTop w:val="0"/>
      <w:marBottom w:val="0"/>
      <w:divBdr>
        <w:top w:val="none" w:sz="0" w:space="0" w:color="auto"/>
        <w:left w:val="none" w:sz="0" w:space="0" w:color="auto"/>
        <w:bottom w:val="none" w:sz="0" w:space="0" w:color="auto"/>
        <w:right w:val="none" w:sz="0" w:space="0" w:color="auto"/>
      </w:divBdr>
    </w:div>
    <w:div w:id="192813352">
      <w:bodyDiv w:val="1"/>
      <w:marLeft w:val="0"/>
      <w:marRight w:val="0"/>
      <w:marTop w:val="0"/>
      <w:marBottom w:val="0"/>
      <w:divBdr>
        <w:top w:val="none" w:sz="0" w:space="0" w:color="auto"/>
        <w:left w:val="none" w:sz="0" w:space="0" w:color="auto"/>
        <w:bottom w:val="none" w:sz="0" w:space="0" w:color="auto"/>
        <w:right w:val="none" w:sz="0" w:space="0" w:color="auto"/>
      </w:divBdr>
    </w:div>
    <w:div w:id="208224849">
      <w:bodyDiv w:val="1"/>
      <w:marLeft w:val="0"/>
      <w:marRight w:val="0"/>
      <w:marTop w:val="0"/>
      <w:marBottom w:val="0"/>
      <w:divBdr>
        <w:top w:val="none" w:sz="0" w:space="0" w:color="auto"/>
        <w:left w:val="none" w:sz="0" w:space="0" w:color="auto"/>
        <w:bottom w:val="none" w:sz="0" w:space="0" w:color="auto"/>
        <w:right w:val="none" w:sz="0" w:space="0" w:color="auto"/>
      </w:divBdr>
    </w:div>
    <w:div w:id="221068436">
      <w:bodyDiv w:val="1"/>
      <w:marLeft w:val="0"/>
      <w:marRight w:val="0"/>
      <w:marTop w:val="0"/>
      <w:marBottom w:val="0"/>
      <w:divBdr>
        <w:top w:val="none" w:sz="0" w:space="0" w:color="auto"/>
        <w:left w:val="none" w:sz="0" w:space="0" w:color="auto"/>
        <w:bottom w:val="none" w:sz="0" w:space="0" w:color="auto"/>
        <w:right w:val="none" w:sz="0" w:space="0" w:color="auto"/>
      </w:divBdr>
    </w:div>
    <w:div w:id="223108067">
      <w:bodyDiv w:val="1"/>
      <w:marLeft w:val="0"/>
      <w:marRight w:val="0"/>
      <w:marTop w:val="0"/>
      <w:marBottom w:val="0"/>
      <w:divBdr>
        <w:top w:val="none" w:sz="0" w:space="0" w:color="auto"/>
        <w:left w:val="none" w:sz="0" w:space="0" w:color="auto"/>
        <w:bottom w:val="none" w:sz="0" w:space="0" w:color="auto"/>
        <w:right w:val="none" w:sz="0" w:space="0" w:color="auto"/>
      </w:divBdr>
    </w:div>
    <w:div w:id="223493576">
      <w:bodyDiv w:val="1"/>
      <w:marLeft w:val="0"/>
      <w:marRight w:val="0"/>
      <w:marTop w:val="0"/>
      <w:marBottom w:val="0"/>
      <w:divBdr>
        <w:top w:val="none" w:sz="0" w:space="0" w:color="auto"/>
        <w:left w:val="none" w:sz="0" w:space="0" w:color="auto"/>
        <w:bottom w:val="none" w:sz="0" w:space="0" w:color="auto"/>
        <w:right w:val="none" w:sz="0" w:space="0" w:color="auto"/>
      </w:divBdr>
    </w:div>
    <w:div w:id="229583841">
      <w:bodyDiv w:val="1"/>
      <w:marLeft w:val="0"/>
      <w:marRight w:val="0"/>
      <w:marTop w:val="0"/>
      <w:marBottom w:val="0"/>
      <w:divBdr>
        <w:top w:val="none" w:sz="0" w:space="0" w:color="auto"/>
        <w:left w:val="none" w:sz="0" w:space="0" w:color="auto"/>
        <w:bottom w:val="none" w:sz="0" w:space="0" w:color="auto"/>
        <w:right w:val="none" w:sz="0" w:space="0" w:color="auto"/>
      </w:divBdr>
    </w:div>
    <w:div w:id="247151910">
      <w:bodyDiv w:val="1"/>
      <w:marLeft w:val="0"/>
      <w:marRight w:val="0"/>
      <w:marTop w:val="0"/>
      <w:marBottom w:val="0"/>
      <w:divBdr>
        <w:top w:val="none" w:sz="0" w:space="0" w:color="auto"/>
        <w:left w:val="none" w:sz="0" w:space="0" w:color="auto"/>
        <w:bottom w:val="none" w:sz="0" w:space="0" w:color="auto"/>
        <w:right w:val="none" w:sz="0" w:space="0" w:color="auto"/>
      </w:divBdr>
    </w:div>
    <w:div w:id="254870220">
      <w:bodyDiv w:val="1"/>
      <w:marLeft w:val="0"/>
      <w:marRight w:val="0"/>
      <w:marTop w:val="0"/>
      <w:marBottom w:val="0"/>
      <w:divBdr>
        <w:top w:val="none" w:sz="0" w:space="0" w:color="auto"/>
        <w:left w:val="none" w:sz="0" w:space="0" w:color="auto"/>
        <w:bottom w:val="none" w:sz="0" w:space="0" w:color="auto"/>
        <w:right w:val="none" w:sz="0" w:space="0" w:color="auto"/>
      </w:divBdr>
    </w:div>
    <w:div w:id="265818071">
      <w:bodyDiv w:val="1"/>
      <w:marLeft w:val="0"/>
      <w:marRight w:val="0"/>
      <w:marTop w:val="0"/>
      <w:marBottom w:val="0"/>
      <w:divBdr>
        <w:top w:val="none" w:sz="0" w:space="0" w:color="auto"/>
        <w:left w:val="none" w:sz="0" w:space="0" w:color="auto"/>
        <w:bottom w:val="none" w:sz="0" w:space="0" w:color="auto"/>
        <w:right w:val="none" w:sz="0" w:space="0" w:color="auto"/>
      </w:divBdr>
    </w:div>
    <w:div w:id="266624709">
      <w:bodyDiv w:val="1"/>
      <w:marLeft w:val="0"/>
      <w:marRight w:val="0"/>
      <w:marTop w:val="0"/>
      <w:marBottom w:val="0"/>
      <w:divBdr>
        <w:top w:val="none" w:sz="0" w:space="0" w:color="auto"/>
        <w:left w:val="none" w:sz="0" w:space="0" w:color="auto"/>
        <w:bottom w:val="none" w:sz="0" w:space="0" w:color="auto"/>
        <w:right w:val="none" w:sz="0" w:space="0" w:color="auto"/>
      </w:divBdr>
    </w:div>
    <w:div w:id="269550468">
      <w:bodyDiv w:val="1"/>
      <w:marLeft w:val="0"/>
      <w:marRight w:val="0"/>
      <w:marTop w:val="0"/>
      <w:marBottom w:val="0"/>
      <w:divBdr>
        <w:top w:val="none" w:sz="0" w:space="0" w:color="auto"/>
        <w:left w:val="none" w:sz="0" w:space="0" w:color="auto"/>
        <w:bottom w:val="none" w:sz="0" w:space="0" w:color="auto"/>
        <w:right w:val="none" w:sz="0" w:space="0" w:color="auto"/>
      </w:divBdr>
    </w:div>
    <w:div w:id="277446001">
      <w:bodyDiv w:val="1"/>
      <w:marLeft w:val="0"/>
      <w:marRight w:val="0"/>
      <w:marTop w:val="0"/>
      <w:marBottom w:val="0"/>
      <w:divBdr>
        <w:top w:val="none" w:sz="0" w:space="0" w:color="auto"/>
        <w:left w:val="none" w:sz="0" w:space="0" w:color="auto"/>
        <w:bottom w:val="none" w:sz="0" w:space="0" w:color="auto"/>
        <w:right w:val="none" w:sz="0" w:space="0" w:color="auto"/>
      </w:divBdr>
    </w:div>
    <w:div w:id="296643833">
      <w:bodyDiv w:val="1"/>
      <w:marLeft w:val="0"/>
      <w:marRight w:val="0"/>
      <w:marTop w:val="0"/>
      <w:marBottom w:val="0"/>
      <w:divBdr>
        <w:top w:val="none" w:sz="0" w:space="0" w:color="auto"/>
        <w:left w:val="none" w:sz="0" w:space="0" w:color="auto"/>
        <w:bottom w:val="none" w:sz="0" w:space="0" w:color="auto"/>
        <w:right w:val="none" w:sz="0" w:space="0" w:color="auto"/>
      </w:divBdr>
    </w:div>
    <w:div w:id="297079566">
      <w:bodyDiv w:val="1"/>
      <w:marLeft w:val="0"/>
      <w:marRight w:val="0"/>
      <w:marTop w:val="0"/>
      <w:marBottom w:val="0"/>
      <w:divBdr>
        <w:top w:val="none" w:sz="0" w:space="0" w:color="auto"/>
        <w:left w:val="none" w:sz="0" w:space="0" w:color="auto"/>
        <w:bottom w:val="none" w:sz="0" w:space="0" w:color="auto"/>
        <w:right w:val="none" w:sz="0" w:space="0" w:color="auto"/>
      </w:divBdr>
    </w:div>
    <w:div w:id="299766699">
      <w:bodyDiv w:val="1"/>
      <w:marLeft w:val="0"/>
      <w:marRight w:val="0"/>
      <w:marTop w:val="0"/>
      <w:marBottom w:val="0"/>
      <w:divBdr>
        <w:top w:val="none" w:sz="0" w:space="0" w:color="auto"/>
        <w:left w:val="none" w:sz="0" w:space="0" w:color="auto"/>
        <w:bottom w:val="none" w:sz="0" w:space="0" w:color="auto"/>
        <w:right w:val="none" w:sz="0" w:space="0" w:color="auto"/>
      </w:divBdr>
    </w:div>
    <w:div w:id="303199653">
      <w:bodyDiv w:val="1"/>
      <w:marLeft w:val="0"/>
      <w:marRight w:val="0"/>
      <w:marTop w:val="0"/>
      <w:marBottom w:val="0"/>
      <w:divBdr>
        <w:top w:val="none" w:sz="0" w:space="0" w:color="auto"/>
        <w:left w:val="none" w:sz="0" w:space="0" w:color="auto"/>
        <w:bottom w:val="none" w:sz="0" w:space="0" w:color="auto"/>
        <w:right w:val="none" w:sz="0" w:space="0" w:color="auto"/>
      </w:divBdr>
    </w:div>
    <w:div w:id="305017673">
      <w:bodyDiv w:val="1"/>
      <w:marLeft w:val="0"/>
      <w:marRight w:val="0"/>
      <w:marTop w:val="0"/>
      <w:marBottom w:val="0"/>
      <w:divBdr>
        <w:top w:val="none" w:sz="0" w:space="0" w:color="auto"/>
        <w:left w:val="none" w:sz="0" w:space="0" w:color="auto"/>
        <w:bottom w:val="none" w:sz="0" w:space="0" w:color="auto"/>
        <w:right w:val="none" w:sz="0" w:space="0" w:color="auto"/>
      </w:divBdr>
    </w:div>
    <w:div w:id="305862455">
      <w:bodyDiv w:val="1"/>
      <w:marLeft w:val="0"/>
      <w:marRight w:val="0"/>
      <w:marTop w:val="0"/>
      <w:marBottom w:val="0"/>
      <w:divBdr>
        <w:top w:val="none" w:sz="0" w:space="0" w:color="auto"/>
        <w:left w:val="none" w:sz="0" w:space="0" w:color="auto"/>
        <w:bottom w:val="none" w:sz="0" w:space="0" w:color="auto"/>
        <w:right w:val="none" w:sz="0" w:space="0" w:color="auto"/>
      </w:divBdr>
    </w:div>
    <w:div w:id="316766611">
      <w:bodyDiv w:val="1"/>
      <w:marLeft w:val="0"/>
      <w:marRight w:val="0"/>
      <w:marTop w:val="0"/>
      <w:marBottom w:val="0"/>
      <w:divBdr>
        <w:top w:val="none" w:sz="0" w:space="0" w:color="auto"/>
        <w:left w:val="none" w:sz="0" w:space="0" w:color="auto"/>
        <w:bottom w:val="none" w:sz="0" w:space="0" w:color="auto"/>
        <w:right w:val="none" w:sz="0" w:space="0" w:color="auto"/>
      </w:divBdr>
    </w:div>
    <w:div w:id="318850806">
      <w:bodyDiv w:val="1"/>
      <w:marLeft w:val="0"/>
      <w:marRight w:val="0"/>
      <w:marTop w:val="0"/>
      <w:marBottom w:val="0"/>
      <w:divBdr>
        <w:top w:val="none" w:sz="0" w:space="0" w:color="auto"/>
        <w:left w:val="none" w:sz="0" w:space="0" w:color="auto"/>
        <w:bottom w:val="none" w:sz="0" w:space="0" w:color="auto"/>
        <w:right w:val="none" w:sz="0" w:space="0" w:color="auto"/>
      </w:divBdr>
    </w:div>
    <w:div w:id="322702964">
      <w:bodyDiv w:val="1"/>
      <w:marLeft w:val="0"/>
      <w:marRight w:val="0"/>
      <w:marTop w:val="0"/>
      <w:marBottom w:val="0"/>
      <w:divBdr>
        <w:top w:val="none" w:sz="0" w:space="0" w:color="auto"/>
        <w:left w:val="none" w:sz="0" w:space="0" w:color="auto"/>
        <w:bottom w:val="none" w:sz="0" w:space="0" w:color="auto"/>
        <w:right w:val="none" w:sz="0" w:space="0" w:color="auto"/>
      </w:divBdr>
    </w:div>
    <w:div w:id="324552876">
      <w:bodyDiv w:val="1"/>
      <w:marLeft w:val="0"/>
      <w:marRight w:val="0"/>
      <w:marTop w:val="0"/>
      <w:marBottom w:val="0"/>
      <w:divBdr>
        <w:top w:val="none" w:sz="0" w:space="0" w:color="auto"/>
        <w:left w:val="none" w:sz="0" w:space="0" w:color="auto"/>
        <w:bottom w:val="none" w:sz="0" w:space="0" w:color="auto"/>
        <w:right w:val="none" w:sz="0" w:space="0" w:color="auto"/>
      </w:divBdr>
    </w:div>
    <w:div w:id="330068723">
      <w:bodyDiv w:val="1"/>
      <w:marLeft w:val="0"/>
      <w:marRight w:val="0"/>
      <w:marTop w:val="0"/>
      <w:marBottom w:val="0"/>
      <w:divBdr>
        <w:top w:val="none" w:sz="0" w:space="0" w:color="auto"/>
        <w:left w:val="none" w:sz="0" w:space="0" w:color="auto"/>
        <w:bottom w:val="none" w:sz="0" w:space="0" w:color="auto"/>
        <w:right w:val="none" w:sz="0" w:space="0" w:color="auto"/>
      </w:divBdr>
    </w:div>
    <w:div w:id="331299447">
      <w:bodyDiv w:val="1"/>
      <w:marLeft w:val="0"/>
      <w:marRight w:val="0"/>
      <w:marTop w:val="0"/>
      <w:marBottom w:val="0"/>
      <w:divBdr>
        <w:top w:val="none" w:sz="0" w:space="0" w:color="auto"/>
        <w:left w:val="none" w:sz="0" w:space="0" w:color="auto"/>
        <w:bottom w:val="none" w:sz="0" w:space="0" w:color="auto"/>
        <w:right w:val="none" w:sz="0" w:space="0" w:color="auto"/>
      </w:divBdr>
    </w:div>
    <w:div w:id="332533502">
      <w:bodyDiv w:val="1"/>
      <w:marLeft w:val="0"/>
      <w:marRight w:val="0"/>
      <w:marTop w:val="0"/>
      <w:marBottom w:val="0"/>
      <w:divBdr>
        <w:top w:val="none" w:sz="0" w:space="0" w:color="auto"/>
        <w:left w:val="none" w:sz="0" w:space="0" w:color="auto"/>
        <w:bottom w:val="none" w:sz="0" w:space="0" w:color="auto"/>
        <w:right w:val="none" w:sz="0" w:space="0" w:color="auto"/>
      </w:divBdr>
    </w:div>
    <w:div w:id="337344758">
      <w:bodyDiv w:val="1"/>
      <w:marLeft w:val="0"/>
      <w:marRight w:val="0"/>
      <w:marTop w:val="0"/>
      <w:marBottom w:val="0"/>
      <w:divBdr>
        <w:top w:val="none" w:sz="0" w:space="0" w:color="auto"/>
        <w:left w:val="none" w:sz="0" w:space="0" w:color="auto"/>
        <w:bottom w:val="none" w:sz="0" w:space="0" w:color="auto"/>
        <w:right w:val="none" w:sz="0" w:space="0" w:color="auto"/>
      </w:divBdr>
    </w:div>
    <w:div w:id="339890930">
      <w:bodyDiv w:val="1"/>
      <w:marLeft w:val="0"/>
      <w:marRight w:val="0"/>
      <w:marTop w:val="0"/>
      <w:marBottom w:val="0"/>
      <w:divBdr>
        <w:top w:val="none" w:sz="0" w:space="0" w:color="auto"/>
        <w:left w:val="none" w:sz="0" w:space="0" w:color="auto"/>
        <w:bottom w:val="none" w:sz="0" w:space="0" w:color="auto"/>
        <w:right w:val="none" w:sz="0" w:space="0" w:color="auto"/>
      </w:divBdr>
    </w:div>
    <w:div w:id="350104548">
      <w:bodyDiv w:val="1"/>
      <w:marLeft w:val="0"/>
      <w:marRight w:val="0"/>
      <w:marTop w:val="0"/>
      <w:marBottom w:val="0"/>
      <w:divBdr>
        <w:top w:val="none" w:sz="0" w:space="0" w:color="auto"/>
        <w:left w:val="none" w:sz="0" w:space="0" w:color="auto"/>
        <w:bottom w:val="none" w:sz="0" w:space="0" w:color="auto"/>
        <w:right w:val="none" w:sz="0" w:space="0" w:color="auto"/>
      </w:divBdr>
    </w:div>
    <w:div w:id="352539385">
      <w:bodyDiv w:val="1"/>
      <w:marLeft w:val="0"/>
      <w:marRight w:val="0"/>
      <w:marTop w:val="0"/>
      <w:marBottom w:val="0"/>
      <w:divBdr>
        <w:top w:val="none" w:sz="0" w:space="0" w:color="auto"/>
        <w:left w:val="none" w:sz="0" w:space="0" w:color="auto"/>
        <w:bottom w:val="none" w:sz="0" w:space="0" w:color="auto"/>
        <w:right w:val="none" w:sz="0" w:space="0" w:color="auto"/>
      </w:divBdr>
    </w:div>
    <w:div w:id="355615819">
      <w:bodyDiv w:val="1"/>
      <w:marLeft w:val="0"/>
      <w:marRight w:val="0"/>
      <w:marTop w:val="0"/>
      <w:marBottom w:val="0"/>
      <w:divBdr>
        <w:top w:val="none" w:sz="0" w:space="0" w:color="auto"/>
        <w:left w:val="none" w:sz="0" w:space="0" w:color="auto"/>
        <w:bottom w:val="none" w:sz="0" w:space="0" w:color="auto"/>
        <w:right w:val="none" w:sz="0" w:space="0" w:color="auto"/>
      </w:divBdr>
      <w:divsChild>
        <w:div w:id="484515609">
          <w:marLeft w:val="547"/>
          <w:marRight w:val="0"/>
          <w:marTop w:val="77"/>
          <w:marBottom w:val="0"/>
          <w:divBdr>
            <w:top w:val="none" w:sz="0" w:space="0" w:color="auto"/>
            <w:left w:val="none" w:sz="0" w:space="0" w:color="auto"/>
            <w:bottom w:val="none" w:sz="0" w:space="0" w:color="auto"/>
            <w:right w:val="none" w:sz="0" w:space="0" w:color="auto"/>
          </w:divBdr>
        </w:div>
      </w:divsChild>
    </w:div>
    <w:div w:id="356005082">
      <w:bodyDiv w:val="1"/>
      <w:marLeft w:val="0"/>
      <w:marRight w:val="0"/>
      <w:marTop w:val="0"/>
      <w:marBottom w:val="0"/>
      <w:divBdr>
        <w:top w:val="none" w:sz="0" w:space="0" w:color="auto"/>
        <w:left w:val="none" w:sz="0" w:space="0" w:color="auto"/>
        <w:bottom w:val="none" w:sz="0" w:space="0" w:color="auto"/>
        <w:right w:val="none" w:sz="0" w:space="0" w:color="auto"/>
      </w:divBdr>
    </w:div>
    <w:div w:id="367683364">
      <w:bodyDiv w:val="1"/>
      <w:marLeft w:val="0"/>
      <w:marRight w:val="0"/>
      <w:marTop w:val="0"/>
      <w:marBottom w:val="0"/>
      <w:divBdr>
        <w:top w:val="none" w:sz="0" w:space="0" w:color="auto"/>
        <w:left w:val="none" w:sz="0" w:space="0" w:color="auto"/>
        <w:bottom w:val="none" w:sz="0" w:space="0" w:color="auto"/>
        <w:right w:val="none" w:sz="0" w:space="0" w:color="auto"/>
      </w:divBdr>
    </w:div>
    <w:div w:id="371686433">
      <w:bodyDiv w:val="1"/>
      <w:marLeft w:val="0"/>
      <w:marRight w:val="0"/>
      <w:marTop w:val="0"/>
      <w:marBottom w:val="0"/>
      <w:divBdr>
        <w:top w:val="none" w:sz="0" w:space="0" w:color="auto"/>
        <w:left w:val="none" w:sz="0" w:space="0" w:color="auto"/>
        <w:bottom w:val="none" w:sz="0" w:space="0" w:color="auto"/>
        <w:right w:val="none" w:sz="0" w:space="0" w:color="auto"/>
      </w:divBdr>
    </w:div>
    <w:div w:id="379716502">
      <w:bodyDiv w:val="1"/>
      <w:marLeft w:val="0"/>
      <w:marRight w:val="0"/>
      <w:marTop w:val="0"/>
      <w:marBottom w:val="0"/>
      <w:divBdr>
        <w:top w:val="none" w:sz="0" w:space="0" w:color="auto"/>
        <w:left w:val="none" w:sz="0" w:space="0" w:color="auto"/>
        <w:bottom w:val="none" w:sz="0" w:space="0" w:color="auto"/>
        <w:right w:val="none" w:sz="0" w:space="0" w:color="auto"/>
      </w:divBdr>
    </w:div>
    <w:div w:id="381364720">
      <w:bodyDiv w:val="1"/>
      <w:marLeft w:val="0"/>
      <w:marRight w:val="0"/>
      <w:marTop w:val="0"/>
      <w:marBottom w:val="0"/>
      <w:divBdr>
        <w:top w:val="none" w:sz="0" w:space="0" w:color="auto"/>
        <w:left w:val="none" w:sz="0" w:space="0" w:color="auto"/>
        <w:bottom w:val="none" w:sz="0" w:space="0" w:color="auto"/>
        <w:right w:val="none" w:sz="0" w:space="0" w:color="auto"/>
      </w:divBdr>
    </w:div>
    <w:div w:id="398598552">
      <w:bodyDiv w:val="1"/>
      <w:marLeft w:val="0"/>
      <w:marRight w:val="0"/>
      <w:marTop w:val="0"/>
      <w:marBottom w:val="0"/>
      <w:divBdr>
        <w:top w:val="none" w:sz="0" w:space="0" w:color="auto"/>
        <w:left w:val="none" w:sz="0" w:space="0" w:color="auto"/>
        <w:bottom w:val="none" w:sz="0" w:space="0" w:color="auto"/>
        <w:right w:val="none" w:sz="0" w:space="0" w:color="auto"/>
      </w:divBdr>
    </w:div>
    <w:div w:id="400713784">
      <w:bodyDiv w:val="1"/>
      <w:marLeft w:val="0"/>
      <w:marRight w:val="0"/>
      <w:marTop w:val="0"/>
      <w:marBottom w:val="0"/>
      <w:divBdr>
        <w:top w:val="none" w:sz="0" w:space="0" w:color="auto"/>
        <w:left w:val="none" w:sz="0" w:space="0" w:color="auto"/>
        <w:bottom w:val="none" w:sz="0" w:space="0" w:color="auto"/>
        <w:right w:val="none" w:sz="0" w:space="0" w:color="auto"/>
      </w:divBdr>
    </w:div>
    <w:div w:id="401223216">
      <w:bodyDiv w:val="1"/>
      <w:marLeft w:val="0"/>
      <w:marRight w:val="0"/>
      <w:marTop w:val="0"/>
      <w:marBottom w:val="0"/>
      <w:divBdr>
        <w:top w:val="none" w:sz="0" w:space="0" w:color="auto"/>
        <w:left w:val="none" w:sz="0" w:space="0" w:color="auto"/>
        <w:bottom w:val="none" w:sz="0" w:space="0" w:color="auto"/>
        <w:right w:val="none" w:sz="0" w:space="0" w:color="auto"/>
      </w:divBdr>
    </w:div>
    <w:div w:id="402989411">
      <w:bodyDiv w:val="1"/>
      <w:marLeft w:val="0"/>
      <w:marRight w:val="0"/>
      <w:marTop w:val="0"/>
      <w:marBottom w:val="0"/>
      <w:divBdr>
        <w:top w:val="none" w:sz="0" w:space="0" w:color="auto"/>
        <w:left w:val="none" w:sz="0" w:space="0" w:color="auto"/>
        <w:bottom w:val="none" w:sz="0" w:space="0" w:color="auto"/>
        <w:right w:val="none" w:sz="0" w:space="0" w:color="auto"/>
      </w:divBdr>
    </w:div>
    <w:div w:id="403643567">
      <w:bodyDiv w:val="1"/>
      <w:marLeft w:val="0"/>
      <w:marRight w:val="0"/>
      <w:marTop w:val="0"/>
      <w:marBottom w:val="0"/>
      <w:divBdr>
        <w:top w:val="none" w:sz="0" w:space="0" w:color="auto"/>
        <w:left w:val="none" w:sz="0" w:space="0" w:color="auto"/>
        <w:bottom w:val="none" w:sz="0" w:space="0" w:color="auto"/>
        <w:right w:val="none" w:sz="0" w:space="0" w:color="auto"/>
      </w:divBdr>
    </w:div>
    <w:div w:id="407533654">
      <w:bodyDiv w:val="1"/>
      <w:marLeft w:val="0"/>
      <w:marRight w:val="0"/>
      <w:marTop w:val="0"/>
      <w:marBottom w:val="0"/>
      <w:divBdr>
        <w:top w:val="none" w:sz="0" w:space="0" w:color="auto"/>
        <w:left w:val="none" w:sz="0" w:space="0" w:color="auto"/>
        <w:bottom w:val="none" w:sz="0" w:space="0" w:color="auto"/>
        <w:right w:val="none" w:sz="0" w:space="0" w:color="auto"/>
      </w:divBdr>
    </w:div>
    <w:div w:id="408962337">
      <w:bodyDiv w:val="1"/>
      <w:marLeft w:val="0"/>
      <w:marRight w:val="0"/>
      <w:marTop w:val="0"/>
      <w:marBottom w:val="0"/>
      <w:divBdr>
        <w:top w:val="none" w:sz="0" w:space="0" w:color="auto"/>
        <w:left w:val="none" w:sz="0" w:space="0" w:color="auto"/>
        <w:bottom w:val="none" w:sz="0" w:space="0" w:color="auto"/>
        <w:right w:val="none" w:sz="0" w:space="0" w:color="auto"/>
      </w:divBdr>
    </w:div>
    <w:div w:id="415782385">
      <w:bodyDiv w:val="1"/>
      <w:marLeft w:val="0"/>
      <w:marRight w:val="0"/>
      <w:marTop w:val="0"/>
      <w:marBottom w:val="0"/>
      <w:divBdr>
        <w:top w:val="none" w:sz="0" w:space="0" w:color="auto"/>
        <w:left w:val="none" w:sz="0" w:space="0" w:color="auto"/>
        <w:bottom w:val="none" w:sz="0" w:space="0" w:color="auto"/>
        <w:right w:val="none" w:sz="0" w:space="0" w:color="auto"/>
      </w:divBdr>
    </w:div>
    <w:div w:id="427777701">
      <w:bodyDiv w:val="1"/>
      <w:marLeft w:val="0"/>
      <w:marRight w:val="0"/>
      <w:marTop w:val="0"/>
      <w:marBottom w:val="0"/>
      <w:divBdr>
        <w:top w:val="none" w:sz="0" w:space="0" w:color="auto"/>
        <w:left w:val="none" w:sz="0" w:space="0" w:color="auto"/>
        <w:bottom w:val="none" w:sz="0" w:space="0" w:color="auto"/>
        <w:right w:val="none" w:sz="0" w:space="0" w:color="auto"/>
      </w:divBdr>
    </w:div>
    <w:div w:id="438379380">
      <w:bodyDiv w:val="1"/>
      <w:marLeft w:val="0"/>
      <w:marRight w:val="0"/>
      <w:marTop w:val="0"/>
      <w:marBottom w:val="0"/>
      <w:divBdr>
        <w:top w:val="none" w:sz="0" w:space="0" w:color="auto"/>
        <w:left w:val="none" w:sz="0" w:space="0" w:color="auto"/>
        <w:bottom w:val="none" w:sz="0" w:space="0" w:color="auto"/>
        <w:right w:val="none" w:sz="0" w:space="0" w:color="auto"/>
      </w:divBdr>
    </w:div>
    <w:div w:id="443231457">
      <w:bodyDiv w:val="1"/>
      <w:marLeft w:val="0"/>
      <w:marRight w:val="0"/>
      <w:marTop w:val="0"/>
      <w:marBottom w:val="0"/>
      <w:divBdr>
        <w:top w:val="none" w:sz="0" w:space="0" w:color="auto"/>
        <w:left w:val="none" w:sz="0" w:space="0" w:color="auto"/>
        <w:bottom w:val="none" w:sz="0" w:space="0" w:color="auto"/>
        <w:right w:val="none" w:sz="0" w:space="0" w:color="auto"/>
      </w:divBdr>
    </w:div>
    <w:div w:id="448815961">
      <w:bodyDiv w:val="1"/>
      <w:marLeft w:val="0"/>
      <w:marRight w:val="0"/>
      <w:marTop w:val="0"/>
      <w:marBottom w:val="0"/>
      <w:divBdr>
        <w:top w:val="none" w:sz="0" w:space="0" w:color="auto"/>
        <w:left w:val="none" w:sz="0" w:space="0" w:color="auto"/>
        <w:bottom w:val="none" w:sz="0" w:space="0" w:color="auto"/>
        <w:right w:val="none" w:sz="0" w:space="0" w:color="auto"/>
      </w:divBdr>
    </w:div>
    <w:div w:id="469052685">
      <w:bodyDiv w:val="1"/>
      <w:marLeft w:val="0"/>
      <w:marRight w:val="0"/>
      <w:marTop w:val="0"/>
      <w:marBottom w:val="0"/>
      <w:divBdr>
        <w:top w:val="none" w:sz="0" w:space="0" w:color="auto"/>
        <w:left w:val="none" w:sz="0" w:space="0" w:color="auto"/>
        <w:bottom w:val="none" w:sz="0" w:space="0" w:color="auto"/>
        <w:right w:val="none" w:sz="0" w:space="0" w:color="auto"/>
      </w:divBdr>
    </w:div>
    <w:div w:id="469901144">
      <w:bodyDiv w:val="1"/>
      <w:marLeft w:val="0"/>
      <w:marRight w:val="0"/>
      <w:marTop w:val="0"/>
      <w:marBottom w:val="0"/>
      <w:divBdr>
        <w:top w:val="none" w:sz="0" w:space="0" w:color="auto"/>
        <w:left w:val="none" w:sz="0" w:space="0" w:color="auto"/>
        <w:bottom w:val="none" w:sz="0" w:space="0" w:color="auto"/>
        <w:right w:val="none" w:sz="0" w:space="0" w:color="auto"/>
      </w:divBdr>
    </w:div>
    <w:div w:id="475028092">
      <w:bodyDiv w:val="1"/>
      <w:marLeft w:val="0"/>
      <w:marRight w:val="0"/>
      <w:marTop w:val="0"/>
      <w:marBottom w:val="0"/>
      <w:divBdr>
        <w:top w:val="none" w:sz="0" w:space="0" w:color="auto"/>
        <w:left w:val="none" w:sz="0" w:space="0" w:color="auto"/>
        <w:bottom w:val="none" w:sz="0" w:space="0" w:color="auto"/>
        <w:right w:val="none" w:sz="0" w:space="0" w:color="auto"/>
      </w:divBdr>
    </w:div>
    <w:div w:id="494566633">
      <w:bodyDiv w:val="1"/>
      <w:marLeft w:val="0"/>
      <w:marRight w:val="0"/>
      <w:marTop w:val="0"/>
      <w:marBottom w:val="0"/>
      <w:divBdr>
        <w:top w:val="none" w:sz="0" w:space="0" w:color="auto"/>
        <w:left w:val="none" w:sz="0" w:space="0" w:color="auto"/>
        <w:bottom w:val="none" w:sz="0" w:space="0" w:color="auto"/>
        <w:right w:val="none" w:sz="0" w:space="0" w:color="auto"/>
      </w:divBdr>
    </w:div>
    <w:div w:id="507446619">
      <w:bodyDiv w:val="1"/>
      <w:marLeft w:val="0"/>
      <w:marRight w:val="0"/>
      <w:marTop w:val="0"/>
      <w:marBottom w:val="0"/>
      <w:divBdr>
        <w:top w:val="none" w:sz="0" w:space="0" w:color="auto"/>
        <w:left w:val="none" w:sz="0" w:space="0" w:color="auto"/>
        <w:bottom w:val="none" w:sz="0" w:space="0" w:color="auto"/>
        <w:right w:val="none" w:sz="0" w:space="0" w:color="auto"/>
      </w:divBdr>
    </w:div>
    <w:div w:id="511528590">
      <w:bodyDiv w:val="1"/>
      <w:marLeft w:val="0"/>
      <w:marRight w:val="0"/>
      <w:marTop w:val="0"/>
      <w:marBottom w:val="0"/>
      <w:divBdr>
        <w:top w:val="none" w:sz="0" w:space="0" w:color="auto"/>
        <w:left w:val="none" w:sz="0" w:space="0" w:color="auto"/>
        <w:bottom w:val="none" w:sz="0" w:space="0" w:color="auto"/>
        <w:right w:val="none" w:sz="0" w:space="0" w:color="auto"/>
      </w:divBdr>
    </w:div>
    <w:div w:id="523709362">
      <w:bodyDiv w:val="1"/>
      <w:marLeft w:val="0"/>
      <w:marRight w:val="0"/>
      <w:marTop w:val="0"/>
      <w:marBottom w:val="0"/>
      <w:divBdr>
        <w:top w:val="none" w:sz="0" w:space="0" w:color="auto"/>
        <w:left w:val="none" w:sz="0" w:space="0" w:color="auto"/>
        <w:bottom w:val="none" w:sz="0" w:space="0" w:color="auto"/>
        <w:right w:val="none" w:sz="0" w:space="0" w:color="auto"/>
      </w:divBdr>
    </w:div>
    <w:div w:id="523982022">
      <w:bodyDiv w:val="1"/>
      <w:marLeft w:val="0"/>
      <w:marRight w:val="0"/>
      <w:marTop w:val="0"/>
      <w:marBottom w:val="0"/>
      <w:divBdr>
        <w:top w:val="none" w:sz="0" w:space="0" w:color="auto"/>
        <w:left w:val="none" w:sz="0" w:space="0" w:color="auto"/>
        <w:bottom w:val="none" w:sz="0" w:space="0" w:color="auto"/>
        <w:right w:val="none" w:sz="0" w:space="0" w:color="auto"/>
      </w:divBdr>
    </w:div>
    <w:div w:id="526604116">
      <w:bodyDiv w:val="1"/>
      <w:marLeft w:val="0"/>
      <w:marRight w:val="0"/>
      <w:marTop w:val="0"/>
      <w:marBottom w:val="0"/>
      <w:divBdr>
        <w:top w:val="none" w:sz="0" w:space="0" w:color="auto"/>
        <w:left w:val="none" w:sz="0" w:space="0" w:color="auto"/>
        <w:bottom w:val="none" w:sz="0" w:space="0" w:color="auto"/>
        <w:right w:val="none" w:sz="0" w:space="0" w:color="auto"/>
      </w:divBdr>
    </w:div>
    <w:div w:id="540287566">
      <w:bodyDiv w:val="1"/>
      <w:marLeft w:val="0"/>
      <w:marRight w:val="0"/>
      <w:marTop w:val="0"/>
      <w:marBottom w:val="0"/>
      <w:divBdr>
        <w:top w:val="none" w:sz="0" w:space="0" w:color="auto"/>
        <w:left w:val="none" w:sz="0" w:space="0" w:color="auto"/>
        <w:bottom w:val="none" w:sz="0" w:space="0" w:color="auto"/>
        <w:right w:val="none" w:sz="0" w:space="0" w:color="auto"/>
      </w:divBdr>
    </w:div>
    <w:div w:id="549728090">
      <w:bodyDiv w:val="1"/>
      <w:marLeft w:val="0"/>
      <w:marRight w:val="0"/>
      <w:marTop w:val="0"/>
      <w:marBottom w:val="0"/>
      <w:divBdr>
        <w:top w:val="none" w:sz="0" w:space="0" w:color="auto"/>
        <w:left w:val="none" w:sz="0" w:space="0" w:color="auto"/>
        <w:bottom w:val="none" w:sz="0" w:space="0" w:color="auto"/>
        <w:right w:val="none" w:sz="0" w:space="0" w:color="auto"/>
      </w:divBdr>
    </w:div>
    <w:div w:id="557597798">
      <w:bodyDiv w:val="1"/>
      <w:marLeft w:val="0"/>
      <w:marRight w:val="0"/>
      <w:marTop w:val="0"/>
      <w:marBottom w:val="0"/>
      <w:divBdr>
        <w:top w:val="none" w:sz="0" w:space="0" w:color="auto"/>
        <w:left w:val="none" w:sz="0" w:space="0" w:color="auto"/>
        <w:bottom w:val="none" w:sz="0" w:space="0" w:color="auto"/>
        <w:right w:val="none" w:sz="0" w:space="0" w:color="auto"/>
      </w:divBdr>
    </w:div>
    <w:div w:id="565191777">
      <w:bodyDiv w:val="1"/>
      <w:marLeft w:val="0"/>
      <w:marRight w:val="0"/>
      <w:marTop w:val="0"/>
      <w:marBottom w:val="0"/>
      <w:divBdr>
        <w:top w:val="none" w:sz="0" w:space="0" w:color="auto"/>
        <w:left w:val="none" w:sz="0" w:space="0" w:color="auto"/>
        <w:bottom w:val="none" w:sz="0" w:space="0" w:color="auto"/>
        <w:right w:val="none" w:sz="0" w:space="0" w:color="auto"/>
      </w:divBdr>
    </w:div>
    <w:div w:id="577402585">
      <w:bodyDiv w:val="1"/>
      <w:marLeft w:val="0"/>
      <w:marRight w:val="0"/>
      <w:marTop w:val="0"/>
      <w:marBottom w:val="0"/>
      <w:divBdr>
        <w:top w:val="none" w:sz="0" w:space="0" w:color="auto"/>
        <w:left w:val="none" w:sz="0" w:space="0" w:color="auto"/>
        <w:bottom w:val="none" w:sz="0" w:space="0" w:color="auto"/>
        <w:right w:val="none" w:sz="0" w:space="0" w:color="auto"/>
      </w:divBdr>
    </w:div>
    <w:div w:id="582885015">
      <w:bodyDiv w:val="1"/>
      <w:marLeft w:val="0"/>
      <w:marRight w:val="0"/>
      <w:marTop w:val="0"/>
      <w:marBottom w:val="0"/>
      <w:divBdr>
        <w:top w:val="none" w:sz="0" w:space="0" w:color="auto"/>
        <w:left w:val="none" w:sz="0" w:space="0" w:color="auto"/>
        <w:bottom w:val="none" w:sz="0" w:space="0" w:color="auto"/>
        <w:right w:val="none" w:sz="0" w:space="0" w:color="auto"/>
      </w:divBdr>
    </w:div>
    <w:div w:id="589044828">
      <w:bodyDiv w:val="1"/>
      <w:marLeft w:val="0"/>
      <w:marRight w:val="0"/>
      <w:marTop w:val="0"/>
      <w:marBottom w:val="0"/>
      <w:divBdr>
        <w:top w:val="none" w:sz="0" w:space="0" w:color="auto"/>
        <w:left w:val="none" w:sz="0" w:space="0" w:color="auto"/>
        <w:bottom w:val="none" w:sz="0" w:space="0" w:color="auto"/>
        <w:right w:val="none" w:sz="0" w:space="0" w:color="auto"/>
      </w:divBdr>
    </w:div>
    <w:div w:id="590622568">
      <w:bodyDiv w:val="1"/>
      <w:marLeft w:val="0"/>
      <w:marRight w:val="0"/>
      <w:marTop w:val="0"/>
      <w:marBottom w:val="0"/>
      <w:divBdr>
        <w:top w:val="none" w:sz="0" w:space="0" w:color="auto"/>
        <w:left w:val="none" w:sz="0" w:space="0" w:color="auto"/>
        <w:bottom w:val="none" w:sz="0" w:space="0" w:color="auto"/>
        <w:right w:val="none" w:sz="0" w:space="0" w:color="auto"/>
      </w:divBdr>
    </w:div>
    <w:div w:id="591359388">
      <w:bodyDiv w:val="1"/>
      <w:marLeft w:val="0"/>
      <w:marRight w:val="0"/>
      <w:marTop w:val="0"/>
      <w:marBottom w:val="0"/>
      <w:divBdr>
        <w:top w:val="none" w:sz="0" w:space="0" w:color="auto"/>
        <w:left w:val="none" w:sz="0" w:space="0" w:color="auto"/>
        <w:bottom w:val="none" w:sz="0" w:space="0" w:color="auto"/>
        <w:right w:val="none" w:sz="0" w:space="0" w:color="auto"/>
      </w:divBdr>
    </w:div>
    <w:div w:id="597567787">
      <w:bodyDiv w:val="1"/>
      <w:marLeft w:val="0"/>
      <w:marRight w:val="0"/>
      <w:marTop w:val="0"/>
      <w:marBottom w:val="0"/>
      <w:divBdr>
        <w:top w:val="none" w:sz="0" w:space="0" w:color="auto"/>
        <w:left w:val="none" w:sz="0" w:space="0" w:color="auto"/>
        <w:bottom w:val="none" w:sz="0" w:space="0" w:color="auto"/>
        <w:right w:val="none" w:sz="0" w:space="0" w:color="auto"/>
      </w:divBdr>
    </w:div>
    <w:div w:id="598370329">
      <w:bodyDiv w:val="1"/>
      <w:marLeft w:val="0"/>
      <w:marRight w:val="0"/>
      <w:marTop w:val="0"/>
      <w:marBottom w:val="0"/>
      <w:divBdr>
        <w:top w:val="none" w:sz="0" w:space="0" w:color="auto"/>
        <w:left w:val="none" w:sz="0" w:space="0" w:color="auto"/>
        <w:bottom w:val="none" w:sz="0" w:space="0" w:color="auto"/>
        <w:right w:val="none" w:sz="0" w:space="0" w:color="auto"/>
      </w:divBdr>
    </w:div>
    <w:div w:id="600070073">
      <w:bodyDiv w:val="1"/>
      <w:marLeft w:val="0"/>
      <w:marRight w:val="0"/>
      <w:marTop w:val="0"/>
      <w:marBottom w:val="0"/>
      <w:divBdr>
        <w:top w:val="none" w:sz="0" w:space="0" w:color="auto"/>
        <w:left w:val="none" w:sz="0" w:space="0" w:color="auto"/>
        <w:bottom w:val="none" w:sz="0" w:space="0" w:color="auto"/>
        <w:right w:val="none" w:sz="0" w:space="0" w:color="auto"/>
      </w:divBdr>
    </w:div>
    <w:div w:id="600379117">
      <w:bodyDiv w:val="1"/>
      <w:marLeft w:val="0"/>
      <w:marRight w:val="0"/>
      <w:marTop w:val="0"/>
      <w:marBottom w:val="0"/>
      <w:divBdr>
        <w:top w:val="none" w:sz="0" w:space="0" w:color="auto"/>
        <w:left w:val="none" w:sz="0" w:space="0" w:color="auto"/>
        <w:bottom w:val="none" w:sz="0" w:space="0" w:color="auto"/>
        <w:right w:val="none" w:sz="0" w:space="0" w:color="auto"/>
      </w:divBdr>
    </w:div>
    <w:div w:id="605815932">
      <w:bodyDiv w:val="1"/>
      <w:marLeft w:val="0"/>
      <w:marRight w:val="0"/>
      <w:marTop w:val="0"/>
      <w:marBottom w:val="0"/>
      <w:divBdr>
        <w:top w:val="none" w:sz="0" w:space="0" w:color="auto"/>
        <w:left w:val="none" w:sz="0" w:space="0" w:color="auto"/>
        <w:bottom w:val="none" w:sz="0" w:space="0" w:color="auto"/>
        <w:right w:val="none" w:sz="0" w:space="0" w:color="auto"/>
      </w:divBdr>
    </w:div>
    <w:div w:id="607934664">
      <w:bodyDiv w:val="1"/>
      <w:marLeft w:val="0"/>
      <w:marRight w:val="0"/>
      <w:marTop w:val="0"/>
      <w:marBottom w:val="0"/>
      <w:divBdr>
        <w:top w:val="none" w:sz="0" w:space="0" w:color="auto"/>
        <w:left w:val="none" w:sz="0" w:space="0" w:color="auto"/>
        <w:bottom w:val="none" w:sz="0" w:space="0" w:color="auto"/>
        <w:right w:val="none" w:sz="0" w:space="0" w:color="auto"/>
      </w:divBdr>
    </w:div>
    <w:div w:id="619800921">
      <w:bodyDiv w:val="1"/>
      <w:marLeft w:val="0"/>
      <w:marRight w:val="0"/>
      <w:marTop w:val="0"/>
      <w:marBottom w:val="0"/>
      <w:divBdr>
        <w:top w:val="none" w:sz="0" w:space="0" w:color="auto"/>
        <w:left w:val="none" w:sz="0" w:space="0" w:color="auto"/>
        <w:bottom w:val="none" w:sz="0" w:space="0" w:color="auto"/>
        <w:right w:val="none" w:sz="0" w:space="0" w:color="auto"/>
      </w:divBdr>
    </w:div>
    <w:div w:id="620040470">
      <w:bodyDiv w:val="1"/>
      <w:marLeft w:val="0"/>
      <w:marRight w:val="0"/>
      <w:marTop w:val="0"/>
      <w:marBottom w:val="0"/>
      <w:divBdr>
        <w:top w:val="none" w:sz="0" w:space="0" w:color="auto"/>
        <w:left w:val="none" w:sz="0" w:space="0" w:color="auto"/>
        <w:bottom w:val="none" w:sz="0" w:space="0" w:color="auto"/>
        <w:right w:val="none" w:sz="0" w:space="0" w:color="auto"/>
      </w:divBdr>
    </w:div>
    <w:div w:id="627318138">
      <w:bodyDiv w:val="1"/>
      <w:marLeft w:val="0"/>
      <w:marRight w:val="0"/>
      <w:marTop w:val="0"/>
      <w:marBottom w:val="0"/>
      <w:divBdr>
        <w:top w:val="none" w:sz="0" w:space="0" w:color="auto"/>
        <w:left w:val="none" w:sz="0" w:space="0" w:color="auto"/>
        <w:bottom w:val="none" w:sz="0" w:space="0" w:color="auto"/>
        <w:right w:val="none" w:sz="0" w:space="0" w:color="auto"/>
      </w:divBdr>
    </w:div>
    <w:div w:id="645204361">
      <w:bodyDiv w:val="1"/>
      <w:marLeft w:val="0"/>
      <w:marRight w:val="0"/>
      <w:marTop w:val="0"/>
      <w:marBottom w:val="0"/>
      <w:divBdr>
        <w:top w:val="none" w:sz="0" w:space="0" w:color="auto"/>
        <w:left w:val="none" w:sz="0" w:space="0" w:color="auto"/>
        <w:bottom w:val="none" w:sz="0" w:space="0" w:color="auto"/>
        <w:right w:val="none" w:sz="0" w:space="0" w:color="auto"/>
      </w:divBdr>
    </w:div>
    <w:div w:id="647588409">
      <w:bodyDiv w:val="1"/>
      <w:marLeft w:val="0"/>
      <w:marRight w:val="0"/>
      <w:marTop w:val="0"/>
      <w:marBottom w:val="0"/>
      <w:divBdr>
        <w:top w:val="none" w:sz="0" w:space="0" w:color="auto"/>
        <w:left w:val="none" w:sz="0" w:space="0" w:color="auto"/>
        <w:bottom w:val="none" w:sz="0" w:space="0" w:color="auto"/>
        <w:right w:val="none" w:sz="0" w:space="0" w:color="auto"/>
      </w:divBdr>
    </w:div>
    <w:div w:id="656885047">
      <w:bodyDiv w:val="1"/>
      <w:marLeft w:val="0"/>
      <w:marRight w:val="0"/>
      <w:marTop w:val="0"/>
      <w:marBottom w:val="0"/>
      <w:divBdr>
        <w:top w:val="none" w:sz="0" w:space="0" w:color="auto"/>
        <w:left w:val="none" w:sz="0" w:space="0" w:color="auto"/>
        <w:bottom w:val="none" w:sz="0" w:space="0" w:color="auto"/>
        <w:right w:val="none" w:sz="0" w:space="0" w:color="auto"/>
      </w:divBdr>
    </w:div>
    <w:div w:id="660890494">
      <w:bodyDiv w:val="1"/>
      <w:marLeft w:val="0"/>
      <w:marRight w:val="0"/>
      <w:marTop w:val="0"/>
      <w:marBottom w:val="0"/>
      <w:divBdr>
        <w:top w:val="none" w:sz="0" w:space="0" w:color="auto"/>
        <w:left w:val="none" w:sz="0" w:space="0" w:color="auto"/>
        <w:bottom w:val="none" w:sz="0" w:space="0" w:color="auto"/>
        <w:right w:val="none" w:sz="0" w:space="0" w:color="auto"/>
      </w:divBdr>
    </w:div>
    <w:div w:id="666444994">
      <w:bodyDiv w:val="1"/>
      <w:marLeft w:val="0"/>
      <w:marRight w:val="0"/>
      <w:marTop w:val="0"/>
      <w:marBottom w:val="0"/>
      <w:divBdr>
        <w:top w:val="none" w:sz="0" w:space="0" w:color="auto"/>
        <w:left w:val="none" w:sz="0" w:space="0" w:color="auto"/>
        <w:bottom w:val="none" w:sz="0" w:space="0" w:color="auto"/>
        <w:right w:val="none" w:sz="0" w:space="0" w:color="auto"/>
      </w:divBdr>
    </w:div>
    <w:div w:id="667908309">
      <w:bodyDiv w:val="1"/>
      <w:marLeft w:val="0"/>
      <w:marRight w:val="0"/>
      <w:marTop w:val="0"/>
      <w:marBottom w:val="0"/>
      <w:divBdr>
        <w:top w:val="none" w:sz="0" w:space="0" w:color="auto"/>
        <w:left w:val="none" w:sz="0" w:space="0" w:color="auto"/>
        <w:bottom w:val="none" w:sz="0" w:space="0" w:color="auto"/>
        <w:right w:val="none" w:sz="0" w:space="0" w:color="auto"/>
      </w:divBdr>
    </w:div>
    <w:div w:id="668673822">
      <w:bodyDiv w:val="1"/>
      <w:marLeft w:val="0"/>
      <w:marRight w:val="0"/>
      <w:marTop w:val="0"/>
      <w:marBottom w:val="0"/>
      <w:divBdr>
        <w:top w:val="none" w:sz="0" w:space="0" w:color="auto"/>
        <w:left w:val="none" w:sz="0" w:space="0" w:color="auto"/>
        <w:bottom w:val="none" w:sz="0" w:space="0" w:color="auto"/>
        <w:right w:val="none" w:sz="0" w:space="0" w:color="auto"/>
      </w:divBdr>
    </w:div>
    <w:div w:id="679432081">
      <w:bodyDiv w:val="1"/>
      <w:marLeft w:val="0"/>
      <w:marRight w:val="0"/>
      <w:marTop w:val="0"/>
      <w:marBottom w:val="0"/>
      <w:divBdr>
        <w:top w:val="none" w:sz="0" w:space="0" w:color="auto"/>
        <w:left w:val="none" w:sz="0" w:space="0" w:color="auto"/>
        <w:bottom w:val="none" w:sz="0" w:space="0" w:color="auto"/>
        <w:right w:val="none" w:sz="0" w:space="0" w:color="auto"/>
      </w:divBdr>
    </w:div>
    <w:div w:id="688602774">
      <w:bodyDiv w:val="1"/>
      <w:marLeft w:val="0"/>
      <w:marRight w:val="0"/>
      <w:marTop w:val="0"/>
      <w:marBottom w:val="0"/>
      <w:divBdr>
        <w:top w:val="none" w:sz="0" w:space="0" w:color="auto"/>
        <w:left w:val="none" w:sz="0" w:space="0" w:color="auto"/>
        <w:bottom w:val="none" w:sz="0" w:space="0" w:color="auto"/>
        <w:right w:val="none" w:sz="0" w:space="0" w:color="auto"/>
      </w:divBdr>
    </w:div>
    <w:div w:id="697203049">
      <w:bodyDiv w:val="1"/>
      <w:marLeft w:val="0"/>
      <w:marRight w:val="0"/>
      <w:marTop w:val="0"/>
      <w:marBottom w:val="0"/>
      <w:divBdr>
        <w:top w:val="none" w:sz="0" w:space="0" w:color="auto"/>
        <w:left w:val="none" w:sz="0" w:space="0" w:color="auto"/>
        <w:bottom w:val="none" w:sz="0" w:space="0" w:color="auto"/>
        <w:right w:val="none" w:sz="0" w:space="0" w:color="auto"/>
      </w:divBdr>
    </w:div>
    <w:div w:id="700713730">
      <w:bodyDiv w:val="1"/>
      <w:marLeft w:val="0"/>
      <w:marRight w:val="0"/>
      <w:marTop w:val="0"/>
      <w:marBottom w:val="0"/>
      <w:divBdr>
        <w:top w:val="none" w:sz="0" w:space="0" w:color="auto"/>
        <w:left w:val="none" w:sz="0" w:space="0" w:color="auto"/>
        <w:bottom w:val="none" w:sz="0" w:space="0" w:color="auto"/>
        <w:right w:val="none" w:sz="0" w:space="0" w:color="auto"/>
      </w:divBdr>
    </w:div>
    <w:div w:id="706177027">
      <w:bodyDiv w:val="1"/>
      <w:marLeft w:val="0"/>
      <w:marRight w:val="0"/>
      <w:marTop w:val="0"/>
      <w:marBottom w:val="0"/>
      <w:divBdr>
        <w:top w:val="none" w:sz="0" w:space="0" w:color="auto"/>
        <w:left w:val="none" w:sz="0" w:space="0" w:color="auto"/>
        <w:bottom w:val="none" w:sz="0" w:space="0" w:color="auto"/>
        <w:right w:val="none" w:sz="0" w:space="0" w:color="auto"/>
      </w:divBdr>
    </w:div>
    <w:div w:id="710572213">
      <w:bodyDiv w:val="1"/>
      <w:marLeft w:val="0"/>
      <w:marRight w:val="0"/>
      <w:marTop w:val="0"/>
      <w:marBottom w:val="0"/>
      <w:divBdr>
        <w:top w:val="none" w:sz="0" w:space="0" w:color="auto"/>
        <w:left w:val="none" w:sz="0" w:space="0" w:color="auto"/>
        <w:bottom w:val="none" w:sz="0" w:space="0" w:color="auto"/>
        <w:right w:val="none" w:sz="0" w:space="0" w:color="auto"/>
      </w:divBdr>
    </w:div>
    <w:div w:id="711148966">
      <w:bodyDiv w:val="1"/>
      <w:marLeft w:val="0"/>
      <w:marRight w:val="0"/>
      <w:marTop w:val="0"/>
      <w:marBottom w:val="0"/>
      <w:divBdr>
        <w:top w:val="none" w:sz="0" w:space="0" w:color="auto"/>
        <w:left w:val="none" w:sz="0" w:space="0" w:color="auto"/>
        <w:bottom w:val="none" w:sz="0" w:space="0" w:color="auto"/>
        <w:right w:val="none" w:sz="0" w:space="0" w:color="auto"/>
      </w:divBdr>
    </w:div>
    <w:div w:id="711807926">
      <w:bodyDiv w:val="1"/>
      <w:marLeft w:val="0"/>
      <w:marRight w:val="0"/>
      <w:marTop w:val="0"/>
      <w:marBottom w:val="0"/>
      <w:divBdr>
        <w:top w:val="none" w:sz="0" w:space="0" w:color="auto"/>
        <w:left w:val="none" w:sz="0" w:space="0" w:color="auto"/>
        <w:bottom w:val="none" w:sz="0" w:space="0" w:color="auto"/>
        <w:right w:val="none" w:sz="0" w:space="0" w:color="auto"/>
      </w:divBdr>
    </w:div>
    <w:div w:id="717321961">
      <w:bodyDiv w:val="1"/>
      <w:marLeft w:val="0"/>
      <w:marRight w:val="0"/>
      <w:marTop w:val="0"/>
      <w:marBottom w:val="0"/>
      <w:divBdr>
        <w:top w:val="none" w:sz="0" w:space="0" w:color="auto"/>
        <w:left w:val="none" w:sz="0" w:space="0" w:color="auto"/>
        <w:bottom w:val="none" w:sz="0" w:space="0" w:color="auto"/>
        <w:right w:val="none" w:sz="0" w:space="0" w:color="auto"/>
      </w:divBdr>
    </w:div>
    <w:div w:id="724182734">
      <w:bodyDiv w:val="1"/>
      <w:marLeft w:val="0"/>
      <w:marRight w:val="0"/>
      <w:marTop w:val="0"/>
      <w:marBottom w:val="0"/>
      <w:divBdr>
        <w:top w:val="none" w:sz="0" w:space="0" w:color="auto"/>
        <w:left w:val="none" w:sz="0" w:space="0" w:color="auto"/>
        <w:bottom w:val="none" w:sz="0" w:space="0" w:color="auto"/>
        <w:right w:val="none" w:sz="0" w:space="0" w:color="auto"/>
      </w:divBdr>
      <w:divsChild>
        <w:div w:id="560601591">
          <w:marLeft w:val="547"/>
          <w:marRight w:val="0"/>
          <w:marTop w:val="106"/>
          <w:marBottom w:val="0"/>
          <w:divBdr>
            <w:top w:val="none" w:sz="0" w:space="0" w:color="auto"/>
            <w:left w:val="none" w:sz="0" w:space="0" w:color="auto"/>
            <w:bottom w:val="none" w:sz="0" w:space="0" w:color="auto"/>
            <w:right w:val="none" w:sz="0" w:space="0" w:color="auto"/>
          </w:divBdr>
        </w:div>
      </w:divsChild>
    </w:div>
    <w:div w:id="727847057">
      <w:bodyDiv w:val="1"/>
      <w:marLeft w:val="0"/>
      <w:marRight w:val="0"/>
      <w:marTop w:val="0"/>
      <w:marBottom w:val="0"/>
      <w:divBdr>
        <w:top w:val="none" w:sz="0" w:space="0" w:color="auto"/>
        <w:left w:val="none" w:sz="0" w:space="0" w:color="auto"/>
        <w:bottom w:val="none" w:sz="0" w:space="0" w:color="auto"/>
        <w:right w:val="none" w:sz="0" w:space="0" w:color="auto"/>
      </w:divBdr>
    </w:div>
    <w:div w:id="730078408">
      <w:bodyDiv w:val="1"/>
      <w:marLeft w:val="0"/>
      <w:marRight w:val="0"/>
      <w:marTop w:val="0"/>
      <w:marBottom w:val="0"/>
      <w:divBdr>
        <w:top w:val="none" w:sz="0" w:space="0" w:color="auto"/>
        <w:left w:val="none" w:sz="0" w:space="0" w:color="auto"/>
        <w:bottom w:val="none" w:sz="0" w:space="0" w:color="auto"/>
        <w:right w:val="none" w:sz="0" w:space="0" w:color="auto"/>
      </w:divBdr>
    </w:div>
    <w:div w:id="750349556">
      <w:bodyDiv w:val="1"/>
      <w:marLeft w:val="0"/>
      <w:marRight w:val="0"/>
      <w:marTop w:val="0"/>
      <w:marBottom w:val="0"/>
      <w:divBdr>
        <w:top w:val="none" w:sz="0" w:space="0" w:color="auto"/>
        <w:left w:val="none" w:sz="0" w:space="0" w:color="auto"/>
        <w:bottom w:val="none" w:sz="0" w:space="0" w:color="auto"/>
        <w:right w:val="none" w:sz="0" w:space="0" w:color="auto"/>
      </w:divBdr>
    </w:div>
    <w:div w:id="752433954">
      <w:bodyDiv w:val="1"/>
      <w:marLeft w:val="0"/>
      <w:marRight w:val="0"/>
      <w:marTop w:val="0"/>
      <w:marBottom w:val="0"/>
      <w:divBdr>
        <w:top w:val="none" w:sz="0" w:space="0" w:color="auto"/>
        <w:left w:val="none" w:sz="0" w:space="0" w:color="auto"/>
        <w:bottom w:val="none" w:sz="0" w:space="0" w:color="auto"/>
        <w:right w:val="none" w:sz="0" w:space="0" w:color="auto"/>
      </w:divBdr>
    </w:div>
    <w:div w:id="768500378">
      <w:bodyDiv w:val="1"/>
      <w:marLeft w:val="0"/>
      <w:marRight w:val="0"/>
      <w:marTop w:val="0"/>
      <w:marBottom w:val="0"/>
      <w:divBdr>
        <w:top w:val="none" w:sz="0" w:space="0" w:color="auto"/>
        <w:left w:val="none" w:sz="0" w:space="0" w:color="auto"/>
        <w:bottom w:val="none" w:sz="0" w:space="0" w:color="auto"/>
        <w:right w:val="none" w:sz="0" w:space="0" w:color="auto"/>
      </w:divBdr>
    </w:div>
    <w:div w:id="769354939">
      <w:bodyDiv w:val="1"/>
      <w:marLeft w:val="0"/>
      <w:marRight w:val="0"/>
      <w:marTop w:val="0"/>
      <w:marBottom w:val="0"/>
      <w:divBdr>
        <w:top w:val="none" w:sz="0" w:space="0" w:color="auto"/>
        <w:left w:val="none" w:sz="0" w:space="0" w:color="auto"/>
        <w:bottom w:val="none" w:sz="0" w:space="0" w:color="auto"/>
        <w:right w:val="none" w:sz="0" w:space="0" w:color="auto"/>
      </w:divBdr>
    </w:div>
    <w:div w:id="775170678">
      <w:bodyDiv w:val="1"/>
      <w:marLeft w:val="0"/>
      <w:marRight w:val="0"/>
      <w:marTop w:val="0"/>
      <w:marBottom w:val="0"/>
      <w:divBdr>
        <w:top w:val="none" w:sz="0" w:space="0" w:color="auto"/>
        <w:left w:val="none" w:sz="0" w:space="0" w:color="auto"/>
        <w:bottom w:val="none" w:sz="0" w:space="0" w:color="auto"/>
        <w:right w:val="none" w:sz="0" w:space="0" w:color="auto"/>
      </w:divBdr>
    </w:div>
    <w:div w:id="776173496">
      <w:bodyDiv w:val="1"/>
      <w:marLeft w:val="0"/>
      <w:marRight w:val="0"/>
      <w:marTop w:val="0"/>
      <w:marBottom w:val="0"/>
      <w:divBdr>
        <w:top w:val="none" w:sz="0" w:space="0" w:color="auto"/>
        <w:left w:val="none" w:sz="0" w:space="0" w:color="auto"/>
        <w:bottom w:val="none" w:sz="0" w:space="0" w:color="auto"/>
        <w:right w:val="none" w:sz="0" w:space="0" w:color="auto"/>
      </w:divBdr>
    </w:div>
    <w:div w:id="77621688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90">
          <w:marLeft w:val="0"/>
          <w:marRight w:val="0"/>
          <w:marTop w:val="0"/>
          <w:marBottom w:val="240"/>
          <w:divBdr>
            <w:top w:val="none" w:sz="0" w:space="0" w:color="auto"/>
            <w:left w:val="none" w:sz="0" w:space="0" w:color="auto"/>
            <w:bottom w:val="none" w:sz="0" w:space="0" w:color="auto"/>
            <w:right w:val="none" w:sz="0" w:space="0" w:color="auto"/>
          </w:divBdr>
        </w:div>
      </w:divsChild>
    </w:div>
    <w:div w:id="778261623">
      <w:bodyDiv w:val="1"/>
      <w:marLeft w:val="0"/>
      <w:marRight w:val="0"/>
      <w:marTop w:val="0"/>
      <w:marBottom w:val="0"/>
      <w:divBdr>
        <w:top w:val="none" w:sz="0" w:space="0" w:color="auto"/>
        <w:left w:val="none" w:sz="0" w:space="0" w:color="auto"/>
        <w:bottom w:val="none" w:sz="0" w:space="0" w:color="auto"/>
        <w:right w:val="none" w:sz="0" w:space="0" w:color="auto"/>
      </w:divBdr>
    </w:div>
    <w:div w:id="779448693">
      <w:bodyDiv w:val="1"/>
      <w:marLeft w:val="0"/>
      <w:marRight w:val="0"/>
      <w:marTop w:val="0"/>
      <w:marBottom w:val="0"/>
      <w:divBdr>
        <w:top w:val="none" w:sz="0" w:space="0" w:color="auto"/>
        <w:left w:val="none" w:sz="0" w:space="0" w:color="auto"/>
        <w:bottom w:val="none" w:sz="0" w:space="0" w:color="auto"/>
        <w:right w:val="none" w:sz="0" w:space="0" w:color="auto"/>
      </w:divBdr>
    </w:div>
    <w:div w:id="781654477">
      <w:bodyDiv w:val="1"/>
      <w:marLeft w:val="0"/>
      <w:marRight w:val="0"/>
      <w:marTop w:val="0"/>
      <w:marBottom w:val="0"/>
      <w:divBdr>
        <w:top w:val="none" w:sz="0" w:space="0" w:color="auto"/>
        <w:left w:val="none" w:sz="0" w:space="0" w:color="auto"/>
        <w:bottom w:val="none" w:sz="0" w:space="0" w:color="auto"/>
        <w:right w:val="none" w:sz="0" w:space="0" w:color="auto"/>
      </w:divBdr>
    </w:div>
    <w:div w:id="783571576">
      <w:bodyDiv w:val="1"/>
      <w:marLeft w:val="0"/>
      <w:marRight w:val="0"/>
      <w:marTop w:val="0"/>
      <w:marBottom w:val="0"/>
      <w:divBdr>
        <w:top w:val="none" w:sz="0" w:space="0" w:color="auto"/>
        <w:left w:val="none" w:sz="0" w:space="0" w:color="auto"/>
        <w:bottom w:val="none" w:sz="0" w:space="0" w:color="auto"/>
        <w:right w:val="none" w:sz="0" w:space="0" w:color="auto"/>
      </w:divBdr>
    </w:div>
    <w:div w:id="789475448">
      <w:bodyDiv w:val="1"/>
      <w:marLeft w:val="0"/>
      <w:marRight w:val="0"/>
      <w:marTop w:val="0"/>
      <w:marBottom w:val="0"/>
      <w:divBdr>
        <w:top w:val="none" w:sz="0" w:space="0" w:color="auto"/>
        <w:left w:val="none" w:sz="0" w:space="0" w:color="auto"/>
        <w:bottom w:val="none" w:sz="0" w:space="0" w:color="auto"/>
        <w:right w:val="none" w:sz="0" w:space="0" w:color="auto"/>
      </w:divBdr>
    </w:div>
    <w:div w:id="805704556">
      <w:bodyDiv w:val="1"/>
      <w:marLeft w:val="0"/>
      <w:marRight w:val="0"/>
      <w:marTop w:val="0"/>
      <w:marBottom w:val="0"/>
      <w:divBdr>
        <w:top w:val="none" w:sz="0" w:space="0" w:color="auto"/>
        <w:left w:val="none" w:sz="0" w:space="0" w:color="auto"/>
        <w:bottom w:val="none" w:sz="0" w:space="0" w:color="auto"/>
        <w:right w:val="none" w:sz="0" w:space="0" w:color="auto"/>
      </w:divBdr>
    </w:div>
    <w:div w:id="806047571">
      <w:bodyDiv w:val="1"/>
      <w:marLeft w:val="0"/>
      <w:marRight w:val="0"/>
      <w:marTop w:val="0"/>
      <w:marBottom w:val="0"/>
      <w:divBdr>
        <w:top w:val="none" w:sz="0" w:space="0" w:color="auto"/>
        <w:left w:val="none" w:sz="0" w:space="0" w:color="auto"/>
        <w:bottom w:val="none" w:sz="0" w:space="0" w:color="auto"/>
        <w:right w:val="none" w:sz="0" w:space="0" w:color="auto"/>
      </w:divBdr>
    </w:div>
    <w:div w:id="819081954">
      <w:bodyDiv w:val="1"/>
      <w:marLeft w:val="0"/>
      <w:marRight w:val="0"/>
      <w:marTop w:val="0"/>
      <w:marBottom w:val="0"/>
      <w:divBdr>
        <w:top w:val="none" w:sz="0" w:space="0" w:color="auto"/>
        <w:left w:val="none" w:sz="0" w:space="0" w:color="auto"/>
        <w:bottom w:val="none" w:sz="0" w:space="0" w:color="auto"/>
        <w:right w:val="none" w:sz="0" w:space="0" w:color="auto"/>
      </w:divBdr>
    </w:div>
    <w:div w:id="819150325">
      <w:bodyDiv w:val="1"/>
      <w:marLeft w:val="0"/>
      <w:marRight w:val="0"/>
      <w:marTop w:val="0"/>
      <w:marBottom w:val="0"/>
      <w:divBdr>
        <w:top w:val="none" w:sz="0" w:space="0" w:color="auto"/>
        <w:left w:val="none" w:sz="0" w:space="0" w:color="auto"/>
        <w:bottom w:val="none" w:sz="0" w:space="0" w:color="auto"/>
        <w:right w:val="none" w:sz="0" w:space="0" w:color="auto"/>
      </w:divBdr>
    </w:div>
    <w:div w:id="820804019">
      <w:bodyDiv w:val="1"/>
      <w:marLeft w:val="0"/>
      <w:marRight w:val="0"/>
      <w:marTop w:val="0"/>
      <w:marBottom w:val="0"/>
      <w:divBdr>
        <w:top w:val="none" w:sz="0" w:space="0" w:color="auto"/>
        <w:left w:val="none" w:sz="0" w:space="0" w:color="auto"/>
        <w:bottom w:val="none" w:sz="0" w:space="0" w:color="auto"/>
        <w:right w:val="none" w:sz="0" w:space="0" w:color="auto"/>
      </w:divBdr>
    </w:div>
    <w:div w:id="822699378">
      <w:bodyDiv w:val="1"/>
      <w:marLeft w:val="0"/>
      <w:marRight w:val="0"/>
      <w:marTop w:val="0"/>
      <w:marBottom w:val="0"/>
      <w:divBdr>
        <w:top w:val="none" w:sz="0" w:space="0" w:color="auto"/>
        <w:left w:val="none" w:sz="0" w:space="0" w:color="auto"/>
        <w:bottom w:val="none" w:sz="0" w:space="0" w:color="auto"/>
        <w:right w:val="none" w:sz="0" w:space="0" w:color="auto"/>
      </w:divBdr>
    </w:div>
    <w:div w:id="822967162">
      <w:bodyDiv w:val="1"/>
      <w:marLeft w:val="0"/>
      <w:marRight w:val="0"/>
      <w:marTop w:val="0"/>
      <w:marBottom w:val="0"/>
      <w:divBdr>
        <w:top w:val="none" w:sz="0" w:space="0" w:color="auto"/>
        <w:left w:val="none" w:sz="0" w:space="0" w:color="auto"/>
        <w:bottom w:val="none" w:sz="0" w:space="0" w:color="auto"/>
        <w:right w:val="none" w:sz="0" w:space="0" w:color="auto"/>
      </w:divBdr>
    </w:div>
    <w:div w:id="824277637">
      <w:bodyDiv w:val="1"/>
      <w:marLeft w:val="0"/>
      <w:marRight w:val="0"/>
      <w:marTop w:val="0"/>
      <w:marBottom w:val="0"/>
      <w:divBdr>
        <w:top w:val="none" w:sz="0" w:space="0" w:color="auto"/>
        <w:left w:val="none" w:sz="0" w:space="0" w:color="auto"/>
        <w:bottom w:val="none" w:sz="0" w:space="0" w:color="auto"/>
        <w:right w:val="none" w:sz="0" w:space="0" w:color="auto"/>
      </w:divBdr>
    </w:div>
    <w:div w:id="828251341">
      <w:bodyDiv w:val="1"/>
      <w:marLeft w:val="0"/>
      <w:marRight w:val="0"/>
      <w:marTop w:val="0"/>
      <w:marBottom w:val="0"/>
      <w:divBdr>
        <w:top w:val="none" w:sz="0" w:space="0" w:color="auto"/>
        <w:left w:val="none" w:sz="0" w:space="0" w:color="auto"/>
        <w:bottom w:val="none" w:sz="0" w:space="0" w:color="auto"/>
        <w:right w:val="none" w:sz="0" w:space="0" w:color="auto"/>
      </w:divBdr>
    </w:div>
    <w:div w:id="837892157">
      <w:bodyDiv w:val="1"/>
      <w:marLeft w:val="0"/>
      <w:marRight w:val="0"/>
      <w:marTop w:val="0"/>
      <w:marBottom w:val="0"/>
      <w:divBdr>
        <w:top w:val="none" w:sz="0" w:space="0" w:color="auto"/>
        <w:left w:val="none" w:sz="0" w:space="0" w:color="auto"/>
        <w:bottom w:val="none" w:sz="0" w:space="0" w:color="auto"/>
        <w:right w:val="none" w:sz="0" w:space="0" w:color="auto"/>
      </w:divBdr>
    </w:div>
    <w:div w:id="838620982">
      <w:bodyDiv w:val="1"/>
      <w:marLeft w:val="0"/>
      <w:marRight w:val="0"/>
      <w:marTop w:val="0"/>
      <w:marBottom w:val="0"/>
      <w:divBdr>
        <w:top w:val="none" w:sz="0" w:space="0" w:color="auto"/>
        <w:left w:val="none" w:sz="0" w:space="0" w:color="auto"/>
        <w:bottom w:val="none" w:sz="0" w:space="0" w:color="auto"/>
        <w:right w:val="none" w:sz="0" w:space="0" w:color="auto"/>
      </w:divBdr>
    </w:div>
    <w:div w:id="839388048">
      <w:bodyDiv w:val="1"/>
      <w:marLeft w:val="0"/>
      <w:marRight w:val="0"/>
      <w:marTop w:val="0"/>
      <w:marBottom w:val="0"/>
      <w:divBdr>
        <w:top w:val="none" w:sz="0" w:space="0" w:color="auto"/>
        <w:left w:val="none" w:sz="0" w:space="0" w:color="auto"/>
        <w:bottom w:val="none" w:sz="0" w:space="0" w:color="auto"/>
        <w:right w:val="none" w:sz="0" w:space="0" w:color="auto"/>
      </w:divBdr>
    </w:div>
    <w:div w:id="841623821">
      <w:bodyDiv w:val="1"/>
      <w:marLeft w:val="0"/>
      <w:marRight w:val="0"/>
      <w:marTop w:val="0"/>
      <w:marBottom w:val="0"/>
      <w:divBdr>
        <w:top w:val="none" w:sz="0" w:space="0" w:color="auto"/>
        <w:left w:val="none" w:sz="0" w:space="0" w:color="auto"/>
        <w:bottom w:val="none" w:sz="0" w:space="0" w:color="auto"/>
        <w:right w:val="none" w:sz="0" w:space="0" w:color="auto"/>
      </w:divBdr>
    </w:div>
    <w:div w:id="842164018">
      <w:bodyDiv w:val="1"/>
      <w:marLeft w:val="0"/>
      <w:marRight w:val="0"/>
      <w:marTop w:val="0"/>
      <w:marBottom w:val="0"/>
      <w:divBdr>
        <w:top w:val="none" w:sz="0" w:space="0" w:color="auto"/>
        <w:left w:val="none" w:sz="0" w:space="0" w:color="auto"/>
        <w:bottom w:val="none" w:sz="0" w:space="0" w:color="auto"/>
        <w:right w:val="none" w:sz="0" w:space="0" w:color="auto"/>
      </w:divBdr>
    </w:div>
    <w:div w:id="844903736">
      <w:bodyDiv w:val="1"/>
      <w:marLeft w:val="0"/>
      <w:marRight w:val="0"/>
      <w:marTop w:val="0"/>
      <w:marBottom w:val="0"/>
      <w:divBdr>
        <w:top w:val="none" w:sz="0" w:space="0" w:color="auto"/>
        <w:left w:val="none" w:sz="0" w:space="0" w:color="auto"/>
        <w:bottom w:val="none" w:sz="0" w:space="0" w:color="auto"/>
        <w:right w:val="none" w:sz="0" w:space="0" w:color="auto"/>
      </w:divBdr>
    </w:div>
    <w:div w:id="848065715">
      <w:bodyDiv w:val="1"/>
      <w:marLeft w:val="0"/>
      <w:marRight w:val="0"/>
      <w:marTop w:val="0"/>
      <w:marBottom w:val="0"/>
      <w:divBdr>
        <w:top w:val="none" w:sz="0" w:space="0" w:color="auto"/>
        <w:left w:val="none" w:sz="0" w:space="0" w:color="auto"/>
        <w:bottom w:val="none" w:sz="0" w:space="0" w:color="auto"/>
        <w:right w:val="none" w:sz="0" w:space="0" w:color="auto"/>
      </w:divBdr>
    </w:div>
    <w:div w:id="848444718">
      <w:bodyDiv w:val="1"/>
      <w:marLeft w:val="0"/>
      <w:marRight w:val="0"/>
      <w:marTop w:val="0"/>
      <w:marBottom w:val="0"/>
      <w:divBdr>
        <w:top w:val="none" w:sz="0" w:space="0" w:color="auto"/>
        <w:left w:val="none" w:sz="0" w:space="0" w:color="auto"/>
        <w:bottom w:val="none" w:sz="0" w:space="0" w:color="auto"/>
        <w:right w:val="none" w:sz="0" w:space="0" w:color="auto"/>
      </w:divBdr>
    </w:div>
    <w:div w:id="849484999">
      <w:bodyDiv w:val="1"/>
      <w:marLeft w:val="0"/>
      <w:marRight w:val="0"/>
      <w:marTop w:val="0"/>
      <w:marBottom w:val="0"/>
      <w:divBdr>
        <w:top w:val="none" w:sz="0" w:space="0" w:color="auto"/>
        <w:left w:val="none" w:sz="0" w:space="0" w:color="auto"/>
        <w:bottom w:val="none" w:sz="0" w:space="0" w:color="auto"/>
        <w:right w:val="none" w:sz="0" w:space="0" w:color="auto"/>
      </w:divBdr>
    </w:div>
    <w:div w:id="858355326">
      <w:bodyDiv w:val="1"/>
      <w:marLeft w:val="0"/>
      <w:marRight w:val="0"/>
      <w:marTop w:val="0"/>
      <w:marBottom w:val="0"/>
      <w:divBdr>
        <w:top w:val="none" w:sz="0" w:space="0" w:color="auto"/>
        <w:left w:val="none" w:sz="0" w:space="0" w:color="auto"/>
        <w:bottom w:val="none" w:sz="0" w:space="0" w:color="auto"/>
        <w:right w:val="none" w:sz="0" w:space="0" w:color="auto"/>
      </w:divBdr>
    </w:div>
    <w:div w:id="867912031">
      <w:bodyDiv w:val="1"/>
      <w:marLeft w:val="0"/>
      <w:marRight w:val="0"/>
      <w:marTop w:val="0"/>
      <w:marBottom w:val="0"/>
      <w:divBdr>
        <w:top w:val="none" w:sz="0" w:space="0" w:color="auto"/>
        <w:left w:val="none" w:sz="0" w:space="0" w:color="auto"/>
        <w:bottom w:val="none" w:sz="0" w:space="0" w:color="auto"/>
        <w:right w:val="none" w:sz="0" w:space="0" w:color="auto"/>
      </w:divBdr>
    </w:div>
    <w:div w:id="871187692">
      <w:bodyDiv w:val="1"/>
      <w:marLeft w:val="0"/>
      <w:marRight w:val="0"/>
      <w:marTop w:val="0"/>
      <w:marBottom w:val="0"/>
      <w:divBdr>
        <w:top w:val="none" w:sz="0" w:space="0" w:color="auto"/>
        <w:left w:val="none" w:sz="0" w:space="0" w:color="auto"/>
        <w:bottom w:val="none" w:sz="0" w:space="0" w:color="auto"/>
        <w:right w:val="none" w:sz="0" w:space="0" w:color="auto"/>
      </w:divBdr>
    </w:div>
    <w:div w:id="871919799">
      <w:bodyDiv w:val="1"/>
      <w:marLeft w:val="0"/>
      <w:marRight w:val="0"/>
      <w:marTop w:val="0"/>
      <w:marBottom w:val="0"/>
      <w:divBdr>
        <w:top w:val="none" w:sz="0" w:space="0" w:color="auto"/>
        <w:left w:val="none" w:sz="0" w:space="0" w:color="auto"/>
        <w:bottom w:val="none" w:sz="0" w:space="0" w:color="auto"/>
        <w:right w:val="none" w:sz="0" w:space="0" w:color="auto"/>
      </w:divBdr>
    </w:div>
    <w:div w:id="889224727">
      <w:bodyDiv w:val="1"/>
      <w:marLeft w:val="0"/>
      <w:marRight w:val="0"/>
      <w:marTop w:val="0"/>
      <w:marBottom w:val="0"/>
      <w:divBdr>
        <w:top w:val="none" w:sz="0" w:space="0" w:color="auto"/>
        <w:left w:val="none" w:sz="0" w:space="0" w:color="auto"/>
        <w:bottom w:val="none" w:sz="0" w:space="0" w:color="auto"/>
        <w:right w:val="none" w:sz="0" w:space="0" w:color="auto"/>
      </w:divBdr>
    </w:div>
    <w:div w:id="900403077">
      <w:bodyDiv w:val="1"/>
      <w:marLeft w:val="0"/>
      <w:marRight w:val="0"/>
      <w:marTop w:val="0"/>
      <w:marBottom w:val="0"/>
      <w:divBdr>
        <w:top w:val="none" w:sz="0" w:space="0" w:color="auto"/>
        <w:left w:val="none" w:sz="0" w:space="0" w:color="auto"/>
        <w:bottom w:val="none" w:sz="0" w:space="0" w:color="auto"/>
        <w:right w:val="none" w:sz="0" w:space="0" w:color="auto"/>
      </w:divBdr>
    </w:div>
    <w:div w:id="913508913">
      <w:bodyDiv w:val="1"/>
      <w:marLeft w:val="0"/>
      <w:marRight w:val="0"/>
      <w:marTop w:val="0"/>
      <w:marBottom w:val="0"/>
      <w:divBdr>
        <w:top w:val="none" w:sz="0" w:space="0" w:color="auto"/>
        <w:left w:val="none" w:sz="0" w:space="0" w:color="auto"/>
        <w:bottom w:val="none" w:sz="0" w:space="0" w:color="auto"/>
        <w:right w:val="none" w:sz="0" w:space="0" w:color="auto"/>
      </w:divBdr>
    </w:div>
    <w:div w:id="916280818">
      <w:bodyDiv w:val="1"/>
      <w:marLeft w:val="0"/>
      <w:marRight w:val="0"/>
      <w:marTop w:val="0"/>
      <w:marBottom w:val="0"/>
      <w:divBdr>
        <w:top w:val="none" w:sz="0" w:space="0" w:color="auto"/>
        <w:left w:val="none" w:sz="0" w:space="0" w:color="auto"/>
        <w:bottom w:val="none" w:sz="0" w:space="0" w:color="auto"/>
        <w:right w:val="none" w:sz="0" w:space="0" w:color="auto"/>
      </w:divBdr>
    </w:div>
    <w:div w:id="921061888">
      <w:bodyDiv w:val="1"/>
      <w:marLeft w:val="0"/>
      <w:marRight w:val="0"/>
      <w:marTop w:val="0"/>
      <w:marBottom w:val="0"/>
      <w:divBdr>
        <w:top w:val="none" w:sz="0" w:space="0" w:color="auto"/>
        <w:left w:val="none" w:sz="0" w:space="0" w:color="auto"/>
        <w:bottom w:val="none" w:sz="0" w:space="0" w:color="auto"/>
        <w:right w:val="none" w:sz="0" w:space="0" w:color="auto"/>
      </w:divBdr>
    </w:div>
    <w:div w:id="931935400">
      <w:bodyDiv w:val="1"/>
      <w:marLeft w:val="0"/>
      <w:marRight w:val="0"/>
      <w:marTop w:val="0"/>
      <w:marBottom w:val="0"/>
      <w:divBdr>
        <w:top w:val="none" w:sz="0" w:space="0" w:color="auto"/>
        <w:left w:val="none" w:sz="0" w:space="0" w:color="auto"/>
        <w:bottom w:val="none" w:sz="0" w:space="0" w:color="auto"/>
        <w:right w:val="none" w:sz="0" w:space="0" w:color="auto"/>
      </w:divBdr>
    </w:div>
    <w:div w:id="934291126">
      <w:bodyDiv w:val="1"/>
      <w:marLeft w:val="0"/>
      <w:marRight w:val="0"/>
      <w:marTop w:val="0"/>
      <w:marBottom w:val="0"/>
      <w:divBdr>
        <w:top w:val="none" w:sz="0" w:space="0" w:color="auto"/>
        <w:left w:val="none" w:sz="0" w:space="0" w:color="auto"/>
        <w:bottom w:val="none" w:sz="0" w:space="0" w:color="auto"/>
        <w:right w:val="none" w:sz="0" w:space="0" w:color="auto"/>
      </w:divBdr>
    </w:div>
    <w:div w:id="935333697">
      <w:bodyDiv w:val="1"/>
      <w:marLeft w:val="0"/>
      <w:marRight w:val="0"/>
      <w:marTop w:val="0"/>
      <w:marBottom w:val="0"/>
      <w:divBdr>
        <w:top w:val="none" w:sz="0" w:space="0" w:color="auto"/>
        <w:left w:val="none" w:sz="0" w:space="0" w:color="auto"/>
        <w:bottom w:val="none" w:sz="0" w:space="0" w:color="auto"/>
        <w:right w:val="none" w:sz="0" w:space="0" w:color="auto"/>
      </w:divBdr>
    </w:div>
    <w:div w:id="935483280">
      <w:bodyDiv w:val="1"/>
      <w:marLeft w:val="0"/>
      <w:marRight w:val="0"/>
      <w:marTop w:val="0"/>
      <w:marBottom w:val="0"/>
      <w:divBdr>
        <w:top w:val="none" w:sz="0" w:space="0" w:color="auto"/>
        <w:left w:val="none" w:sz="0" w:space="0" w:color="auto"/>
        <w:bottom w:val="none" w:sz="0" w:space="0" w:color="auto"/>
        <w:right w:val="none" w:sz="0" w:space="0" w:color="auto"/>
      </w:divBdr>
    </w:div>
    <w:div w:id="946157657">
      <w:bodyDiv w:val="1"/>
      <w:marLeft w:val="0"/>
      <w:marRight w:val="0"/>
      <w:marTop w:val="0"/>
      <w:marBottom w:val="0"/>
      <w:divBdr>
        <w:top w:val="none" w:sz="0" w:space="0" w:color="auto"/>
        <w:left w:val="none" w:sz="0" w:space="0" w:color="auto"/>
        <w:bottom w:val="none" w:sz="0" w:space="0" w:color="auto"/>
        <w:right w:val="none" w:sz="0" w:space="0" w:color="auto"/>
      </w:divBdr>
    </w:div>
    <w:div w:id="947661295">
      <w:bodyDiv w:val="1"/>
      <w:marLeft w:val="0"/>
      <w:marRight w:val="0"/>
      <w:marTop w:val="0"/>
      <w:marBottom w:val="0"/>
      <w:divBdr>
        <w:top w:val="none" w:sz="0" w:space="0" w:color="auto"/>
        <w:left w:val="none" w:sz="0" w:space="0" w:color="auto"/>
        <w:bottom w:val="none" w:sz="0" w:space="0" w:color="auto"/>
        <w:right w:val="none" w:sz="0" w:space="0" w:color="auto"/>
      </w:divBdr>
    </w:div>
    <w:div w:id="953705921">
      <w:bodyDiv w:val="1"/>
      <w:marLeft w:val="0"/>
      <w:marRight w:val="0"/>
      <w:marTop w:val="0"/>
      <w:marBottom w:val="0"/>
      <w:divBdr>
        <w:top w:val="none" w:sz="0" w:space="0" w:color="auto"/>
        <w:left w:val="none" w:sz="0" w:space="0" w:color="auto"/>
        <w:bottom w:val="none" w:sz="0" w:space="0" w:color="auto"/>
        <w:right w:val="none" w:sz="0" w:space="0" w:color="auto"/>
      </w:divBdr>
    </w:div>
    <w:div w:id="957027786">
      <w:bodyDiv w:val="1"/>
      <w:marLeft w:val="0"/>
      <w:marRight w:val="0"/>
      <w:marTop w:val="0"/>
      <w:marBottom w:val="0"/>
      <w:divBdr>
        <w:top w:val="none" w:sz="0" w:space="0" w:color="auto"/>
        <w:left w:val="none" w:sz="0" w:space="0" w:color="auto"/>
        <w:bottom w:val="none" w:sz="0" w:space="0" w:color="auto"/>
        <w:right w:val="none" w:sz="0" w:space="0" w:color="auto"/>
      </w:divBdr>
    </w:div>
    <w:div w:id="957679790">
      <w:bodyDiv w:val="1"/>
      <w:marLeft w:val="0"/>
      <w:marRight w:val="0"/>
      <w:marTop w:val="0"/>
      <w:marBottom w:val="0"/>
      <w:divBdr>
        <w:top w:val="none" w:sz="0" w:space="0" w:color="auto"/>
        <w:left w:val="none" w:sz="0" w:space="0" w:color="auto"/>
        <w:bottom w:val="none" w:sz="0" w:space="0" w:color="auto"/>
        <w:right w:val="none" w:sz="0" w:space="0" w:color="auto"/>
      </w:divBdr>
    </w:div>
    <w:div w:id="960384955">
      <w:bodyDiv w:val="1"/>
      <w:marLeft w:val="0"/>
      <w:marRight w:val="0"/>
      <w:marTop w:val="0"/>
      <w:marBottom w:val="0"/>
      <w:divBdr>
        <w:top w:val="none" w:sz="0" w:space="0" w:color="auto"/>
        <w:left w:val="none" w:sz="0" w:space="0" w:color="auto"/>
        <w:bottom w:val="none" w:sz="0" w:space="0" w:color="auto"/>
        <w:right w:val="none" w:sz="0" w:space="0" w:color="auto"/>
      </w:divBdr>
    </w:div>
    <w:div w:id="961611564">
      <w:bodyDiv w:val="1"/>
      <w:marLeft w:val="0"/>
      <w:marRight w:val="0"/>
      <w:marTop w:val="0"/>
      <w:marBottom w:val="0"/>
      <w:divBdr>
        <w:top w:val="none" w:sz="0" w:space="0" w:color="auto"/>
        <w:left w:val="none" w:sz="0" w:space="0" w:color="auto"/>
        <w:bottom w:val="none" w:sz="0" w:space="0" w:color="auto"/>
        <w:right w:val="none" w:sz="0" w:space="0" w:color="auto"/>
      </w:divBdr>
    </w:div>
    <w:div w:id="973556812">
      <w:bodyDiv w:val="1"/>
      <w:marLeft w:val="0"/>
      <w:marRight w:val="0"/>
      <w:marTop w:val="0"/>
      <w:marBottom w:val="0"/>
      <w:divBdr>
        <w:top w:val="none" w:sz="0" w:space="0" w:color="auto"/>
        <w:left w:val="none" w:sz="0" w:space="0" w:color="auto"/>
        <w:bottom w:val="none" w:sz="0" w:space="0" w:color="auto"/>
        <w:right w:val="none" w:sz="0" w:space="0" w:color="auto"/>
      </w:divBdr>
    </w:div>
    <w:div w:id="976377555">
      <w:bodyDiv w:val="1"/>
      <w:marLeft w:val="0"/>
      <w:marRight w:val="0"/>
      <w:marTop w:val="0"/>
      <w:marBottom w:val="0"/>
      <w:divBdr>
        <w:top w:val="none" w:sz="0" w:space="0" w:color="auto"/>
        <w:left w:val="none" w:sz="0" w:space="0" w:color="auto"/>
        <w:bottom w:val="none" w:sz="0" w:space="0" w:color="auto"/>
        <w:right w:val="none" w:sz="0" w:space="0" w:color="auto"/>
      </w:divBdr>
    </w:div>
    <w:div w:id="992370298">
      <w:bodyDiv w:val="1"/>
      <w:marLeft w:val="0"/>
      <w:marRight w:val="0"/>
      <w:marTop w:val="0"/>
      <w:marBottom w:val="0"/>
      <w:divBdr>
        <w:top w:val="none" w:sz="0" w:space="0" w:color="auto"/>
        <w:left w:val="none" w:sz="0" w:space="0" w:color="auto"/>
        <w:bottom w:val="none" w:sz="0" w:space="0" w:color="auto"/>
        <w:right w:val="none" w:sz="0" w:space="0" w:color="auto"/>
      </w:divBdr>
    </w:div>
    <w:div w:id="999386987">
      <w:bodyDiv w:val="1"/>
      <w:marLeft w:val="0"/>
      <w:marRight w:val="0"/>
      <w:marTop w:val="0"/>
      <w:marBottom w:val="0"/>
      <w:divBdr>
        <w:top w:val="none" w:sz="0" w:space="0" w:color="auto"/>
        <w:left w:val="none" w:sz="0" w:space="0" w:color="auto"/>
        <w:bottom w:val="none" w:sz="0" w:space="0" w:color="auto"/>
        <w:right w:val="none" w:sz="0" w:space="0" w:color="auto"/>
      </w:divBdr>
    </w:div>
    <w:div w:id="1001815240">
      <w:bodyDiv w:val="1"/>
      <w:marLeft w:val="0"/>
      <w:marRight w:val="0"/>
      <w:marTop w:val="0"/>
      <w:marBottom w:val="0"/>
      <w:divBdr>
        <w:top w:val="none" w:sz="0" w:space="0" w:color="auto"/>
        <w:left w:val="none" w:sz="0" w:space="0" w:color="auto"/>
        <w:bottom w:val="none" w:sz="0" w:space="0" w:color="auto"/>
        <w:right w:val="none" w:sz="0" w:space="0" w:color="auto"/>
      </w:divBdr>
    </w:div>
    <w:div w:id="1002581968">
      <w:bodyDiv w:val="1"/>
      <w:marLeft w:val="0"/>
      <w:marRight w:val="0"/>
      <w:marTop w:val="0"/>
      <w:marBottom w:val="0"/>
      <w:divBdr>
        <w:top w:val="none" w:sz="0" w:space="0" w:color="auto"/>
        <w:left w:val="none" w:sz="0" w:space="0" w:color="auto"/>
        <w:bottom w:val="none" w:sz="0" w:space="0" w:color="auto"/>
        <w:right w:val="none" w:sz="0" w:space="0" w:color="auto"/>
      </w:divBdr>
    </w:div>
    <w:div w:id="1006639820">
      <w:bodyDiv w:val="1"/>
      <w:marLeft w:val="0"/>
      <w:marRight w:val="0"/>
      <w:marTop w:val="0"/>
      <w:marBottom w:val="0"/>
      <w:divBdr>
        <w:top w:val="none" w:sz="0" w:space="0" w:color="auto"/>
        <w:left w:val="none" w:sz="0" w:space="0" w:color="auto"/>
        <w:bottom w:val="none" w:sz="0" w:space="0" w:color="auto"/>
        <w:right w:val="none" w:sz="0" w:space="0" w:color="auto"/>
      </w:divBdr>
    </w:div>
    <w:div w:id="1015576220">
      <w:bodyDiv w:val="1"/>
      <w:marLeft w:val="0"/>
      <w:marRight w:val="0"/>
      <w:marTop w:val="0"/>
      <w:marBottom w:val="0"/>
      <w:divBdr>
        <w:top w:val="none" w:sz="0" w:space="0" w:color="auto"/>
        <w:left w:val="none" w:sz="0" w:space="0" w:color="auto"/>
        <w:bottom w:val="none" w:sz="0" w:space="0" w:color="auto"/>
        <w:right w:val="none" w:sz="0" w:space="0" w:color="auto"/>
      </w:divBdr>
    </w:div>
    <w:div w:id="1018585876">
      <w:bodyDiv w:val="1"/>
      <w:marLeft w:val="0"/>
      <w:marRight w:val="0"/>
      <w:marTop w:val="0"/>
      <w:marBottom w:val="0"/>
      <w:divBdr>
        <w:top w:val="none" w:sz="0" w:space="0" w:color="auto"/>
        <w:left w:val="none" w:sz="0" w:space="0" w:color="auto"/>
        <w:bottom w:val="none" w:sz="0" w:space="0" w:color="auto"/>
        <w:right w:val="none" w:sz="0" w:space="0" w:color="auto"/>
      </w:divBdr>
    </w:div>
    <w:div w:id="1019551660">
      <w:bodyDiv w:val="1"/>
      <w:marLeft w:val="0"/>
      <w:marRight w:val="0"/>
      <w:marTop w:val="0"/>
      <w:marBottom w:val="0"/>
      <w:divBdr>
        <w:top w:val="none" w:sz="0" w:space="0" w:color="auto"/>
        <w:left w:val="none" w:sz="0" w:space="0" w:color="auto"/>
        <w:bottom w:val="none" w:sz="0" w:space="0" w:color="auto"/>
        <w:right w:val="none" w:sz="0" w:space="0" w:color="auto"/>
      </w:divBdr>
    </w:div>
    <w:div w:id="1031956591">
      <w:bodyDiv w:val="1"/>
      <w:marLeft w:val="0"/>
      <w:marRight w:val="0"/>
      <w:marTop w:val="0"/>
      <w:marBottom w:val="0"/>
      <w:divBdr>
        <w:top w:val="none" w:sz="0" w:space="0" w:color="auto"/>
        <w:left w:val="none" w:sz="0" w:space="0" w:color="auto"/>
        <w:bottom w:val="none" w:sz="0" w:space="0" w:color="auto"/>
        <w:right w:val="none" w:sz="0" w:space="0" w:color="auto"/>
      </w:divBdr>
    </w:div>
    <w:div w:id="1034501500">
      <w:bodyDiv w:val="1"/>
      <w:marLeft w:val="0"/>
      <w:marRight w:val="0"/>
      <w:marTop w:val="0"/>
      <w:marBottom w:val="0"/>
      <w:divBdr>
        <w:top w:val="none" w:sz="0" w:space="0" w:color="auto"/>
        <w:left w:val="none" w:sz="0" w:space="0" w:color="auto"/>
        <w:bottom w:val="none" w:sz="0" w:space="0" w:color="auto"/>
        <w:right w:val="none" w:sz="0" w:space="0" w:color="auto"/>
      </w:divBdr>
    </w:div>
    <w:div w:id="1038240594">
      <w:bodyDiv w:val="1"/>
      <w:marLeft w:val="0"/>
      <w:marRight w:val="0"/>
      <w:marTop w:val="0"/>
      <w:marBottom w:val="0"/>
      <w:divBdr>
        <w:top w:val="none" w:sz="0" w:space="0" w:color="auto"/>
        <w:left w:val="none" w:sz="0" w:space="0" w:color="auto"/>
        <w:bottom w:val="none" w:sz="0" w:space="0" w:color="auto"/>
        <w:right w:val="none" w:sz="0" w:space="0" w:color="auto"/>
      </w:divBdr>
    </w:div>
    <w:div w:id="1041982422">
      <w:bodyDiv w:val="1"/>
      <w:marLeft w:val="0"/>
      <w:marRight w:val="0"/>
      <w:marTop w:val="0"/>
      <w:marBottom w:val="0"/>
      <w:divBdr>
        <w:top w:val="none" w:sz="0" w:space="0" w:color="auto"/>
        <w:left w:val="none" w:sz="0" w:space="0" w:color="auto"/>
        <w:bottom w:val="none" w:sz="0" w:space="0" w:color="auto"/>
        <w:right w:val="none" w:sz="0" w:space="0" w:color="auto"/>
      </w:divBdr>
    </w:div>
    <w:div w:id="1042750529">
      <w:bodyDiv w:val="1"/>
      <w:marLeft w:val="0"/>
      <w:marRight w:val="0"/>
      <w:marTop w:val="0"/>
      <w:marBottom w:val="0"/>
      <w:divBdr>
        <w:top w:val="none" w:sz="0" w:space="0" w:color="auto"/>
        <w:left w:val="none" w:sz="0" w:space="0" w:color="auto"/>
        <w:bottom w:val="none" w:sz="0" w:space="0" w:color="auto"/>
        <w:right w:val="none" w:sz="0" w:space="0" w:color="auto"/>
      </w:divBdr>
    </w:div>
    <w:div w:id="1043485954">
      <w:bodyDiv w:val="1"/>
      <w:marLeft w:val="0"/>
      <w:marRight w:val="0"/>
      <w:marTop w:val="0"/>
      <w:marBottom w:val="0"/>
      <w:divBdr>
        <w:top w:val="none" w:sz="0" w:space="0" w:color="auto"/>
        <w:left w:val="none" w:sz="0" w:space="0" w:color="auto"/>
        <w:bottom w:val="none" w:sz="0" w:space="0" w:color="auto"/>
        <w:right w:val="none" w:sz="0" w:space="0" w:color="auto"/>
      </w:divBdr>
    </w:div>
    <w:div w:id="1045327038">
      <w:bodyDiv w:val="1"/>
      <w:marLeft w:val="0"/>
      <w:marRight w:val="0"/>
      <w:marTop w:val="0"/>
      <w:marBottom w:val="0"/>
      <w:divBdr>
        <w:top w:val="none" w:sz="0" w:space="0" w:color="auto"/>
        <w:left w:val="none" w:sz="0" w:space="0" w:color="auto"/>
        <w:bottom w:val="none" w:sz="0" w:space="0" w:color="auto"/>
        <w:right w:val="none" w:sz="0" w:space="0" w:color="auto"/>
      </w:divBdr>
    </w:div>
    <w:div w:id="1049719170">
      <w:bodyDiv w:val="1"/>
      <w:marLeft w:val="0"/>
      <w:marRight w:val="0"/>
      <w:marTop w:val="0"/>
      <w:marBottom w:val="0"/>
      <w:divBdr>
        <w:top w:val="none" w:sz="0" w:space="0" w:color="auto"/>
        <w:left w:val="none" w:sz="0" w:space="0" w:color="auto"/>
        <w:bottom w:val="none" w:sz="0" w:space="0" w:color="auto"/>
        <w:right w:val="none" w:sz="0" w:space="0" w:color="auto"/>
      </w:divBdr>
    </w:div>
    <w:div w:id="1054545885">
      <w:bodyDiv w:val="1"/>
      <w:marLeft w:val="0"/>
      <w:marRight w:val="0"/>
      <w:marTop w:val="0"/>
      <w:marBottom w:val="0"/>
      <w:divBdr>
        <w:top w:val="none" w:sz="0" w:space="0" w:color="auto"/>
        <w:left w:val="none" w:sz="0" w:space="0" w:color="auto"/>
        <w:bottom w:val="none" w:sz="0" w:space="0" w:color="auto"/>
        <w:right w:val="none" w:sz="0" w:space="0" w:color="auto"/>
      </w:divBdr>
    </w:div>
    <w:div w:id="1057165245">
      <w:bodyDiv w:val="1"/>
      <w:marLeft w:val="0"/>
      <w:marRight w:val="0"/>
      <w:marTop w:val="0"/>
      <w:marBottom w:val="0"/>
      <w:divBdr>
        <w:top w:val="none" w:sz="0" w:space="0" w:color="auto"/>
        <w:left w:val="none" w:sz="0" w:space="0" w:color="auto"/>
        <w:bottom w:val="none" w:sz="0" w:space="0" w:color="auto"/>
        <w:right w:val="none" w:sz="0" w:space="0" w:color="auto"/>
      </w:divBdr>
    </w:div>
    <w:div w:id="1059598072">
      <w:bodyDiv w:val="1"/>
      <w:marLeft w:val="0"/>
      <w:marRight w:val="0"/>
      <w:marTop w:val="0"/>
      <w:marBottom w:val="0"/>
      <w:divBdr>
        <w:top w:val="none" w:sz="0" w:space="0" w:color="auto"/>
        <w:left w:val="none" w:sz="0" w:space="0" w:color="auto"/>
        <w:bottom w:val="none" w:sz="0" w:space="0" w:color="auto"/>
        <w:right w:val="none" w:sz="0" w:space="0" w:color="auto"/>
      </w:divBdr>
    </w:div>
    <w:div w:id="1062756073">
      <w:bodyDiv w:val="1"/>
      <w:marLeft w:val="0"/>
      <w:marRight w:val="0"/>
      <w:marTop w:val="0"/>
      <w:marBottom w:val="0"/>
      <w:divBdr>
        <w:top w:val="none" w:sz="0" w:space="0" w:color="auto"/>
        <w:left w:val="none" w:sz="0" w:space="0" w:color="auto"/>
        <w:bottom w:val="none" w:sz="0" w:space="0" w:color="auto"/>
        <w:right w:val="none" w:sz="0" w:space="0" w:color="auto"/>
      </w:divBdr>
    </w:div>
    <w:div w:id="1068305425">
      <w:bodyDiv w:val="1"/>
      <w:marLeft w:val="0"/>
      <w:marRight w:val="0"/>
      <w:marTop w:val="0"/>
      <w:marBottom w:val="0"/>
      <w:divBdr>
        <w:top w:val="none" w:sz="0" w:space="0" w:color="auto"/>
        <w:left w:val="none" w:sz="0" w:space="0" w:color="auto"/>
        <w:bottom w:val="none" w:sz="0" w:space="0" w:color="auto"/>
        <w:right w:val="none" w:sz="0" w:space="0" w:color="auto"/>
      </w:divBdr>
    </w:div>
    <w:div w:id="1069503099">
      <w:bodyDiv w:val="1"/>
      <w:marLeft w:val="0"/>
      <w:marRight w:val="0"/>
      <w:marTop w:val="0"/>
      <w:marBottom w:val="0"/>
      <w:divBdr>
        <w:top w:val="none" w:sz="0" w:space="0" w:color="auto"/>
        <w:left w:val="none" w:sz="0" w:space="0" w:color="auto"/>
        <w:bottom w:val="none" w:sz="0" w:space="0" w:color="auto"/>
        <w:right w:val="none" w:sz="0" w:space="0" w:color="auto"/>
      </w:divBdr>
    </w:div>
    <w:div w:id="1076392275">
      <w:bodyDiv w:val="1"/>
      <w:marLeft w:val="0"/>
      <w:marRight w:val="0"/>
      <w:marTop w:val="0"/>
      <w:marBottom w:val="0"/>
      <w:divBdr>
        <w:top w:val="none" w:sz="0" w:space="0" w:color="auto"/>
        <w:left w:val="none" w:sz="0" w:space="0" w:color="auto"/>
        <w:bottom w:val="none" w:sz="0" w:space="0" w:color="auto"/>
        <w:right w:val="none" w:sz="0" w:space="0" w:color="auto"/>
      </w:divBdr>
    </w:div>
    <w:div w:id="1083183929">
      <w:bodyDiv w:val="1"/>
      <w:marLeft w:val="0"/>
      <w:marRight w:val="0"/>
      <w:marTop w:val="0"/>
      <w:marBottom w:val="0"/>
      <w:divBdr>
        <w:top w:val="none" w:sz="0" w:space="0" w:color="auto"/>
        <w:left w:val="none" w:sz="0" w:space="0" w:color="auto"/>
        <w:bottom w:val="none" w:sz="0" w:space="0" w:color="auto"/>
        <w:right w:val="none" w:sz="0" w:space="0" w:color="auto"/>
      </w:divBdr>
    </w:div>
    <w:div w:id="1098409011">
      <w:bodyDiv w:val="1"/>
      <w:marLeft w:val="0"/>
      <w:marRight w:val="0"/>
      <w:marTop w:val="0"/>
      <w:marBottom w:val="0"/>
      <w:divBdr>
        <w:top w:val="none" w:sz="0" w:space="0" w:color="auto"/>
        <w:left w:val="none" w:sz="0" w:space="0" w:color="auto"/>
        <w:bottom w:val="none" w:sz="0" w:space="0" w:color="auto"/>
        <w:right w:val="none" w:sz="0" w:space="0" w:color="auto"/>
      </w:divBdr>
    </w:div>
    <w:div w:id="1101224675">
      <w:bodyDiv w:val="1"/>
      <w:marLeft w:val="0"/>
      <w:marRight w:val="0"/>
      <w:marTop w:val="0"/>
      <w:marBottom w:val="0"/>
      <w:divBdr>
        <w:top w:val="none" w:sz="0" w:space="0" w:color="auto"/>
        <w:left w:val="none" w:sz="0" w:space="0" w:color="auto"/>
        <w:bottom w:val="none" w:sz="0" w:space="0" w:color="auto"/>
        <w:right w:val="none" w:sz="0" w:space="0" w:color="auto"/>
      </w:divBdr>
    </w:div>
    <w:div w:id="1108544657">
      <w:bodyDiv w:val="1"/>
      <w:marLeft w:val="0"/>
      <w:marRight w:val="0"/>
      <w:marTop w:val="0"/>
      <w:marBottom w:val="0"/>
      <w:divBdr>
        <w:top w:val="none" w:sz="0" w:space="0" w:color="auto"/>
        <w:left w:val="none" w:sz="0" w:space="0" w:color="auto"/>
        <w:bottom w:val="none" w:sz="0" w:space="0" w:color="auto"/>
        <w:right w:val="none" w:sz="0" w:space="0" w:color="auto"/>
      </w:divBdr>
    </w:div>
    <w:div w:id="1115171817">
      <w:bodyDiv w:val="1"/>
      <w:marLeft w:val="0"/>
      <w:marRight w:val="0"/>
      <w:marTop w:val="0"/>
      <w:marBottom w:val="0"/>
      <w:divBdr>
        <w:top w:val="none" w:sz="0" w:space="0" w:color="auto"/>
        <w:left w:val="none" w:sz="0" w:space="0" w:color="auto"/>
        <w:bottom w:val="none" w:sz="0" w:space="0" w:color="auto"/>
        <w:right w:val="none" w:sz="0" w:space="0" w:color="auto"/>
      </w:divBdr>
    </w:div>
    <w:div w:id="1132408341">
      <w:bodyDiv w:val="1"/>
      <w:marLeft w:val="0"/>
      <w:marRight w:val="0"/>
      <w:marTop w:val="0"/>
      <w:marBottom w:val="0"/>
      <w:divBdr>
        <w:top w:val="none" w:sz="0" w:space="0" w:color="auto"/>
        <w:left w:val="none" w:sz="0" w:space="0" w:color="auto"/>
        <w:bottom w:val="none" w:sz="0" w:space="0" w:color="auto"/>
        <w:right w:val="none" w:sz="0" w:space="0" w:color="auto"/>
      </w:divBdr>
    </w:div>
    <w:div w:id="1139108057">
      <w:bodyDiv w:val="1"/>
      <w:marLeft w:val="0"/>
      <w:marRight w:val="0"/>
      <w:marTop w:val="0"/>
      <w:marBottom w:val="0"/>
      <w:divBdr>
        <w:top w:val="none" w:sz="0" w:space="0" w:color="auto"/>
        <w:left w:val="none" w:sz="0" w:space="0" w:color="auto"/>
        <w:bottom w:val="none" w:sz="0" w:space="0" w:color="auto"/>
        <w:right w:val="none" w:sz="0" w:space="0" w:color="auto"/>
      </w:divBdr>
    </w:div>
    <w:div w:id="1141995950">
      <w:bodyDiv w:val="1"/>
      <w:marLeft w:val="0"/>
      <w:marRight w:val="0"/>
      <w:marTop w:val="0"/>
      <w:marBottom w:val="0"/>
      <w:divBdr>
        <w:top w:val="none" w:sz="0" w:space="0" w:color="auto"/>
        <w:left w:val="none" w:sz="0" w:space="0" w:color="auto"/>
        <w:bottom w:val="none" w:sz="0" w:space="0" w:color="auto"/>
        <w:right w:val="none" w:sz="0" w:space="0" w:color="auto"/>
      </w:divBdr>
    </w:div>
    <w:div w:id="1143818147">
      <w:bodyDiv w:val="1"/>
      <w:marLeft w:val="0"/>
      <w:marRight w:val="0"/>
      <w:marTop w:val="0"/>
      <w:marBottom w:val="0"/>
      <w:divBdr>
        <w:top w:val="none" w:sz="0" w:space="0" w:color="auto"/>
        <w:left w:val="none" w:sz="0" w:space="0" w:color="auto"/>
        <w:bottom w:val="none" w:sz="0" w:space="0" w:color="auto"/>
        <w:right w:val="none" w:sz="0" w:space="0" w:color="auto"/>
      </w:divBdr>
    </w:div>
    <w:div w:id="1146623496">
      <w:bodyDiv w:val="1"/>
      <w:marLeft w:val="0"/>
      <w:marRight w:val="0"/>
      <w:marTop w:val="0"/>
      <w:marBottom w:val="0"/>
      <w:divBdr>
        <w:top w:val="none" w:sz="0" w:space="0" w:color="auto"/>
        <w:left w:val="none" w:sz="0" w:space="0" w:color="auto"/>
        <w:bottom w:val="none" w:sz="0" w:space="0" w:color="auto"/>
        <w:right w:val="none" w:sz="0" w:space="0" w:color="auto"/>
      </w:divBdr>
    </w:div>
    <w:div w:id="1146775137">
      <w:bodyDiv w:val="1"/>
      <w:marLeft w:val="0"/>
      <w:marRight w:val="0"/>
      <w:marTop w:val="0"/>
      <w:marBottom w:val="0"/>
      <w:divBdr>
        <w:top w:val="none" w:sz="0" w:space="0" w:color="auto"/>
        <w:left w:val="none" w:sz="0" w:space="0" w:color="auto"/>
        <w:bottom w:val="none" w:sz="0" w:space="0" w:color="auto"/>
        <w:right w:val="none" w:sz="0" w:space="0" w:color="auto"/>
      </w:divBdr>
    </w:div>
    <w:div w:id="1159425400">
      <w:bodyDiv w:val="1"/>
      <w:marLeft w:val="0"/>
      <w:marRight w:val="0"/>
      <w:marTop w:val="0"/>
      <w:marBottom w:val="0"/>
      <w:divBdr>
        <w:top w:val="none" w:sz="0" w:space="0" w:color="auto"/>
        <w:left w:val="none" w:sz="0" w:space="0" w:color="auto"/>
        <w:bottom w:val="none" w:sz="0" w:space="0" w:color="auto"/>
        <w:right w:val="none" w:sz="0" w:space="0" w:color="auto"/>
      </w:divBdr>
    </w:div>
    <w:div w:id="1163665689">
      <w:bodyDiv w:val="1"/>
      <w:marLeft w:val="0"/>
      <w:marRight w:val="0"/>
      <w:marTop w:val="0"/>
      <w:marBottom w:val="0"/>
      <w:divBdr>
        <w:top w:val="none" w:sz="0" w:space="0" w:color="auto"/>
        <w:left w:val="none" w:sz="0" w:space="0" w:color="auto"/>
        <w:bottom w:val="none" w:sz="0" w:space="0" w:color="auto"/>
        <w:right w:val="none" w:sz="0" w:space="0" w:color="auto"/>
      </w:divBdr>
    </w:div>
    <w:div w:id="1164665787">
      <w:bodyDiv w:val="1"/>
      <w:marLeft w:val="0"/>
      <w:marRight w:val="0"/>
      <w:marTop w:val="0"/>
      <w:marBottom w:val="0"/>
      <w:divBdr>
        <w:top w:val="none" w:sz="0" w:space="0" w:color="auto"/>
        <w:left w:val="none" w:sz="0" w:space="0" w:color="auto"/>
        <w:bottom w:val="none" w:sz="0" w:space="0" w:color="auto"/>
        <w:right w:val="none" w:sz="0" w:space="0" w:color="auto"/>
      </w:divBdr>
    </w:div>
    <w:div w:id="1183204867">
      <w:bodyDiv w:val="1"/>
      <w:marLeft w:val="0"/>
      <w:marRight w:val="0"/>
      <w:marTop w:val="0"/>
      <w:marBottom w:val="0"/>
      <w:divBdr>
        <w:top w:val="none" w:sz="0" w:space="0" w:color="auto"/>
        <w:left w:val="none" w:sz="0" w:space="0" w:color="auto"/>
        <w:bottom w:val="none" w:sz="0" w:space="0" w:color="auto"/>
        <w:right w:val="none" w:sz="0" w:space="0" w:color="auto"/>
      </w:divBdr>
    </w:div>
    <w:div w:id="1183400996">
      <w:bodyDiv w:val="1"/>
      <w:marLeft w:val="0"/>
      <w:marRight w:val="0"/>
      <w:marTop w:val="0"/>
      <w:marBottom w:val="0"/>
      <w:divBdr>
        <w:top w:val="none" w:sz="0" w:space="0" w:color="auto"/>
        <w:left w:val="none" w:sz="0" w:space="0" w:color="auto"/>
        <w:bottom w:val="none" w:sz="0" w:space="0" w:color="auto"/>
        <w:right w:val="none" w:sz="0" w:space="0" w:color="auto"/>
      </w:divBdr>
    </w:div>
    <w:div w:id="1187400620">
      <w:bodyDiv w:val="1"/>
      <w:marLeft w:val="0"/>
      <w:marRight w:val="0"/>
      <w:marTop w:val="0"/>
      <w:marBottom w:val="0"/>
      <w:divBdr>
        <w:top w:val="none" w:sz="0" w:space="0" w:color="auto"/>
        <w:left w:val="none" w:sz="0" w:space="0" w:color="auto"/>
        <w:bottom w:val="none" w:sz="0" w:space="0" w:color="auto"/>
        <w:right w:val="none" w:sz="0" w:space="0" w:color="auto"/>
      </w:divBdr>
    </w:div>
    <w:div w:id="1192645707">
      <w:bodyDiv w:val="1"/>
      <w:marLeft w:val="0"/>
      <w:marRight w:val="0"/>
      <w:marTop w:val="0"/>
      <w:marBottom w:val="0"/>
      <w:divBdr>
        <w:top w:val="none" w:sz="0" w:space="0" w:color="auto"/>
        <w:left w:val="none" w:sz="0" w:space="0" w:color="auto"/>
        <w:bottom w:val="none" w:sz="0" w:space="0" w:color="auto"/>
        <w:right w:val="none" w:sz="0" w:space="0" w:color="auto"/>
      </w:divBdr>
    </w:div>
    <w:div w:id="1192765998">
      <w:bodyDiv w:val="1"/>
      <w:marLeft w:val="0"/>
      <w:marRight w:val="0"/>
      <w:marTop w:val="0"/>
      <w:marBottom w:val="0"/>
      <w:divBdr>
        <w:top w:val="none" w:sz="0" w:space="0" w:color="auto"/>
        <w:left w:val="none" w:sz="0" w:space="0" w:color="auto"/>
        <w:bottom w:val="none" w:sz="0" w:space="0" w:color="auto"/>
        <w:right w:val="none" w:sz="0" w:space="0" w:color="auto"/>
      </w:divBdr>
    </w:div>
    <w:div w:id="1199271048">
      <w:bodyDiv w:val="1"/>
      <w:marLeft w:val="0"/>
      <w:marRight w:val="0"/>
      <w:marTop w:val="0"/>
      <w:marBottom w:val="0"/>
      <w:divBdr>
        <w:top w:val="none" w:sz="0" w:space="0" w:color="auto"/>
        <w:left w:val="none" w:sz="0" w:space="0" w:color="auto"/>
        <w:bottom w:val="none" w:sz="0" w:space="0" w:color="auto"/>
        <w:right w:val="none" w:sz="0" w:space="0" w:color="auto"/>
      </w:divBdr>
    </w:div>
    <w:div w:id="1208176149">
      <w:bodyDiv w:val="1"/>
      <w:marLeft w:val="0"/>
      <w:marRight w:val="0"/>
      <w:marTop w:val="0"/>
      <w:marBottom w:val="0"/>
      <w:divBdr>
        <w:top w:val="none" w:sz="0" w:space="0" w:color="auto"/>
        <w:left w:val="none" w:sz="0" w:space="0" w:color="auto"/>
        <w:bottom w:val="none" w:sz="0" w:space="0" w:color="auto"/>
        <w:right w:val="none" w:sz="0" w:space="0" w:color="auto"/>
      </w:divBdr>
    </w:div>
    <w:div w:id="1226376476">
      <w:bodyDiv w:val="1"/>
      <w:marLeft w:val="0"/>
      <w:marRight w:val="0"/>
      <w:marTop w:val="0"/>
      <w:marBottom w:val="0"/>
      <w:divBdr>
        <w:top w:val="none" w:sz="0" w:space="0" w:color="auto"/>
        <w:left w:val="none" w:sz="0" w:space="0" w:color="auto"/>
        <w:bottom w:val="none" w:sz="0" w:space="0" w:color="auto"/>
        <w:right w:val="none" w:sz="0" w:space="0" w:color="auto"/>
      </w:divBdr>
    </w:div>
    <w:div w:id="1231572527">
      <w:bodyDiv w:val="1"/>
      <w:marLeft w:val="0"/>
      <w:marRight w:val="0"/>
      <w:marTop w:val="0"/>
      <w:marBottom w:val="0"/>
      <w:divBdr>
        <w:top w:val="none" w:sz="0" w:space="0" w:color="auto"/>
        <w:left w:val="none" w:sz="0" w:space="0" w:color="auto"/>
        <w:bottom w:val="none" w:sz="0" w:space="0" w:color="auto"/>
        <w:right w:val="none" w:sz="0" w:space="0" w:color="auto"/>
      </w:divBdr>
    </w:div>
    <w:div w:id="1234781330">
      <w:bodyDiv w:val="1"/>
      <w:marLeft w:val="0"/>
      <w:marRight w:val="0"/>
      <w:marTop w:val="0"/>
      <w:marBottom w:val="0"/>
      <w:divBdr>
        <w:top w:val="none" w:sz="0" w:space="0" w:color="auto"/>
        <w:left w:val="none" w:sz="0" w:space="0" w:color="auto"/>
        <w:bottom w:val="none" w:sz="0" w:space="0" w:color="auto"/>
        <w:right w:val="none" w:sz="0" w:space="0" w:color="auto"/>
      </w:divBdr>
    </w:div>
    <w:div w:id="1242252347">
      <w:bodyDiv w:val="1"/>
      <w:marLeft w:val="0"/>
      <w:marRight w:val="0"/>
      <w:marTop w:val="0"/>
      <w:marBottom w:val="0"/>
      <w:divBdr>
        <w:top w:val="none" w:sz="0" w:space="0" w:color="auto"/>
        <w:left w:val="none" w:sz="0" w:space="0" w:color="auto"/>
        <w:bottom w:val="none" w:sz="0" w:space="0" w:color="auto"/>
        <w:right w:val="none" w:sz="0" w:space="0" w:color="auto"/>
      </w:divBdr>
    </w:div>
    <w:div w:id="1250120754">
      <w:bodyDiv w:val="1"/>
      <w:marLeft w:val="0"/>
      <w:marRight w:val="0"/>
      <w:marTop w:val="0"/>
      <w:marBottom w:val="0"/>
      <w:divBdr>
        <w:top w:val="none" w:sz="0" w:space="0" w:color="auto"/>
        <w:left w:val="none" w:sz="0" w:space="0" w:color="auto"/>
        <w:bottom w:val="none" w:sz="0" w:space="0" w:color="auto"/>
        <w:right w:val="none" w:sz="0" w:space="0" w:color="auto"/>
      </w:divBdr>
    </w:div>
    <w:div w:id="1260531115">
      <w:bodyDiv w:val="1"/>
      <w:marLeft w:val="0"/>
      <w:marRight w:val="0"/>
      <w:marTop w:val="0"/>
      <w:marBottom w:val="0"/>
      <w:divBdr>
        <w:top w:val="none" w:sz="0" w:space="0" w:color="auto"/>
        <w:left w:val="none" w:sz="0" w:space="0" w:color="auto"/>
        <w:bottom w:val="none" w:sz="0" w:space="0" w:color="auto"/>
        <w:right w:val="none" w:sz="0" w:space="0" w:color="auto"/>
      </w:divBdr>
    </w:div>
    <w:div w:id="1264994768">
      <w:bodyDiv w:val="1"/>
      <w:marLeft w:val="0"/>
      <w:marRight w:val="0"/>
      <w:marTop w:val="0"/>
      <w:marBottom w:val="0"/>
      <w:divBdr>
        <w:top w:val="none" w:sz="0" w:space="0" w:color="auto"/>
        <w:left w:val="none" w:sz="0" w:space="0" w:color="auto"/>
        <w:bottom w:val="none" w:sz="0" w:space="0" w:color="auto"/>
        <w:right w:val="none" w:sz="0" w:space="0" w:color="auto"/>
      </w:divBdr>
    </w:div>
    <w:div w:id="1274898903">
      <w:bodyDiv w:val="1"/>
      <w:marLeft w:val="0"/>
      <w:marRight w:val="0"/>
      <w:marTop w:val="0"/>
      <w:marBottom w:val="0"/>
      <w:divBdr>
        <w:top w:val="none" w:sz="0" w:space="0" w:color="auto"/>
        <w:left w:val="none" w:sz="0" w:space="0" w:color="auto"/>
        <w:bottom w:val="none" w:sz="0" w:space="0" w:color="auto"/>
        <w:right w:val="none" w:sz="0" w:space="0" w:color="auto"/>
      </w:divBdr>
    </w:div>
    <w:div w:id="1277833610">
      <w:bodyDiv w:val="1"/>
      <w:marLeft w:val="0"/>
      <w:marRight w:val="0"/>
      <w:marTop w:val="0"/>
      <w:marBottom w:val="0"/>
      <w:divBdr>
        <w:top w:val="none" w:sz="0" w:space="0" w:color="auto"/>
        <w:left w:val="none" w:sz="0" w:space="0" w:color="auto"/>
        <w:bottom w:val="none" w:sz="0" w:space="0" w:color="auto"/>
        <w:right w:val="none" w:sz="0" w:space="0" w:color="auto"/>
      </w:divBdr>
    </w:div>
    <w:div w:id="1285189030">
      <w:bodyDiv w:val="1"/>
      <w:marLeft w:val="0"/>
      <w:marRight w:val="0"/>
      <w:marTop w:val="0"/>
      <w:marBottom w:val="0"/>
      <w:divBdr>
        <w:top w:val="none" w:sz="0" w:space="0" w:color="auto"/>
        <w:left w:val="none" w:sz="0" w:space="0" w:color="auto"/>
        <w:bottom w:val="none" w:sz="0" w:space="0" w:color="auto"/>
        <w:right w:val="none" w:sz="0" w:space="0" w:color="auto"/>
      </w:divBdr>
    </w:div>
    <w:div w:id="1296137893">
      <w:bodyDiv w:val="1"/>
      <w:marLeft w:val="0"/>
      <w:marRight w:val="0"/>
      <w:marTop w:val="0"/>
      <w:marBottom w:val="0"/>
      <w:divBdr>
        <w:top w:val="none" w:sz="0" w:space="0" w:color="auto"/>
        <w:left w:val="none" w:sz="0" w:space="0" w:color="auto"/>
        <w:bottom w:val="none" w:sz="0" w:space="0" w:color="auto"/>
        <w:right w:val="none" w:sz="0" w:space="0" w:color="auto"/>
      </w:divBdr>
      <w:divsChild>
        <w:div w:id="1835074392">
          <w:marLeft w:val="0"/>
          <w:marRight w:val="0"/>
          <w:marTop w:val="0"/>
          <w:marBottom w:val="0"/>
          <w:divBdr>
            <w:top w:val="none" w:sz="0" w:space="0" w:color="auto"/>
            <w:left w:val="none" w:sz="0" w:space="0" w:color="auto"/>
            <w:bottom w:val="none" w:sz="0" w:space="0" w:color="auto"/>
            <w:right w:val="none" w:sz="0" w:space="0" w:color="auto"/>
          </w:divBdr>
          <w:divsChild>
            <w:div w:id="115298536">
              <w:marLeft w:val="0"/>
              <w:marRight w:val="0"/>
              <w:marTop w:val="0"/>
              <w:marBottom w:val="0"/>
              <w:divBdr>
                <w:top w:val="none" w:sz="0" w:space="0" w:color="auto"/>
                <w:left w:val="none" w:sz="0" w:space="0" w:color="auto"/>
                <w:bottom w:val="none" w:sz="0" w:space="0" w:color="auto"/>
                <w:right w:val="none" w:sz="0" w:space="0" w:color="auto"/>
              </w:divBdr>
              <w:divsChild>
                <w:div w:id="692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71516">
      <w:bodyDiv w:val="1"/>
      <w:marLeft w:val="0"/>
      <w:marRight w:val="0"/>
      <w:marTop w:val="0"/>
      <w:marBottom w:val="0"/>
      <w:divBdr>
        <w:top w:val="none" w:sz="0" w:space="0" w:color="auto"/>
        <w:left w:val="none" w:sz="0" w:space="0" w:color="auto"/>
        <w:bottom w:val="none" w:sz="0" w:space="0" w:color="auto"/>
        <w:right w:val="none" w:sz="0" w:space="0" w:color="auto"/>
      </w:divBdr>
    </w:div>
    <w:div w:id="1300040272">
      <w:bodyDiv w:val="1"/>
      <w:marLeft w:val="0"/>
      <w:marRight w:val="0"/>
      <w:marTop w:val="0"/>
      <w:marBottom w:val="0"/>
      <w:divBdr>
        <w:top w:val="none" w:sz="0" w:space="0" w:color="auto"/>
        <w:left w:val="none" w:sz="0" w:space="0" w:color="auto"/>
        <w:bottom w:val="none" w:sz="0" w:space="0" w:color="auto"/>
        <w:right w:val="none" w:sz="0" w:space="0" w:color="auto"/>
      </w:divBdr>
    </w:div>
    <w:div w:id="1301114147">
      <w:bodyDiv w:val="1"/>
      <w:marLeft w:val="0"/>
      <w:marRight w:val="0"/>
      <w:marTop w:val="0"/>
      <w:marBottom w:val="0"/>
      <w:divBdr>
        <w:top w:val="none" w:sz="0" w:space="0" w:color="auto"/>
        <w:left w:val="none" w:sz="0" w:space="0" w:color="auto"/>
        <w:bottom w:val="none" w:sz="0" w:space="0" w:color="auto"/>
        <w:right w:val="none" w:sz="0" w:space="0" w:color="auto"/>
      </w:divBdr>
    </w:div>
    <w:div w:id="1301501657">
      <w:bodyDiv w:val="1"/>
      <w:marLeft w:val="0"/>
      <w:marRight w:val="0"/>
      <w:marTop w:val="0"/>
      <w:marBottom w:val="0"/>
      <w:divBdr>
        <w:top w:val="none" w:sz="0" w:space="0" w:color="auto"/>
        <w:left w:val="none" w:sz="0" w:space="0" w:color="auto"/>
        <w:bottom w:val="none" w:sz="0" w:space="0" w:color="auto"/>
        <w:right w:val="none" w:sz="0" w:space="0" w:color="auto"/>
      </w:divBdr>
    </w:div>
    <w:div w:id="1303732674">
      <w:bodyDiv w:val="1"/>
      <w:marLeft w:val="0"/>
      <w:marRight w:val="0"/>
      <w:marTop w:val="0"/>
      <w:marBottom w:val="0"/>
      <w:divBdr>
        <w:top w:val="none" w:sz="0" w:space="0" w:color="auto"/>
        <w:left w:val="none" w:sz="0" w:space="0" w:color="auto"/>
        <w:bottom w:val="none" w:sz="0" w:space="0" w:color="auto"/>
        <w:right w:val="none" w:sz="0" w:space="0" w:color="auto"/>
      </w:divBdr>
    </w:div>
    <w:div w:id="1303849491">
      <w:bodyDiv w:val="1"/>
      <w:marLeft w:val="0"/>
      <w:marRight w:val="0"/>
      <w:marTop w:val="0"/>
      <w:marBottom w:val="0"/>
      <w:divBdr>
        <w:top w:val="none" w:sz="0" w:space="0" w:color="auto"/>
        <w:left w:val="none" w:sz="0" w:space="0" w:color="auto"/>
        <w:bottom w:val="none" w:sz="0" w:space="0" w:color="auto"/>
        <w:right w:val="none" w:sz="0" w:space="0" w:color="auto"/>
      </w:divBdr>
    </w:div>
    <w:div w:id="1312715097">
      <w:bodyDiv w:val="1"/>
      <w:marLeft w:val="0"/>
      <w:marRight w:val="0"/>
      <w:marTop w:val="0"/>
      <w:marBottom w:val="0"/>
      <w:divBdr>
        <w:top w:val="none" w:sz="0" w:space="0" w:color="auto"/>
        <w:left w:val="none" w:sz="0" w:space="0" w:color="auto"/>
        <w:bottom w:val="none" w:sz="0" w:space="0" w:color="auto"/>
        <w:right w:val="none" w:sz="0" w:space="0" w:color="auto"/>
      </w:divBdr>
    </w:div>
    <w:div w:id="1317610252">
      <w:bodyDiv w:val="1"/>
      <w:marLeft w:val="0"/>
      <w:marRight w:val="0"/>
      <w:marTop w:val="0"/>
      <w:marBottom w:val="0"/>
      <w:divBdr>
        <w:top w:val="none" w:sz="0" w:space="0" w:color="auto"/>
        <w:left w:val="none" w:sz="0" w:space="0" w:color="auto"/>
        <w:bottom w:val="none" w:sz="0" w:space="0" w:color="auto"/>
        <w:right w:val="none" w:sz="0" w:space="0" w:color="auto"/>
      </w:divBdr>
    </w:div>
    <w:div w:id="1330906010">
      <w:bodyDiv w:val="1"/>
      <w:marLeft w:val="0"/>
      <w:marRight w:val="0"/>
      <w:marTop w:val="0"/>
      <w:marBottom w:val="0"/>
      <w:divBdr>
        <w:top w:val="none" w:sz="0" w:space="0" w:color="auto"/>
        <w:left w:val="none" w:sz="0" w:space="0" w:color="auto"/>
        <w:bottom w:val="none" w:sz="0" w:space="0" w:color="auto"/>
        <w:right w:val="none" w:sz="0" w:space="0" w:color="auto"/>
      </w:divBdr>
    </w:div>
    <w:div w:id="1339623471">
      <w:bodyDiv w:val="1"/>
      <w:marLeft w:val="0"/>
      <w:marRight w:val="0"/>
      <w:marTop w:val="0"/>
      <w:marBottom w:val="0"/>
      <w:divBdr>
        <w:top w:val="none" w:sz="0" w:space="0" w:color="auto"/>
        <w:left w:val="none" w:sz="0" w:space="0" w:color="auto"/>
        <w:bottom w:val="none" w:sz="0" w:space="0" w:color="auto"/>
        <w:right w:val="none" w:sz="0" w:space="0" w:color="auto"/>
      </w:divBdr>
    </w:div>
    <w:div w:id="1349211726">
      <w:bodyDiv w:val="1"/>
      <w:marLeft w:val="0"/>
      <w:marRight w:val="0"/>
      <w:marTop w:val="0"/>
      <w:marBottom w:val="0"/>
      <w:divBdr>
        <w:top w:val="none" w:sz="0" w:space="0" w:color="auto"/>
        <w:left w:val="none" w:sz="0" w:space="0" w:color="auto"/>
        <w:bottom w:val="none" w:sz="0" w:space="0" w:color="auto"/>
        <w:right w:val="none" w:sz="0" w:space="0" w:color="auto"/>
      </w:divBdr>
    </w:div>
    <w:div w:id="1351106242">
      <w:bodyDiv w:val="1"/>
      <w:marLeft w:val="0"/>
      <w:marRight w:val="0"/>
      <w:marTop w:val="0"/>
      <w:marBottom w:val="0"/>
      <w:divBdr>
        <w:top w:val="none" w:sz="0" w:space="0" w:color="auto"/>
        <w:left w:val="none" w:sz="0" w:space="0" w:color="auto"/>
        <w:bottom w:val="none" w:sz="0" w:space="0" w:color="auto"/>
        <w:right w:val="none" w:sz="0" w:space="0" w:color="auto"/>
      </w:divBdr>
    </w:div>
    <w:div w:id="1361129855">
      <w:bodyDiv w:val="1"/>
      <w:marLeft w:val="0"/>
      <w:marRight w:val="0"/>
      <w:marTop w:val="0"/>
      <w:marBottom w:val="0"/>
      <w:divBdr>
        <w:top w:val="none" w:sz="0" w:space="0" w:color="auto"/>
        <w:left w:val="none" w:sz="0" w:space="0" w:color="auto"/>
        <w:bottom w:val="none" w:sz="0" w:space="0" w:color="auto"/>
        <w:right w:val="none" w:sz="0" w:space="0" w:color="auto"/>
      </w:divBdr>
    </w:div>
    <w:div w:id="1367095108">
      <w:bodyDiv w:val="1"/>
      <w:marLeft w:val="0"/>
      <w:marRight w:val="0"/>
      <w:marTop w:val="0"/>
      <w:marBottom w:val="0"/>
      <w:divBdr>
        <w:top w:val="none" w:sz="0" w:space="0" w:color="auto"/>
        <w:left w:val="none" w:sz="0" w:space="0" w:color="auto"/>
        <w:bottom w:val="none" w:sz="0" w:space="0" w:color="auto"/>
        <w:right w:val="none" w:sz="0" w:space="0" w:color="auto"/>
      </w:divBdr>
    </w:div>
    <w:div w:id="1369992474">
      <w:bodyDiv w:val="1"/>
      <w:marLeft w:val="0"/>
      <w:marRight w:val="0"/>
      <w:marTop w:val="0"/>
      <w:marBottom w:val="0"/>
      <w:divBdr>
        <w:top w:val="none" w:sz="0" w:space="0" w:color="auto"/>
        <w:left w:val="none" w:sz="0" w:space="0" w:color="auto"/>
        <w:bottom w:val="none" w:sz="0" w:space="0" w:color="auto"/>
        <w:right w:val="none" w:sz="0" w:space="0" w:color="auto"/>
      </w:divBdr>
    </w:div>
    <w:div w:id="1370227181">
      <w:bodyDiv w:val="1"/>
      <w:marLeft w:val="0"/>
      <w:marRight w:val="0"/>
      <w:marTop w:val="0"/>
      <w:marBottom w:val="0"/>
      <w:divBdr>
        <w:top w:val="none" w:sz="0" w:space="0" w:color="auto"/>
        <w:left w:val="none" w:sz="0" w:space="0" w:color="auto"/>
        <w:bottom w:val="none" w:sz="0" w:space="0" w:color="auto"/>
        <w:right w:val="none" w:sz="0" w:space="0" w:color="auto"/>
      </w:divBdr>
    </w:div>
    <w:div w:id="1386642398">
      <w:bodyDiv w:val="1"/>
      <w:marLeft w:val="0"/>
      <w:marRight w:val="0"/>
      <w:marTop w:val="0"/>
      <w:marBottom w:val="0"/>
      <w:divBdr>
        <w:top w:val="none" w:sz="0" w:space="0" w:color="auto"/>
        <w:left w:val="none" w:sz="0" w:space="0" w:color="auto"/>
        <w:bottom w:val="none" w:sz="0" w:space="0" w:color="auto"/>
        <w:right w:val="none" w:sz="0" w:space="0" w:color="auto"/>
      </w:divBdr>
    </w:div>
    <w:div w:id="1390687176">
      <w:bodyDiv w:val="1"/>
      <w:marLeft w:val="0"/>
      <w:marRight w:val="0"/>
      <w:marTop w:val="0"/>
      <w:marBottom w:val="0"/>
      <w:divBdr>
        <w:top w:val="none" w:sz="0" w:space="0" w:color="auto"/>
        <w:left w:val="none" w:sz="0" w:space="0" w:color="auto"/>
        <w:bottom w:val="none" w:sz="0" w:space="0" w:color="auto"/>
        <w:right w:val="none" w:sz="0" w:space="0" w:color="auto"/>
      </w:divBdr>
    </w:div>
    <w:div w:id="1391733900">
      <w:bodyDiv w:val="1"/>
      <w:marLeft w:val="0"/>
      <w:marRight w:val="0"/>
      <w:marTop w:val="0"/>
      <w:marBottom w:val="0"/>
      <w:divBdr>
        <w:top w:val="none" w:sz="0" w:space="0" w:color="auto"/>
        <w:left w:val="none" w:sz="0" w:space="0" w:color="auto"/>
        <w:bottom w:val="none" w:sz="0" w:space="0" w:color="auto"/>
        <w:right w:val="none" w:sz="0" w:space="0" w:color="auto"/>
      </w:divBdr>
    </w:div>
    <w:div w:id="1394163567">
      <w:bodyDiv w:val="1"/>
      <w:marLeft w:val="0"/>
      <w:marRight w:val="0"/>
      <w:marTop w:val="0"/>
      <w:marBottom w:val="0"/>
      <w:divBdr>
        <w:top w:val="none" w:sz="0" w:space="0" w:color="auto"/>
        <w:left w:val="none" w:sz="0" w:space="0" w:color="auto"/>
        <w:bottom w:val="none" w:sz="0" w:space="0" w:color="auto"/>
        <w:right w:val="none" w:sz="0" w:space="0" w:color="auto"/>
      </w:divBdr>
    </w:div>
    <w:div w:id="1395737049">
      <w:bodyDiv w:val="1"/>
      <w:marLeft w:val="0"/>
      <w:marRight w:val="0"/>
      <w:marTop w:val="0"/>
      <w:marBottom w:val="0"/>
      <w:divBdr>
        <w:top w:val="none" w:sz="0" w:space="0" w:color="auto"/>
        <w:left w:val="none" w:sz="0" w:space="0" w:color="auto"/>
        <w:bottom w:val="none" w:sz="0" w:space="0" w:color="auto"/>
        <w:right w:val="none" w:sz="0" w:space="0" w:color="auto"/>
      </w:divBdr>
    </w:div>
    <w:div w:id="1396053417">
      <w:bodyDiv w:val="1"/>
      <w:marLeft w:val="0"/>
      <w:marRight w:val="0"/>
      <w:marTop w:val="0"/>
      <w:marBottom w:val="0"/>
      <w:divBdr>
        <w:top w:val="none" w:sz="0" w:space="0" w:color="auto"/>
        <w:left w:val="none" w:sz="0" w:space="0" w:color="auto"/>
        <w:bottom w:val="none" w:sz="0" w:space="0" w:color="auto"/>
        <w:right w:val="none" w:sz="0" w:space="0" w:color="auto"/>
      </w:divBdr>
    </w:div>
    <w:div w:id="1401709780">
      <w:bodyDiv w:val="1"/>
      <w:marLeft w:val="0"/>
      <w:marRight w:val="0"/>
      <w:marTop w:val="0"/>
      <w:marBottom w:val="0"/>
      <w:divBdr>
        <w:top w:val="none" w:sz="0" w:space="0" w:color="auto"/>
        <w:left w:val="none" w:sz="0" w:space="0" w:color="auto"/>
        <w:bottom w:val="none" w:sz="0" w:space="0" w:color="auto"/>
        <w:right w:val="none" w:sz="0" w:space="0" w:color="auto"/>
      </w:divBdr>
    </w:div>
    <w:div w:id="1405910097">
      <w:bodyDiv w:val="1"/>
      <w:marLeft w:val="0"/>
      <w:marRight w:val="0"/>
      <w:marTop w:val="0"/>
      <w:marBottom w:val="0"/>
      <w:divBdr>
        <w:top w:val="none" w:sz="0" w:space="0" w:color="auto"/>
        <w:left w:val="none" w:sz="0" w:space="0" w:color="auto"/>
        <w:bottom w:val="none" w:sz="0" w:space="0" w:color="auto"/>
        <w:right w:val="none" w:sz="0" w:space="0" w:color="auto"/>
      </w:divBdr>
    </w:div>
    <w:div w:id="1408069465">
      <w:bodyDiv w:val="1"/>
      <w:marLeft w:val="0"/>
      <w:marRight w:val="0"/>
      <w:marTop w:val="0"/>
      <w:marBottom w:val="0"/>
      <w:divBdr>
        <w:top w:val="none" w:sz="0" w:space="0" w:color="auto"/>
        <w:left w:val="none" w:sz="0" w:space="0" w:color="auto"/>
        <w:bottom w:val="none" w:sz="0" w:space="0" w:color="auto"/>
        <w:right w:val="none" w:sz="0" w:space="0" w:color="auto"/>
      </w:divBdr>
    </w:div>
    <w:div w:id="1414546680">
      <w:bodyDiv w:val="1"/>
      <w:marLeft w:val="0"/>
      <w:marRight w:val="0"/>
      <w:marTop w:val="0"/>
      <w:marBottom w:val="0"/>
      <w:divBdr>
        <w:top w:val="none" w:sz="0" w:space="0" w:color="auto"/>
        <w:left w:val="none" w:sz="0" w:space="0" w:color="auto"/>
        <w:bottom w:val="none" w:sz="0" w:space="0" w:color="auto"/>
        <w:right w:val="none" w:sz="0" w:space="0" w:color="auto"/>
      </w:divBdr>
    </w:div>
    <w:div w:id="1418362525">
      <w:bodyDiv w:val="1"/>
      <w:marLeft w:val="0"/>
      <w:marRight w:val="0"/>
      <w:marTop w:val="0"/>
      <w:marBottom w:val="0"/>
      <w:divBdr>
        <w:top w:val="none" w:sz="0" w:space="0" w:color="auto"/>
        <w:left w:val="none" w:sz="0" w:space="0" w:color="auto"/>
        <w:bottom w:val="none" w:sz="0" w:space="0" w:color="auto"/>
        <w:right w:val="none" w:sz="0" w:space="0" w:color="auto"/>
      </w:divBdr>
    </w:div>
    <w:div w:id="1423985203">
      <w:bodyDiv w:val="1"/>
      <w:marLeft w:val="0"/>
      <w:marRight w:val="0"/>
      <w:marTop w:val="0"/>
      <w:marBottom w:val="0"/>
      <w:divBdr>
        <w:top w:val="none" w:sz="0" w:space="0" w:color="auto"/>
        <w:left w:val="none" w:sz="0" w:space="0" w:color="auto"/>
        <w:bottom w:val="none" w:sz="0" w:space="0" w:color="auto"/>
        <w:right w:val="none" w:sz="0" w:space="0" w:color="auto"/>
      </w:divBdr>
    </w:div>
    <w:div w:id="1431438118">
      <w:bodyDiv w:val="1"/>
      <w:marLeft w:val="0"/>
      <w:marRight w:val="0"/>
      <w:marTop w:val="0"/>
      <w:marBottom w:val="0"/>
      <w:divBdr>
        <w:top w:val="none" w:sz="0" w:space="0" w:color="auto"/>
        <w:left w:val="none" w:sz="0" w:space="0" w:color="auto"/>
        <w:bottom w:val="none" w:sz="0" w:space="0" w:color="auto"/>
        <w:right w:val="none" w:sz="0" w:space="0" w:color="auto"/>
      </w:divBdr>
    </w:div>
    <w:div w:id="1432120312">
      <w:bodyDiv w:val="1"/>
      <w:marLeft w:val="0"/>
      <w:marRight w:val="0"/>
      <w:marTop w:val="0"/>
      <w:marBottom w:val="0"/>
      <w:divBdr>
        <w:top w:val="none" w:sz="0" w:space="0" w:color="auto"/>
        <w:left w:val="none" w:sz="0" w:space="0" w:color="auto"/>
        <w:bottom w:val="none" w:sz="0" w:space="0" w:color="auto"/>
        <w:right w:val="none" w:sz="0" w:space="0" w:color="auto"/>
      </w:divBdr>
    </w:div>
    <w:div w:id="1432122796">
      <w:bodyDiv w:val="1"/>
      <w:marLeft w:val="0"/>
      <w:marRight w:val="0"/>
      <w:marTop w:val="0"/>
      <w:marBottom w:val="0"/>
      <w:divBdr>
        <w:top w:val="none" w:sz="0" w:space="0" w:color="auto"/>
        <w:left w:val="none" w:sz="0" w:space="0" w:color="auto"/>
        <w:bottom w:val="none" w:sz="0" w:space="0" w:color="auto"/>
        <w:right w:val="none" w:sz="0" w:space="0" w:color="auto"/>
      </w:divBdr>
    </w:div>
    <w:div w:id="1435127208">
      <w:bodyDiv w:val="1"/>
      <w:marLeft w:val="0"/>
      <w:marRight w:val="0"/>
      <w:marTop w:val="0"/>
      <w:marBottom w:val="0"/>
      <w:divBdr>
        <w:top w:val="none" w:sz="0" w:space="0" w:color="auto"/>
        <w:left w:val="none" w:sz="0" w:space="0" w:color="auto"/>
        <w:bottom w:val="none" w:sz="0" w:space="0" w:color="auto"/>
        <w:right w:val="none" w:sz="0" w:space="0" w:color="auto"/>
      </w:divBdr>
    </w:div>
    <w:div w:id="1436288595">
      <w:bodyDiv w:val="1"/>
      <w:marLeft w:val="0"/>
      <w:marRight w:val="0"/>
      <w:marTop w:val="0"/>
      <w:marBottom w:val="0"/>
      <w:divBdr>
        <w:top w:val="none" w:sz="0" w:space="0" w:color="auto"/>
        <w:left w:val="none" w:sz="0" w:space="0" w:color="auto"/>
        <w:bottom w:val="none" w:sz="0" w:space="0" w:color="auto"/>
        <w:right w:val="none" w:sz="0" w:space="0" w:color="auto"/>
      </w:divBdr>
    </w:div>
    <w:div w:id="1453013121">
      <w:bodyDiv w:val="1"/>
      <w:marLeft w:val="0"/>
      <w:marRight w:val="0"/>
      <w:marTop w:val="0"/>
      <w:marBottom w:val="0"/>
      <w:divBdr>
        <w:top w:val="none" w:sz="0" w:space="0" w:color="auto"/>
        <w:left w:val="none" w:sz="0" w:space="0" w:color="auto"/>
        <w:bottom w:val="none" w:sz="0" w:space="0" w:color="auto"/>
        <w:right w:val="none" w:sz="0" w:space="0" w:color="auto"/>
      </w:divBdr>
    </w:div>
    <w:div w:id="1455909544">
      <w:bodyDiv w:val="1"/>
      <w:marLeft w:val="0"/>
      <w:marRight w:val="0"/>
      <w:marTop w:val="0"/>
      <w:marBottom w:val="0"/>
      <w:divBdr>
        <w:top w:val="none" w:sz="0" w:space="0" w:color="auto"/>
        <w:left w:val="none" w:sz="0" w:space="0" w:color="auto"/>
        <w:bottom w:val="none" w:sz="0" w:space="0" w:color="auto"/>
        <w:right w:val="none" w:sz="0" w:space="0" w:color="auto"/>
      </w:divBdr>
    </w:div>
    <w:div w:id="1456288684">
      <w:bodyDiv w:val="1"/>
      <w:marLeft w:val="0"/>
      <w:marRight w:val="0"/>
      <w:marTop w:val="0"/>
      <w:marBottom w:val="0"/>
      <w:divBdr>
        <w:top w:val="none" w:sz="0" w:space="0" w:color="auto"/>
        <w:left w:val="none" w:sz="0" w:space="0" w:color="auto"/>
        <w:bottom w:val="none" w:sz="0" w:space="0" w:color="auto"/>
        <w:right w:val="none" w:sz="0" w:space="0" w:color="auto"/>
      </w:divBdr>
    </w:div>
    <w:div w:id="1468166343">
      <w:bodyDiv w:val="1"/>
      <w:marLeft w:val="0"/>
      <w:marRight w:val="0"/>
      <w:marTop w:val="0"/>
      <w:marBottom w:val="0"/>
      <w:divBdr>
        <w:top w:val="none" w:sz="0" w:space="0" w:color="auto"/>
        <w:left w:val="none" w:sz="0" w:space="0" w:color="auto"/>
        <w:bottom w:val="none" w:sz="0" w:space="0" w:color="auto"/>
        <w:right w:val="none" w:sz="0" w:space="0" w:color="auto"/>
      </w:divBdr>
    </w:div>
    <w:div w:id="1477188968">
      <w:bodyDiv w:val="1"/>
      <w:marLeft w:val="0"/>
      <w:marRight w:val="0"/>
      <w:marTop w:val="0"/>
      <w:marBottom w:val="0"/>
      <w:divBdr>
        <w:top w:val="none" w:sz="0" w:space="0" w:color="auto"/>
        <w:left w:val="none" w:sz="0" w:space="0" w:color="auto"/>
        <w:bottom w:val="none" w:sz="0" w:space="0" w:color="auto"/>
        <w:right w:val="none" w:sz="0" w:space="0" w:color="auto"/>
      </w:divBdr>
    </w:div>
    <w:div w:id="1482117548">
      <w:bodyDiv w:val="1"/>
      <w:marLeft w:val="0"/>
      <w:marRight w:val="0"/>
      <w:marTop w:val="0"/>
      <w:marBottom w:val="0"/>
      <w:divBdr>
        <w:top w:val="none" w:sz="0" w:space="0" w:color="auto"/>
        <w:left w:val="none" w:sz="0" w:space="0" w:color="auto"/>
        <w:bottom w:val="none" w:sz="0" w:space="0" w:color="auto"/>
        <w:right w:val="none" w:sz="0" w:space="0" w:color="auto"/>
      </w:divBdr>
    </w:div>
    <w:div w:id="1500343810">
      <w:bodyDiv w:val="1"/>
      <w:marLeft w:val="0"/>
      <w:marRight w:val="0"/>
      <w:marTop w:val="0"/>
      <w:marBottom w:val="0"/>
      <w:divBdr>
        <w:top w:val="none" w:sz="0" w:space="0" w:color="auto"/>
        <w:left w:val="none" w:sz="0" w:space="0" w:color="auto"/>
        <w:bottom w:val="none" w:sz="0" w:space="0" w:color="auto"/>
        <w:right w:val="none" w:sz="0" w:space="0" w:color="auto"/>
      </w:divBdr>
    </w:div>
    <w:div w:id="1518882155">
      <w:bodyDiv w:val="1"/>
      <w:marLeft w:val="0"/>
      <w:marRight w:val="0"/>
      <w:marTop w:val="0"/>
      <w:marBottom w:val="0"/>
      <w:divBdr>
        <w:top w:val="none" w:sz="0" w:space="0" w:color="auto"/>
        <w:left w:val="none" w:sz="0" w:space="0" w:color="auto"/>
        <w:bottom w:val="none" w:sz="0" w:space="0" w:color="auto"/>
        <w:right w:val="none" w:sz="0" w:space="0" w:color="auto"/>
      </w:divBdr>
    </w:div>
    <w:div w:id="1530803697">
      <w:bodyDiv w:val="1"/>
      <w:marLeft w:val="0"/>
      <w:marRight w:val="0"/>
      <w:marTop w:val="0"/>
      <w:marBottom w:val="0"/>
      <w:divBdr>
        <w:top w:val="none" w:sz="0" w:space="0" w:color="auto"/>
        <w:left w:val="none" w:sz="0" w:space="0" w:color="auto"/>
        <w:bottom w:val="none" w:sz="0" w:space="0" w:color="auto"/>
        <w:right w:val="none" w:sz="0" w:space="0" w:color="auto"/>
      </w:divBdr>
    </w:div>
    <w:div w:id="1532644136">
      <w:bodyDiv w:val="1"/>
      <w:marLeft w:val="0"/>
      <w:marRight w:val="0"/>
      <w:marTop w:val="0"/>
      <w:marBottom w:val="0"/>
      <w:divBdr>
        <w:top w:val="none" w:sz="0" w:space="0" w:color="auto"/>
        <w:left w:val="none" w:sz="0" w:space="0" w:color="auto"/>
        <w:bottom w:val="none" w:sz="0" w:space="0" w:color="auto"/>
        <w:right w:val="none" w:sz="0" w:space="0" w:color="auto"/>
      </w:divBdr>
    </w:div>
    <w:div w:id="1543320698">
      <w:bodyDiv w:val="1"/>
      <w:marLeft w:val="0"/>
      <w:marRight w:val="0"/>
      <w:marTop w:val="0"/>
      <w:marBottom w:val="0"/>
      <w:divBdr>
        <w:top w:val="none" w:sz="0" w:space="0" w:color="auto"/>
        <w:left w:val="none" w:sz="0" w:space="0" w:color="auto"/>
        <w:bottom w:val="none" w:sz="0" w:space="0" w:color="auto"/>
        <w:right w:val="none" w:sz="0" w:space="0" w:color="auto"/>
      </w:divBdr>
    </w:div>
    <w:div w:id="1557428965">
      <w:bodyDiv w:val="1"/>
      <w:marLeft w:val="0"/>
      <w:marRight w:val="0"/>
      <w:marTop w:val="0"/>
      <w:marBottom w:val="0"/>
      <w:divBdr>
        <w:top w:val="none" w:sz="0" w:space="0" w:color="auto"/>
        <w:left w:val="none" w:sz="0" w:space="0" w:color="auto"/>
        <w:bottom w:val="none" w:sz="0" w:space="0" w:color="auto"/>
        <w:right w:val="none" w:sz="0" w:space="0" w:color="auto"/>
      </w:divBdr>
    </w:div>
    <w:div w:id="1559246521">
      <w:bodyDiv w:val="1"/>
      <w:marLeft w:val="0"/>
      <w:marRight w:val="0"/>
      <w:marTop w:val="0"/>
      <w:marBottom w:val="0"/>
      <w:divBdr>
        <w:top w:val="none" w:sz="0" w:space="0" w:color="auto"/>
        <w:left w:val="none" w:sz="0" w:space="0" w:color="auto"/>
        <w:bottom w:val="none" w:sz="0" w:space="0" w:color="auto"/>
        <w:right w:val="none" w:sz="0" w:space="0" w:color="auto"/>
      </w:divBdr>
    </w:div>
    <w:div w:id="1570771520">
      <w:bodyDiv w:val="1"/>
      <w:marLeft w:val="0"/>
      <w:marRight w:val="0"/>
      <w:marTop w:val="0"/>
      <w:marBottom w:val="0"/>
      <w:divBdr>
        <w:top w:val="none" w:sz="0" w:space="0" w:color="auto"/>
        <w:left w:val="none" w:sz="0" w:space="0" w:color="auto"/>
        <w:bottom w:val="none" w:sz="0" w:space="0" w:color="auto"/>
        <w:right w:val="none" w:sz="0" w:space="0" w:color="auto"/>
      </w:divBdr>
    </w:div>
    <w:div w:id="1572083994">
      <w:bodyDiv w:val="1"/>
      <w:marLeft w:val="0"/>
      <w:marRight w:val="0"/>
      <w:marTop w:val="0"/>
      <w:marBottom w:val="0"/>
      <w:divBdr>
        <w:top w:val="none" w:sz="0" w:space="0" w:color="auto"/>
        <w:left w:val="none" w:sz="0" w:space="0" w:color="auto"/>
        <w:bottom w:val="none" w:sz="0" w:space="0" w:color="auto"/>
        <w:right w:val="none" w:sz="0" w:space="0" w:color="auto"/>
      </w:divBdr>
    </w:div>
    <w:div w:id="1575703849">
      <w:bodyDiv w:val="1"/>
      <w:marLeft w:val="0"/>
      <w:marRight w:val="0"/>
      <w:marTop w:val="0"/>
      <w:marBottom w:val="0"/>
      <w:divBdr>
        <w:top w:val="none" w:sz="0" w:space="0" w:color="auto"/>
        <w:left w:val="none" w:sz="0" w:space="0" w:color="auto"/>
        <w:bottom w:val="none" w:sz="0" w:space="0" w:color="auto"/>
        <w:right w:val="none" w:sz="0" w:space="0" w:color="auto"/>
      </w:divBdr>
    </w:div>
    <w:div w:id="1586458948">
      <w:bodyDiv w:val="1"/>
      <w:marLeft w:val="0"/>
      <w:marRight w:val="0"/>
      <w:marTop w:val="0"/>
      <w:marBottom w:val="0"/>
      <w:divBdr>
        <w:top w:val="none" w:sz="0" w:space="0" w:color="auto"/>
        <w:left w:val="none" w:sz="0" w:space="0" w:color="auto"/>
        <w:bottom w:val="none" w:sz="0" w:space="0" w:color="auto"/>
        <w:right w:val="none" w:sz="0" w:space="0" w:color="auto"/>
      </w:divBdr>
    </w:div>
    <w:div w:id="1586648644">
      <w:bodyDiv w:val="1"/>
      <w:marLeft w:val="0"/>
      <w:marRight w:val="0"/>
      <w:marTop w:val="0"/>
      <w:marBottom w:val="0"/>
      <w:divBdr>
        <w:top w:val="none" w:sz="0" w:space="0" w:color="auto"/>
        <w:left w:val="none" w:sz="0" w:space="0" w:color="auto"/>
        <w:bottom w:val="none" w:sz="0" w:space="0" w:color="auto"/>
        <w:right w:val="none" w:sz="0" w:space="0" w:color="auto"/>
      </w:divBdr>
    </w:div>
    <w:div w:id="1591936085">
      <w:bodyDiv w:val="1"/>
      <w:marLeft w:val="0"/>
      <w:marRight w:val="0"/>
      <w:marTop w:val="0"/>
      <w:marBottom w:val="0"/>
      <w:divBdr>
        <w:top w:val="none" w:sz="0" w:space="0" w:color="auto"/>
        <w:left w:val="none" w:sz="0" w:space="0" w:color="auto"/>
        <w:bottom w:val="none" w:sz="0" w:space="0" w:color="auto"/>
        <w:right w:val="none" w:sz="0" w:space="0" w:color="auto"/>
      </w:divBdr>
    </w:div>
    <w:div w:id="1593734736">
      <w:bodyDiv w:val="1"/>
      <w:marLeft w:val="0"/>
      <w:marRight w:val="0"/>
      <w:marTop w:val="0"/>
      <w:marBottom w:val="0"/>
      <w:divBdr>
        <w:top w:val="none" w:sz="0" w:space="0" w:color="auto"/>
        <w:left w:val="none" w:sz="0" w:space="0" w:color="auto"/>
        <w:bottom w:val="none" w:sz="0" w:space="0" w:color="auto"/>
        <w:right w:val="none" w:sz="0" w:space="0" w:color="auto"/>
      </w:divBdr>
    </w:div>
    <w:div w:id="1594050815">
      <w:bodyDiv w:val="1"/>
      <w:marLeft w:val="0"/>
      <w:marRight w:val="0"/>
      <w:marTop w:val="0"/>
      <w:marBottom w:val="0"/>
      <w:divBdr>
        <w:top w:val="none" w:sz="0" w:space="0" w:color="auto"/>
        <w:left w:val="none" w:sz="0" w:space="0" w:color="auto"/>
        <w:bottom w:val="none" w:sz="0" w:space="0" w:color="auto"/>
        <w:right w:val="none" w:sz="0" w:space="0" w:color="auto"/>
      </w:divBdr>
    </w:div>
    <w:div w:id="1599606963">
      <w:bodyDiv w:val="1"/>
      <w:marLeft w:val="0"/>
      <w:marRight w:val="0"/>
      <w:marTop w:val="0"/>
      <w:marBottom w:val="0"/>
      <w:divBdr>
        <w:top w:val="none" w:sz="0" w:space="0" w:color="auto"/>
        <w:left w:val="none" w:sz="0" w:space="0" w:color="auto"/>
        <w:bottom w:val="none" w:sz="0" w:space="0" w:color="auto"/>
        <w:right w:val="none" w:sz="0" w:space="0" w:color="auto"/>
      </w:divBdr>
    </w:div>
    <w:div w:id="1599829032">
      <w:bodyDiv w:val="1"/>
      <w:marLeft w:val="0"/>
      <w:marRight w:val="0"/>
      <w:marTop w:val="0"/>
      <w:marBottom w:val="0"/>
      <w:divBdr>
        <w:top w:val="none" w:sz="0" w:space="0" w:color="auto"/>
        <w:left w:val="none" w:sz="0" w:space="0" w:color="auto"/>
        <w:bottom w:val="none" w:sz="0" w:space="0" w:color="auto"/>
        <w:right w:val="none" w:sz="0" w:space="0" w:color="auto"/>
      </w:divBdr>
    </w:div>
    <w:div w:id="1603149215">
      <w:bodyDiv w:val="1"/>
      <w:marLeft w:val="0"/>
      <w:marRight w:val="0"/>
      <w:marTop w:val="0"/>
      <w:marBottom w:val="0"/>
      <w:divBdr>
        <w:top w:val="none" w:sz="0" w:space="0" w:color="auto"/>
        <w:left w:val="none" w:sz="0" w:space="0" w:color="auto"/>
        <w:bottom w:val="none" w:sz="0" w:space="0" w:color="auto"/>
        <w:right w:val="none" w:sz="0" w:space="0" w:color="auto"/>
      </w:divBdr>
    </w:div>
    <w:div w:id="1609585999">
      <w:bodyDiv w:val="1"/>
      <w:marLeft w:val="0"/>
      <w:marRight w:val="0"/>
      <w:marTop w:val="0"/>
      <w:marBottom w:val="0"/>
      <w:divBdr>
        <w:top w:val="none" w:sz="0" w:space="0" w:color="auto"/>
        <w:left w:val="none" w:sz="0" w:space="0" w:color="auto"/>
        <w:bottom w:val="none" w:sz="0" w:space="0" w:color="auto"/>
        <w:right w:val="none" w:sz="0" w:space="0" w:color="auto"/>
      </w:divBdr>
    </w:div>
    <w:div w:id="1611663652">
      <w:bodyDiv w:val="1"/>
      <w:marLeft w:val="0"/>
      <w:marRight w:val="0"/>
      <w:marTop w:val="0"/>
      <w:marBottom w:val="0"/>
      <w:divBdr>
        <w:top w:val="none" w:sz="0" w:space="0" w:color="auto"/>
        <w:left w:val="none" w:sz="0" w:space="0" w:color="auto"/>
        <w:bottom w:val="none" w:sz="0" w:space="0" w:color="auto"/>
        <w:right w:val="none" w:sz="0" w:space="0" w:color="auto"/>
      </w:divBdr>
    </w:div>
    <w:div w:id="1626039118">
      <w:bodyDiv w:val="1"/>
      <w:marLeft w:val="0"/>
      <w:marRight w:val="0"/>
      <w:marTop w:val="0"/>
      <w:marBottom w:val="0"/>
      <w:divBdr>
        <w:top w:val="none" w:sz="0" w:space="0" w:color="auto"/>
        <w:left w:val="none" w:sz="0" w:space="0" w:color="auto"/>
        <w:bottom w:val="none" w:sz="0" w:space="0" w:color="auto"/>
        <w:right w:val="none" w:sz="0" w:space="0" w:color="auto"/>
      </w:divBdr>
    </w:div>
    <w:div w:id="1627009968">
      <w:bodyDiv w:val="1"/>
      <w:marLeft w:val="0"/>
      <w:marRight w:val="0"/>
      <w:marTop w:val="0"/>
      <w:marBottom w:val="0"/>
      <w:divBdr>
        <w:top w:val="none" w:sz="0" w:space="0" w:color="auto"/>
        <w:left w:val="none" w:sz="0" w:space="0" w:color="auto"/>
        <w:bottom w:val="none" w:sz="0" w:space="0" w:color="auto"/>
        <w:right w:val="none" w:sz="0" w:space="0" w:color="auto"/>
      </w:divBdr>
    </w:div>
    <w:div w:id="1638101508">
      <w:bodyDiv w:val="1"/>
      <w:marLeft w:val="0"/>
      <w:marRight w:val="0"/>
      <w:marTop w:val="0"/>
      <w:marBottom w:val="0"/>
      <w:divBdr>
        <w:top w:val="none" w:sz="0" w:space="0" w:color="auto"/>
        <w:left w:val="none" w:sz="0" w:space="0" w:color="auto"/>
        <w:bottom w:val="none" w:sz="0" w:space="0" w:color="auto"/>
        <w:right w:val="none" w:sz="0" w:space="0" w:color="auto"/>
      </w:divBdr>
      <w:divsChild>
        <w:div w:id="1373844823">
          <w:marLeft w:val="0"/>
          <w:marRight w:val="0"/>
          <w:marTop w:val="0"/>
          <w:marBottom w:val="0"/>
          <w:divBdr>
            <w:top w:val="none" w:sz="0" w:space="0" w:color="auto"/>
            <w:left w:val="none" w:sz="0" w:space="0" w:color="auto"/>
            <w:bottom w:val="none" w:sz="0" w:space="0" w:color="auto"/>
            <w:right w:val="none" w:sz="0" w:space="0" w:color="auto"/>
          </w:divBdr>
        </w:div>
        <w:div w:id="1410811761">
          <w:marLeft w:val="0"/>
          <w:marRight w:val="0"/>
          <w:marTop w:val="0"/>
          <w:marBottom w:val="0"/>
          <w:divBdr>
            <w:top w:val="none" w:sz="0" w:space="0" w:color="auto"/>
            <w:left w:val="none" w:sz="0" w:space="0" w:color="auto"/>
            <w:bottom w:val="none" w:sz="0" w:space="0" w:color="auto"/>
            <w:right w:val="none" w:sz="0" w:space="0" w:color="auto"/>
          </w:divBdr>
        </w:div>
      </w:divsChild>
    </w:div>
    <w:div w:id="1650818420">
      <w:bodyDiv w:val="1"/>
      <w:marLeft w:val="0"/>
      <w:marRight w:val="0"/>
      <w:marTop w:val="0"/>
      <w:marBottom w:val="0"/>
      <w:divBdr>
        <w:top w:val="none" w:sz="0" w:space="0" w:color="auto"/>
        <w:left w:val="none" w:sz="0" w:space="0" w:color="auto"/>
        <w:bottom w:val="none" w:sz="0" w:space="0" w:color="auto"/>
        <w:right w:val="none" w:sz="0" w:space="0" w:color="auto"/>
      </w:divBdr>
    </w:div>
    <w:div w:id="1656910041">
      <w:bodyDiv w:val="1"/>
      <w:marLeft w:val="0"/>
      <w:marRight w:val="0"/>
      <w:marTop w:val="0"/>
      <w:marBottom w:val="0"/>
      <w:divBdr>
        <w:top w:val="none" w:sz="0" w:space="0" w:color="auto"/>
        <w:left w:val="none" w:sz="0" w:space="0" w:color="auto"/>
        <w:bottom w:val="none" w:sz="0" w:space="0" w:color="auto"/>
        <w:right w:val="none" w:sz="0" w:space="0" w:color="auto"/>
      </w:divBdr>
    </w:div>
    <w:div w:id="1657300635">
      <w:bodyDiv w:val="1"/>
      <w:marLeft w:val="0"/>
      <w:marRight w:val="0"/>
      <w:marTop w:val="0"/>
      <w:marBottom w:val="0"/>
      <w:divBdr>
        <w:top w:val="none" w:sz="0" w:space="0" w:color="auto"/>
        <w:left w:val="none" w:sz="0" w:space="0" w:color="auto"/>
        <w:bottom w:val="none" w:sz="0" w:space="0" w:color="auto"/>
        <w:right w:val="none" w:sz="0" w:space="0" w:color="auto"/>
      </w:divBdr>
    </w:div>
    <w:div w:id="1695809592">
      <w:bodyDiv w:val="1"/>
      <w:marLeft w:val="0"/>
      <w:marRight w:val="0"/>
      <w:marTop w:val="0"/>
      <w:marBottom w:val="0"/>
      <w:divBdr>
        <w:top w:val="none" w:sz="0" w:space="0" w:color="auto"/>
        <w:left w:val="none" w:sz="0" w:space="0" w:color="auto"/>
        <w:bottom w:val="none" w:sz="0" w:space="0" w:color="auto"/>
        <w:right w:val="none" w:sz="0" w:space="0" w:color="auto"/>
      </w:divBdr>
    </w:div>
    <w:div w:id="1699429644">
      <w:bodyDiv w:val="1"/>
      <w:marLeft w:val="0"/>
      <w:marRight w:val="0"/>
      <w:marTop w:val="0"/>
      <w:marBottom w:val="0"/>
      <w:divBdr>
        <w:top w:val="none" w:sz="0" w:space="0" w:color="auto"/>
        <w:left w:val="none" w:sz="0" w:space="0" w:color="auto"/>
        <w:bottom w:val="none" w:sz="0" w:space="0" w:color="auto"/>
        <w:right w:val="none" w:sz="0" w:space="0" w:color="auto"/>
      </w:divBdr>
    </w:div>
    <w:div w:id="1707173959">
      <w:bodyDiv w:val="1"/>
      <w:marLeft w:val="0"/>
      <w:marRight w:val="0"/>
      <w:marTop w:val="0"/>
      <w:marBottom w:val="0"/>
      <w:divBdr>
        <w:top w:val="none" w:sz="0" w:space="0" w:color="auto"/>
        <w:left w:val="none" w:sz="0" w:space="0" w:color="auto"/>
        <w:bottom w:val="none" w:sz="0" w:space="0" w:color="auto"/>
        <w:right w:val="none" w:sz="0" w:space="0" w:color="auto"/>
      </w:divBdr>
    </w:div>
    <w:div w:id="1708335229">
      <w:bodyDiv w:val="1"/>
      <w:marLeft w:val="0"/>
      <w:marRight w:val="0"/>
      <w:marTop w:val="0"/>
      <w:marBottom w:val="0"/>
      <w:divBdr>
        <w:top w:val="none" w:sz="0" w:space="0" w:color="auto"/>
        <w:left w:val="none" w:sz="0" w:space="0" w:color="auto"/>
        <w:bottom w:val="none" w:sz="0" w:space="0" w:color="auto"/>
        <w:right w:val="none" w:sz="0" w:space="0" w:color="auto"/>
      </w:divBdr>
    </w:div>
    <w:div w:id="1709066791">
      <w:bodyDiv w:val="1"/>
      <w:marLeft w:val="0"/>
      <w:marRight w:val="0"/>
      <w:marTop w:val="0"/>
      <w:marBottom w:val="0"/>
      <w:divBdr>
        <w:top w:val="none" w:sz="0" w:space="0" w:color="auto"/>
        <w:left w:val="none" w:sz="0" w:space="0" w:color="auto"/>
        <w:bottom w:val="none" w:sz="0" w:space="0" w:color="auto"/>
        <w:right w:val="none" w:sz="0" w:space="0" w:color="auto"/>
      </w:divBdr>
    </w:div>
    <w:div w:id="1724253245">
      <w:bodyDiv w:val="1"/>
      <w:marLeft w:val="0"/>
      <w:marRight w:val="0"/>
      <w:marTop w:val="0"/>
      <w:marBottom w:val="0"/>
      <w:divBdr>
        <w:top w:val="none" w:sz="0" w:space="0" w:color="auto"/>
        <w:left w:val="none" w:sz="0" w:space="0" w:color="auto"/>
        <w:bottom w:val="none" w:sz="0" w:space="0" w:color="auto"/>
        <w:right w:val="none" w:sz="0" w:space="0" w:color="auto"/>
      </w:divBdr>
    </w:div>
    <w:div w:id="1727415259">
      <w:bodyDiv w:val="1"/>
      <w:marLeft w:val="0"/>
      <w:marRight w:val="0"/>
      <w:marTop w:val="0"/>
      <w:marBottom w:val="0"/>
      <w:divBdr>
        <w:top w:val="none" w:sz="0" w:space="0" w:color="auto"/>
        <w:left w:val="none" w:sz="0" w:space="0" w:color="auto"/>
        <w:bottom w:val="none" w:sz="0" w:space="0" w:color="auto"/>
        <w:right w:val="none" w:sz="0" w:space="0" w:color="auto"/>
      </w:divBdr>
    </w:div>
    <w:div w:id="1727952817">
      <w:bodyDiv w:val="1"/>
      <w:marLeft w:val="0"/>
      <w:marRight w:val="0"/>
      <w:marTop w:val="0"/>
      <w:marBottom w:val="0"/>
      <w:divBdr>
        <w:top w:val="none" w:sz="0" w:space="0" w:color="auto"/>
        <w:left w:val="none" w:sz="0" w:space="0" w:color="auto"/>
        <w:bottom w:val="none" w:sz="0" w:space="0" w:color="auto"/>
        <w:right w:val="none" w:sz="0" w:space="0" w:color="auto"/>
      </w:divBdr>
    </w:div>
    <w:div w:id="1728842208">
      <w:bodyDiv w:val="1"/>
      <w:marLeft w:val="0"/>
      <w:marRight w:val="0"/>
      <w:marTop w:val="0"/>
      <w:marBottom w:val="0"/>
      <w:divBdr>
        <w:top w:val="none" w:sz="0" w:space="0" w:color="auto"/>
        <w:left w:val="none" w:sz="0" w:space="0" w:color="auto"/>
        <w:bottom w:val="none" w:sz="0" w:space="0" w:color="auto"/>
        <w:right w:val="none" w:sz="0" w:space="0" w:color="auto"/>
      </w:divBdr>
      <w:divsChild>
        <w:div w:id="837116467">
          <w:marLeft w:val="0"/>
          <w:marRight w:val="0"/>
          <w:marTop w:val="0"/>
          <w:marBottom w:val="240"/>
          <w:divBdr>
            <w:top w:val="none" w:sz="0" w:space="0" w:color="auto"/>
            <w:left w:val="none" w:sz="0" w:space="0" w:color="auto"/>
            <w:bottom w:val="none" w:sz="0" w:space="0" w:color="auto"/>
            <w:right w:val="none" w:sz="0" w:space="0" w:color="auto"/>
          </w:divBdr>
        </w:div>
      </w:divsChild>
    </w:div>
    <w:div w:id="1734238344">
      <w:bodyDiv w:val="1"/>
      <w:marLeft w:val="0"/>
      <w:marRight w:val="0"/>
      <w:marTop w:val="0"/>
      <w:marBottom w:val="0"/>
      <w:divBdr>
        <w:top w:val="none" w:sz="0" w:space="0" w:color="auto"/>
        <w:left w:val="none" w:sz="0" w:space="0" w:color="auto"/>
        <w:bottom w:val="none" w:sz="0" w:space="0" w:color="auto"/>
        <w:right w:val="none" w:sz="0" w:space="0" w:color="auto"/>
      </w:divBdr>
    </w:div>
    <w:div w:id="1737320880">
      <w:bodyDiv w:val="1"/>
      <w:marLeft w:val="0"/>
      <w:marRight w:val="0"/>
      <w:marTop w:val="0"/>
      <w:marBottom w:val="0"/>
      <w:divBdr>
        <w:top w:val="none" w:sz="0" w:space="0" w:color="auto"/>
        <w:left w:val="none" w:sz="0" w:space="0" w:color="auto"/>
        <w:bottom w:val="none" w:sz="0" w:space="0" w:color="auto"/>
        <w:right w:val="none" w:sz="0" w:space="0" w:color="auto"/>
      </w:divBdr>
    </w:div>
    <w:div w:id="1738238718">
      <w:bodyDiv w:val="1"/>
      <w:marLeft w:val="0"/>
      <w:marRight w:val="0"/>
      <w:marTop w:val="0"/>
      <w:marBottom w:val="0"/>
      <w:divBdr>
        <w:top w:val="none" w:sz="0" w:space="0" w:color="auto"/>
        <w:left w:val="none" w:sz="0" w:space="0" w:color="auto"/>
        <w:bottom w:val="none" w:sz="0" w:space="0" w:color="auto"/>
        <w:right w:val="none" w:sz="0" w:space="0" w:color="auto"/>
      </w:divBdr>
    </w:div>
    <w:div w:id="1746493336">
      <w:bodyDiv w:val="1"/>
      <w:marLeft w:val="0"/>
      <w:marRight w:val="0"/>
      <w:marTop w:val="0"/>
      <w:marBottom w:val="0"/>
      <w:divBdr>
        <w:top w:val="none" w:sz="0" w:space="0" w:color="auto"/>
        <w:left w:val="none" w:sz="0" w:space="0" w:color="auto"/>
        <w:bottom w:val="none" w:sz="0" w:space="0" w:color="auto"/>
        <w:right w:val="none" w:sz="0" w:space="0" w:color="auto"/>
      </w:divBdr>
    </w:div>
    <w:div w:id="1748529487">
      <w:bodyDiv w:val="1"/>
      <w:marLeft w:val="0"/>
      <w:marRight w:val="0"/>
      <w:marTop w:val="0"/>
      <w:marBottom w:val="0"/>
      <w:divBdr>
        <w:top w:val="none" w:sz="0" w:space="0" w:color="auto"/>
        <w:left w:val="none" w:sz="0" w:space="0" w:color="auto"/>
        <w:bottom w:val="none" w:sz="0" w:space="0" w:color="auto"/>
        <w:right w:val="none" w:sz="0" w:space="0" w:color="auto"/>
      </w:divBdr>
    </w:div>
    <w:div w:id="1760329350">
      <w:bodyDiv w:val="1"/>
      <w:marLeft w:val="0"/>
      <w:marRight w:val="0"/>
      <w:marTop w:val="0"/>
      <w:marBottom w:val="0"/>
      <w:divBdr>
        <w:top w:val="none" w:sz="0" w:space="0" w:color="auto"/>
        <w:left w:val="none" w:sz="0" w:space="0" w:color="auto"/>
        <w:bottom w:val="none" w:sz="0" w:space="0" w:color="auto"/>
        <w:right w:val="none" w:sz="0" w:space="0" w:color="auto"/>
      </w:divBdr>
    </w:div>
    <w:div w:id="1769156409">
      <w:bodyDiv w:val="1"/>
      <w:marLeft w:val="0"/>
      <w:marRight w:val="0"/>
      <w:marTop w:val="0"/>
      <w:marBottom w:val="0"/>
      <w:divBdr>
        <w:top w:val="none" w:sz="0" w:space="0" w:color="auto"/>
        <w:left w:val="none" w:sz="0" w:space="0" w:color="auto"/>
        <w:bottom w:val="none" w:sz="0" w:space="0" w:color="auto"/>
        <w:right w:val="none" w:sz="0" w:space="0" w:color="auto"/>
      </w:divBdr>
    </w:div>
    <w:div w:id="1769886999">
      <w:bodyDiv w:val="1"/>
      <w:marLeft w:val="0"/>
      <w:marRight w:val="0"/>
      <w:marTop w:val="0"/>
      <w:marBottom w:val="0"/>
      <w:divBdr>
        <w:top w:val="none" w:sz="0" w:space="0" w:color="auto"/>
        <w:left w:val="none" w:sz="0" w:space="0" w:color="auto"/>
        <w:bottom w:val="none" w:sz="0" w:space="0" w:color="auto"/>
        <w:right w:val="none" w:sz="0" w:space="0" w:color="auto"/>
      </w:divBdr>
    </w:div>
    <w:div w:id="1770471002">
      <w:bodyDiv w:val="1"/>
      <w:marLeft w:val="0"/>
      <w:marRight w:val="0"/>
      <w:marTop w:val="0"/>
      <w:marBottom w:val="0"/>
      <w:divBdr>
        <w:top w:val="none" w:sz="0" w:space="0" w:color="auto"/>
        <w:left w:val="none" w:sz="0" w:space="0" w:color="auto"/>
        <w:bottom w:val="none" w:sz="0" w:space="0" w:color="auto"/>
        <w:right w:val="none" w:sz="0" w:space="0" w:color="auto"/>
      </w:divBdr>
    </w:div>
    <w:div w:id="1777017183">
      <w:bodyDiv w:val="1"/>
      <w:marLeft w:val="0"/>
      <w:marRight w:val="0"/>
      <w:marTop w:val="0"/>
      <w:marBottom w:val="0"/>
      <w:divBdr>
        <w:top w:val="none" w:sz="0" w:space="0" w:color="auto"/>
        <w:left w:val="none" w:sz="0" w:space="0" w:color="auto"/>
        <w:bottom w:val="none" w:sz="0" w:space="0" w:color="auto"/>
        <w:right w:val="none" w:sz="0" w:space="0" w:color="auto"/>
      </w:divBdr>
    </w:div>
    <w:div w:id="1778599195">
      <w:bodyDiv w:val="1"/>
      <w:marLeft w:val="0"/>
      <w:marRight w:val="0"/>
      <w:marTop w:val="0"/>
      <w:marBottom w:val="0"/>
      <w:divBdr>
        <w:top w:val="none" w:sz="0" w:space="0" w:color="auto"/>
        <w:left w:val="none" w:sz="0" w:space="0" w:color="auto"/>
        <w:bottom w:val="none" w:sz="0" w:space="0" w:color="auto"/>
        <w:right w:val="none" w:sz="0" w:space="0" w:color="auto"/>
      </w:divBdr>
    </w:div>
    <w:div w:id="1783647679">
      <w:bodyDiv w:val="1"/>
      <w:marLeft w:val="0"/>
      <w:marRight w:val="0"/>
      <w:marTop w:val="0"/>
      <w:marBottom w:val="0"/>
      <w:divBdr>
        <w:top w:val="none" w:sz="0" w:space="0" w:color="auto"/>
        <w:left w:val="none" w:sz="0" w:space="0" w:color="auto"/>
        <w:bottom w:val="none" w:sz="0" w:space="0" w:color="auto"/>
        <w:right w:val="none" w:sz="0" w:space="0" w:color="auto"/>
      </w:divBdr>
    </w:div>
    <w:div w:id="1786928233">
      <w:bodyDiv w:val="1"/>
      <w:marLeft w:val="0"/>
      <w:marRight w:val="0"/>
      <w:marTop w:val="0"/>
      <w:marBottom w:val="0"/>
      <w:divBdr>
        <w:top w:val="none" w:sz="0" w:space="0" w:color="auto"/>
        <w:left w:val="none" w:sz="0" w:space="0" w:color="auto"/>
        <w:bottom w:val="none" w:sz="0" w:space="0" w:color="auto"/>
        <w:right w:val="none" w:sz="0" w:space="0" w:color="auto"/>
      </w:divBdr>
    </w:div>
    <w:div w:id="1790933856">
      <w:bodyDiv w:val="1"/>
      <w:marLeft w:val="0"/>
      <w:marRight w:val="0"/>
      <w:marTop w:val="0"/>
      <w:marBottom w:val="0"/>
      <w:divBdr>
        <w:top w:val="none" w:sz="0" w:space="0" w:color="auto"/>
        <w:left w:val="none" w:sz="0" w:space="0" w:color="auto"/>
        <w:bottom w:val="none" w:sz="0" w:space="0" w:color="auto"/>
        <w:right w:val="none" w:sz="0" w:space="0" w:color="auto"/>
      </w:divBdr>
    </w:div>
    <w:div w:id="1798991049">
      <w:bodyDiv w:val="1"/>
      <w:marLeft w:val="0"/>
      <w:marRight w:val="0"/>
      <w:marTop w:val="0"/>
      <w:marBottom w:val="0"/>
      <w:divBdr>
        <w:top w:val="none" w:sz="0" w:space="0" w:color="auto"/>
        <w:left w:val="none" w:sz="0" w:space="0" w:color="auto"/>
        <w:bottom w:val="none" w:sz="0" w:space="0" w:color="auto"/>
        <w:right w:val="none" w:sz="0" w:space="0" w:color="auto"/>
      </w:divBdr>
    </w:div>
    <w:div w:id="1824659471">
      <w:bodyDiv w:val="1"/>
      <w:marLeft w:val="0"/>
      <w:marRight w:val="0"/>
      <w:marTop w:val="0"/>
      <w:marBottom w:val="0"/>
      <w:divBdr>
        <w:top w:val="none" w:sz="0" w:space="0" w:color="auto"/>
        <w:left w:val="none" w:sz="0" w:space="0" w:color="auto"/>
        <w:bottom w:val="none" w:sz="0" w:space="0" w:color="auto"/>
        <w:right w:val="none" w:sz="0" w:space="0" w:color="auto"/>
      </w:divBdr>
    </w:div>
    <w:div w:id="1829246563">
      <w:bodyDiv w:val="1"/>
      <w:marLeft w:val="0"/>
      <w:marRight w:val="0"/>
      <w:marTop w:val="0"/>
      <w:marBottom w:val="0"/>
      <w:divBdr>
        <w:top w:val="none" w:sz="0" w:space="0" w:color="auto"/>
        <w:left w:val="none" w:sz="0" w:space="0" w:color="auto"/>
        <w:bottom w:val="none" w:sz="0" w:space="0" w:color="auto"/>
        <w:right w:val="none" w:sz="0" w:space="0" w:color="auto"/>
      </w:divBdr>
    </w:div>
    <w:div w:id="1830948587">
      <w:bodyDiv w:val="1"/>
      <w:marLeft w:val="0"/>
      <w:marRight w:val="0"/>
      <w:marTop w:val="0"/>
      <w:marBottom w:val="0"/>
      <w:divBdr>
        <w:top w:val="none" w:sz="0" w:space="0" w:color="auto"/>
        <w:left w:val="none" w:sz="0" w:space="0" w:color="auto"/>
        <w:bottom w:val="none" w:sz="0" w:space="0" w:color="auto"/>
        <w:right w:val="none" w:sz="0" w:space="0" w:color="auto"/>
      </w:divBdr>
    </w:div>
    <w:div w:id="1836023471">
      <w:bodyDiv w:val="1"/>
      <w:marLeft w:val="0"/>
      <w:marRight w:val="0"/>
      <w:marTop w:val="0"/>
      <w:marBottom w:val="0"/>
      <w:divBdr>
        <w:top w:val="none" w:sz="0" w:space="0" w:color="auto"/>
        <w:left w:val="none" w:sz="0" w:space="0" w:color="auto"/>
        <w:bottom w:val="none" w:sz="0" w:space="0" w:color="auto"/>
        <w:right w:val="none" w:sz="0" w:space="0" w:color="auto"/>
      </w:divBdr>
    </w:div>
    <w:div w:id="1859004929">
      <w:bodyDiv w:val="1"/>
      <w:marLeft w:val="0"/>
      <w:marRight w:val="0"/>
      <w:marTop w:val="0"/>
      <w:marBottom w:val="0"/>
      <w:divBdr>
        <w:top w:val="none" w:sz="0" w:space="0" w:color="auto"/>
        <w:left w:val="none" w:sz="0" w:space="0" w:color="auto"/>
        <w:bottom w:val="none" w:sz="0" w:space="0" w:color="auto"/>
        <w:right w:val="none" w:sz="0" w:space="0" w:color="auto"/>
      </w:divBdr>
    </w:div>
    <w:div w:id="1862737727">
      <w:bodyDiv w:val="1"/>
      <w:marLeft w:val="0"/>
      <w:marRight w:val="0"/>
      <w:marTop w:val="0"/>
      <w:marBottom w:val="0"/>
      <w:divBdr>
        <w:top w:val="none" w:sz="0" w:space="0" w:color="auto"/>
        <w:left w:val="none" w:sz="0" w:space="0" w:color="auto"/>
        <w:bottom w:val="none" w:sz="0" w:space="0" w:color="auto"/>
        <w:right w:val="none" w:sz="0" w:space="0" w:color="auto"/>
      </w:divBdr>
    </w:div>
    <w:div w:id="1867282249">
      <w:bodyDiv w:val="1"/>
      <w:marLeft w:val="0"/>
      <w:marRight w:val="0"/>
      <w:marTop w:val="0"/>
      <w:marBottom w:val="0"/>
      <w:divBdr>
        <w:top w:val="none" w:sz="0" w:space="0" w:color="auto"/>
        <w:left w:val="none" w:sz="0" w:space="0" w:color="auto"/>
        <w:bottom w:val="none" w:sz="0" w:space="0" w:color="auto"/>
        <w:right w:val="none" w:sz="0" w:space="0" w:color="auto"/>
      </w:divBdr>
    </w:div>
    <w:div w:id="1879463866">
      <w:bodyDiv w:val="1"/>
      <w:marLeft w:val="0"/>
      <w:marRight w:val="0"/>
      <w:marTop w:val="0"/>
      <w:marBottom w:val="0"/>
      <w:divBdr>
        <w:top w:val="none" w:sz="0" w:space="0" w:color="auto"/>
        <w:left w:val="none" w:sz="0" w:space="0" w:color="auto"/>
        <w:bottom w:val="none" w:sz="0" w:space="0" w:color="auto"/>
        <w:right w:val="none" w:sz="0" w:space="0" w:color="auto"/>
      </w:divBdr>
    </w:div>
    <w:div w:id="1881818251">
      <w:bodyDiv w:val="1"/>
      <w:marLeft w:val="0"/>
      <w:marRight w:val="0"/>
      <w:marTop w:val="0"/>
      <w:marBottom w:val="0"/>
      <w:divBdr>
        <w:top w:val="none" w:sz="0" w:space="0" w:color="auto"/>
        <w:left w:val="none" w:sz="0" w:space="0" w:color="auto"/>
        <w:bottom w:val="none" w:sz="0" w:space="0" w:color="auto"/>
        <w:right w:val="none" w:sz="0" w:space="0" w:color="auto"/>
      </w:divBdr>
    </w:div>
    <w:div w:id="1884054856">
      <w:bodyDiv w:val="1"/>
      <w:marLeft w:val="0"/>
      <w:marRight w:val="0"/>
      <w:marTop w:val="0"/>
      <w:marBottom w:val="0"/>
      <w:divBdr>
        <w:top w:val="none" w:sz="0" w:space="0" w:color="auto"/>
        <w:left w:val="none" w:sz="0" w:space="0" w:color="auto"/>
        <w:bottom w:val="none" w:sz="0" w:space="0" w:color="auto"/>
        <w:right w:val="none" w:sz="0" w:space="0" w:color="auto"/>
      </w:divBdr>
    </w:div>
    <w:div w:id="1888566352">
      <w:bodyDiv w:val="1"/>
      <w:marLeft w:val="0"/>
      <w:marRight w:val="0"/>
      <w:marTop w:val="0"/>
      <w:marBottom w:val="0"/>
      <w:divBdr>
        <w:top w:val="none" w:sz="0" w:space="0" w:color="auto"/>
        <w:left w:val="none" w:sz="0" w:space="0" w:color="auto"/>
        <w:bottom w:val="none" w:sz="0" w:space="0" w:color="auto"/>
        <w:right w:val="none" w:sz="0" w:space="0" w:color="auto"/>
      </w:divBdr>
    </w:div>
    <w:div w:id="1888957380">
      <w:bodyDiv w:val="1"/>
      <w:marLeft w:val="0"/>
      <w:marRight w:val="0"/>
      <w:marTop w:val="0"/>
      <w:marBottom w:val="0"/>
      <w:divBdr>
        <w:top w:val="none" w:sz="0" w:space="0" w:color="auto"/>
        <w:left w:val="none" w:sz="0" w:space="0" w:color="auto"/>
        <w:bottom w:val="none" w:sz="0" w:space="0" w:color="auto"/>
        <w:right w:val="none" w:sz="0" w:space="0" w:color="auto"/>
      </w:divBdr>
    </w:div>
    <w:div w:id="1898470727">
      <w:bodyDiv w:val="1"/>
      <w:marLeft w:val="0"/>
      <w:marRight w:val="0"/>
      <w:marTop w:val="0"/>
      <w:marBottom w:val="0"/>
      <w:divBdr>
        <w:top w:val="none" w:sz="0" w:space="0" w:color="auto"/>
        <w:left w:val="none" w:sz="0" w:space="0" w:color="auto"/>
        <w:bottom w:val="none" w:sz="0" w:space="0" w:color="auto"/>
        <w:right w:val="none" w:sz="0" w:space="0" w:color="auto"/>
      </w:divBdr>
    </w:div>
    <w:div w:id="1902136069">
      <w:bodyDiv w:val="1"/>
      <w:marLeft w:val="0"/>
      <w:marRight w:val="0"/>
      <w:marTop w:val="0"/>
      <w:marBottom w:val="0"/>
      <w:divBdr>
        <w:top w:val="none" w:sz="0" w:space="0" w:color="auto"/>
        <w:left w:val="none" w:sz="0" w:space="0" w:color="auto"/>
        <w:bottom w:val="none" w:sz="0" w:space="0" w:color="auto"/>
        <w:right w:val="none" w:sz="0" w:space="0" w:color="auto"/>
      </w:divBdr>
    </w:div>
    <w:div w:id="1902597845">
      <w:bodyDiv w:val="1"/>
      <w:marLeft w:val="0"/>
      <w:marRight w:val="0"/>
      <w:marTop w:val="0"/>
      <w:marBottom w:val="0"/>
      <w:divBdr>
        <w:top w:val="none" w:sz="0" w:space="0" w:color="auto"/>
        <w:left w:val="none" w:sz="0" w:space="0" w:color="auto"/>
        <w:bottom w:val="none" w:sz="0" w:space="0" w:color="auto"/>
        <w:right w:val="none" w:sz="0" w:space="0" w:color="auto"/>
      </w:divBdr>
    </w:div>
    <w:div w:id="1917855469">
      <w:bodyDiv w:val="1"/>
      <w:marLeft w:val="0"/>
      <w:marRight w:val="0"/>
      <w:marTop w:val="0"/>
      <w:marBottom w:val="0"/>
      <w:divBdr>
        <w:top w:val="none" w:sz="0" w:space="0" w:color="auto"/>
        <w:left w:val="none" w:sz="0" w:space="0" w:color="auto"/>
        <w:bottom w:val="none" w:sz="0" w:space="0" w:color="auto"/>
        <w:right w:val="none" w:sz="0" w:space="0" w:color="auto"/>
      </w:divBdr>
    </w:div>
    <w:div w:id="1921527296">
      <w:bodyDiv w:val="1"/>
      <w:marLeft w:val="0"/>
      <w:marRight w:val="0"/>
      <w:marTop w:val="0"/>
      <w:marBottom w:val="0"/>
      <w:divBdr>
        <w:top w:val="none" w:sz="0" w:space="0" w:color="auto"/>
        <w:left w:val="none" w:sz="0" w:space="0" w:color="auto"/>
        <w:bottom w:val="none" w:sz="0" w:space="0" w:color="auto"/>
        <w:right w:val="none" w:sz="0" w:space="0" w:color="auto"/>
      </w:divBdr>
    </w:div>
    <w:div w:id="1922836104">
      <w:bodyDiv w:val="1"/>
      <w:marLeft w:val="0"/>
      <w:marRight w:val="0"/>
      <w:marTop w:val="0"/>
      <w:marBottom w:val="0"/>
      <w:divBdr>
        <w:top w:val="none" w:sz="0" w:space="0" w:color="auto"/>
        <w:left w:val="none" w:sz="0" w:space="0" w:color="auto"/>
        <w:bottom w:val="none" w:sz="0" w:space="0" w:color="auto"/>
        <w:right w:val="none" w:sz="0" w:space="0" w:color="auto"/>
      </w:divBdr>
    </w:div>
    <w:div w:id="1945646653">
      <w:bodyDiv w:val="1"/>
      <w:marLeft w:val="0"/>
      <w:marRight w:val="0"/>
      <w:marTop w:val="0"/>
      <w:marBottom w:val="0"/>
      <w:divBdr>
        <w:top w:val="none" w:sz="0" w:space="0" w:color="auto"/>
        <w:left w:val="none" w:sz="0" w:space="0" w:color="auto"/>
        <w:bottom w:val="none" w:sz="0" w:space="0" w:color="auto"/>
        <w:right w:val="none" w:sz="0" w:space="0" w:color="auto"/>
      </w:divBdr>
    </w:div>
    <w:div w:id="1949002225">
      <w:bodyDiv w:val="1"/>
      <w:marLeft w:val="0"/>
      <w:marRight w:val="0"/>
      <w:marTop w:val="0"/>
      <w:marBottom w:val="0"/>
      <w:divBdr>
        <w:top w:val="none" w:sz="0" w:space="0" w:color="auto"/>
        <w:left w:val="none" w:sz="0" w:space="0" w:color="auto"/>
        <w:bottom w:val="none" w:sz="0" w:space="0" w:color="auto"/>
        <w:right w:val="none" w:sz="0" w:space="0" w:color="auto"/>
      </w:divBdr>
    </w:div>
    <w:div w:id="1966422854">
      <w:bodyDiv w:val="1"/>
      <w:marLeft w:val="0"/>
      <w:marRight w:val="0"/>
      <w:marTop w:val="0"/>
      <w:marBottom w:val="0"/>
      <w:divBdr>
        <w:top w:val="none" w:sz="0" w:space="0" w:color="auto"/>
        <w:left w:val="none" w:sz="0" w:space="0" w:color="auto"/>
        <w:bottom w:val="none" w:sz="0" w:space="0" w:color="auto"/>
        <w:right w:val="none" w:sz="0" w:space="0" w:color="auto"/>
      </w:divBdr>
    </w:div>
    <w:div w:id="1967421412">
      <w:bodyDiv w:val="1"/>
      <w:marLeft w:val="0"/>
      <w:marRight w:val="0"/>
      <w:marTop w:val="0"/>
      <w:marBottom w:val="0"/>
      <w:divBdr>
        <w:top w:val="none" w:sz="0" w:space="0" w:color="auto"/>
        <w:left w:val="none" w:sz="0" w:space="0" w:color="auto"/>
        <w:bottom w:val="none" w:sz="0" w:space="0" w:color="auto"/>
        <w:right w:val="none" w:sz="0" w:space="0" w:color="auto"/>
      </w:divBdr>
    </w:div>
    <w:div w:id="1975524382">
      <w:bodyDiv w:val="1"/>
      <w:marLeft w:val="0"/>
      <w:marRight w:val="0"/>
      <w:marTop w:val="0"/>
      <w:marBottom w:val="0"/>
      <w:divBdr>
        <w:top w:val="none" w:sz="0" w:space="0" w:color="auto"/>
        <w:left w:val="none" w:sz="0" w:space="0" w:color="auto"/>
        <w:bottom w:val="none" w:sz="0" w:space="0" w:color="auto"/>
        <w:right w:val="none" w:sz="0" w:space="0" w:color="auto"/>
      </w:divBdr>
    </w:div>
    <w:div w:id="1976252263">
      <w:bodyDiv w:val="1"/>
      <w:marLeft w:val="0"/>
      <w:marRight w:val="0"/>
      <w:marTop w:val="0"/>
      <w:marBottom w:val="0"/>
      <w:divBdr>
        <w:top w:val="none" w:sz="0" w:space="0" w:color="auto"/>
        <w:left w:val="none" w:sz="0" w:space="0" w:color="auto"/>
        <w:bottom w:val="none" w:sz="0" w:space="0" w:color="auto"/>
        <w:right w:val="none" w:sz="0" w:space="0" w:color="auto"/>
      </w:divBdr>
    </w:div>
    <w:div w:id="1980843059">
      <w:bodyDiv w:val="1"/>
      <w:marLeft w:val="0"/>
      <w:marRight w:val="0"/>
      <w:marTop w:val="0"/>
      <w:marBottom w:val="0"/>
      <w:divBdr>
        <w:top w:val="none" w:sz="0" w:space="0" w:color="auto"/>
        <w:left w:val="none" w:sz="0" w:space="0" w:color="auto"/>
        <w:bottom w:val="none" w:sz="0" w:space="0" w:color="auto"/>
        <w:right w:val="none" w:sz="0" w:space="0" w:color="auto"/>
      </w:divBdr>
    </w:div>
    <w:div w:id="2010324888">
      <w:bodyDiv w:val="1"/>
      <w:marLeft w:val="0"/>
      <w:marRight w:val="0"/>
      <w:marTop w:val="0"/>
      <w:marBottom w:val="0"/>
      <w:divBdr>
        <w:top w:val="none" w:sz="0" w:space="0" w:color="auto"/>
        <w:left w:val="none" w:sz="0" w:space="0" w:color="auto"/>
        <w:bottom w:val="none" w:sz="0" w:space="0" w:color="auto"/>
        <w:right w:val="none" w:sz="0" w:space="0" w:color="auto"/>
      </w:divBdr>
    </w:div>
    <w:div w:id="2025205910">
      <w:bodyDiv w:val="1"/>
      <w:marLeft w:val="0"/>
      <w:marRight w:val="0"/>
      <w:marTop w:val="0"/>
      <w:marBottom w:val="0"/>
      <w:divBdr>
        <w:top w:val="none" w:sz="0" w:space="0" w:color="auto"/>
        <w:left w:val="none" w:sz="0" w:space="0" w:color="auto"/>
        <w:bottom w:val="none" w:sz="0" w:space="0" w:color="auto"/>
        <w:right w:val="none" w:sz="0" w:space="0" w:color="auto"/>
      </w:divBdr>
    </w:div>
    <w:div w:id="2028408643">
      <w:bodyDiv w:val="1"/>
      <w:marLeft w:val="0"/>
      <w:marRight w:val="0"/>
      <w:marTop w:val="0"/>
      <w:marBottom w:val="0"/>
      <w:divBdr>
        <w:top w:val="none" w:sz="0" w:space="0" w:color="auto"/>
        <w:left w:val="none" w:sz="0" w:space="0" w:color="auto"/>
        <w:bottom w:val="none" w:sz="0" w:space="0" w:color="auto"/>
        <w:right w:val="none" w:sz="0" w:space="0" w:color="auto"/>
      </w:divBdr>
    </w:div>
    <w:div w:id="2030792319">
      <w:bodyDiv w:val="1"/>
      <w:marLeft w:val="0"/>
      <w:marRight w:val="0"/>
      <w:marTop w:val="0"/>
      <w:marBottom w:val="0"/>
      <w:divBdr>
        <w:top w:val="none" w:sz="0" w:space="0" w:color="auto"/>
        <w:left w:val="none" w:sz="0" w:space="0" w:color="auto"/>
        <w:bottom w:val="none" w:sz="0" w:space="0" w:color="auto"/>
        <w:right w:val="none" w:sz="0" w:space="0" w:color="auto"/>
      </w:divBdr>
    </w:div>
    <w:div w:id="2032367995">
      <w:bodyDiv w:val="1"/>
      <w:marLeft w:val="0"/>
      <w:marRight w:val="0"/>
      <w:marTop w:val="0"/>
      <w:marBottom w:val="0"/>
      <w:divBdr>
        <w:top w:val="none" w:sz="0" w:space="0" w:color="auto"/>
        <w:left w:val="none" w:sz="0" w:space="0" w:color="auto"/>
        <w:bottom w:val="none" w:sz="0" w:space="0" w:color="auto"/>
        <w:right w:val="none" w:sz="0" w:space="0" w:color="auto"/>
      </w:divBdr>
    </w:div>
    <w:div w:id="2038849671">
      <w:bodyDiv w:val="1"/>
      <w:marLeft w:val="0"/>
      <w:marRight w:val="0"/>
      <w:marTop w:val="0"/>
      <w:marBottom w:val="0"/>
      <w:divBdr>
        <w:top w:val="none" w:sz="0" w:space="0" w:color="auto"/>
        <w:left w:val="none" w:sz="0" w:space="0" w:color="auto"/>
        <w:bottom w:val="none" w:sz="0" w:space="0" w:color="auto"/>
        <w:right w:val="none" w:sz="0" w:space="0" w:color="auto"/>
      </w:divBdr>
    </w:div>
    <w:div w:id="2040424215">
      <w:bodyDiv w:val="1"/>
      <w:marLeft w:val="0"/>
      <w:marRight w:val="0"/>
      <w:marTop w:val="0"/>
      <w:marBottom w:val="0"/>
      <w:divBdr>
        <w:top w:val="none" w:sz="0" w:space="0" w:color="auto"/>
        <w:left w:val="none" w:sz="0" w:space="0" w:color="auto"/>
        <w:bottom w:val="none" w:sz="0" w:space="0" w:color="auto"/>
        <w:right w:val="none" w:sz="0" w:space="0" w:color="auto"/>
      </w:divBdr>
    </w:div>
    <w:div w:id="2045059869">
      <w:bodyDiv w:val="1"/>
      <w:marLeft w:val="0"/>
      <w:marRight w:val="0"/>
      <w:marTop w:val="0"/>
      <w:marBottom w:val="0"/>
      <w:divBdr>
        <w:top w:val="none" w:sz="0" w:space="0" w:color="auto"/>
        <w:left w:val="none" w:sz="0" w:space="0" w:color="auto"/>
        <w:bottom w:val="none" w:sz="0" w:space="0" w:color="auto"/>
        <w:right w:val="none" w:sz="0" w:space="0" w:color="auto"/>
      </w:divBdr>
    </w:div>
    <w:div w:id="2056467328">
      <w:bodyDiv w:val="1"/>
      <w:marLeft w:val="0"/>
      <w:marRight w:val="0"/>
      <w:marTop w:val="0"/>
      <w:marBottom w:val="0"/>
      <w:divBdr>
        <w:top w:val="none" w:sz="0" w:space="0" w:color="auto"/>
        <w:left w:val="none" w:sz="0" w:space="0" w:color="auto"/>
        <w:bottom w:val="none" w:sz="0" w:space="0" w:color="auto"/>
        <w:right w:val="none" w:sz="0" w:space="0" w:color="auto"/>
      </w:divBdr>
    </w:div>
    <w:div w:id="2058118260">
      <w:bodyDiv w:val="1"/>
      <w:marLeft w:val="0"/>
      <w:marRight w:val="0"/>
      <w:marTop w:val="0"/>
      <w:marBottom w:val="0"/>
      <w:divBdr>
        <w:top w:val="none" w:sz="0" w:space="0" w:color="auto"/>
        <w:left w:val="none" w:sz="0" w:space="0" w:color="auto"/>
        <w:bottom w:val="none" w:sz="0" w:space="0" w:color="auto"/>
        <w:right w:val="none" w:sz="0" w:space="0" w:color="auto"/>
      </w:divBdr>
    </w:div>
    <w:div w:id="2063551575">
      <w:bodyDiv w:val="1"/>
      <w:marLeft w:val="0"/>
      <w:marRight w:val="0"/>
      <w:marTop w:val="0"/>
      <w:marBottom w:val="0"/>
      <w:divBdr>
        <w:top w:val="none" w:sz="0" w:space="0" w:color="auto"/>
        <w:left w:val="none" w:sz="0" w:space="0" w:color="auto"/>
        <w:bottom w:val="none" w:sz="0" w:space="0" w:color="auto"/>
        <w:right w:val="none" w:sz="0" w:space="0" w:color="auto"/>
      </w:divBdr>
    </w:div>
    <w:div w:id="2067102070">
      <w:bodyDiv w:val="1"/>
      <w:marLeft w:val="0"/>
      <w:marRight w:val="0"/>
      <w:marTop w:val="0"/>
      <w:marBottom w:val="0"/>
      <w:divBdr>
        <w:top w:val="none" w:sz="0" w:space="0" w:color="auto"/>
        <w:left w:val="none" w:sz="0" w:space="0" w:color="auto"/>
        <w:bottom w:val="none" w:sz="0" w:space="0" w:color="auto"/>
        <w:right w:val="none" w:sz="0" w:space="0" w:color="auto"/>
      </w:divBdr>
    </w:div>
    <w:div w:id="2067532068">
      <w:bodyDiv w:val="1"/>
      <w:marLeft w:val="0"/>
      <w:marRight w:val="0"/>
      <w:marTop w:val="0"/>
      <w:marBottom w:val="0"/>
      <w:divBdr>
        <w:top w:val="none" w:sz="0" w:space="0" w:color="auto"/>
        <w:left w:val="none" w:sz="0" w:space="0" w:color="auto"/>
        <w:bottom w:val="none" w:sz="0" w:space="0" w:color="auto"/>
        <w:right w:val="none" w:sz="0" w:space="0" w:color="auto"/>
      </w:divBdr>
    </w:div>
    <w:div w:id="2092852875">
      <w:bodyDiv w:val="1"/>
      <w:marLeft w:val="0"/>
      <w:marRight w:val="0"/>
      <w:marTop w:val="0"/>
      <w:marBottom w:val="0"/>
      <w:divBdr>
        <w:top w:val="none" w:sz="0" w:space="0" w:color="auto"/>
        <w:left w:val="none" w:sz="0" w:space="0" w:color="auto"/>
        <w:bottom w:val="none" w:sz="0" w:space="0" w:color="auto"/>
        <w:right w:val="none" w:sz="0" w:space="0" w:color="auto"/>
      </w:divBdr>
    </w:div>
    <w:div w:id="2094475282">
      <w:bodyDiv w:val="1"/>
      <w:marLeft w:val="0"/>
      <w:marRight w:val="0"/>
      <w:marTop w:val="0"/>
      <w:marBottom w:val="0"/>
      <w:divBdr>
        <w:top w:val="none" w:sz="0" w:space="0" w:color="auto"/>
        <w:left w:val="none" w:sz="0" w:space="0" w:color="auto"/>
        <w:bottom w:val="none" w:sz="0" w:space="0" w:color="auto"/>
        <w:right w:val="none" w:sz="0" w:space="0" w:color="auto"/>
      </w:divBdr>
      <w:divsChild>
        <w:div w:id="166678597">
          <w:marLeft w:val="0"/>
          <w:marRight w:val="0"/>
          <w:marTop w:val="0"/>
          <w:marBottom w:val="240"/>
          <w:divBdr>
            <w:top w:val="none" w:sz="0" w:space="0" w:color="auto"/>
            <w:left w:val="none" w:sz="0" w:space="0" w:color="auto"/>
            <w:bottom w:val="none" w:sz="0" w:space="0" w:color="auto"/>
            <w:right w:val="none" w:sz="0" w:space="0" w:color="auto"/>
          </w:divBdr>
          <w:divsChild>
            <w:div w:id="9648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2180">
      <w:bodyDiv w:val="1"/>
      <w:marLeft w:val="0"/>
      <w:marRight w:val="0"/>
      <w:marTop w:val="0"/>
      <w:marBottom w:val="0"/>
      <w:divBdr>
        <w:top w:val="none" w:sz="0" w:space="0" w:color="auto"/>
        <w:left w:val="none" w:sz="0" w:space="0" w:color="auto"/>
        <w:bottom w:val="none" w:sz="0" w:space="0" w:color="auto"/>
        <w:right w:val="none" w:sz="0" w:space="0" w:color="auto"/>
      </w:divBdr>
    </w:div>
    <w:div w:id="2102722838">
      <w:bodyDiv w:val="1"/>
      <w:marLeft w:val="0"/>
      <w:marRight w:val="0"/>
      <w:marTop w:val="0"/>
      <w:marBottom w:val="0"/>
      <w:divBdr>
        <w:top w:val="none" w:sz="0" w:space="0" w:color="auto"/>
        <w:left w:val="none" w:sz="0" w:space="0" w:color="auto"/>
        <w:bottom w:val="none" w:sz="0" w:space="0" w:color="auto"/>
        <w:right w:val="none" w:sz="0" w:space="0" w:color="auto"/>
      </w:divBdr>
    </w:div>
    <w:div w:id="2108037381">
      <w:bodyDiv w:val="1"/>
      <w:marLeft w:val="0"/>
      <w:marRight w:val="0"/>
      <w:marTop w:val="0"/>
      <w:marBottom w:val="0"/>
      <w:divBdr>
        <w:top w:val="none" w:sz="0" w:space="0" w:color="auto"/>
        <w:left w:val="none" w:sz="0" w:space="0" w:color="auto"/>
        <w:bottom w:val="none" w:sz="0" w:space="0" w:color="auto"/>
        <w:right w:val="none" w:sz="0" w:space="0" w:color="auto"/>
      </w:divBdr>
    </w:div>
    <w:div w:id="2111506922">
      <w:bodyDiv w:val="1"/>
      <w:marLeft w:val="0"/>
      <w:marRight w:val="0"/>
      <w:marTop w:val="0"/>
      <w:marBottom w:val="0"/>
      <w:divBdr>
        <w:top w:val="none" w:sz="0" w:space="0" w:color="auto"/>
        <w:left w:val="none" w:sz="0" w:space="0" w:color="auto"/>
        <w:bottom w:val="none" w:sz="0" w:space="0" w:color="auto"/>
        <w:right w:val="none" w:sz="0" w:space="0" w:color="auto"/>
      </w:divBdr>
    </w:div>
    <w:div w:id="2121684355">
      <w:bodyDiv w:val="1"/>
      <w:marLeft w:val="0"/>
      <w:marRight w:val="0"/>
      <w:marTop w:val="0"/>
      <w:marBottom w:val="0"/>
      <w:divBdr>
        <w:top w:val="none" w:sz="0" w:space="0" w:color="auto"/>
        <w:left w:val="none" w:sz="0" w:space="0" w:color="auto"/>
        <w:bottom w:val="none" w:sz="0" w:space="0" w:color="auto"/>
        <w:right w:val="none" w:sz="0" w:space="0" w:color="auto"/>
      </w:divBdr>
    </w:div>
    <w:div w:id="2130322244">
      <w:bodyDiv w:val="1"/>
      <w:marLeft w:val="0"/>
      <w:marRight w:val="0"/>
      <w:marTop w:val="0"/>
      <w:marBottom w:val="0"/>
      <w:divBdr>
        <w:top w:val="none" w:sz="0" w:space="0" w:color="auto"/>
        <w:left w:val="none" w:sz="0" w:space="0" w:color="auto"/>
        <w:bottom w:val="none" w:sz="0" w:space="0" w:color="auto"/>
        <w:right w:val="none" w:sz="0" w:space="0" w:color="auto"/>
      </w:divBdr>
    </w:div>
    <w:div w:id="21322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ferropedia.es/mediawiki/images/7/75/SINAV.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39E13-E15D-4AC1-A4B3-14A79EB9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10761</Words>
  <Characters>59139</Characters>
  <Application>Microsoft Office Word</Application>
  <DocSecurity>4</DocSecurity>
  <Lines>492</Lines>
  <Paragraphs>139</Paragraphs>
  <ScaleCrop>false</ScaleCrop>
  <HeadingPairs>
    <vt:vector size="2" baseType="variant">
      <vt:variant>
        <vt:lpstr>Título</vt:lpstr>
      </vt:variant>
      <vt:variant>
        <vt:i4>1</vt:i4>
      </vt:variant>
    </vt:vector>
  </HeadingPairs>
  <TitlesOfParts>
    <vt:vector size="1" baseType="lpstr">
      <vt:lpstr>Borrador final</vt:lpstr>
    </vt:vector>
  </TitlesOfParts>
  <Company>Cámara de Comptos</Company>
  <LinksUpToDate>false</LinksUpToDate>
  <CharactersWithSpaces>69761</CharactersWithSpaces>
  <SharedDoc>false</SharedDoc>
  <HLinks>
    <vt:vector size="132" baseType="variant">
      <vt:variant>
        <vt:i4>1769526</vt:i4>
      </vt:variant>
      <vt:variant>
        <vt:i4>128</vt:i4>
      </vt:variant>
      <vt:variant>
        <vt:i4>0</vt:i4>
      </vt:variant>
      <vt:variant>
        <vt:i4>5</vt:i4>
      </vt:variant>
      <vt:variant>
        <vt:lpwstr/>
      </vt:variant>
      <vt:variant>
        <vt:lpwstr>_Toc395686859</vt:lpwstr>
      </vt:variant>
      <vt:variant>
        <vt:i4>1769526</vt:i4>
      </vt:variant>
      <vt:variant>
        <vt:i4>122</vt:i4>
      </vt:variant>
      <vt:variant>
        <vt:i4>0</vt:i4>
      </vt:variant>
      <vt:variant>
        <vt:i4>5</vt:i4>
      </vt:variant>
      <vt:variant>
        <vt:lpwstr/>
      </vt:variant>
      <vt:variant>
        <vt:lpwstr>_Toc395686858</vt:lpwstr>
      </vt:variant>
      <vt:variant>
        <vt:i4>1769526</vt:i4>
      </vt:variant>
      <vt:variant>
        <vt:i4>116</vt:i4>
      </vt:variant>
      <vt:variant>
        <vt:i4>0</vt:i4>
      </vt:variant>
      <vt:variant>
        <vt:i4>5</vt:i4>
      </vt:variant>
      <vt:variant>
        <vt:lpwstr/>
      </vt:variant>
      <vt:variant>
        <vt:lpwstr>_Toc395686857</vt:lpwstr>
      </vt:variant>
      <vt:variant>
        <vt:i4>1769526</vt:i4>
      </vt:variant>
      <vt:variant>
        <vt:i4>110</vt:i4>
      </vt:variant>
      <vt:variant>
        <vt:i4>0</vt:i4>
      </vt:variant>
      <vt:variant>
        <vt:i4>5</vt:i4>
      </vt:variant>
      <vt:variant>
        <vt:lpwstr/>
      </vt:variant>
      <vt:variant>
        <vt:lpwstr>_Toc395686856</vt:lpwstr>
      </vt:variant>
      <vt:variant>
        <vt:i4>1769526</vt:i4>
      </vt:variant>
      <vt:variant>
        <vt:i4>104</vt:i4>
      </vt:variant>
      <vt:variant>
        <vt:i4>0</vt:i4>
      </vt:variant>
      <vt:variant>
        <vt:i4>5</vt:i4>
      </vt:variant>
      <vt:variant>
        <vt:lpwstr/>
      </vt:variant>
      <vt:variant>
        <vt:lpwstr>_Toc395686855</vt:lpwstr>
      </vt:variant>
      <vt:variant>
        <vt:i4>1769526</vt:i4>
      </vt:variant>
      <vt:variant>
        <vt:i4>98</vt:i4>
      </vt:variant>
      <vt:variant>
        <vt:i4>0</vt:i4>
      </vt:variant>
      <vt:variant>
        <vt:i4>5</vt:i4>
      </vt:variant>
      <vt:variant>
        <vt:lpwstr/>
      </vt:variant>
      <vt:variant>
        <vt:lpwstr>_Toc395686854</vt:lpwstr>
      </vt:variant>
      <vt:variant>
        <vt:i4>1769526</vt:i4>
      </vt:variant>
      <vt:variant>
        <vt:i4>92</vt:i4>
      </vt:variant>
      <vt:variant>
        <vt:i4>0</vt:i4>
      </vt:variant>
      <vt:variant>
        <vt:i4>5</vt:i4>
      </vt:variant>
      <vt:variant>
        <vt:lpwstr/>
      </vt:variant>
      <vt:variant>
        <vt:lpwstr>_Toc395686853</vt:lpwstr>
      </vt:variant>
      <vt:variant>
        <vt:i4>1769526</vt:i4>
      </vt:variant>
      <vt:variant>
        <vt:i4>86</vt:i4>
      </vt:variant>
      <vt:variant>
        <vt:i4>0</vt:i4>
      </vt:variant>
      <vt:variant>
        <vt:i4>5</vt:i4>
      </vt:variant>
      <vt:variant>
        <vt:lpwstr/>
      </vt:variant>
      <vt:variant>
        <vt:lpwstr>_Toc395686852</vt:lpwstr>
      </vt:variant>
      <vt:variant>
        <vt:i4>1769526</vt:i4>
      </vt:variant>
      <vt:variant>
        <vt:i4>80</vt:i4>
      </vt:variant>
      <vt:variant>
        <vt:i4>0</vt:i4>
      </vt:variant>
      <vt:variant>
        <vt:i4>5</vt:i4>
      </vt:variant>
      <vt:variant>
        <vt:lpwstr/>
      </vt:variant>
      <vt:variant>
        <vt:lpwstr>_Toc395686851</vt:lpwstr>
      </vt:variant>
      <vt:variant>
        <vt:i4>1769526</vt:i4>
      </vt:variant>
      <vt:variant>
        <vt:i4>74</vt:i4>
      </vt:variant>
      <vt:variant>
        <vt:i4>0</vt:i4>
      </vt:variant>
      <vt:variant>
        <vt:i4>5</vt:i4>
      </vt:variant>
      <vt:variant>
        <vt:lpwstr/>
      </vt:variant>
      <vt:variant>
        <vt:lpwstr>_Toc395686850</vt:lpwstr>
      </vt:variant>
      <vt:variant>
        <vt:i4>1703990</vt:i4>
      </vt:variant>
      <vt:variant>
        <vt:i4>68</vt:i4>
      </vt:variant>
      <vt:variant>
        <vt:i4>0</vt:i4>
      </vt:variant>
      <vt:variant>
        <vt:i4>5</vt:i4>
      </vt:variant>
      <vt:variant>
        <vt:lpwstr/>
      </vt:variant>
      <vt:variant>
        <vt:lpwstr>_Toc395686849</vt:lpwstr>
      </vt:variant>
      <vt:variant>
        <vt:i4>1703990</vt:i4>
      </vt:variant>
      <vt:variant>
        <vt:i4>62</vt:i4>
      </vt:variant>
      <vt:variant>
        <vt:i4>0</vt:i4>
      </vt:variant>
      <vt:variant>
        <vt:i4>5</vt:i4>
      </vt:variant>
      <vt:variant>
        <vt:lpwstr/>
      </vt:variant>
      <vt:variant>
        <vt:lpwstr>_Toc395686848</vt:lpwstr>
      </vt:variant>
      <vt:variant>
        <vt:i4>1703990</vt:i4>
      </vt:variant>
      <vt:variant>
        <vt:i4>56</vt:i4>
      </vt:variant>
      <vt:variant>
        <vt:i4>0</vt:i4>
      </vt:variant>
      <vt:variant>
        <vt:i4>5</vt:i4>
      </vt:variant>
      <vt:variant>
        <vt:lpwstr/>
      </vt:variant>
      <vt:variant>
        <vt:lpwstr>_Toc395686847</vt:lpwstr>
      </vt:variant>
      <vt:variant>
        <vt:i4>1703990</vt:i4>
      </vt:variant>
      <vt:variant>
        <vt:i4>50</vt:i4>
      </vt:variant>
      <vt:variant>
        <vt:i4>0</vt:i4>
      </vt:variant>
      <vt:variant>
        <vt:i4>5</vt:i4>
      </vt:variant>
      <vt:variant>
        <vt:lpwstr/>
      </vt:variant>
      <vt:variant>
        <vt:lpwstr>_Toc395686846</vt:lpwstr>
      </vt:variant>
      <vt:variant>
        <vt:i4>1703990</vt:i4>
      </vt:variant>
      <vt:variant>
        <vt:i4>44</vt:i4>
      </vt:variant>
      <vt:variant>
        <vt:i4>0</vt:i4>
      </vt:variant>
      <vt:variant>
        <vt:i4>5</vt:i4>
      </vt:variant>
      <vt:variant>
        <vt:lpwstr/>
      </vt:variant>
      <vt:variant>
        <vt:lpwstr>_Toc395686845</vt:lpwstr>
      </vt:variant>
      <vt:variant>
        <vt:i4>1703990</vt:i4>
      </vt:variant>
      <vt:variant>
        <vt:i4>38</vt:i4>
      </vt:variant>
      <vt:variant>
        <vt:i4>0</vt:i4>
      </vt:variant>
      <vt:variant>
        <vt:i4>5</vt:i4>
      </vt:variant>
      <vt:variant>
        <vt:lpwstr/>
      </vt:variant>
      <vt:variant>
        <vt:lpwstr>_Toc395686844</vt:lpwstr>
      </vt:variant>
      <vt:variant>
        <vt:i4>1703990</vt:i4>
      </vt:variant>
      <vt:variant>
        <vt:i4>32</vt:i4>
      </vt:variant>
      <vt:variant>
        <vt:i4>0</vt:i4>
      </vt:variant>
      <vt:variant>
        <vt:i4>5</vt:i4>
      </vt:variant>
      <vt:variant>
        <vt:lpwstr/>
      </vt:variant>
      <vt:variant>
        <vt:lpwstr>_Toc395686843</vt:lpwstr>
      </vt:variant>
      <vt:variant>
        <vt:i4>1703990</vt:i4>
      </vt:variant>
      <vt:variant>
        <vt:i4>26</vt:i4>
      </vt:variant>
      <vt:variant>
        <vt:i4>0</vt:i4>
      </vt:variant>
      <vt:variant>
        <vt:i4>5</vt:i4>
      </vt:variant>
      <vt:variant>
        <vt:lpwstr/>
      </vt:variant>
      <vt:variant>
        <vt:lpwstr>_Toc395686842</vt:lpwstr>
      </vt:variant>
      <vt:variant>
        <vt:i4>1703990</vt:i4>
      </vt:variant>
      <vt:variant>
        <vt:i4>20</vt:i4>
      </vt:variant>
      <vt:variant>
        <vt:i4>0</vt:i4>
      </vt:variant>
      <vt:variant>
        <vt:i4>5</vt:i4>
      </vt:variant>
      <vt:variant>
        <vt:lpwstr/>
      </vt:variant>
      <vt:variant>
        <vt:lpwstr>_Toc395686841</vt:lpwstr>
      </vt:variant>
      <vt:variant>
        <vt:i4>1703990</vt:i4>
      </vt:variant>
      <vt:variant>
        <vt:i4>14</vt:i4>
      </vt:variant>
      <vt:variant>
        <vt:i4>0</vt:i4>
      </vt:variant>
      <vt:variant>
        <vt:i4>5</vt:i4>
      </vt:variant>
      <vt:variant>
        <vt:lpwstr/>
      </vt:variant>
      <vt:variant>
        <vt:lpwstr>_Toc395686840</vt:lpwstr>
      </vt:variant>
      <vt:variant>
        <vt:i4>1900598</vt:i4>
      </vt:variant>
      <vt:variant>
        <vt:i4>8</vt:i4>
      </vt:variant>
      <vt:variant>
        <vt:i4>0</vt:i4>
      </vt:variant>
      <vt:variant>
        <vt:i4>5</vt:i4>
      </vt:variant>
      <vt:variant>
        <vt:lpwstr/>
      </vt:variant>
      <vt:variant>
        <vt:lpwstr>_Toc395686839</vt:lpwstr>
      </vt:variant>
      <vt:variant>
        <vt:i4>1900598</vt:i4>
      </vt:variant>
      <vt:variant>
        <vt:i4>2</vt:i4>
      </vt:variant>
      <vt:variant>
        <vt:i4>0</vt:i4>
      </vt:variant>
      <vt:variant>
        <vt:i4>5</vt:i4>
      </vt:variant>
      <vt:variant>
        <vt:lpwstr/>
      </vt:variant>
      <vt:variant>
        <vt:lpwstr>_Toc395686838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final</dc:title>
  <dc:creator>D801319</dc:creator>
  <cp:lastModifiedBy>Aranaz, Carlota</cp:lastModifiedBy>
  <cp:revision>2</cp:revision>
  <cp:lastPrinted>2016-11-21T08:02:00Z</cp:lastPrinted>
  <dcterms:created xsi:type="dcterms:W3CDTF">2016-12-05T17:34:00Z</dcterms:created>
  <dcterms:modified xsi:type="dcterms:W3CDTF">2016-12-05T17:34:00Z</dcterms:modified>
</cp:coreProperties>
</file>