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4C60A6" w:rsidRDefault="00FA495F" w:rsidP="00425DD2">
      <w:pPr>
        <w:pStyle w:val="EstiloPortada"/>
        <w:ind w:left="3828" w:right="-58"/>
        <w:rPr>
          <w:sz w:val="36"/>
          <w:szCs w:val="36"/>
        </w:rPr>
      </w:pPr>
      <w:r w:rsidRPr="004C60A6">
        <w:rPr>
          <w:rFonts w:ascii="GillSans" w:hAnsi="GillSans"/>
          <w:noProof/>
          <w:color w:val="808080"/>
          <w:sz w:val="36"/>
          <w:szCs w:val="36"/>
          <w:lang w:val="es-ES" w:eastAsia="es-ES"/>
        </w:rPr>
        <mc:AlternateContent>
          <mc:Choice Requires="wps">
            <w:drawing>
              <wp:anchor distT="0" distB="0" distL="114300" distR="114300" simplePos="0" relativeHeight="251657728" behindDoc="0" locked="0" layoutInCell="1" allowOverlap="1" wp14:anchorId="1297F905" wp14:editId="6B38E0C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E68A0" w:rsidRPr="002C7026" w:rsidRDefault="008E68A0" w:rsidP="002C7026">
                            <w:pPr>
                              <w:spacing w:after="0"/>
                              <w:ind w:firstLine="0"/>
                              <w:jc w:val="center"/>
                              <w:rPr>
                                <w:rFonts w:ascii="Trajan" w:hAnsi="Trajan"/>
                                <w:sz w:val="18"/>
                                <w:szCs w:val="18"/>
                                <w:lang w:val="es-ES"/>
                              </w:rPr>
                            </w:pPr>
                            <w:r w:rsidRPr="002C7026">
                              <w:rPr>
                                <w:rFonts w:ascii="Trajan" w:hAnsi="Trajan"/>
                                <w:sz w:val="18"/>
                                <w:szCs w:val="18"/>
                                <w:lang w:val="es-ES"/>
                              </w:rPr>
                              <w:t>Camara de</w:t>
                            </w:r>
                          </w:p>
                          <w:p w:rsidR="008E68A0" w:rsidRPr="002C7026" w:rsidRDefault="008E68A0"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8E68A0" w:rsidRPr="002C7026" w:rsidRDefault="008E68A0"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8E68A0" w:rsidRPr="002C7026" w:rsidRDefault="008E68A0"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8E68A0" w:rsidRPr="002C7026" w:rsidRDefault="008E68A0"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8E68A0" w:rsidRPr="002C7026" w:rsidRDefault="008E68A0"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E68A0" w:rsidRPr="002C7026" w:rsidRDefault="008E68A0" w:rsidP="002C7026">
                      <w:pPr>
                        <w:spacing w:after="0"/>
                        <w:ind w:firstLine="0"/>
                        <w:jc w:val="center"/>
                        <w:rPr>
                          <w:rFonts w:ascii="Trajan" w:hAnsi="Trajan"/>
                          <w:sz w:val="18"/>
                          <w:szCs w:val="18"/>
                          <w:lang w:val="es-ES"/>
                        </w:rPr>
                      </w:pPr>
                      <w:r w:rsidRPr="002C7026">
                        <w:rPr>
                          <w:rFonts w:ascii="Trajan" w:hAnsi="Trajan"/>
                          <w:sz w:val="18"/>
                          <w:szCs w:val="18"/>
                          <w:lang w:val="es-ES"/>
                        </w:rPr>
                        <w:t>Camara de</w:t>
                      </w:r>
                    </w:p>
                    <w:p w:rsidR="008E68A0" w:rsidRPr="002C7026" w:rsidRDefault="008E68A0"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8E68A0" w:rsidRPr="002C7026" w:rsidRDefault="008E68A0"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8E68A0" w:rsidRPr="002C7026" w:rsidRDefault="008E68A0"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8E68A0" w:rsidRPr="002C7026" w:rsidRDefault="008E68A0"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8E68A0" w:rsidRPr="002C7026" w:rsidRDefault="008E68A0"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v:textbox>
              </v:shape>
            </w:pict>
          </mc:Fallback>
        </mc:AlternateContent>
      </w:r>
    </w:p>
    <w:p w:rsidR="00716463" w:rsidRDefault="00D82D6C" w:rsidP="00425DD2">
      <w:pPr>
        <w:pStyle w:val="EstiloPortada"/>
        <w:ind w:left="3828" w:right="-58"/>
      </w:pPr>
      <w:r>
        <w:t xml:space="preserve">Residencia </w:t>
      </w:r>
      <w:r w:rsidR="002667D0">
        <w:t>J</w:t>
      </w:r>
      <w:r>
        <w:t>uv</w:t>
      </w:r>
      <w:r w:rsidR="009B2AAC" w:rsidRPr="001D4F09">
        <w:t>e</w:t>
      </w:r>
      <w:r>
        <w:t>nil Fuerte del Prínc</w:t>
      </w:r>
      <w:r w:rsidR="00425DD2">
        <w:t>i</w:t>
      </w:r>
      <w:r>
        <w:t>pe</w:t>
      </w:r>
    </w:p>
    <w:p w:rsidR="00D82D6C" w:rsidRPr="00D82D6C" w:rsidRDefault="00D82D6C" w:rsidP="00D82D6C">
      <w:pPr>
        <w:pStyle w:val="texto0"/>
        <w:rPr>
          <w:sz w:val="38"/>
          <w:szCs w:val="38"/>
        </w:rPr>
      </w:pPr>
    </w:p>
    <w:p w:rsidR="00D82D6C" w:rsidRPr="00D82D6C" w:rsidRDefault="00D82D6C" w:rsidP="00D82D6C">
      <w:pPr>
        <w:pStyle w:val="texto0"/>
        <w:rPr>
          <w:sz w:val="38"/>
          <w:szCs w:val="38"/>
        </w:rPr>
      </w:pPr>
    </w:p>
    <w:p w:rsidR="00D82D6C" w:rsidRP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Pr="00D82D6C" w:rsidRDefault="00D82D6C" w:rsidP="00D82D6C">
      <w:pPr>
        <w:pStyle w:val="texto0"/>
        <w:rPr>
          <w:sz w:val="38"/>
          <w:szCs w:val="38"/>
        </w:rPr>
      </w:pPr>
    </w:p>
    <w:p w:rsidR="00D82D6C" w:rsidRPr="00D82D6C" w:rsidRDefault="00D82D6C" w:rsidP="00D82D6C">
      <w:pPr>
        <w:pStyle w:val="texto0"/>
        <w:jc w:val="right"/>
        <w:rPr>
          <w:i/>
          <w:sz w:val="28"/>
          <w:szCs w:val="28"/>
        </w:rPr>
      </w:pPr>
      <w:r>
        <w:rPr>
          <w:i/>
          <w:sz w:val="28"/>
          <w:szCs w:val="28"/>
        </w:rPr>
        <w:t>Febr</w:t>
      </w:r>
      <w:r w:rsidRPr="00D82D6C">
        <w:rPr>
          <w:i/>
          <w:sz w:val="28"/>
          <w:szCs w:val="28"/>
        </w:rPr>
        <w:t>ero</w:t>
      </w:r>
      <w:r>
        <w:rPr>
          <w:i/>
          <w:sz w:val="28"/>
          <w:szCs w:val="28"/>
        </w:rPr>
        <w:t xml:space="preserve"> de 2017</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D82D6C" w:rsidRDefault="00D82D6C" w:rsidP="00D82D6C">
      <w:pPr>
        <w:pStyle w:val="ndice"/>
      </w:pPr>
      <w:r w:rsidRPr="00891D73">
        <w:lastRenderedPageBreak/>
        <w:t>Índice</w:t>
      </w:r>
    </w:p>
    <w:p w:rsidR="00D82D6C" w:rsidRPr="004740FB" w:rsidRDefault="00D82D6C" w:rsidP="00D82D6C">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8C33C2"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75449741" w:history="1">
        <w:r w:rsidR="008C33C2" w:rsidRPr="004B47BA">
          <w:rPr>
            <w:rStyle w:val="Hipervnculo"/>
            <w:noProof/>
          </w:rPr>
          <w:t>I. Introducción</w:t>
        </w:r>
        <w:r w:rsidR="008C33C2">
          <w:rPr>
            <w:noProof/>
            <w:webHidden/>
          </w:rPr>
          <w:tab/>
        </w:r>
        <w:r w:rsidR="008C33C2">
          <w:rPr>
            <w:noProof/>
            <w:webHidden/>
          </w:rPr>
          <w:fldChar w:fldCharType="begin"/>
        </w:r>
        <w:r w:rsidR="008C33C2">
          <w:rPr>
            <w:noProof/>
            <w:webHidden/>
          </w:rPr>
          <w:instrText xml:space="preserve"> PAGEREF _Toc475449741 \h </w:instrText>
        </w:r>
        <w:r w:rsidR="008C33C2">
          <w:rPr>
            <w:noProof/>
            <w:webHidden/>
          </w:rPr>
        </w:r>
        <w:r w:rsidR="008C33C2">
          <w:rPr>
            <w:noProof/>
            <w:webHidden/>
          </w:rPr>
          <w:fldChar w:fldCharType="separate"/>
        </w:r>
        <w:r w:rsidR="00804B5E">
          <w:rPr>
            <w:noProof/>
            <w:webHidden/>
          </w:rPr>
          <w:t>3</w:t>
        </w:r>
        <w:r w:rsidR="008C33C2">
          <w:rPr>
            <w:noProof/>
            <w:webHidden/>
          </w:rPr>
          <w:fldChar w:fldCharType="end"/>
        </w:r>
      </w:hyperlink>
    </w:p>
    <w:p w:rsidR="008C33C2" w:rsidRDefault="00B919B2">
      <w:pPr>
        <w:pStyle w:val="TDC1"/>
        <w:rPr>
          <w:rFonts w:asciiTheme="minorHAnsi" w:eastAsiaTheme="minorEastAsia" w:hAnsiTheme="minorHAnsi" w:cstheme="minorBidi"/>
          <w:smallCaps w:val="0"/>
          <w:noProof/>
          <w:szCs w:val="22"/>
          <w:lang w:val="es-ES" w:eastAsia="es-ES"/>
        </w:rPr>
      </w:pPr>
      <w:hyperlink w:anchor="_Toc475449742" w:history="1">
        <w:r w:rsidR="008C33C2" w:rsidRPr="004B47BA">
          <w:rPr>
            <w:rStyle w:val="Hipervnculo"/>
            <w:noProof/>
          </w:rPr>
          <w:t>II. La Residencia Juvenil Fuerte del Príncipe</w:t>
        </w:r>
        <w:r w:rsidR="008C33C2">
          <w:rPr>
            <w:noProof/>
            <w:webHidden/>
          </w:rPr>
          <w:tab/>
        </w:r>
        <w:r w:rsidR="008C33C2">
          <w:rPr>
            <w:noProof/>
            <w:webHidden/>
          </w:rPr>
          <w:fldChar w:fldCharType="begin"/>
        </w:r>
        <w:r w:rsidR="008C33C2">
          <w:rPr>
            <w:noProof/>
            <w:webHidden/>
          </w:rPr>
          <w:instrText xml:space="preserve"> PAGEREF _Toc475449742 \h </w:instrText>
        </w:r>
        <w:r w:rsidR="008C33C2">
          <w:rPr>
            <w:noProof/>
            <w:webHidden/>
          </w:rPr>
        </w:r>
        <w:r w:rsidR="008C33C2">
          <w:rPr>
            <w:noProof/>
            <w:webHidden/>
          </w:rPr>
          <w:fldChar w:fldCharType="separate"/>
        </w:r>
        <w:r w:rsidR="00804B5E">
          <w:rPr>
            <w:noProof/>
            <w:webHidden/>
          </w:rPr>
          <w:t>5</w:t>
        </w:r>
        <w:r w:rsidR="008C33C2">
          <w:rPr>
            <w:noProof/>
            <w:webHidden/>
          </w:rPr>
          <w:fldChar w:fldCharType="end"/>
        </w:r>
      </w:hyperlink>
    </w:p>
    <w:p w:rsidR="008C33C2" w:rsidRDefault="00B919B2">
      <w:pPr>
        <w:pStyle w:val="TDC1"/>
        <w:rPr>
          <w:rFonts w:asciiTheme="minorHAnsi" w:eastAsiaTheme="minorEastAsia" w:hAnsiTheme="minorHAnsi" w:cstheme="minorBidi"/>
          <w:smallCaps w:val="0"/>
          <w:noProof/>
          <w:szCs w:val="22"/>
          <w:lang w:val="es-ES" w:eastAsia="es-ES"/>
        </w:rPr>
      </w:pPr>
      <w:hyperlink w:anchor="_Toc475449743" w:history="1">
        <w:r w:rsidR="008C33C2" w:rsidRPr="004B47BA">
          <w:rPr>
            <w:rStyle w:val="Hipervnculo"/>
            <w:noProof/>
          </w:rPr>
          <w:t>III. Objetivos, alcance y limitaciones</w:t>
        </w:r>
        <w:r w:rsidR="008C33C2">
          <w:rPr>
            <w:noProof/>
            <w:webHidden/>
          </w:rPr>
          <w:tab/>
        </w:r>
        <w:r w:rsidR="008C33C2">
          <w:rPr>
            <w:noProof/>
            <w:webHidden/>
          </w:rPr>
          <w:fldChar w:fldCharType="begin"/>
        </w:r>
        <w:r w:rsidR="008C33C2">
          <w:rPr>
            <w:noProof/>
            <w:webHidden/>
          </w:rPr>
          <w:instrText xml:space="preserve"> PAGEREF _Toc475449743 \h </w:instrText>
        </w:r>
        <w:r w:rsidR="008C33C2">
          <w:rPr>
            <w:noProof/>
            <w:webHidden/>
          </w:rPr>
        </w:r>
        <w:r w:rsidR="008C33C2">
          <w:rPr>
            <w:noProof/>
            <w:webHidden/>
          </w:rPr>
          <w:fldChar w:fldCharType="separate"/>
        </w:r>
        <w:r w:rsidR="00804B5E">
          <w:rPr>
            <w:noProof/>
            <w:webHidden/>
          </w:rPr>
          <w:t>10</w:t>
        </w:r>
        <w:r w:rsidR="008C33C2">
          <w:rPr>
            <w:noProof/>
            <w:webHidden/>
          </w:rPr>
          <w:fldChar w:fldCharType="end"/>
        </w:r>
      </w:hyperlink>
    </w:p>
    <w:p w:rsidR="008C33C2" w:rsidRDefault="00B919B2">
      <w:pPr>
        <w:pStyle w:val="TDC1"/>
        <w:rPr>
          <w:rFonts w:asciiTheme="minorHAnsi" w:eastAsiaTheme="minorEastAsia" w:hAnsiTheme="minorHAnsi" w:cstheme="minorBidi"/>
          <w:smallCaps w:val="0"/>
          <w:noProof/>
          <w:szCs w:val="22"/>
          <w:lang w:val="es-ES" w:eastAsia="es-ES"/>
        </w:rPr>
      </w:pPr>
      <w:hyperlink w:anchor="_Toc475449744" w:history="1">
        <w:r w:rsidR="008C33C2" w:rsidRPr="004B47BA">
          <w:rPr>
            <w:rStyle w:val="Hipervnculo"/>
            <w:noProof/>
          </w:rPr>
          <w:t>IV. Conclusiones y recomendaciones</w:t>
        </w:r>
        <w:r w:rsidR="008C33C2">
          <w:rPr>
            <w:noProof/>
            <w:webHidden/>
          </w:rPr>
          <w:tab/>
        </w:r>
        <w:r w:rsidR="008C33C2">
          <w:rPr>
            <w:noProof/>
            <w:webHidden/>
          </w:rPr>
          <w:fldChar w:fldCharType="begin"/>
        </w:r>
        <w:r w:rsidR="008C33C2">
          <w:rPr>
            <w:noProof/>
            <w:webHidden/>
          </w:rPr>
          <w:instrText xml:space="preserve"> PAGEREF _Toc475449744 \h </w:instrText>
        </w:r>
        <w:r w:rsidR="008C33C2">
          <w:rPr>
            <w:noProof/>
            <w:webHidden/>
          </w:rPr>
        </w:r>
        <w:r w:rsidR="008C33C2">
          <w:rPr>
            <w:noProof/>
            <w:webHidden/>
          </w:rPr>
          <w:fldChar w:fldCharType="separate"/>
        </w:r>
        <w:r w:rsidR="00804B5E">
          <w:rPr>
            <w:noProof/>
            <w:webHidden/>
          </w:rPr>
          <w:t>12</w:t>
        </w:r>
        <w:r w:rsidR="008C33C2">
          <w:rPr>
            <w:noProof/>
            <w:webHidden/>
          </w:rPr>
          <w:fldChar w:fldCharType="end"/>
        </w:r>
      </w:hyperlink>
    </w:p>
    <w:p w:rsidR="008C33C2" w:rsidRDefault="00B919B2">
      <w:pPr>
        <w:pStyle w:val="TDC2"/>
        <w:rPr>
          <w:rFonts w:asciiTheme="minorHAnsi" w:eastAsiaTheme="minorEastAsia" w:hAnsiTheme="minorHAnsi" w:cstheme="minorBidi"/>
          <w:noProof/>
          <w:szCs w:val="22"/>
          <w:lang w:val="es-ES" w:eastAsia="es-ES"/>
        </w:rPr>
      </w:pPr>
      <w:hyperlink w:anchor="_Toc475449745" w:history="1">
        <w:r w:rsidR="008C33C2" w:rsidRPr="004B47BA">
          <w:rPr>
            <w:rStyle w:val="Hipervnculo"/>
            <w:noProof/>
          </w:rPr>
          <w:t>IV.1. Cuantificación de gastos e ingresos de la residencia (2012-2015)</w:t>
        </w:r>
        <w:r w:rsidR="008C33C2">
          <w:rPr>
            <w:noProof/>
            <w:webHidden/>
          </w:rPr>
          <w:tab/>
        </w:r>
        <w:r w:rsidR="008C33C2">
          <w:rPr>
            <w:noProof/>
            <w:webHidden/>
          </w:rPr>
          <w:fldChar w:fldCharType="begin"/>
        </w:r>
        <w:r w:rsidR="008C33C2">
          <w:rPr>
            <w:noProof/>
            <w:webHidden/>
          </w:rPr>
          <w:instrText xml:space="preserve"> PAGEREF _Toc475449745 \h </w:instrText>
        </w:r>
        <w:r w:rsidR="008C33C2">
          <w:rPr>
            <w:noProof/>
            <w:webHidden/>
          </w:rPr>
        </w:r>
        <w:r w:rsidR="008C33C2">
          <w:rPr>
            <w:noProof/>
            <w:webHidden/>
          </w:rPr>
          <w:fldChar w:fldCharType="separate"/>
        </w:r>
        <w:r w:rsidR="00804B5E">
          <w:rPr>
            <w:noProof/>
            <w:webHidden/>
          </w:rPr>
          <w:t>12</w:t>
        </w:r>
        <w:r w:rsidR="008C33C2">
          <w:rPr>
            <w:noProof/>
            <w:webHidden/>
          </w:rPr>
          <w:fldChar w:fldCharType="end"/>
        </w:r>
      </w:hyperlink>
    </w:p>
    <w:p w:rsidR="008C33C2" w:rsidRDefault="00B919B2">
      <w:pPr>
        <w:pStyle w:val="TDC2"/>
        <w:rPr>
          <w:rFonts w:asciiTheme="minorHAnsi" w:eastAsiaTheme="minorEastAsia" w:hAnsiTheme="minorHAnsi" w:cstheme="minorBidi"/>
          <w:noProof/>
          <w:szCs w:val="22"/>
          <w:lang w:val="es-ES" w:eastAsia="es-ES"/>
        </w:rPr>
      </w:pPr>
      <w:hyperlink w:anchor="_Toc475449746" w:history="1">
        <w:r w:rsidR="008C33C2" w:rsidRPr="004B47BA">
          <w:rPr>
            <w:rStyle w:val="Hipervnculo"/>
            <w:noProof/>
          </w:rPr>
          <w:t>IV.2. Revisión procedimientos de registro de la actividad</w:t>
        </w:r>
        <w:r w:rsidR="008C33C2">
          <w:rPr>
            <w:noProof/>
            <w:webHidden/>
          </w:rPr>
          <w:tab/>
        </w:r>
        <w:r w:rsidR="008C33C2">
          <w:rPr>
            <w:noProof/>
            <w:webHidden/>
          </w:rPr>
          <w:fldChar w:fldCharType="begin"/>
        </w:r>
        <w:r w:rsidR="008C33C2">
          <w:rPr>
            <w:noProof/>
            <w:webHidden/>
          </w:rPr>
          <w:instrText xml:space="preserve"> PAGEREF _Toc475449746 \h </w:instrText>
        </w:r>
        <w:r w:rsidR="008C33C2">
          <w:rPr>
            <w:noProof/>
            <w:webHidden/>
          </w:rPr>
        </w:r>
        <w:r w:rsidR="008C33C2">
          <w:rPr>
            <w:noProof/>
            <w:webHidden/>
          </w:rPr>
          <w:fldChar w:fldCharType="separate"/>
        </w:r>
        <w:r w:rsidR="00804B5E">
          <w:rPr>
            <w:noProof/>
            <w:webHidden/>
          </w:rPr>
          <w:t>13</w:t>
        </w:r>
        <w:r w:rsidR="008C33C2">
          <w:rPr>
            <w:noProof/>
            <w:webHidden/>
          </w:rPr>
          <w:fldChar w:fldCharType="end"/>
        </w:r>
      </w:hyperlink>
    </w:p>
    <w:p w:rsidR="008C33C2" w:rsidRDefault="00B919B2">
      <w:pPr>
        <w:pStyle w:val="TDC2"/>
        <w:rPr>
          <w:rFonts w:asciiTheme="minorHAnsi" w:eastAsiaTheme="minorEastAsia" w:hAnsiTheme="minorHAnsi" w:cstheme="minorBidi"/>
          <w:noProof/>
          <w:szCs w:val="22"/>
          <w:lang w:val="es-ES" w:eastAsia="es-ES"/>
        </w:rPr>
      </w:pPr>
      <w:hyperlink w:anchor="_Toc475449747" w:history="1">
        <w:r w:rsidR="008C33C2" w:rsidRPr="004B47BA">
          <w:rPr>
            <w:rStyle w:val="Hipervnculo"/>
            <w:noProof/>
          </w:rPr>
          <w:t>IV.3. Opinión</w:t>
        </w:r>
        <w:r w:rsidR="008C33C2">
          <w:rPr>
            <w:noProof/>
            <w:webHidden/>
          </w:rPr>
          <w:tab/>
        </w:r>
        <w:r w:rsidR="008C33C2">
          <w:rPr>
            <w:noProof/>
            <w:webHidden/>
          </w:rPr>
          <w:fldChar w:fldCharType="begin"/>
        </w:r>
        <w:r w:rsidR="008C33C2">
          <w:rPr>
            <w:noProof/>
            <w:webHidden/>
          </w:rPr>
          <w:instrText xml:space="preserve"> PAGEREF _Toc475449747 \h </w:instrText>
        </w:r>
        <w:r w:rsidR="008C33C2">
          <w:rPr>
            <w:noProof/>
            <w:webHidden/>
          </w:rPr>
        </w:r>
        <w:r w:rsidR="008C33C2">
          <w:rPr>
            <w:noProof/>
            <w:webHidden/>
          </w:rPr>
          <w:fldChar w:fldCharType="separate"/>
        </w:r>
        <w:r w:rsidR="00804B5E">
          <w:rPr>
            <w:noProof/>
            <w:webHidden/>
          </w:rPr>
          <w:t>13</w:t>
        </w:r>
        <w:r w:rsidR="008C33C2">
          <w:rPr>
            <w:noProof/>
            <w:webHidden/>
          </w:rPr>
          <w:fldChar w:fldCharType="end"/>
        </w:r>
      </w:hyperlink>
    </w:p>
    <w:p w:rsidR="008C33C2" w:rsidRDefault="00B919B2">
      <w:pPr>
        <w:pStyle w:val="TDC2"/>
        <w:rPr>
          <w:rFonts w:asciiTheme="minorHAnsi" w:eastAsiaTheme="minorEastAsia" w:hAnsiTheme="minorHAnsi" w:cstheme="minorBidi"/>
          <w:noProof/>
          <w:szCs w:val="22"/>
          <w:lang w:val="es-ES" w:eastAsia="es-ES"/>
        </w:rPr>
      </w:pPr>
      <w:hyperlink w:anchor="_Toc475449748" w:history="1">
        <w:r w:rsidR="008C33C2" w:rsidRPr="004B47BA">
          <w:rPr>
            <w:rStyle w:val="Hipervnculo"/>
            <w:noProof/>
          </w:rPr>
          <w:t>IV.4. Otras observaciones que no afectan a la opinión</w:t>
        </w:r>
        <w:r w:rsidR="008C33C2">
          <w:rPr>
            <w:noProof/>
            <w:webHidden/>
          </w:rPr>
          <w:tab/>
        </w:r>
        <w:r w:rsidR="008C33C2">
          <w:rPr>
            <w:noProof/>
            <w:webHidden/>
          </w:rPr>
          <w:fldChar w:fldCharType="begin"/>
        </w:r>
        <w:r w:rsidR="008C33C2">
          <w:rPr>
            <w:noProof/>
            <w:webHidden/>
          </w:rPr>
          <w:instrText xml:space="preserve"> PAGEREF _Toc475449748 \h </w:instrText>
        </w:r>
        <w:r w:rsidR="008C33C2">
          <w:rPr>
            <w:noProof/>
            <w:webHidden/>
          </w:rPr>
        </w:r>
        <w:r w:rsidR="008C33C2">
          <w:rPr>
            <w:noProof/>
            <w:webHidden/>
          </w:rPr>
          <w:fldChar w:fldCharType="separate"/>
        </w:r>
        <w:r w:rsidR="00804B5E">
          <w:rPr>
            <w:noProof/>
            <w:webHidden/>
          </w:rPr>
          <w:t>15</w:t>
        </w:r>
        <w:r w:rsidR="008C33C2">
          <w:rPr>
            <w:noProof/>
            <w:webHidden/>
          </w:rPr>
          <w:fldChar w:fldCharType="end"/>
        </w:r>
      </w:hyperlink>
    </w:p>
    <w:p w:rsidR="008C33C2" w:rsidRDefault="00B919B2">
      <w:pPr>
        <w:pStyle w:val="TDC2"/>
        <w:rPr>
          <w:rFonts w:asciiTheme="minorHAnsi" w:eastAsiaTheme="minorEastAsia" w:hAnsiTheme="minorHAnsi" w:cstheme="minorBidi"/>
          <w:noProof/>
          <w:szCs w:val="22"/>
          <w:lang w:val="es-ES" w:eastAsia="es-ES"/>
        </w:rPr>
      </w:pPr>
      <w:hyperlink w:anchor="_Toc475449749" w:history="1">
        <w:r w:rsidR="008C33C2" w:rsidRPr="004B47BA">
          <w:rPr>
            <w:rStyle w:val="Hipervnculo"/>
            <w:noProof/>
          </w:rPr>
          <w:t>IV.5. Recomendaciones</w:t>
        </w:r>
        <w:r w:rsidR="008C33C2">
          <w:rPr>
            <w:noProof/>
            <w:webHidden/>
          </w:rPr>
          <w:tab/>
        </w:r>
        <w:r w:rsidR="008C33C2">
          <w:rPr>
            <w:noProof/>
            <w:webHidden/>
          </w:rPr>
          <w:fldChar w:fldCharType="begin"/>
        </w:r>
        <w:r w:rsidR="008C33C2">
          <w:rPr>
            <w:noProof/>
            <w:webHidden/>
          </w:rPr>
          <w:instrText xml:space="preserve"> PAGEREF _Toc475449749 \h </w:instrText>
        </w:r>
        <w:r w:rsidR="008C33C2">
          <w:rPr>
            <w:noProof/>
            <w:webHidden/>
          </w:rPr>
        </w:r>
        <w:r w:rsidR="008C33C2">
          <w:rPr>
            <w:noProof/>
            <w:webHidden/>
          </w:rPr>
          <w:fldChar w:fldCharType="separate"/>
        </w:r>
        <w:r w:rsidR="00804B5E">
          <w:rPr>
            <w:noProof/>
            <w:webHidden/>
          </w:rPr>
          <w:t>15</w:t>
        </w:r>
        <w:r w:rsidR="008C33C2">
          <w:rPr>
            <w:noProof/>
            <w:webHidden/>
          </w:rPr>
          <w:fldChar w:fldCharType="end"/>
        </w:r>
      </w:hyperlink>
    </w:p>
    <w:p w:rsidR="008C33C2" w:rsidRDefault="008C33C2">
      <w:pPr>
        <w:pStyle w:val="TDC1"/>
        <w:rPr>
          <w:rStyle w:val="Hipervnculo"/>
          <w:noProof/>
        </w:rPr>
      </w:pPr>
    </w:p>
    <w:p w:rsidR="008C33C2" w:rsidRDefault="00B919B2">
      <w:pPr>
        <w:pStyle w:val="TDC1"/>
        <w:rPr>
          <w:rFonts w:asciiTheme="minorHAnsi" w:eastAsiaTheme="minorEastAsia" w:hAnsiTheme="minorHAnsi" w:cstheme="minorBidi"/>
          <w:smallCaps w:val="0"/>
          <w:noProof/>
          <w:szCs w:val="22"/>
          <w:lang w:val="es-ES" w:eastAsia="es-ES"/>
        </w:rPr>
      </w:pPr>
      <w:hyperlink w:anchor="_Toc475449750" w:history="1">
        <w:r w:rsidR="008C33C2" w:rsidRPr="004B47BA">
          <w:rPr>
            <w:rStyle w:val="Hipervnculo"/>
            <w:bCs/>
            <w:noProof/>
          </w:rPr>
          <w:t>Alegaciones formuladas al informe provisional</w:t>
        </w:r>
        <w:r w:rsidR="008C33C2">
          <w:rPr>
            <w:noProof/>
            <w:webHidden/>
          </w:rPr>
          <w:tab/>
        </w:r>
        <w:r w:rsidR="008C33C2">
          <w:rPr>
            <w:noProof/>
            <w:webHidden/>
          </w:rPr>
          <w:fldChar w:fldCharType="begin"/>
        </w:r>
        <w:r w:rsidR="008C33C2">
          <w:rPr>
            <w:noProof/>
            <w:webHidden/>
          </w:rPr>
          <w:instrText xml:space="preserve"> PAGEREF _Toc475449750 \h </w:instrText>
        </w:r>
        <w:r w:rsidR="008C33C2">
          <w:rPr>
            <w:noProof/>
            <w:webHidden/>
          </w:rPr>
        </w:r>
        <w:r w:rsidR="008C33C2">
          <w:rPr>
            <w:noProof/>
            <w:webHidden/>
          </w:rPr>
          <w:fldChar w:fldCharType="separate"/>
        </w:r>
        <w:r w:rsidR="00804B5E">
          <w:rPr>
            <w:noProof/>
            <w:webHidden/>
          </w:rPr>
          <w:t>17</w:t>
        </w:r>
        <w:r w:rsidR="008C33C2">
          <w:rPr>
            <w:noProof/>
            <w:webHidden/>
          </w:rPr>
          <w:fldChar w:fldCharType="end"/>
        </w:r>
      </w:hyperlink>
    </w:p>
    <w:p w:rsidR="008C33C2" w:rsidRDefault="00B919B2">
      <w:pPr>
        <w:pStyle w:val="TDC1"/>
        <w:rPr>
          <w:rFonts w:asciiTheme="minorHAnsi" w:eastAsiaTheme="minorEastAsia" w:hAnsiTheme="minorHAnsi" w:cstheme="minorBidi"/>
          <w:smallCaps w:val="0"/>
          <w:noProof/>
          <w:szCs w:val="22"/>
          <w:lang w:val="es-ES" w:eastAsia="es-ES"/>
        </w:rPr>
      </w:pPr>
      <w:hyperlink w:anchor="_Toc475449751" w:history="1">
        <w:r w:rsidR="008C33C2" w:rsidRPr="004B47BA">
          <w:rPr>
            <w:rStyle w:val="Hipervnculo"/>
            <w:noProof/>
          </w:rPr>
          <w:t>Contestación de la Cámara de Comptos a las alegaciones presentadas al informe provisional</w:t>
        </w:r>
      </w:hyperlink>
    </w:p>
    <w:p w:rsidR="00891D73" w:rsidRDefault="0014728F" w:rsidP="00A528FE">
      <w:pPr>
        <w:pStyle w:val="texto0"/>
      </w:pPr>
      <w:r>
        <w:fldChar w:fldCharType="end"/>
      </w:r>
    </w:p>
    <w:p w:rsidR="00891D73" w:rsidRDefault="00891D73" w:rsidP="00891D73">
      <w:pPr>
        <w:pStyle w:val="texto0"/>
      </w:pPr>
    </w:p>
    <w:p w:rsidR="00891D73" w:rsidRPr="00E703B6" w:rsidRDefault="00891D73" w:rsidP="00E703B6"/>
    <w:p w:rsidR="008E3FFE" w:rsidRDefault="008E3FFE" w:rsidP="00891D73">
      <w:pPr>
        <w:pStyle w:val="texto0"/>
        <w:sectPr w:rsidR="008E3FFE" w:rsidSect="00CA62FA">
          <w:type w:val="oddPage"/>
          <w:pgSz w:w="11907" w:h="16840" w:code="9"/>
          <w:pgMar w:top="2109" w:right="1559" w:bottom="1644" w:left="1559" w:header="369" w:footer="403" w:gutter="0"/>
          <w:pgNumType w:start="3"/>
          <w:cols w:space="720"/>
          <w:docGrid w:linePitch="360"/>
        </w:sectPr>
      </w:pPr>
    </w:p>
    <w:p w:rsidR="00066D24" w:rsidRPr="00066D24" w:rsidRDefault="00066D24" w:rsidP="00066D24">
      <w:pPr>
        <w:pStyle w:val="atitulo1"/>
      </w:pPr>
      <w:bookmarkStart w:id="0" w:name="_Toc291067874"/>
      <w:bookmarkStart w:id="1" w:name="_Toc121293081"/>
      <w:bookmarkStart w:id="2" w:name="_Toc121292758"/>
      <w:bookmarkStart w:id="3" w:name="_Toc432757078"/>
      <w:bookmarkStart w:id="4" w:name="_Toc447195010"/>
      <w:bookmarkStart w:id="5" w:name="_Toc473543359"/>
      <w:bookmarkStart w:id="6" w:name="_Toc475449741"/>
      <w:r w:rsidRPr="00066D24">
        <w:lastRenderedPageBreak/>
        <w:t>I. Introducción</w:t>
      </w:r>
      <w:bookmarkEnd w:id="0"/>
      <w:bookmarkEnd w:id="1"/>
      <w:bookmarkEnd w:id="2"/>
      <w:bookmarkEnd w:id="3"/>
      <w:bookmarkEnd w:id="4"/>
      <w:bookmarkEnd w:id="5"/>
      <w:bookmarkEnd w:id="6"/>
    </w:p>
    <w:p w:rsidR="00066D24" w:rsidRPr="00066D24" w:rsidRDefault="00066D24" w:rsidP="00066D24">
      <w:pPr>
        <w:pStyle w:val="texto0"/>
      </w:pPr>
      <w:r w:rsidRPr="00066D24">
        <w:t>El 12 de noviembre de 2015 se registró en la Cámara de Comptos una pet</w:t>
      </w:r>
      <w:r w:rsidRPr="00066D24">
        <w:t>i</w:t>
      </w:r>
      <w:r w:rsidRPr="00066D24">
        <w:t xml:space="preserve">ción parlamentaria a instancias del grupo parlamentario Podemos-Ahal Dugu  para realizar un informe de fiscalización sobre la gestión técnica y económica de la Residencia </w:t>
      </w:r>
      <w:r w:rsidR="002667D0">
        <w:t>J</w:t>
      </w:r>
      <w:r w:rsidRPr="00066D24">
        <w:t xml:space="preserve">uvenil Fuerte del Príncipe (en adelante residencia). </w:t>
      </w:r>
    </w:p>
    <w:p w:rsidR="00066D24" w:rsidRPr="00066D24" w:rsidRDefault="00066D24" w:rsidP="00066D24">
      <w:pPr>
        <w:pStyle w:val="texto0"/>
      </w:pPr>
      <w:r w:rsidRPr="00066D24">
        <w:t xml:space="preserve">Este trabajo se incorporó </w:t>
      </w:r>
      <w:r w:rsidR="00953932">
        <w:t>a</w:t>
      </w:r>
      <w:r w:rsidRPr="00066D24">
        <w:t xml:space="preserve">l programa anual de fiscalización que la Cámara de Comptos aprobó para el año 2016 y </w:t>
      </w:r>
      <w:r w:rsidR="00953932">
        <w:t>lo ha</w:t>
      </w:r>
      <w:r w:rsidRPr="00066D24">
        <w:t xml:space="preserve"> realizado un equipo integrado por dos técnicos de auditoría y una auditora, con la colaboración de los servicios jurídicos, informáticos y administrativos de la Cámara de Comptos, entre el mes de noviembre de 2016 y enero de 2017.</w:t>
      </w:r>
    </w:p>
    <w:p w:rsidR="00A75863" w:rsidRDefault="00A75863" w:rsidP="00066D24">
      <w:pPr>
        <w:pStyle w:val="texto0"/>
      </w:pPr>
      <w:r>
        <w:t>La residencia es un centro adscrito al Instituto Navarro de Deporte y Juve</w:t>
      </w:r>
      <w:r>
        <w:t>n</w:t>
      </w:r>
      <w:r>
        <w:t xml:space="preserve">tud (en adelante instituto) y no tiene contabilidad independiente, por lo que sus gastos e ingresos están registrados en algunas de las partidas presupuestarias del citado instituto. </w:t>
      </w:r>
    </w:p>
    <w:p w:rsidR="00066D24" w:rsidRPr="00066D24" w:rsidRDefault="00066D24" w:rsidP="00066D24">
      <w:pPr>
        <w:pStyle w:val="texto0"/>
      </w:pPr>
      <w:r w:rsidRPr="00066D24">
        <w:t xml:space="preserve">El informe se estructura en cuatro epígrafes incluida esta introducción; en el segundo se realiza una descripción general de la residencia; el tercero contiene los objetivos, alcance y limitaciones del trabajo, y el cuarto, describe nuestras conclusiones y recomendaciones. </w:t>
      </w:r>
    </w:p>
    <w:p w:rsidR="00066D24" w:rsidRDefault="00066D24" w:rsidP="00381662">
      <w:pPr>
        <w:pStyle w:val="texto0"/>
        <w:spacing w:after="240"/>
      </w:pPr>
      <w:r w:rsidRPr="00066D24">
        <w:t xml:space="preserve">Agradecemos al personal de la residencia y del </w:t>
      </w:r>
      <w:r w:rsidR="00A75863">
        <w:t>instituto</w:t>
      </w:r>
      <w:r w:rsidRPr="00066D24">
        <w:t xml:space="preserve"> la colaboración prestada en la realización del presente trabajo.</w:t>
      </w:r>
    </w:p>
    <w:p w:rsidR="00381662" w:rsidRPr="00066D24" w:rsidRDefault="00381662" w:rsidP="00381662">
      <w:pPr>
        <w:pStyle w:val="texto0"/>
        <w:ind w:firstLine="0"/>
      </w:pPr>
      <w:r>
        <w:rPr>
          <w:rFonts w:ascii="Arial" w:hAnsi="Arial" w:cs="Arial"/>
          <w:noProof/>
          <w:lang w:val="es-ES" w:eastAsia="es-ES"/>
        </w:rPr>
        <w:drawing>
          <wp:inline distT="0" distB="0" distL="0" distR="0" wp14:anchorId="742D9E95" wp14:editId="22AB881A">
            <wp:extent cx="5581015" cy="3587795"/>
            <wp:effectExtent l="0" t="0" r="635" b="0"/>
            <wp:docPr id="6" name="Imagen 6" descr="Resultado de imagen de residencia juvenil fuerte del prín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residencia juvenil fuerte del prínci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015" cy="3587795"/>
                    </a:xfrm>
                    <a:prstGeom prst="rect">
                      <a:avLst/>
                    </a:prstGeom>
                    <a:noFill/>
                    <a:ln>
                      <a:noFill/>
                    </a:ln>
                  </pic:spPr>
                </pic:pic>
              </a:graphicData>
            </a:graphic>
          </wp:inline>
        </w:drawing>
      </w:r>
    </w:p>
    <w:p w:rsidR="00FA4193" w:rsidRPr="008E68A0" w:rsidRDefault="00FA4193" w:rsidP="00FA4193">
      <w:pPr>
        <w:pStyle w:val="texto0"/>
        <w:rPr>
          <w:lang w:val="es-ES"/>
        </w:rPr>
      </w:pPr>
      <w:bookmarkStart w:id="7" w:name="_Toc121292759"/>
      <w:bookmarkStart w:id="8" w:name="_Toc121293082"/>
      <w:bookmarkStart w:id="9" w:name="_Toc291067875"/>
      <w:bookmarkStart w:id="10" w:name="_Toc432757079"/>
      <w:bookmarkStart w:id="11" w:name="_Toc447195011"/>
      <w:bookmarkStart w:id="12" w:name="_Toc473543360"/>
      <w:r w:rsidRPr="008E68A0">
        <w:rPr>
          <w:lang w:val="es-ES"/>
        </w:rPr>
        <w:t>De conformidad con lo previsto en el artículo 11 de la Ley Foral 19/1984, reguladora de la Cámara de Comptos de Navarra, los resultados de este trabajo se pusieron de manifiesto, con el fin de que formularan alegaciones, a las pe</w:t>
      </w:r>
      <w:r w:rsidRPr="008E68A0">
        <w:rPr>
          <w:lang w:val="es-ES"/>
        </w:rPr>
        <w:t>r</w:t>
      </w:r>
      <w:r w:rsidRPr="008E68A0">
        <w:rPr>
          <w:lang w:val="es-ES"/>
        </w:rPr>
        <w:t>sonas que ocupaban los siguientes cargos:</w:t>
      </w:r>
    </w:p>
    <w:p w:rsidR="00FA4193" w:rsidRPr="008E68A0" w:rsidRDefault="00FA4193" w:rsidP="00FA4193">
      <w:pPr>
        <w:pStyle w:val="texto0"/>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8E68A0">
        <w:rPr>
          <w:szCs w:val="26"/>
        </w:rPr>
        <w:t xml:space="preserve">Exdirector gerente del </w:t>
      </w:r>
      <w:r w:rsidR="008E68A0" w:rsidRPr="008E68A0">
        <w:rPr>
          <w:szCs w:val="26"/>
        </w:rPr>
        <w:t>instituto</w:t>
      </w:r>
      <w:r w:rsidRPr="008E68A0">
        <w:rPr>
          <w:szCs w:val="26"/>
        </w:rPr>
        <w:t>.</w:t>
      </w:r>
    </w:p>
    <w:p w:rsidR="00FA4193" w:rsidRPr="008E68A0" w:rsidRDefault="00FA4193" w:rsidP="00FA4193">
      <w:pPr>
        <w:pStyle w:val="texto0"/>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8E68A0">
        <w:rPr>
          <w:szCs w:val="26"/>
        </w:rPr>
        <w:t>Exconsejero del Departamento de Políticas Sociales del Gobierno de Nav</w:t>
      </w:r>
      <w:r w:rsidRPr="008E68A0">
        <w:rPr>
          <w:szCs w:val="26"/>
        </w:rPr>
        <w:t>a</w:t>
      </w:r>
      <w:r w:rsidRPr="008E68A0">
        <w:rPr>
          <w:szCs w:val="26"/>
        </w:rPr>
        <w:t>rra.</w:t>
      </w:r>
    </w:p>
    <w:p w:rsidR="00FA4193" w:rsidRPr="008E68A0" w:rsidRDefault="00FA4193" w:rsidP="00FA4193">
      <w:pPr>
        <w:pStyle w:val="texto0"/>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8E68A0">
        <w:rPr>
          <w:szCs w:val="26"/>
        </w:rPr>
        <w:t xml:space="preserve">Director Gerente del </w:t>
      </w:r>
      <w:r w:rsidR="008E68A0" w:rsidRPr="008E68A0">
        <w:rPr>
          <w:szCs w:val="26"/>
        </w:rPr>
        <w:t>instituto.</w:t>
      </w:r>
    </w:p>
    <w:p w:rsidR="00FA4193" w:rsidRPr="008E68A0" w:rsidRDefault="00FA4193" w:rsidP="00FA4193">
      <w:pPr>
        <w:pStyle w:val="texto0"/>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8E68A0">
        <w:rPr>
          <w:szCs w:val="26"/>
        </w:rPr>
        <w:t>Consejera del Departamento de Cultura, Deporte y Juventud del Gobierno de Navarra.</w:t>
      </w:r>
    </w:p>
    <w:p w:rsidR="00FA4193" w:rsidRPr="008E68A0" w:rsidRDefault="00FA4193" w:rsidP="00FA4193">
      <w:pPr>
        <w:pStyle w:val="texto0"/>
        <w:rPr>
          <w:lang w:val="es-ES"/>
        </w:rPr>
      </w:pPr>
      <w:r w:rsidRPr="008E68A0">
        <w:rPr>
          <w:lang w:val="es-ES"/>
        </w:rPr>
        <w:t>Ha presentado a</w:t>
      </w:r>
      <w:r w:rsidR="008E68A0" w:rsidRPr="008E68A0">
        <w:rPr>
          <w:lang w:val="es-ES"/>
        </w:rPr>
        <w:t>legacione</w:t>
      </w:r>
      <w:r w:rsidRPr="008E68A0">
        <w:rPr>
          <w:lang w:val="es-ES"/>
        </w:rPr>
        <w:t xml:space="preserve">s, en el plazo fijado por la Cámara de Comptos, el </w:t>
      </w:r>
      <w:r w:rsidR="0054044D" w:rsidRPr="008E68A0">
        <w:rPr>
          <w:lang w:val="es-ES"/>
        </w:rPr>
        <w:t xml:space="preserve">director gerente del </w:t>
      </w:r>
      <w:r w:rsidR="008E68A0" w:rsidRPr="008E68A0">
        <w:rPr>
          <w:lang w:val="es-ES"/>
        </w:rPr>
        <w:t>instituto</w:t>
      </w:r>
      <w:r w:rsidRPr="008E68A0">
        <w:rPr>
          <w:lang w:val="es-ES"/>
        </w:rPr>
        <w:t>. Estas alegaciones</w:t>
      </w:r>
      <w:r w:rsidR="008E68A0" w:rsidRPr="008E68A0">
        <w:rPr>
          <w:lang w:val="es-ES"/>
        </w:rPr>
        <w:t xml:space="preserve"> que no han supuesto modific</w:t>
      </w:r>
      <w:r w:rsidR="008E68A0" w:rsidRPr="008E68A0">
        <w:rPr>
          <w:lang w:val="es-ES"/>
        </w:rPr>
        <w:t>a</w:t>
      </w:r>
      <w:r w:rsidR="008E68A0" w:rsidRPr="008E68A0">
        <w:rPr>
          <w:lang w:val="es-ES"/>
        </w:rPr>
        <w:t>ciones en nuestro informe</w:t>
      </w:r>
      <w:r w:rsidRPr="008E68A0">
        <w:rPr>
          <w:lang w:val="es-ES"/>
        </w:rPr>
        <w:t>, junto con la contestación de esta Cámara a las mi</w:t>
      </w:r>
      <w:r w:rsidRPr="008E68A0">
        <w:rPr>
          <w:lang w:val="es-ES"/>
        </w:rPr>
        <w:t>s</w:t>
      </w:r>
      <w:r w:rsidRPr="008E68A0">
        <w:rPr>
          <w:lang w:val="es-ES"/>
        </w:rPr>
        <w:t>mas, se adjuntan al informe definitivo.</w:t>
      </w:r>
    </w:p>
    <w:p w:rsidR="00FA4193" w:rsidRPr="008E68A0" w:rsidRDefault="00FA4193">
      <w:pPr>
        <w:spacing w:after="0"/>
        <w:ind w:firstLine="0"/>
        <w:jc w:val="left"/>
        <w:rPr>
          <w:rFonts w:ascii="Arial" w:hAnsi="Arial"/>
          <w:b/>
          <w:kern w:val="28"/>
          <w:sz w:val="25"/>
          <w:szCs w:val="26"/>
        </w:rPr>
      </w:pPr>
      <w:r w:rsidRPr="008E68A0">
        <w:br w:type="page"/>
      </w:r>
    </w:p>
    <w:p w:rsidR="00066D24" w:rsidRPr="00977F0F" w:rsidRDefault="00066D24" w:rsidP="00066D24">
      <w:pPr>
        <w:pStyle w:val="atitulo1"/>
        <w:rPr>
          <w:rFonts w:cs="Arial"/>
        </w:rPr>
      </w:pPr>
      <w:bookmarkStart w:id="13" w:name="_Toc475449742"/>
      <w:r w:rsidRPr="00341874">
        <w:t xml:space="preserve">II. </w:t>
      </w:r>
      <w:bookmarkEnd w:id="7"/>
      <w:bookmarkEnd w:id="8"/>
      <w:bookmarkEnd w:id="9"/>
      <w:bookmarkEnd w:id="10"/>
      <w:bookmarkEnd w:id="11"/>
      <w:r>
        <w:t xml:space="preserve">La Residencia </w:t>
      </w:r>
      <w:r w:rsidR="002667D0">
        <w:t>J</w:t>
      </w:r>
      <w:r>
        <w:t>uvenil Fuerte del Príncipe</w:t>
      </w:r>
      <w:bookmarkEnd w:id="12"/>
      <w:bookmarkEnd w:id="13"/>
    </w:p>
    <w:p w:rsidR="00066D24" w:rsidRDefault="00066D24" w:rsidP="00B9622C">
      <w:pPr>
        <w:pStyle w:val="texto0"/>
        <w:tabs>
          <w:tab w:val="clear" w:pos="2835"/>
          <w:tab w:val="clear" w:pos="3969"/>
          <w:tab w:val="clear" w:pos="5103"/>
          <w:tab w:val="clear" w:pos="6237"/>
          <w:tab w:val="clear" w:pos="7371"/>
        </w:tabs>
        <w:spacing w:after="120"/>
        <w:rPr>
          <w:szCs w:val="26"/>
        </w:rPr>
      </w:pPr>
      <w:r>
        <w:rPr>
          <w:szCs w:val="26"/>
        </w:rPr>
        <w:t>Los orígenes de esta residencia datan de 1959</w:t>
      </w:r>
      <w:r w:rsidR="00953932">
        <w:rPr>
          <w:szCs w:val="26"/>
        </w:rPr>
        <w:t>,</w:t>
      </w:r>
      <w:r>
        <w:rPr>
          <w:szCs w:val="26"/>
        </w:rPr>
        <w:t xml:space="preserve"> cuando se habilitó el edificio existente como colegio menor para alojar a estudiantes de secundaria de Nav</w:t>
      </w:r>
      <w:r>
        <w:rPr>
          <w:szCs w:val="26"/>
        </w:rPr>
        <w:t>a</w:t>
      </w:r>
      <w:r>
        <w:rPr>
          <w:szCs w:val="26"/>
        </w:rPr>
        <w:t>rra con el nombre de Colegio Menor Julio Ruiz de Alda. A inicios de los 80 se realizaron obras de rehabilitación y se construyeron dos módulos pasando a d</w:t>
      </w:r>
      <w:r>
        <w:rPr>
          <w:szCs w:val="26"/>
        </w:rPr>
        <w:t>e</w:t>
      </w:r>
      <w:r>
        <w:rPr>
          <w:szCs w:val="26"/>
        </w:rPr>
        <w:t xml:space="preserve">nominarse Residencia </w:t>
      </w:r>
      <w:r w:rsidR="002667D0">
        <w:rPr>
          <w:szCs w:val="26"/>
        </w:rPr>
        <w:t>J</w:t>
      </w:r>
      <w:r>
        <w:rPr>
          <w:szCs w:val="26"/>
        </w:rPr>
        <w:t xml:space="preserve">uvenil </w:t>
      </w:r>
      <w:proofErr w:type="spellStart"/>
      <w:r>
        <w:rPr>
          <w:szCs w:val="26"/>
        </w:rPr>
        <w:t>Larrabide</w:t>
      </w:r>
      <w:proofErr w:type="spellEnd"/>
      <w:r>
        <w:rPr>
          <w:szCs w:val="26"/>
        </w:rPr>
        <w:t>.</w:t>
      </w:r>
    </w:p>
    <w:p w:rsidR="00066D24" w:rsidRDefault="00066D24" w:rsidP="00B9622C">
      <w:pPr>
        <w:pStyle w:val="texto0"/>
        <w:tabs>
          <w:tab w:val="clear" w:pos="2835"/>
          <w:tab w:val="clear" w:pos="3969"/>
          <w:tab w:val="clear" w:pos="5103"/>
          <w:tab w:val="clear" w:pos="6237"/>
          <w:tab w:val="clear" w:pos="7371"/>
        </w:tabs>
        <w:spacing w:after="120"/>
        <w:rPr>
          <w:szCs w:val="26"/>
        </w:rPr>
      </w:pPr>
      <w:r>
        <w:rPr>
          <w:szCs w:val="26"/>
        </w:rPr>
        <w:t xml:space="preserve">En 1986 se realizó la transferencia de las competencias </w:t>
      </w:r>
      <w:r w:rsidR="00115E9F">
        <w:rPr>
          <w:szCs w:val="26"/>
        </w:rPr>
        <w:t>en materia de cult</w:t>
      </w:r>
      <w:r w:rsidR="00115E9F">
        <w:rPr>
          <w:szCs w:val="26"/>
        </w:rPr>
        <w:t>u</w:t>
      </w:r>
      <w:r w:rsidR="00115E9F">
        <w:rPr>
          <w:szCs w:val="26"/>
        </w:rPr>
        <w:t xml:space="preserve">ra, deporte, asistencia social y promoción socio-cultural </w:t>
      </w:r>
      <w:r>
        <w:rPr>
          <w:szCs w:val="26"/>
        </w:rPr>
        <w:t xml:space="preserve">del Estado a Navarra y esta residencia se incluyó dentro de este proceso. </w:t>
      </w:r>
      <w:r w:rsidR="00A75863">
        <w:rPr>
          <w:szCs w:val="26"/>
        </w:rPr>
        <w:t>S</w:t>
      </w:r>
      <w:r>
        <w:rPr>
          <w:szCs w:val="26"/>
        </w:rPr>
        <w:t xml:space="preserve">e adscribió al Servicio de Deporte y Juventud y su uso ha estado tradicionalmente vinculado al deporte. </w:t>
      </w:r>
    </w:p>
    <w:p w:rsidR="00066D24" w:rsidRDefault="00066D24" w:rsidP="00B9622C">
      <w:pPr>
        <w:pStyle w:val="texto0"/>
        <w:tabs>
          <w:tab w:val="clear" w:pos="2835"/>
          <w:tab w:val="clear" w:pos="3969"/>
          <w:tab w:val="clear" w:pos="5103"/>
          <w:tab w:val="clear" w:pos="6237"/>
          <w:tab w:val="clear" w:pos="7371"/>
        </w:tabs>
        <w:spacing w:after="120"/>
        <w:rPr>
          <w:szCs w:val="26"/>
        </w:rPr>
      </w:pPr>
      <w:r>
        <w:rPr>
          <w:szCs w:val="26"/>
        </w:rPr>
        <w:t xml:space="preserve">En sus inicios se utilizó para albergar a deportistas </w:t>
      </w:r>
      <w:r w:rsidR="000373FB">
        <w:rPr>
          <w:szCs w:val="26"/>
        </w:rPr>
        <w:t>de alto nivel y rendimie</w:t>
      </w:r>
      <w:r w:rsidR="000373FB">
        <w:rPr>
          <w:szCs w:val="26"/>
        </w:rPr>
        <w:t>n</w:t>
      </w:r>
      <w:r w:rsidR="000373FB">
        <w:rPr>
          <w:szCs w:val="26"/>
        </w:rPr>
        <w:t>to</w:t>
      </w:r>
      <w:r>
        <w:rPr>
          <w:szCs w:val="26"/>
        </w:rPr>
        <w:t xml:space="preserve"> que recibían ayudas para su formación, deportistas sin beca o estudiantes. Su utilización se planteó desde un principio tanto para el periodo académico como para el vacacional. De hecho</w:t>
      </w:r>
      <w:r w:rsidR="00A75863">
        <w:rPr>
          <w:szCs w:val="26"/>
        </w:rPr>
        <w:t>,</w:t>
      </w:r>
      <w:r>
        <w:rPr>
          <w:szCs w:val="26"/>
        </w:rPr>
        <w:t xml:space="preserve"> la residencia </w:t>
      </w:r>
      <w:r w:rsidR="000373FB">
        <w:rPr>
          <w:szCs w:val="26"/>
        </w:rPr>
        <w:t>desde que fue tra</w:t>
      </w:r>
      <w:r w:rsidR="00A75863">
        <w:rPr>
          <w:szCs w:val="26"/>
        </w:rPr>
        <w:t>n</w:t>
      </w:r>
      <w:r w:rsidR="000373FB">
        <w:rPr>
          <w:szCs w:val="26"/>
        </w:rPr>
        <w:t>sferida a Navarra</w:t>
      </w:r>
      <w:r w:rsidR="00A75863">
        <w:rPr>
          <w:szCs w:val="26"/>
        </w:rPr>
        <w:t>,</w:t>
      </w:r>
      <w:r>
        <w:rPr>
          <w:szCs w:val="26"/>
        </w:rPr>
        <w:t xml:space="preserve"> entró a formar parte de la </w:t>
      </w:r>
      <w:r w:rsidR="000373FB">
        <w:rPr>
          <w:szCs w:val="26"/>
        </w:rPr>
        <w:t>r</w:t>
      </w:r>
      <w:r>
        <w:rPr>
          <w:szCs w:val="26"/>
        </w:rPr>
        <w:t>ed</w:t>
      </w:r>
      <w:r w:rsidR="0038236E">
        <w:rPr>
          <w:szCs w:val="26"/>
        </w:rPr>
        <w:t xml:space="preserve"> nacional</w:t>
      </w:r>
      <w:r>
        <w:rPr>
          <w:szCs w:val="26"/>
        </w:rPr>
        <w:t xml:space="preserve"> de </w:t>
      </w:r>
      <w:r w:rsidR="000373FB">
        <w:rPr>
          <w:szCs w:val="26"/>
        </w:rPr>
        <w:t>a</w:t>
      </w:r>
      <w:r>
        <w:rPr>
          <w:szCs w:val="26"/>
        </w:rPr>
        <w:t xml:space="preserve">lbergues </w:t>
      </w:r>
      <w:r w:rsidR="0038236E">
        <w:rPr>
          <w:szCs w:val="26"/>
        </w:rPr>
        <w:t xml:space="preserve">juveniles </w:t>
      </w:r>
      <w:r w:rsidR="00A75863">
        <w:rPr>
          <w:szCs w:val="26"/>
        </w:rPr>
        <w:t>desde su const</w:t>
      </w:r>
      <w:r w:rsidR="00A75863">
        <w:rPr>
          <w:szCs w:val="26"/>
        </w:rPr>
        <w:t>i</w:t>
      </w:r>
      <w:r w:rsidR="00A75863">
        <w:rPr>
          <w:szCs w:val="26"/>
        </w:rPr>
        <w:t xml:space="preserve">tución, </w:t>
      </w:r>
      <w:r w:rsidR="0038236E">
        <w:rPr>
          <w:szCs w:val="26"/>
        </w:rPr>
        <w:t xml:space="preserve">y de la red internacional </w:t>
      </w:r>
      <w:proofErr w:type="spellStart"/>
      <w:r w:rsidR="0038236E">
        <w:rPr>
          <w:szCs w:val="26"/>
        </w:rPr>
        <w:t>Hihostel</w:t>
      </w:r>
      <w:proofErr w:type="spellEnd"/>
      <w:r w:rsidR="00953932">
        <w:rPr>
          <w:szCs w:val="26"/>
        </w:rPr>
        <w:t>,</w:t>
      </w:r>
      <w:r>
        <w:rPr>
          <w:szCs w:val="26"/>
        </w:rPr>
        <w:t xml:space="preserve"> </w:t>
      </w:r>
      <w:r w:rsidR="000373FB">
        <w:rPr>
          <w:szCs w:val="26"/>
        </w:rPr>
        <w:t>para</w:t>
      </w:r>
      <w:r>
        <w:rPr>
          <w:szCs w:val="26"/>
        </w:rPr>
        <w:t xml:space="preserve"> aprovechar al máximo las plazas disponibles.</w:t>
      </w:r>
    </w:p>
    <w:p w:rsidR="00066D24" w:rsidRDefault="000373FB" w:rsidP="00B9622C">
      <w:pPr>
        <w:pStyle w:val="texto0"/>
        <w:tabs>
          <w:tab w:val="clear" w:pos="2835"/>
          <w:tab w:val="clear" w:pos="3969"/>
          <w:tab w:val="clear" w:pos="5103"/>
          <w:tab w:val="clear" w:pos="6237"/>
          <w:tab w:val="clear" w:pos="7371"/>
        </w:tabs>
        <w:spacing w:after="120"/>
        <w:rPr>
          <w:szCs w:val="26"/>
        </w:rPr>
      </w:pPr>
      <w:r>
        <w:rPr>
          <w:szCs w:val="26"/>
        </w:rPr>
        <w:t>A principios de los años</w:t>
      </w:r>
      <w:r w:rsidR="00066D24">
        <w:rPr>
          <w:szCs w:val="26"/>
        </w:rPr>
        <w:t xml:space="preserve"> 90 la ocupación de las plazas era plena; ante esta s</w:t>
      </w:r>
      <w:r w:rsidR="00066D24">
        <w:rPr>
          <w:szCs w:val="26"/>
        </w:rPr>
        <w:t>i</w:t>
      </w:r>
      <w:r w:rsidR="00066D24">
        <w:rPr>
          <w:szCs w:val="26"/>
        </w:rPr>
        <w:t>tuación, en 1996</w:t>
      </w:r>
      <w:r>
        <w:rPr>
          <w:szCs w:val="26"/>
        </w:rPr>
        <w:t>,</w:t>
      </w:r>
      <w:r w:rsidR="00066D24">
        <w:rPr>
          <w:szCs w:val="26"/>
        </w:rPr>
        <w:t xml:space="preserve"> se inició la construcción de </w:t>
      </w:r>
      <w:r w:rsidR="00A75863">
        <w:rPr>
          <w:szCs w:val="26"/>
        </w:rPr>
        <w:t>otro</w:t>
      </w:r>
      <w:r w:rsidR="00066D24">
        <w:rPr>
          <w:szCs w:val="26"/>
        </w:rPr>
        <w:t xml:space="preserve"> edificio. Tras la finalización de las obras, la residencia se pasó a denominar Residenc</w:t>
      </w:r>
      <w:r w:rsidR="00DF70B1">
        <w:rPr>
          <w:szCs w:val="26"/>
        </w:rPr>
        <w:t xml:space="preserve">ia </w:t>
      </w:r>
      <w:r w:rsidR="00953932">
        <w:rPr>
          <w:szCs w:val="26"/>
        </w:rPr>
        <w:t>J</w:t>
      </w:r>
      <w:r w:rsidR="00DF70B1">
        <w:rPr>
          <w:szCs w:val="26"/>
        </w:rPr>
        <w:t>uvenil Fuerte del Príncipe. Ante esta demanda tan alta del servicio, el instituto realizaba conv</w:t>
      </w:r>
      <w:r w:rsidR="00DF70B1">
        <w:rPr>
          <w:szCs w:val="26"/>
        </w:rPr>
        <w:t>o</w:t>
      </w:r>
      <w:r w:rsidR="00DF70B1">
        <w:rPr>
          <w:szCs w:val="26"/>
        </w:rPr>
        <w:t>catorias anuales donde se especificaban los requisitos que debían cumplir los residentes y las valoraciones que se utilizaban para clasificarlos y acceder a e</w:t>
      </w:r>
      <w:r w:rsidR="00DF70B1">
        <w:rPr>
          <w:szCs w:val="26"/>
        </w:rPr>
        <w:t>s</w:t>
      </w:r>
      <w:r w:rsidR="00DF70B1">
        <w:rPr>
          <w:szCs w:val="26"/>
        </w:rPr>
        <w:t>te centro.</w:t>
      </w:r>
    </w:p>
    <w:p w:rsidR="00066D24" w:rsidRDefault="00066D24" w:rsidP="00B9622C">
      <w:pPr>
        <w:pStyle w:val="texto0"/>
        <w:tabs>
          <w:tab w:val="clear" w:pos="2835"/>
          <w:tab w:val="clear" w:pos="3969"/>
          <w:tab w:val="clear" w:pos="5103"/>
          <w:tab w:val="clear" w:pos="6237"/>
          <w:tab w:val="clear" w:pos="7371"/>
        </w:tabs>
        <w:spacing w:after="120"/>
        <w:rPr>
          <w:szCs w:val="26"/>
        </w:rPr>
      </w:pPr>
      <w:r>
        <w:rPr>
          <w:szCs w:val="26"/>
        </w:rPr>
        <w:t xml:space="preserve">Sin embargo, </w:t>
      </w:r>
      <w:r w:rsidR="00A75863">
        <w:rPr>
          <w:szCs w:val="26"/>
        </w:rPr>
        <w:t>en el transcurso del tiempo</w:t>
      </w:r>
      <w:r>
        <w:rPr>
          <w:szCs w:val="26"/>
        </w:rPr>
        <w:t xml:space="preserve"> </w:t>
      </w:r>
      <w:r w:rsidR="00A75863">
        <w:rPr>
          <w:szCs w:val="26"/>
        </w:rPr>
        <w:t xml:space="preserve">se han </w:t>
      </w:r>
      <w:r>
        <w:rPr>
          <w:szCs w:val="26"/>
        </w:rPr>
        <w:t>dado ciertos condicionantes que han motivado que hoy en día no se ocupen todas las plazas. En concreto, el número de becas para el deporte ha disminuido, se han modificado los criterios para otorgar las ayudas citadas incrementando los requisitos</w:t>
      </w:r>
      <w:r w:rsidR="00953932">
        <w:rPr>
          <w:szCs w:val="26"/>
        </w:rPr>
        <w:t xml:space="preserve"> y</w:t>
      </w:r>
      <w:r>
        <w:rPr>
          <w:szCs w:val="26"/>
        </w:rPr>
        <w:t xml:space="preserve"> se ha reducido la demanda de los estudiantes que ahora se decantan por otras opciones. </w:t>
      </w:r>
      <w:r w:rsidR="00DF70B1">
        <w:rPr>
          <w:szCs w:val="26"/>
        </w:rPr>
        <w:t>De h</w:t>
      </w:r>
      <w:r w:rsidR="00DF70B1">
        <w:rPr>
          <w:szCs w:val="26"/>
        </w:rPr>
        <w:t>e</w:t>
      </w:r>
      <w:r w:rsidR="00DF70B1">
        <w:rPr>
          <w:szCs w:val="26"/>
        </w:rPr>
        <w:t>cho, en el último curso académico 2016-2017</w:t>
      </w:r>
      <w:r w:rsidR="00953932">
        <w:rPr>
          <w:szCs w:val="26"/>
        </w:rPr>
        <w:t>,</w:t>
      </w:r>
      <w:r w:rsidR="00DF70B1">
        <w:rPr>
          <w:szCs w:val="26"/>
        </w:rPr>
        <w:t xml:space="preserve"> ante esta disminución de la d</w:t>
      </w:r>
      <w:r w:rsidR="00DF70B1">
        <w:rPr>
          <w:szCs w:val="26"/>
        </w:rPr>
        <w:t>e</w:t>
      </w:r>
      <w:r w:rsidR="00DF70B1">
        <w:rPr>
          <w:szCs w:val="26"/>
        </w:rPr>
        <w:t>manda, el instituto no realizó convocatoria por considerar que no era necesario.</w:t>
      </w:r>
    </w:p>
    <w:p w:rsidR="00066D24" w:rsidRDefault="00066D24" w:rsidP="00B9622C">
      <w:pPr>
        <w:pStyle w:val="texto0"/>
        <w:tabs>
          <w:tab w:val="clear" w:pos="2835"/>
          <w:tab w:val="clear" w:pos="3969"/>
          <w:tab w:val="clear" w:pos="5103"/>
          <w:tab w:val="clear" w:pos="6237"/>
          <w:tab w:val="clear" w:pos="7371"/>
        </w:tabs>
        <w:spacing w:after="120"/>
        <w:rPr>
          <w:rFonts w:cs="Arial"/>
        </w:rPr>
      </w:pPr>
      <w:r>
        <w:rPr>
          <w:szCs w:val="26"/>
        </w:rPr>
        <w:t>En la actualidad la residencia cuenta con 98 plazas cuyo destino ha ido v</w:t>
      </w:r>
      <w:r>
        <w:rPr>
          <w:szCs w:val="26"/>
        </w:rPr>
        <w:t>a</w:t>
      </w:r>
      <w:r>
        <w:rPr>
          <w:szCs w:val="26"/>
        </w:rPr>
        <w:t>riando en el tiempo ante la modificación del número de becas, de sus requis</w:t>
      </w:r>
      <w:r>
        <w:rPr>
          <w:szCs w:val="26"/>
        </w:rPr>
        <w:t>i</w:t>
      </w:r>
      <w:r>
        <w:rPr>
          <w:szCs w:val="26"/>
        </w:rPr>
        <w:t>tos, de la demanda de los estudiantes habituales, etc. En concreto, la oferta a la fecha de redacción de este informe se distribuye de la siguiente forma:</w:t>
      </w:r>
      <w:r w:rsidR="00B9622C">
        <w:rPr>
          <w:szCs w:val="26"/>
        </w:rPr>
        <w:t xml:space="preserve"> </w:t>
      </w:r>
      <w:r w:rsidRPr="00CE52FD">
        <w:rPr>
          <w:rFonts w:cs="Arial"/>
        </w:rPr>
        <w:t>60 pl</w:t>
      </w:r>
      <w:r w:rsidRPr="00CE52FD">
        <w:rPr>
          <w:rFonts w:cs="Arial"/>
        </w:rPr>
        <w:t>a</w:t>
      </w:r>
      <w:r w:rsidRPr="00CE52FD">
        <w:rPr>
          <w:rFonts w:cs="Arial"/>
        </w:rPr>
        <w:t>zas para residentes-estudiantes</w:t>
      </w:r>
      <w:r w:rsidR="00B9622C">
        <w:rPr>
          <w:rFonts w:cs="Arial"/>
        </w:rPr>
        <w:t xml:space="preserve">, </w:t>
      </w:r>
      <w:r w:rsidRPr="00CE52FD">
        <w:rPr>
          <w:rFonts w:cs="Arial"/>
        </w:rPr>
        <w:t>25 para residentes-deportistas</w:t>
      </w:r>
      <w:r w:rsidR="00B9622C">
        <w:rPr>
          <w:rFonts w:cs="Arial"/>
        </w:rPr>
        <w:t xml:space="preserve"> y </w:t>
      </w:r>
      <w:r w:rsidRPr="00CE52FD">
        <w:rPr>
          <w:rFonts w:cs="Arial"/>
        </w:rPr>
        <w:t>13 para albe</w:t>
      </w:r>
      <w:r w:rsidRPr="00CE52FD">
        <w:rPr>
          <w:rFonts w:cs="Arial"/>
        </w:rPr>
        <w:t>r</w:t>
      </w:r>
      <w:r w:rsidRPr="00CE52FD">
        <w:rPr>
          <w:rFonts w:cs="Arial"/>
        </w:rPr>
        <w:t>guistas.</w:t>
      </w:r>
    </w:p>
    <w:p w:rsidR="00A75863" w:rsidRDefault="00A75863">
      <w:pPr>
        <w:spacing w:after="0"/>
        <w:ind w:firstLine="0"/>
        <w:jc w:val="left"/>
        <w:rPr>
          <w:spacing w:val="6"/>
          <w:sz w:val="26"/>
          <w:szCs w:val="24"/>
        </w:rPr>
      </w:pPr>
      <w:r>
        <w:br w:type="page"/>
      </w:r>
    </w:p>
    <w:p w:rsidR="000373FB" w:rsidRPr="00C31009" w:rsidRDefault="000373FB" w:rsidP="000373FB">
      <w:pPr>
        <w:pStyle w:val="texto0"/>
        <w:spacing w:after="240"/>
      </w:pPr>
      <w:r w:rsidRPr="00C31009">
        <w:t>La distribución de las 98 plazas por edificios es:</w:t>
      </w:r>
    </w:p>
    <w:tbl>
      <w:tblPr>
        <w:tblStyle w:val="Tablaconcuadrcula"/>
        <w:tblW w:w="8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1277"/>
        <w:gridCol w:w="1278"/>
        <w:gridCol w:w="1277"/>
        <w:gridCol w:w="1278"/>
        <w:gridCol w:w="1175"/>
      </w:tblGrid>
      <w:tr w:rsidR="000373FB" w:rsidRPr="00C31009" w:rsidTr="000373FB">
        <w:trPr>
          <w:trHeight w:val="198"/>
          <w:jc w:val="center"/>
        </w:trPr>
        <w:tc>
          <w:tcPr>
            <w:tcW w:w="2562" w:type="dxa"/>
            <w:vMerge w:val="restart"/>
            <w:tcBorders>
              <w:top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c>
          <w:tcPr>
            <w:tcW w:w="2555" w:type="dxa"/>
            <w:gridSpan w:val="2"/>
            <w:tcBorders>
              <w:top w:val="single" w:sz="4" w:space="0" w:color="auto"/>
              <w:bottom w:val="single" w:sz="2"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center"/>
              <w:rPr>
                <w:rFonts w:ascii="Arial" w:hAnsi="Arial" w:cs="Arial"/>
                <w:sz w:val="18"/>
                <w:szCs w:val="18"/>
              </w:rPr>
            </w:pPr>
            <w:r w:rsidRPr="00C31009">
              <w:rPr>
                <w:rFonts w:ascii="Arial" w:hAnsi="Arial" w:cs="Arial"/>
                <w:sz w:val="18"/>
                <w:szCs w:val="18"/>
              </w:rPr>
              <w:t>Plazas hab. doble</w:t>
            </w:r>
          </w:p>
        </w:tc>
        <w:tc>
          <w:tcPr>
            <w:tcW w:w="2555" w:type="dxa"/>
            <w:gridSpan w:val="2"/>
            <w:tcBorders>
              <w:top w:val="single" w:sz="4" w:space="0" w:color="auto"/>
              <w:bottom w:val="single" w:sz="2"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center"/>
              <w:rPr>
                <w:rFonts w:ascii="Arial" w:hAnsi="Arial" w:cs="Arial"/>
                <w:sz w:val="18"/>
                <w:szCs w:val="18"/>
              </w:rPr>
            </w:pPr>
            <w:r w:rsidRPr="00C31009">
              <w:rPr>
                <w:rFonts w:ascii="Arial" w:hAnsi="Arial" w:cs="Arial"/>
                <w:sz w:val="18"/>
                <w:szCs w:val="18"/>
              </w:rPr>
              <w:t>Plazas hab. individual</w:t>
            </w:r>
          </w:p>
        </w:tc>
        <w:tc>
          <w:tcPr>
            <w:tcW w:w="1175" w:type="dxa"/>
            <w:vMerge w:val="restart"/>
            <w:tcBorders>
              <w:top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 xml:space="preserve">Total </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plazas</w:t>
            </w:r>
          </w:p>
        </w:tc>
      </w:tr>
      <w:tr w:rsidR="000373FB" w:rsidRPr="00C31009" w:rsidTr="000373FB">
        <w:trPr>
          <w:trHeight w:val="198"/>
          <w:jc w:val="center"/>
        </w:trPr>
        <w:tc>
          <w:tcPr>
            <w:tcW w:w="2562" w:type="dxa"/>
            <w:vMerge/>
            <w:tcBorders>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c>
          <w:tcPr>
            <w:tcW w:w="1277" w:type="dxa"/>
            <w:tcBorders>
              <w:top w:val="single" w:sz="2" w:space="0" w:color="auto"/>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Baño en</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habitación</w:t>
            </w:r>
          </w:p>
        </w:tc>
        <w:tc>
          <w:tcPr>
            <w:tcW w:w="1278" w:type="dxa"/>
            <w:tcBorders>
              <w:top w:val="single" w:sz="2" w:space="0" w:color="auto"/>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Baños</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comunes</w:t>
            </w:r>
          </w:p>
        </w:tc>
        <w:tc>
          <w:tcPr>
            <w:tcW w:w="1277" w:type="dxa"/>
            <w:tcBorders>
              <w:top w:val="single" w:sz="2" w:space="0" w:color="auto"/>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 xml:space="preserve">Baño en </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habitación</w:t>
            </w:r>
          </w:p>
        </w:tc>
        <w:tc>
          <w:tcPr>
            <w:tcW w:w="1278" w:type="dxa"/>
            <w:tcBorders>
              <w:top w:val="single" w:sz="2" w:space="0" w:color="auto"/>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Baños</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comunes</w:t>
            </w:r>
          </w:p>
        </w:tc>
        <w:tc>
          <w:tcPr>
            <w:tcW w:w="1175" w:type="dxa"/>
            <w:vMerge/>
            <w:tcBorders>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r>
      <w:tr w:rsidR="000373FB" w:rsidTr="000373FB">
        <w:trPr>
          <w:trHeight w:val="198"/>
          <w:jc w:val="center"/>
        </w:trPr>
        <w:tc>
          <w:tcPr>
            <w:tcW w:w="2562"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szCs w:val="20"/>
              </w:rPr>
            </w:pPr>
            <w:r w:rsidRPr="00350203">
              <w:rPr>
                <w:rFonts w:ascii="Arial Narrow" w:hAnsi="Arial Narrow" w:cs="Arial"/>
                <w:sz w:val="20"/>
                <w:szCs w:val="20"/>
              </w:rPr>
              <w:t>Edificio nuevo</w:t>
            </w:r>
          </w:p>
        </w:tc>
        <w:tc>
          <w:tcPr>
            <w:tcW w:w="1277"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41</w:t>
            </w:r>
            <w:r w:rsidR="0000668B" w:rsidRPr="00A75863">
              <w:rPr>
                <w:rFonts w:ascii="Arial Narrow" w:hAnsi="Arial Narrow"/>
                <w:sz w:val="20"/>
                <w:szCs w:val="20"/>
                <w:vertAlign w:val="superscript"/>
              </w:rPr>
              <w:t>(1)</w:t>
            </w:r>
          </w:p>
        </w:tc>
        <w:tc>
          <w:tcPr>
            <w:tcW w:w="1278"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277"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278"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175"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41</w:t>
            </w:r>
          </w:p>
        </w:tc>
      </w:tr>
      <w:tr w:rsidR="000373FB" w:rsidTr="000373FB">
        <w:trPr>
          <w:trHeight w:val="198"/>
          <w:jc w:val="center"/>
        </w:trPr>
        <w:tc>
          <w:tcPr>
            <w:tcW w:w="2562"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szCs w:val="20"/>
              </w:rPr>
            </w:pPr>
            <w:r w:rsidRPr="00350203">
              <w:rPr>
                <w:rFonts w:ascii="Arial Narrow" w:hAnsi="Arial Narrow" w:cs="Arial"/>
                <w:sz w:val="20"/>
                <w:szCs w:val="20"/>
              </w:rPr>
              <w:t xml:space="preserve">Edificio antiguo 1ª planta </w:t>
            </w:r>
          </w:p>
        </w:tc>
        <w:tc>
          <w:tcPr>
            <w:tcW w:w="1277"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8</w:t>
            </w:r>
            <w:r w:rsidR="00A75863" w:rsidRPr="00A75863">
              <w:rPr>
                <w:rFonts w:ascii="Arial Narrow" w:hAnsi="Arial Narrow"/>
                <w:sz w:val="20"/>
                <w:szCs w:val="20"/>
                <w:vertAlign w:val="superscript"/>
              </w:rPr>
              <w:t>(2)</w:t>
            </w:r>
          </w:p>
        </w:tc>
        <w:tc>
          <w:tcPr>
            <w:tcW w:w="1278"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277"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1</w:t>
            </w:r>
          </w:p>
        </w:tc>
        <w:tc>
          <w:tcPr>
            <w:tcW w:w="1278"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175"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9</w:t>
            </w:r>
          </w:p>
        </w:tc>
      </w:tr>
      <w:tr w:rsidR="000373FB" w:rsidTr="000373FB">
        <w:trPr>
          <w:trHeight w:val="198"/>
          <w:jc w:val="center"/>
        </w:trPr>
        <w:tc>
          <w:tcPr>
            <w:tcW w:w="2562"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szCs w:val="20"/>
              </w:rPr>
            </w:pPr>
            <w:r w:rsidRPr="00350203">
              <w:rPr>
                <w:rFonts w:ascii="Arial Narrow" w:hAnsi="Arial Narrow" w:cs="Arial"/>
                <w:sz w:val="20"/>
                <w:szCs w:val="20"/>
              </w:rPr>
              <w:t>Edificio antiguo 2ª planta</w:t>
            </w:r>
          </w:p>
        </w:tc>
        <w:tc>
          <w:tcPr>
            <w:tcW w:w="1277" w:type="dxa"/>
            <w:tcBorders>
              <w:top w:val="single" w:sz="2" w:space="0" w:color="auto"/>
              <w:bottom w:val="single" w:sz="2" w:space="0" w:color="auto"/>
            </w:tcBorders>
            <w:vAlign w:val="center"/>
          </w:tcPr>
          <w:p w:rsidR="000373FB" w:rsidRPr="00350203" w:rsidRDefault="000373FB" w:rsidP="00A75863">
            <w:pPr>
              <w:pStyle w:val="texto0"/>
              <w:tabs>
                <w:tab w:val="clear" w:pos="2835"/>
                <w:tab w:val="clear" w:pos="3969"/>
                <w:tab w:val="clear" w:pos="5103"/>
                <w:tab w:val="clear" w:pos="6237"/>
                <w:tab w:val="clear" w:pos="7371"/>
              </w:tabs>
              <w:spacing w:after="0" w:line="240" w:lineRule="atLeast"/>
              <w:ind w:right="90" w:firstLine="0"/>
              <w:contextualSpacing/>
              <w:jc w:val="right"/>
              <w:rPr>
                <w:rFonts w:ascii="Arial Narrow" w:hAnsi="Arial Narrow"/>
                <w:sz w:val="20"/>
                <w:szCs w:val="20"/>
              </w:rPr>
            </w:pPr>
            <w:r>
              <w:rPr>
                <w:rFonts w:ascii="Arial Narrow" w:hAnsi="Arial Narrow"/>
                <w:sz w:val="20"/>
                <w:szCs w:val="20"/>
              </w:rPr>
              <w:t>-</w:t>
            </w:r>
          </w:p>
        </w:tc>
        <w:tc>
          <w:tcPr>
            <w:tcW w:w="1278"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20</w:t>
            </w:r>
          </w:p>
        </w:tc>
        <w:tc>
          <w:tcPr>
            <w:tcW w:w="1277"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2</w:t>
            </w:r>
          </w:p>
        </w:tc>
        <w:tc>
          <w:tcPr>
            <w:tcW w:w="1278"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2</w:t>
            </w:r>
          </w:p>
        </w:tc>
        <w:tc>
          <w:tcPr>
            <w:tcW w:w="1175"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24</w:t>
            </w:r>
          </w:p>
        </w:tc>
      </w:tr>
      <w:tr w:rsidR="000373FB" w:rsidTr="0000668B">
        <w:trPr>
          <w:trHeight w:val="198"/>
          <w:jc w:val="center"/>
        </w:trPr>
        <w:tc>
          <w:tcPr>
            <w:tcW w:w="2562"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szCs w:val="20"/>
              </w:rPr>
            </w:pPr>
            <w:r w:rsidRPr="00350203">
              <w:rPr>
                <w:rFonts w:ascii="Arial Narrow" w:hAnsi="Arial Narrow" w:cs="Arial"/>
                <w:sz w:val="20"/>
                <w:szCs w:val="20"/>
              </w:rPr>
              <w:t>Edificio antiguo 3ª planta</w:t>
            </w:r>
          </w:p>
        </w:tc>
        <w:tc>
          <w:tcPr>
            <w:tcW w:w="1277" w:type="dxa"/>
            <w:tcBorders>
              <w:top w:val="single" w:sz="2" w:space="0" w:color="auto"/>
              <w:bottom w:val="single" w:sz="4" w:space="0" w:color="auto"/>
            </w:tcBorders>
            <w:vAlign w:val="center"/>
          </w:tcPr>
          <w:p w:rsidR="000373FB" w:rsidRPr="00350203" w:rsidRDefault="000373FB" w:rsidP="00A75863">
            <w:pPr>
              <w:pStyle w:val="texto0"/>
              <w:tabs>
                <w:tab w:val="clear" w:pos="2835"/>
                <w:tab w:val="clear" w:pos="3969"/>
                <w:tab w:val="clear" w:pos="5103"/>
                <w:tab w:val="clear" w:pos="6237"/>
                <w:tab w:val="clear" w:pos="7371"/>
              </w:tabs>
              <w:spacing w:after="0" w:line="240" w:lineRule="atLeast"/>
              <w:ind w:right="90" w:firstLine="0"/>
              <w:contextualSpacing/>
              <w:jc w:val="right"/>
              <w:rPr>
                <w:rFonts w:ascii="Arial Narrow" w:hAnsi="Arial Narrow"/>
                <w:sz w:val="20"/>
                <w:szCs w:val="20"/>
              </w:rPr>
            </w:pPr>
            <w:r>
              <w:rPr>
                <w:rFonts w:ascii="Arial Narrow" w:hAnsi="Arial Narrow"/>
                <w:sz w:val="20"/>
                <w:szCs w:val="20"/>
              </w:rPr>
              <w:t>-</w:t>
            </w:r>
          </w:p>
        </w:tc>
        <w:tc>
          <w:tcPr>
            <w:tcW w:w="1278"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20</w:t>
            </w:r>
          </w:p>
        </w:tc>
        <w:tc>
          <w:tcPr>
            <w:tcW w:w="1277"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2</w:t>
            </w:r>
          </w:p>
        </w:tc>
        <w:tc>
          <w:tcPr>
            <w:tcW w:w="1278"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2</w:t>
            </w:r>
          </w:p>
        </w:tc>
        <w:tc>
          <w:tcPr>
            <w:tcW w:w="1175"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350203">
              <w:rPr>
                <w:rFonts w:ascii="Arial Narrow" w:hAnsi="Arial Narrow"/>
                <w:sz w:val="20"/>
                <w:szCs w:val="20"/>
              </w:rPr>
              <w:t>24</w:t>
            </w:r>
          </w:p>
        </w:tc>
      </w:tr>
      <w:tr w:rsidR="0000668B" w:rsidRPr="00C31009" w:rsidTr="0000668B">
        <w:trPr>
          <w:trHeight w:val="255"/>
          <w:jc w:val="center"/>
        </w:trPr>
        <w:tc>
          <w:tcPr>
            <w:tcW w:w="2562"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left"/>
              <w:rPr>
                <w:rFonts w:ascii="Arial" w:hAnsi="Arial" w:cs="Arial"/>
                <w:sz w:val="18"/>
                <w:szCs w:val="18"/>
              </w:rPr>
            </w:pPr>
            <w:r w:rsidRPr="00C31009">
              <w:rPr>
                <w:rFonts w:ascii="Arial" w:hAnsi="Arial" w:cs="Arial"/>
                <w:sz w:val="18"/>
                <w:szCs w:val="18"/>
              </w:rPr>
              <w:t>Total plazas</w:t>
            </w:r>
          </w:p>
        </w:tc>
        <w:tc>
          <w:tcPr>
            <w:tcW w:w="1277"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right="104" w:firstLine="0"/>
              <w:contextualSpacing/>
              <w:jc w:val="right"/>
              <w:rPr>
                <w:rFonts w:ascii="Arial" w:hAnsi="Arial" w:cs="Arial"/>
                <w:sz w:val="18"/>
                <w:szCs w:val="18"/>
              </w:rPr>
            </w:pPr>
            <w:r w:rsidRPr="00C31009">
              <w:rPr>
                <w:rFonts w:ascii="Arial" w:hAnsi="Arial" w:cs="Arial"/>
                <w:sz w:val="18"/>
                <w:szCs w:val="18"/>
              </w:rPr>
              <w:t>49</w:t>
            </w:r>
          </w:p>
        </w:tc>
        <w:tc>
          <w:tcPr>
            <w:tcW w:w="1278"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40</w:t>
            </w:r>
          </w:p>
        </w:tc>
        <w:tc>
          <w:tcPr>
            <w:tcW w:w="1277"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5</w:t>
            </w:r>
          </w:p>
        </w:tc>
        <w:tc>
          <w:tcPr>
            <w:tcW w:w="1278"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4</w:t>
            </w:r>
          </w:p>
        </w:tc>
        <w:tc>
          <w:tcPr>
            <w:tcW w:w="1175"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sidRPr="00C31009">
              <w:rPr>
                <w:rFonts w:ascii="Arial" w:hAnsi="Arial" w:cs="Arial"/>
                <w:sz w:val="18"/>
                <w:szCs w:val="18"/>
              </w:rPr>
              <w:t>98</w:t>
            </w:r>
          </w:p>
        </w:tc>
      </w:tr>
    </w:tbl>
    <w:p w:rsidR="00A75863" w:rsidRPr="0000668B" w:rsidRDefault="00A75863" w:rsidP="00A75863">
      <w:pPr>
        <w:pStyle w:val="texto0"/>
        <w:numPr>
          <w:ilvl w:val="0"/>
          <w:numId w:val="15"/>
        </w:numPr>
        <w:tabs>
          <w:tab w:val="clear" w:pos="2835"/>
          <w:tab w:val="clear" w:pos="3969"/>
          <w:tab w:val="clear" w:pos="5103"/>
          <w:tab w:val="clear" w:pos="6237"/>
          <w:tab w:val="clear" w:pos="7371"/>
        </w:tabs>
        <w:spacing w:after="0" w:line="160" w:lineRule="atLeast"/>
        <w:ind w:left="56" w:firstLine="0"/>
        <w:contextualSpacing/>
        <w:jc w:val="left"/>
        <w:rPr>
          <w:rFonts w:ascii="Arial" w:hAnsi="Arial" w:cs="Arial"/>
          <w:sz w:val="16"/>
          <w:szCs w:val="16"/>
        </w:rPr>
      </w:pPr>
      <w:r w:rsidRPr="0000668B">
        <w:rPr>
          <w:rFonts w:ascii="Arial" w:hAnsi="Arial" w:cs="Arial"/>
          <w:sz w:val="16"/>
          <w:szCs w:val="16"/>
        </w:rPr>
        <w:t>Una de las habitaciones se puede destinar a uso triple</w:t>
      </w:r>
      <w:r>
        <w:rPr>
          <w:rFonts w:ascii="Arial" w:hAnsi="Arial" w:cs="Arial"/>
          <w:sz w:val="16"/>
          <w:szCs w:val="16"/>
        </w:rPr>
        <w:t>.</w:t>
      </w:r>
    </w:p>
    <w:p w:rsidR="00A75863" w:rsidRPr="0000668B" w:rsidRDefault="00A75863" w:rsidP="00A75863">
      <w:pPr>
        <w:pStyle w:val="texto0"/>
        <w:numPr>
          <w:ilvl w:val="0"/>
          <w:numId w:val="15"/>
        </w:numPr>
        <w:tabs>
          <w:tab w:val="clear" w:pos="2835"/>
          <w:tab w:val="clear" w:pos="3969"/>
          <w:tab w:val="clear" w:pos="5103"/>
          <w:tab w:val="clear" w:pos="6237"/>
          <w:tab w:val="clear" w:pos="7371"/>
        </w:tabs>
        <w:spacing w:after="0" w:line="160" w:lineRule="atLeast"/>
        <w:ind w:left="56" w:firstLine="0"/>
        <w:contextualSpacing/>
        <w:jc w:val="left"/>
        <w:rPr>
          <w:rFonts w:ascii="Arial" w:hAnsi="Arial" w:cs="Arial"/>
          <w:sz w:val="16"/>
          <w:szCs w:val="16"/>
        </w:rPr>
      </w:pPr>
      <w:r w:rsidRPr="0000668B">
        <w:rPr>
          <w:rFonts w:ascii="Arial" w:hAnsi="Arial" w:cs="Arial"/>
          <w:sz w:val="16"/>
          <w:szCs w:val="16"/>
        </w:rPr>
        <w:t>Son apartamentos destinados a alberguistas o grupos</w:t>
      </w:r>
      <w:r>
        <w:rPr>
          <w:rFonts w:ascii="Arial" w:hAnsi="Arial" w:cs="Arial"/>
          <w:sz w:val="16"/>
          <w:szCs w:val="16"/>
        </w:rPr>
        <w:t>.</w:t>
      </w:r>
    </w:p>
    <w:p w:rsidR="00066D24" w:rsidRPr="00066D24" w:rsidRDefault="00066D24" w:rsidP="000373FB">
      <w:pPr>
        <w:pStyle w:val="texto0"/>
        <w:spacing w:before="240" w:after="240"/>
      </w:pPr>
      <w:r w:rsidRPr="00066D24">
        <w:t xml:space="preserve">La evolución de la ocupación de estas plazas en los últimos cursos </w:t>
      </w:r>
      <w:r w:rsidR="000373FB">
        <w:t>académ</w:t>
      </w:r>
      <w:r w:rsidR="000373FB">
        <w:t>i</w:t>
      </w:r>
      <w:r w:rsidR="000373FB">
        <w:t>cos</w:t>
      </w:r>
      <w:r w:rsidRPr="00066D24">
        <w:t xml:space="preserve"> es la siguiente: </w:t>
      </w:r>
    </w:p>
    <w:tbl>
      <w:tblPr>
        <w:tblW w:w="8929"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80"/>
        <w:gridCol w:w="1514"/>
        <w:gridCol w:w="1514"/>
        <w:gridCol w:w="1515"/>
        <w:gridCol w:w="1906"/>
      </w:tblGrid>
      <w:tr w:rsidR="00066D24" w:rsidRPr="00EA74F8" w:rsidTr="007023D6">
        <w:trPr>
          <w:trHeight w:val="198"/>
          <w:jc w:val="center"/>
        </w:trPr>
        <w:tc>
          <w:tcPr>
            <w:tcW w:w="2480" w:type="dxa"/>
            <w:vMerge w:val="restart"/>
            <w:tcBorders>
              <w:bottom w:val="single" w:sz="2" w:space="0" w:color="auto"/>
            </w:tcBorders>
            <w:shd w:val="clear" w:color="auto" w:fill="8DB3E2" w:themeFill="text2" w:themeFillTint="66"/>
            <w:vAlign w:val="center"/>
          </w:tcPr>
          <w:p w:rsidR="00066D24" w:rsidRPr="00EA74F8" w:rsidRDefault="00066D24" w:rsidP="00066D24">
            <w:pPr>
              <w:spacing w:after="0" w:line="0" w:lineRule="atLeast"/>
              <w:ind w:firstLine="0"/>
              <w:rPr>
                <w:rFonts w:ascii="Arial" w:hAnsi="Arial" w:cs="Arial"/>
                <w:bCs/>
                <w:sz w:val="18"/>
                <w:szCs w:val="18"/>
                <w:lang w:val="es-ES" w:eastAsia="es-ES"/>
              </w:rPr>
            </w:pPr>
            <w:r w:rsidRPr="00EA74F8">
              <w:rPr>
                <w:rFonts w:ascii="Arial" w:hAnsi="Arial" w:cs="Arial"/>
                <w:bCs/>
                <w:sz w:val="18"/>
                <w:szCs w:val="18"/>
                <w:lang w:val="es-ES" w:eastAsia="es-ES"/>
              </w:rPr>
              <w:t>Curso</w:t>
            </w:r>
          </w:p>
        </w:tc>
        <w:tc>
          <w:tcPr>
            <w:tcW w:w="4543" w:type="dxa"/>
            <w:gridSpan w:val="3"/>
            <w:tcBorders>
              <w:bottom w:val="single" w:sz="2" w:space="0" w:color="auto"/>
            </w:tcBorders>
            <w:shd w:val="clear" w:color="auto" w:fill="8DB3E2" w:themeFill="text2" w:themeFillTint="66"/>
            <w:vAlign w:val="center"/>
          </w:tcPr>
          <w:p w:rsidR="00066D24" w:rsidRPr="00EA74F8" w:rsidRDefault="00066D24" w:rsidP="00066D24">
            <w:pPr>
              <w:spacing w:after="0" w:line="0" w:lineRule="atLeast"/>
              <w:ind w:firstLine="0"/>
              <w:jc w:val="center"/>
              <w:rPr>
                <w:rFonts w:ascii="Arial" w:hAnsi="Arial" w:cs="Arial"/>
                <w:bCs/>
                <w:sz w:val="18"/>
                <w:szCs w:val="18"/>
                <w:lang w:val="es-ES" w:eastAsia="es-ES"/>
              </w:rPr>
            </w:pPr>
            <w:r>
              <w:rPr>
                <w:rFonts w:ascii="Arial" w:hAnsi="Arial" w:cs="Arial"/>
                <w:bCs/>
                <w:sz w:val="18"/>
                <w:szCs w:val="18"/>
                <w:lang w:val="es-ES" w:eastAsia="es-ES"/>
              </w:rPr>
              <w:t>Plazas ocupadas</w:t>
            </w:r>
          </w:p>
        </w:tc>
        <w:tc>
          <w:tcPr>
            <w:tcW w:w="1906" w:type="dxa"/>
            <w:vMerge w:val="restart"/>
            <w:tcBorders>
              <w:bottom w:val="single" w:sz="2" w:space="0" w:color="auto"/>
            </w:tcBorders>
            <w:shd w:val="clear" w:color="auto" w:fill="8DB3E2" w:themeFill="text2" w:themeFillTint="66"/>
            <w:vAlign w:val="center"/>
          </w:tcPr>
          <w:p w:rsidR="00A75863" w:rsidRDefault="00066D24" w:rsidP="00A75863">
            <w:pPr>
              <w:spacing w:after="0" w:line="0" w:lineRule="atLeast"/>
              <w:ind w:firstLine="0"/>
              <w:jc w:val="right"/>
              <w:rPr>
                <w:rFonts w:ascii="Arial" w:hAnsi="Arial" w:cs="Arial"/>
                <w:bCs/>
                <w:sz w:val="18"/>
                <w:szCs w:val="18"/>
                <w:lang w:val="es-ES" w:eastAsia="es-ES"/>
              </w:rPr>
            </w:pPr>
            <w:r w:rsidRPr="00EA74F8">
              <w:rPr>
                <w:rFonts w:ascii="Arial" w:hAnsi="Arial" w:cs="Arial"/>
                <w:bCs/>
                <w:sz w:val="18"/>
                <w:szCs w:val="18"/>
                <w:lang w:val="es-ES" w:eastAsia="es-ES"/>
              </w:rPr>
              <w:t xml:space="preserve">% ocupación </w:t>
            </w:r>
          </w:p>
          <w:p w:rsidR="00066D24" w:rsidRPr="00EA74F8" w:rsidRDefault="00066D24" w:rsidP="00A75863">
            <w:pPr>
              <w:spacing w:after="0" w:line="0" w:lineRule="atLeast"/>
              <w:ind w:firstLine="0"/>
              <w:jc w:val="right"/>
              <w:rPr>
                <w:rFonts w:ascii="Arial" w:hAnsi="Arial" w:cs="Arial"/>
                <w:bCs/>
                <w:sz w:val="18"/>
                <w:szCs w:val="18"/>
                <w:lang w:val="es-ES" w:eastAsia="es-ES"/>
              </w:rPr>
            </w:pPr>
            <w:r w:rsidRPr="00EA74F8">
              <w:rPr>
                <w:rFonts w:ascii="Arial" w:hAnsi="Arial" w:cs="Arial"/>
                <w:bCs/>
                <w:sz w:val="18"/>
                <w:szCs w:val="18"/>
                <w:lang w:val="es-ES" w:eastAsia="es-ES"/>
              </w:rPr>
              <w:t>plazas</w:t>
            </w:r>
            <w:r w:rsidR="000373FB">
              <w:rPr>
                <w:rFonts w:ascii="Arial" w:hAnsi="Arial" w:cs="Arial"/>
                <w:bCs/>
                <w:sz w:val="18"/>
                <w:szCs w:val="18"/>
                <w:lang w:val="es-ES" w:eastAsia="es-ES"/>
              </w:rPr>
              <w:t xml:space="preserve"> </w:t>
            </w:r>
          </w:p>
        </w:tc>
      </w:tr>
      <w:tr w:rsidR="00066D24" w:rsidRPr="00EA74F8" w:rsidTr="007023D6">
        <w:trPr>
          <w:trHeight w:val="198"/>
          <w:jc w:val="center"/>
        </w:trPr>
        <w:tc>
          <w:tcPr>
            <w:tcW w:w="2480" w:type="dxa"/>
            <w:vMerge/>
            <w:tcBorders>
              <w:top w:val="single" w:sz="2" w:space="0" w:color="auto"/>
              <w:bottom w:val="single" w:sz="4" w:space="0" w:color="auto"/>
            </w:tcBorders>
            <w:shd w:val="clear" w:color="auto" w:fill="8DB3E2" w:themeFill="text2" w:themeFillTint="66"/>
            <w:vAlign w:val="center"/>
            <w:hideMark/>
          </w:tcPr>
          <w:p w:rsidR="00066D24" w:rsidRPr="00EA74F8" w:rsidRDefault="00066D24" w:rsidP="00066D24">
            <w:pPr>
              <w:spacing w:after="0" w:line="0" w:lineRule="atLeast"/>
              <w:ind w:firstLine="0"/>
              <w:jc w:val="center"/>
              <w:rPr>
                <w:rFonts w:ascii="Arial" w:hAnsi="Arial" w:cs="Arial"/>
                <w:bCs/>
                <w:sz w:val="18"/>
                <w:szCs w:val="18"/>
                <w:lang w:val="es-ES" w:eastAsia="es-ES"/>
              </w:rPr>
            </w:pPr>
          </w:p>
        </w:tc>
        <w:tc>
          <w:tcPr>
            <w:tcW w:w="1514" w:type="dxa"/>
            <w:tcBorders>
              <w:top w:val="single" w:sz="2" w:space="0" w:color="auto"/>
              <w:bottom w:val="single" w:sz="4" w:space="0" w:color="auto"/>
            </w:tcBorders>
            <w:shd w:val="clear" w:color="auto" w:fill="8DB3E2" w:themeFill="text2" w:themeFillTint="66"/>
            <w:vAlign w:val="center"/>
            <w:hideMark/>
          </w:tcPr>
          <w:p w:rsidR="00066D24" w:rsidRPr="00EA74F8" w:rsidRDefault="00066D24" w:rsidP="00066D24">
            <w:pPr>
              <w:spacing w:after="0" w:line="0" w:lineRule="atLeast"/>
              <w:ind w:firstLine="0"/>
              <w:jc w:val="right"/>
              <w:rPr>
                <w:rFonts w:ascii="Arial" w:hAnsi="Arial" w:cs="Arial"/>
                <w:bCs/>
                <w:sz w:val="18"/>
                <w:szCs w:val="18"/>
                <w:lang w:val="es-ES" w:eastAsia="es-ES"/>
              </w:rPr>
            </w:pPr>
            <w:r w:rsidRPr="00EA74F8">
              <w:rPr>
                <w:rFonts w:ascii="Arial" w:hAnsi="Arial" w:cs="Arial"/>
                <w:bCs/>
                <w:sz w:val="18"/>
                <w:szCs w:val="18"/>
                <w:lang w:val="es-ES" w:eastAsia="es-ES"/>
              </w:rPr>
              <w:t>Estudiantes</w:t>
            </w:r>
          </w:p>
        </w:tc>
        <w:tc>
          <w:tcPr>
            <w:tcW w:w="1514" w:type="dxa"/>
            <w:tcBorders>
              <w:top w:val="single" w:sz="2" w:space="0" w:color="auto"/>
              <w:bottom w:val="single" w:sz="4" w:space="0" w:color="auto"/>
            </w:tcBorders>
            <w:shd w:val="clear" w:color="auto" w:fill="8DB3E2" w:themeFill="text2" w:themeFillTint="66"/>
            <w:vAlign w:val="center"/>
            <w:hideMark/>
          </w:tcPr>
          <w:p w:rsidR="00066D24" w:rsidRPr="00EA74F8" w:rsidRDefault="00066D24" w:rsidP="00066D24">
            <w:pPr>
              <w:spacing w:after="0" w:line="0" w:lineRule="atLeast"/>
              <w:ind w:firstLine="0"/>
              <w:jc w:val="right"/>
              <w:rPr>
                <w:rFonts w:ascii="Arial" w:hAnsi="Arial" w:cs="Arial"/>
                <w:bCs/>
                <w:sz w:val="18"/>
                <w:szCs w:val="18"/>
                <w:lang w:val="es-ES" w:eastAsia="es-ES"/>
              </w:rPr>
            </w:pPr>
            <w:r w:rsidRPr="00EA74F8">
              <w:rPr>
                <w:rFonts w:ascii="Arial" w:hAnsi="Arial" w:cs="Arial"/>
                <w:bCs/>
                <w:sz w:val="18"/>
                <w:szCs w:val="18"/>
                <w:lang w:val="es-ES" w:eastAsia="es-ES"/>
              </w:rPr>
              <w:t>Deportistas</w:t>
            </w:r>
          </w:p>
        </w:tc>
        <w:tc>
          <w:tcPr>
            <w:tcW w:w="1515" w:type="dxa"/>
            <w:tcBorders>
              <w:top w:val="single" w:sz="2" w:space="0" w:color="auto"/>
              <w:bottom w:val="single" w:sz="4" w:space="0" w:color="auto"/>
            </w:tcBorders>
            <w:shd w:val="clear" w:color="auto" w:fill="8DB3E2" w:themeFill="text2" w:themeFillTint="66"/>
            <w:vAlign w:val="center"/>
          </w:tcPr>
          <w:p w:rsidR="00066D24" w:rsidRPr="00EA74F8" w:rsidRDefault="00066D24" w:rsidP="00066D24">
            <w:pPr>
              <w:spacing w:after="0" w:line="0" w:lineRule="atLeast"/>
              <w:ind w:firstLine="0"/>
              <w:jc w:val="right"/>
              <w:rPr>
                <w:rFonts w:ascii="Arial" w:hAnsi="Arial" w:cs="Arial"/>
                <w:bCs/>
                <w:sz w:val="18"/>
                <w:szCs w:val="18"/>
                <w:lang w:val="es-ES" w:eastAsia="es-ES"/>
              </w:rPr>
            </w:pPr>
            <w:r>
              <w:rPr>
                <w:rFonts w:ascii="Arial" w:hAnsi="Arial" w:cs="Arial"/>
                <w:bCs/>
                <w:sz w:val="18"/>
                <w:szCs w:val="18"/>
                <w:lang w:val="es-ES" w:eastAsia="es-ES"/>
              </w:rPr>
              <w:t>Total</w:t>
            </w:r>
          </w:p>
        </w:tc>
        <w:tc>
          <w:tcPr>
            <w:tcW w:w="1906" w:type="dxa"/>
            <w:vMerge/>
            <w:tcBorders>
              <w:top w:val="single" w:sz="2" w:space="0" w:color="auto"/>
              <w:bottom w:val="single" w:sz="4" w:space="0" w:color="auto"/>
            </w:tcBorders>
            <w:shd w:val="clear" w:color="auto" w:fill="8DB3E2" w:themeFill="text2" w:themeFillTint="66"/>
            <w:vAlign w:val="center"/>
          </w:tcPr>
          <w:p w:rsidR="00066D24" w:rsidRPr="00EA74F8" w:rsidRDefault="00066D24" w:rsidP="00066D24">
            <w:pPr>
              <w:spacing w:after="0" w:line="0" w:lineRule="atLeast"/>
              <w:ind w:firstLine="0"/>
              <w:jc w:val="center"/>
              <w:rPr>
                <w:rFonts w:ascii="Arial" w:hAnsi="Arial" w:cs="Arial"/>
                <w:bCs/>
                <w:sz w:val="18"/>
                <w:szCs w:val="18"/>
                <w:lang w:val="es-ES" w:eastAsia="es-ES"/>
              </w:rPr>
            </w:pPr>
          </w:p>
        </w:tc>
      </w:tr>
      <w:tr w:rsidR="00066D24" w:rsidRPr="00801BBB" w:rsidTr="007023D6">
        <w:trPr>
          <w:trHeight w:val="198"/>
          <w:jc w:val="center"/>
        </w:trPr>
        <w:tc>
          <w:tcPr>
            <w:tcW w:w="2480" w:type="dxa"/>
            <w:tcBorders>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lang w:val="es-ES" w:eastAsia="es-ES"/>
              </w:rPr>
            </w:pPr>
            <w:r w:rsidRPr="00801BBB">
              <w:rPr>
                <w:rFonts w:ascii="Arial Narrow" w:hAnsi="Arial Narrow" w:cs="Arial"/>
                <w:lang w:val="es-ES" w:eastAsia="es-ES"/>
              </w:rPr>
              <w:t>2011-12</w:t>
            </w:r>
          </w:p>
        </w:tc>
        <w:tc>
          <w:tcPr>
            <w:tcW w:w="1514" w:type="dxa"/>
            <w:tcBorders>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41</w:t>
            </w:r>
          </w:p>
        </w:tc>
        <w:tc>
          <w:tcPr>
            <w:tcW w:w="1514" w:type="dxa"/>
            <w:tcBorders>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30</w:t>
            </w:r>
          </w:p>
        </w:tc>
        <w:tc>
          <w:tcPr>
            <w:tcW w:w="1515" w:type="dxa"/>
            <w:tcBorders>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Pr>
                <w:rFonts w:ascii="Arial Narrow" w:hAnsi="Arial Narrow" w:cs="Arial"/>
                <w:lang w:val="es-ES" w:eastAsia="es-ES"/>
              </w:rPr>
              <w:t>71</w:t>
            </w:r>
          </w:p>
        </w:tc>
        <w:tc>
          <w:tcPr>
            <w:tcW w:w="1906" w:type="dxa"/>
            <w:tcBorders>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72</w:t>
            </w:r>
          </w:p>
        </w:tc>
      </w:tr>
      <w:tr w:rsidR="00066D24" w:rsidRPr="00801BBB" w:rsidTr="007023D6">
        <w:trPr>
          <w:trHeight w:val="198"/>
          <w:jc w:val="center"/>
        </w:trPr>
        <w:tc>
          <w:tcPr>
            <w:tcW w:w="2480"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lang w:val="es-ES" w:eastAsia="es-ES"/>
              </w:rPr>
            </w:pPr>
            <w:r w:rsidRPr="00801BBB">
              <w:rPr>
                <w:rFonts w:ascii="Arial Narrow" w:hAnsi="Arial Narrow" w:cs="Arial"/>
                <w:lang w:val="es-ES" w:eastAsia="es-ES"/>
              </w:rPr>
              <w:t>2012-13</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32</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24</w:t>
            </w:r>
          </w:p>
        </w:tc>
        <w:tc>
          <w:tcPr>
            <w:tcW w:w="1515"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Pr>
                <w:rFonts w:ascii="Arial Narrow" w:hAnsi="Arial Narrow" w:cs="Arial"/>
                <w:lang w:val="es-ES" w:eastAsia="es-ES"/>
              </w:rPr>
              <w:t>56</w:t>
            </w:r>
          </w:p>
        </w:tc>
        <w:tc>
          <w:tcPr>
            <w:tcW w:w="1906"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57</w:t>
            </w:r>
          </w:p>
        </w:tc>
      </w:tr>
      <w:tr w:rsidR="00066D24" w:rsidRPr="00801BBB" w:rsidTr="007023D6">
        <w:trPr>
          <w:trHeight w:val="198"/>
          <w:jc w:val="center"/>
        </w:trPr>
        <w:tc>
          <w:tcPr>
            <w:tcW w:w="2480"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lang w:val="es-ES" w:eastAsia="es-ES"/>
              </w:rPr>
            </w:pPr>
            <w:r w:rsidRPr="00801BBB">
              <w:rPr>
                <w:rFonts w:ascii="Arial Narrow" w:hAnsi="Arial Narrow" w:cs="Arial"/>
                <w:lang w:val="es-ES" w:eastAsia="es-ES"/>
              </w:rPr>
              <w:t>2013-14</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29</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17</w:t>
            </w:r>
          </w:p>
        </w:tc>
        <w:tc>
          <w:tcPr>
            <w:tcW w:w="1515"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Pr>
                <w:rFonts w:ascii="Arial Narrow" w:hAnsi="Arial Narrow" w:cs="Arial"/>
                <w:lang w:val="es-ES" w:eastAsia="es-ES"/>
              </w:rPr>
              <w:t>46</w:t>
            </w:r>
          </w:p>
        </w:tc>
        <w:tc>
          <w:tcPr>
            <w:tcW w:w="1906"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47</w:t>
            </w:r>
          </w:p>
        </w:tc>
      </w:tr>
      <w:tr w:rsidR="00066D24" w:rsidRPr="00801BBB" w:rsidTr="007023D6">
        <w:trPr>
          <w:trHeight w:val="198"/>
          <w:jc w:val="center"/>
        </w:trPr>
        <w:tc>
          <w:tcPr>
            <w:tcW w:w="2480"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lang w:val="es-ES" w:eastAsia="es-ES"/>
              </w:rPr>
            </w:pPr>
            <w:r w:rsidRPr="00801BBB">
              <w:rPr>
                <w:rFonts w:ascii="Arial Narrow" w:hAnsi="Arial Narrow" w:cs="Arial"/>
                <w:lang w:val="es-ES" w:eastAsia="es-ES"/>
              </w:rPr>
              <w:t>2014-15</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24</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17</w:t>
            </w:r>
          </w:p>
        </w:tc>
        <w:tc>
          <w:tcPr>
            <w:tcW w:w="1515"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Pr>
                <w:rFonts w:ascii="Arial Narrow" w:hAnsi="Arial Narrow" w:cs="Arial"/>
                <w:lang w:val="es-ES" w:eastAsia="es-ES"/>
              </w:rPr>
              <w:t>41</w:t>
            </w:r>
          </w:p>
        </w:tc>
        <w:tc>
          <w:tcPr>
            <w:tcW w:w="1906"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42</w:t>
            </w:r>
          </w:p>
        </w:tc>
      </w:tr>
      <w:tr w:rsidR="00066D24" w:rsidRPr="00801BBB" w:rsidTr="007023D6">
        <w:trPr>
          <w:trHeight w:val="198"/>
          <w:jc w:val="center"/>
        </w:trPr>
        <w:tc>
          <w:tcPr>
            <w:tcW w:w="2480"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lang w:val="es-ES" w:eastAsia="es-ES"/>
              </w:rPr>
            </w:pPr>
            <w:r w:rsidRPr="00801BBB">
              <w:rPr>
                <w:rFonts w:ascii="Arial Narrow" w:hAnsi="Arial Narrow" w:cs="Arial"/>
                <w:lang w:val="es-ES" w:eastAsia="es-ES"/>
              </w:rPr>
              <w:t>2015-16</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37</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10</w:t>
            </w:r>
          </w:p>
        </w:tc>
        <w:tc>
          <w:tcPr>
            <w:tcW w:w="1515"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Pr>
                <w:rFonts w:ascii="Arial Narrow" w:hAnsi="Arial Narrow" w:cs="Arial"/>
                <w:lang w:val="es-ES" w:eastAsia="es-ES"/>
              </w:rPr>
              <w:t>47</w:t>
            </w:r>
          </w:p>
        </w:tc>
        <w:tc>
          <w:tcPr>
            <w:tcW w:w="1906"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48</w:t>
            </w:r>
          </w:p>
        </w:tc>
      </w:tr>
      <w:tr w:rsidR="00066D24" w:rsidRPr="00801BBB" w:rsidTr="007023D6">
        <w:trPr>
          <w:trHeight w:val="198"/>
          <w:jc w:val="center"/>
        </w:trPr>
        <w:tc>
          <w:tcPr>
            <w:tcW w:w="2480" w:type="dxa"/>
            <w:tcBorders>
              <w:top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lang w:val="es-ES" w:eastAsia="es-ES"/>
              </w:rPr>
            </w:pPr>
            <w:r w:rsidRPr="00801BBB">
              <w:rPr>
                <w:rFonts w:ascii="Arial Narrow" w:hAnsi="Arial Narrow" w:cs="Arial"/>
                <w:lang w:val="es-ES" w:eastAsia="es-ES"/>
              </w:rPr>
              <w:t>2016-17</w:t>
            </w:r>
          </w:p>
        </w:tc>
        <w:tc>
          <w:tcPr>
            <w:tcW w:w="1514" w:type="dxa"/>
            <w:tcBorders>
              <w:top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44</w:t>
            </w:r>
          </w:p>
        </w:tc>
        <w:tc>
          <w:tcPr>
            <w:tcW w:w="1514" w:type="dxa"/>
            <w:tcBorders>
              <w:top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12</w:t>
            </w:r>
          </w:p>
        </w:tc>
        <w:tc>
          <w:tcPr>
            <w:tcW w:w="1515" w:type="dxa"/>
            <w:tcBorders>
              <w:top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Pr>
                <w:rFonts w:ascii="Arial Narrow" w:hAnsi="Arial Narrow" w:cs="Arial"/>
                <w:lang w:val="es-ES" w:eastAsia="es-ES"/>
              </w:rPr>
              <w:t>56</w:t>
            </w:r>
          </w:p>
        </w:tc>
        <w:tc>
          <w:tcPr>
            <w:tcW w:w="1906" w:type="dxa"/>
            <w:tcBorders>
              <w:top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lang w:val="es-ES" w:eastAsia="es-ES"/>
              </w:rPr>
            </w:pPr>
            <w:r w:rsidRPr="00801BBB">
              <w:rPr>
                <w:rFonts w:ascii="Arial Narrow" w:hAnsi="Arial Narrow" w:cs="Arial"/>
                <w:lang w:val="es-ES" w:eastAsia="es-ES"/>
              </w:rPr>
              <w:t>57</w:t>
            </w:r>
          </w:p>
        </w:tc>
      </w:tr>
    </w:tbl>
    <w:p w:rsidR="00066D24" w:rsidRPr="00066D24" w:rsidRDefault="00066D24" w:rsidP="00066D24">
      <w:pPr>
        <w:pStyle w:val="texto0"/>
        <w:spacing w:before="240"/>
      </w:pPr>
      <w:r w:rsidRPr="00066D24">
        <w:t>El porcentaje de ocupación de las plazas ha ido disminuyendo</w:t>
      </w:r>
      <w:r w:rsidR="00953932">
        <w:t>,</w:t>
      </w:r>
      <w:r w:rsidRPr="00066D24">
        <w:t xml:space="preserve"> si bien </w:t>
      </w:r>
      <w:r w:rsidR="000373FB">
        <w:t>existe</w:t>
      </w:r>
      <w:r w:rsidRPr="00066D24">
        <w:t xml:space="preserve"> un cierto repunte a partir de 2015. Se observa</w:t>
      </w:r>
      <w:r w:rsidR="00953932">
        <w:t>,</w:t>
      </w:r>
      <w:r w:rsidRPr="00066D24">
        <w:t xml:space="preserve"> además</w:t>
      </w:r>
      <w:r w:rsidR="000373FB">
        <w:t>,</w:t>
      </w:r>
      <w:r w:rsidRPr="00066D24">
        <w:t xml:space="preserve"> que la relevancia de la ocupación de los deportistas en el total va disminuyendo conforme ha pasado el tiempo. Para valorar estos datos de ocupación continua de las plazas hay que tener en cuenta que aquí no están incluidas las </w:t>
      </w:r>
      <w:r w:rsidR="000373FB">
        <w:t>estancias</w:t>
      </w:r>
      <w:r w:rsidRPr="00066D24">
        <w:t xml:space="preserve"> de los alberguistas. </w:t>
      </w:r>
    </w:p>
    <w:p w:rsidR="00066D24" w:rsidRPr="00066D24" w:rsidRDefault="00066D24" w:rsidP="00066D24">
      <w:pPr>
        <w:pStyle w:val="texto0"/>
        <w:spacing w:after="240"/>
      </w:pPr>
      <w:r w:rsidRPr="00066D24">
        <w:t>Detallamos a continuación otro indicador de la actividad con el que cuenta la residencia que son las pernoctaciones anuales que sí incluye los datos relativos a los alberguistas; los datos para los últimos cinco años son:</w:t>
      </w:r>
    </w:p>
    <w:tbl>
      <w:tblPr>
        <w:tblW w:w="8929" w:type="dxa"/>
        <w:jc w:val="center"/>
        <w:tblBorders>
          <w:bottom w:val="single" w:sz="4" w:space="0" w:color="auto"/>
        </w:tblBorders>
        <w:tblLayout w:type="fixed"/>
        <w:tblCellMar>
          <w:left w:w="70" w:type="dxa"/>
          <w:right w:w="70" w:type="dxa"/>
        </w:tblCellMar>
        <w:tblLook w:val="04A0" w:firstRow="1" w:lastRow="0" w:firstColumn="1" w:lastColumn="0" w:noHBand="0" w:noVBand="1"/>
      </w:tblPr>
      <w:tblGrid>
        <w:gridCol w:w="1960"/>
        <w:gridCol w:w="897"/>
        <w:gridCol w:w="898"/>
        <w:gridCol w:w="898"/>
        <w:gridCol w:w="898"/>
        <w:gridCol w:w="898"/>
        <w:gridCol w:w="1240"/>
        <w:gridCol w:w="1240"/>
      </w:tblGrid>
      <w:tr w:rsidR="000373FB" w:rsidRPr="00B30CF7" w:rsidTr="00066D24">
        <w:trPr>
          <w:trHeight w:val="198"/>
          <w:jc w:val="center"/>
        </w:trPr>
        <w:tc>
          <w:tcPr>
            <w:tcW w:w="1960" w:type="dxa"/>
            <w:tcBorders>
              <w:top w:val="single" w:sz="4" w:space="0" w:color="auto"/>
              <w:bottom w:val="single" w:sz="4" w:space="0" w:color="auto"/>
            </w:tcBorders>
            <w:shd w:val="clear" w:color="auto" w:fill="8DB3E2" w:themeFill="text2" w:themeFillTint="66"/>
            <w:noWrap/>
            <w:vAlign w:val="center"/>
          </w:tcPr>
          <w:p w:rsidR="000373FB" w:rsidRPr="00B30CF7" w:rsidRDefault="000373FB" w:rsidP="00066D24">
            <w:pPr>
              <w:spacing w:after="0"/>
              <w:ind w:firstLine="0"/>
              <w:jc w:val="left"/>
              <w:rPr>
                <w:rFonts w:ascii="Calibri" w:hAnsi="Calibri"/>
                <w:color w:val="000000"/>
                <w:sz w:val="22"/>
                <w:szCs w:val="22"/>
                <w:lang w:val="es-ES" w:eastAsia="es-ES"/>
              </w:rPr>
            </w:pPr>
          </w:p>
        </w:tc>
        <w:tc>
          <w:tcPr>
            <w:tcW w:w="897"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373FB">
            <w:pPr>
              <w:spacing w:after="0"/>
              <w:ind w:firstLine="0"/>
              <w:jc w:val="right"/>
              <w:rPr>
                <w:rFonts w:ascii="Arial" w:hAnsi="Arial" w:cs="Arial"/>
                <w:color w:val="000000"/>
                <w:sz w:val="18"/>
                <w:szCs w:val="18"/>
                <w:lang w:val="es-ES" w:eastAsia="es-ES"/>
              </w:rPr>
            </w:pPr>
            <w:r w:rsidRPr="00B30CF7">
              <w:rPr>
                <w:rFonts w:ascii="Arial" w:hAnsi="Arial" w:cs="Arial"/>
                <w:color w:val="000000"/>
                <w:sz w:val="18"/>
                <w:szCs w:val="18"/>
                <w:lang w:val="es-ES" w:eastAsia="es-ES"/>
              </w:rPr>
              <w:t>2012</w:t>
            </w:r>
          </w:p>
        </w:tc>
        <w:tc>
          <w:tcPr>
            <w:tcW w:w="898"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373FB">
            <w:pPr>
              <w:spacing w:after="0"/>
              <w:ind w:firstLine="0"/>
              <w:jc w:val="right"/>
              <w:rPr>
                <w:rFonts w:ascii="Arial" w:hAnsi="Arial" w:cs="Arial"/>
                <w:color w:val="000000"/>
                <w:sz w:val="18"/>
                <w:szCs w:val="18"/>
                <w:lang w:val="es-ES" w:eastAsia="es-ES"/>
              </w:rPr>
            </w:pPr>
            <w:r w:rsidRPr="00B30CF7">
              <w:rPr>
                <w:rFonts w:ascii="Arial" w:hAnsi="Arial" w:cs="Arial"/>
                <w:color w:val="000000"/>
                <w:sz w:val="18"/>
                <w:szCs w:val="18"/>
                <w:lang w:val="es-ES" w:eastAsia="es-ES"/>
              </w:rPr>
              <w:t>2013</w:t>
            </w:r>
          </w:p>
        </w:tc>
        <w:tc>
          <w:tcPr>
            <w:tcW w:w="898"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373FB">
            <w:pPr>
              <w:spacing w:after="0"/>
              <w:ind w:firstLine="0"/>
              <w:jc w:val="right"/>
              <w:rPr>
                <w:rFonts w:ascii="Arial" w:hAnsi="Arial" w:cs="Arial"/>
                <w:color w:val="000000"/>
                <w:sz w:val="18"/>
                <w:szCs w:val="18"/>
                <w:lang w:val="es-ES" w:eastAsia="es-ES"/>
              </w:rPr>
            </w:pPr>
            <w:r w:rsidRPr="00B30CF7">
              <w:rPr>
                <w:rFonts w:ascii="Arial" w:hAnsi="Arial" w:cs="Arial"/>
                <w:color w:val="000000"/>
                <w:sz w:val="18"/>
                <w:szCs w:val="18"/>
                <w:lang w:val="es-ES" w:eastAsia="es-ES"/>
              </w:rPr>
              <w:t>2014</w:t>
            </w:r>
          </w:p>
        </w:tc>
        <w:tc>
          <w:tcPr>
            <w:tcW w:w="898"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373FB">
            <w:pPr>
              <w:spacing w:after="0"/>
              <w:ind w:firstLine="0"/>
              <w:jc w:val="right"/>
              <w:rPr>
                <w:rFonts w:ascii="Arial" w:hAnsi="Arial" w:cs="Arial"/>
                <w:color w:val="000000"/>
                <w:sz w:val="18"/>
                <w:szCs w:val="18"/>
                <w:lang w:val="es-ES" w:eastAsia="es-ES"/>
              </w:rPr>
            </w:pPr>
            <w:r w:rsidRPr="00B30CF7">
              <w:rPr>
                <w:rFonts w:ascii="Arial" w:hAnsi="Arial" w:cs="Arial"/>
                <w:color w:val="000000"/>
                <w:sz w:val="18"/>
                <w:szCs w:val="18"/>
                <w:lang w:val="es-ES" w:eastAsia="es-ES"/>
              </w:rPr>
              <w:t>2015</w:t>
            </w:r>
          </w:p>
        </w:tc>
        <w:tc>
          <w:tcPr>
            <w:tcW w:w="898"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66D2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2016</w:t>
            </w:r>
          </w:p>
        </w:tc>
        <w:tc>
          <w:tcPr>
            <w:tcW w:w="1240" w:type="dxa"/>
            <w:tcBorders>
              <w:top w:val="single" w:sz="4" w:space="0" w:color="auto"/>
              <w:bottom w:val="single" w:sz="4" w:space="0" w:color="auto"/>
            </w:tcBorders>
            <w:shd w:val="clear" w:color="auto" w:fill="8DB3E2" w:themeFill="text2" w:themeFillTint="66"/>
            <w:vAlign w:val="center"/>
          </w:tcPr>
          <w:p w:rsidR="000373FB" w:rsidRPr="00726746" w:rsidRDefault="000373FB" w:rsidP="000373FB">
            <w:pPr>
              <w:spacing w:after="0"/>
              <w:ind w:firstLine="0"/>
              <w:jc w:val="right"/>
              <w:rPr>
                <w:rFonts w:ascii="Arial" w:hAnsi="Arial" w:cs="Arial"/>
                <w:color w:val="000000"/>
                <w:sz w:val="18"/>
                <w:szCs w:val="18"/>
                <w:lang w:val="es-ES" w:eastAsia="es-ES"/>
              </w:rPr>
            </w:pPr>
            <w:r w:rsidRPr="00726746">
              <w:rPr>
                <w:rFonts w:ascii="Arial" w:hAnsi="Arial" w:cs="Arial"/>
                <w:color w:val="000000"/>
                <w:sz w:val="18"/>
                <w:szCs w:val="18"/>
                <w:lang w:eastAsia="es-ES"/>
              </w:rPr>
              <w:t>%</w:t>
            </w:r>
            <w:r>
              <w:rPr>
                <w:rFonts w:ascii="Arial" w:hAnsi="Arial" w:cs="Arial"/>
                <w:color w:val="000000"/>
                <w:sz w:val="18"/>
                <w:szCs w:val="18"/>
                <w:lang w:eastAsia="es-ES"/>
              </w:rPr>
              <w:t xml:space="preserve"> variación 2016/2012</w:t>
            </w:r>
          </w:p>
        </w:tc>
        <w:tc>
          <w:tcPr>
            <w:tcW w:w="1240" w:type="dxa"/>
            <w:tcBorders>
              <w:top w:val="single" w:sz="4" w:space="0" w:color="auto"/>
              <w:bottom w:val="single" w:sz="4" w:space="0" w:color="auto"/>
            </w:tcBorders>
            <w:shd w:val="clear" w:color="auto" w:fill="8DB3E2" w:themeFill="text2" w:themeFillTint="66"/>
            <w:vAlign w:val="center"/>
          </w:tcPr>
          <w:p w:rsidR="000373FB" w:rsidRDefault="000373FB" w:rsidP="00066D24">
            <w:pPr>
              <w:spacing w:after="0"/>
              <w:ind w:firstLine="0"/>
              <w:jc w:val="right"/>
              <w:rPr>
                <w:rFonts w:ascii="Arial" w:hAnsi="Arial" w:cs="Arial"/>
                <w:color w:val="000000"/>
                <w:sz w:val="18"/>
                <w:szCs w:val="18"/>
                <w:lang w:eastAsia="es-ES"/>
              </w:rPr>
            </w:pPr>
            <w:r w:rsidRPr="00726746">
              <w:rPr>
                <w:rFonts w:ascii="Arial" w:hAnsi="Arial" w:cs="Arial"/>
                <w:color w:val="000000"/>
                <w:sz w:val="18"/>
                <w:szCs w:val="18"/>
                <w:lang w:eastAsia="es-ES"/>
              </w:rPr>
              <w:t>%</w:t>
            </w:r>
            <w:r>
              <w:rPr>
                <w:rFonts w:ascii="Arial" w:hAnsi="Arial" w:cs="Arial"/>
                <w:color w:val="000000"/>
                <w:sz w:val="18"/>
                <w:szCs w:val="18"/>
                <w:lang w:eastAsia="es-ES"/>
              </w:rPr>
              <w:t xml:space="preserve"> variación</w:t>
            </w:r>
          </w:p>
          <w:p w:rsidR="000373FB" w:rsidRPr="00726746" w:rsidRDefault="000373FB" w:rsidP="000373F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2016/2015</w:t>
            </w:r>
          </w:p>
        </w:tc>
      </w:tr>
      <w:tr w:rsidR="000373FB" w:rsidRPr="00066D24" w:rsidTr="00066D24">
        <w:trPr>
          <w:trHeight w:val="198"/>
          <w:jc w:val="center"/>
        </w:trPr>
        <w:tc>
          <w:tcPr>
            <w:tcW w:w="1960" w:type="dxa"/>
            <w:tcBorders>
              <w:top w:val="single" w:sz="4" w:space="0" w:color="auto"/>
              <w:bottom w:val="single" w:sz="4" w:space="0" w:color="auto"/>
            </w:tcBorders>
            <w:shd w:val="clear" w:color="auto" w:fill="auto"/>
            <w:noWrap/>
            <w:vAlign w:val="center"/>
            <w:hideMark/>
          </w:tcPr>
          <w:p w:rsidR="000373FB" w:rsidRPr="00066D24" w:rsidRDefault="000373FB" w:rsidP="00066D24">
            <w:pPr>
              <w:spacing w:after="0"/>
              <w:ind w:firstLine="0"/>
              <w:jc w:val="left"/>
              <w:rPr>
                <w:rFonts w:ascii="Arial Narrow" w:hAnsi="Arial Narrow" w:cs="Arial"/>
                <w:color w:val="000000"/>
                <w:lang w:val="es-ES" w:eastAsia="es-ES"/>
              </w:rPr>
            </w:pPr>
            <w:r w:rsidRPr="00066D24">
              <w:rPr>
                <w:rFonts w:ascii="Arial Narrow" w:hAnsi="Arial Narrow" w:cs="Arial"/>
                <w:color w:val="000000"/>
                <w:lang w:val="es-ES" w:eastAsia="es-ES"/>
              </w:rPr>
              <w:t>Pernoctaciones totales</w:t>
            </w:r>
          </w:p>
        </w:tc>
        <w:tc>
          <w:tcPr>
            <w:tcW w:w="897" w:type="dxa"/>
            <w:tcBorders>
              <w:top w:val="single" w:sz="4" w:space="0" w:color="auto"/>
              <w:bottom w:val="single" w:sz="4" w:space="0" w:color="auto"/>
            </w:tcBorders>
            <w:shd w:val="clear" w:color="auto" w:fill="auto"/>
            <w:noWrap/>
            <w:vAlign w:val="center"/>
            <w:hideMark/>
          </w:tcPr>
          <w:p w:rsidR="000373FB" w:rsidRPr="00066D24" w:rsidRDefault="000373FB" w:rsidP="000373FB">
            <w:pPr>
              <w:spacing w:after="0"/>
              <w:ind w:firstLine="0"/>
              <w:jc w:val="right"/>
              <w:rPr>
                <w:rFonts w:ascii="Arial Narrow" w:hAnsi="Arial Narrow"/>
                <w:color w:val="000000"/>
                <w:lang w:val="es-ES" w:eastAsia="es-ES"/>
              </w:rPr>
            </w:pPr>
            <w:r w:rsidRPr="00066D24">
              <w:rPr>
                <w:rFonts w:ascii="Arial Narrow" w:hAnsi="Arial Narrow"/>
                <w:color w:val="000000"/>
                <w:lang w:val="es-ES" w:eastAsia="es-ES"/>
              </w:rPr>
              <w:t>22.823</w:t>
            </w:r>
          </w:p>
        </w:tc>
        <w:tc>
          <w:tcPr>
            <w:tcW w:w="898" w:type="dxa"/>
            <w:tcBorders>
              <w:top w:val="single" w:sz="4" w:space="0" w:color="auto"/>
              <w:bottom w:val="single" w:sz="4" w:space="0" w:color="auto"/>
            </w:tcBorders>
            <w:shd w:val="clear" w:color="auto" w:fill="auto"/>
            <w:noWrap/>
            <w:vAlign w:val="center"/>
            <w:hideMark/>
          </w:tcPr>
          <w:p w:rsidR="000373FB" w:rsidRPr="00066D24" w:rsidRDefault="000373FB" w:rsidP="000373FB">
            <w:pPr>
              <w:spacing w:after="0"/>
              <w:ind w:firstLine="0"/>
              <w:jc w:val="right"/>
              <w:rPr>
                <w:rFonts w:ascii="Arial Narrow" w:hAnsi="Arial Narrow"/>
                <w:color w:val="000000"/>
                <w:lang w:val="es-ES" w:eastAsia="es-ES"/>
              </w:rPr>
            </w:pPr>
            <w:r w:rsidRPr="00066D24">
              <w:rPr>
                <w:rFonts w:ascii="Arial Narrow" w:hAnsi="Arial Narrow"/>
                <w:color w:val="000000"/>
                <w:lang w:val="es-ES" w:eastAsia="es-ES"/>
              </w:rPr>
              <w:t>15.226</w:t>
            </w:r>
          </w:p>
        </w:tc>
        <w:tc>
          <w:tcPr>
            <w:tcW w:w="898" w:type="dxa"/>
            <w:tcBorders>
              <w:top w:val="single" w:sz="4" w:space="0" w:color="auto"/>
              <w:bottom w:val="single" w:sz="4" w:space="0" w:color="auto"/>
            </w:tcBorders>
            <w:shd w:val="clear" w:color="auto" w:fill="auto"/>
            <w:noWrap/>
            <w:vAlign w:val="center"/>
            <w:hideMark/>
          </w:tcPr>
          <w:p w:rsidR="000373FB" w:rsidRPr="00066D24" w:rsidRDefault="000373FB" w:rsidP="000373FB">
            <w:pPr>
              <w:spacing w:after="0"/>
              <w:ind w:firstLine="0"/>
              <w:jc w:val="right"/>
              <w:rPr>
                <w:rFonts w:ascii="Arial Narrow" w:hAnsi="Arial Narrow"/>
                <w:color w:val="000000"/>
                <w:lang w:val="es-ES" w:eastAsia="es-ES"/>
              </w:rPr>
            </w:pPr>
            <w:r w:rsidRPr="00066D24">
              <w:rPr>
                <w:rFonts w:ascii="Arial Narrow" w:hAnsi="Arial Narrow"/>
                <w:color w:val="000000"/>
                <w:lang w:val="es-ES" w:eastAsia="es-ES"/>
              </w:rPr>
              <w:t>16.257</w:t>
            </w:r>
          </w:p>
        </w:tc>
        <w:tc>
          <w:tcPr>
            <w:tcW w:w="898" w:type="dxa"/>
            <w:tcBorders>
              <w:top w:val="single" w:sz="4" w:space="0" w:color="auto"/>
              <w:bottom w:val="single" w:sz="4" w:space="0" w:color="auto"/>
            </w:tcBorders>
            <w:shd w:val="clear" w:color="auto" w:fill="auto"/>
            <w:noWrap/>
            <w:vAlign w:val="center"/>
            <w:hideMark/>
          </w:tcPr>
          <w:p w:rsidR="000373FB" w:rsidRPr="00066D24" w:rsidRDefault="000373FB" w:rsidP="000373FB">
            <w:pPr>
              <w:spacing w:after="0"/>
              <w:ind w:firstLine="0"/>
              <w:jc w:val="right"/>
              <w:rPr>
                <w:rFonts w:ascii="Arial Narrow" w:hAnsi="Arial Narrow"/>
                <w:color w:val="000000"/>
                <w:lang w:val="es-ES" w:eastAsia="es-ES"/>
              </w:rPr>
            </w:pPr>
            <w:r w:rsidRPr="00066D24">
              <w:rPr>
                <w:rFonts w:ascii="Arial Narrow" w:hAnsi="Arial Narrow"/>
                <w:color w:val="000000"/>
                <w:lang w:val="es-ES" w:eastAsia="es-ES"/>
              </w:rPr>
              <w:t>16.545</w:t>
            </w:r>
          </w:p>
        </w:tc>
        <w:tc>
          <w:tcPr>
            <w:tcW w:w="898" w:type="dxa"/>
            <w:tcBorders>
              <w:top w:val="single" w:sz="4" w:space="0" w:color="auto"/>
              <w:bottom w:val="single" w:sz="4" w:space="0" w:color="auto"/>
            </w:tcBorders>
            <w:shd w:val="clear" w:color="auto" w:fill="auto"/>
            <w:noWrap/>
            <w:vAlign w:val="center"/>
            <w:hideMark/>
          </w:tcPr>
          <w:p w:rsidR="000373FB" w:rsidRPr="00066D24" w:rsidRDefault="000373FB" w:rsidP="00066D24">
            <w:pPr>
              <w:spacing w:after="0"/>
              <w:ind w:firstLine="0"/>
              <w:jc w:val="right"/>
              <w:rPr>
                <w:rFonts w:ascii="Arial Narrow" w:hAnsi="Arial Narrow"/>
                <w:color w:val="000000"/>
                <w:lang w:val="es-ES" w:eastAsia="es-ES"/>
              </w:rPr>
            </w:pPr>
            <w:r w:rsidRPr="00066D24">
              <w:rPr>
                <w:rFonts w:ascii="Arial Narrow" w:hAnsi="Arial Narrow"/>
                <w:color w:val="000000"/>
                <w:lang w:val="es-ES" w:eastAsia="es-ES"/>
              </w:rPr>
              <w:t>1</w:t>
            </w:r>
            <w:r>
              <w:rPr>
                <w:rFonts w:ascii="Arial Narrow" w:hAnsi="Arial Narrow"/>
                <w:color w:val="000000"/>
                <w:lang w:val="es-ES" w:eastAsia="es-ES"/>
              </w:rPr>
              <w:t>9.206</w:t>
            </w:r>
          </w:p>
        </w:tc>
        <w:tc>
          <w:tcPr>
            <w:tcW w:w="1240" w:type="dxa"/>
            <w:tcBorders>
              <w:top w:val="single" w:sz="4" w:space="0" w:color="auto"/>
              <w:bottom w:val="single" w:sz="4" w:space="0" w:color="auto"/>
            </w:tcBorders>
            <w:vAlign w:val="center"/>
          </w:tcPr>
          <w:p w:rsidR="000373FB" w:rsidRPr="00066D24" w:rsidRDefault="000373FB" w:rsidP="000373FB">
            <w:pPr>
              <w:spacing w:after="0"/>
              <w:ind w:firstLine="0"/>
              <w:jc w:val="right"/>
              <w:rPr>
                <w:rFonts w:ascii="Arial Narrow" w:hAnsi="Arial Narrow"/>
                <w:color w:val="000000"/>
                <w:lang w:val="es-ES" w:eastAsia="es-ES"/>
              </w:rPr>
            </w:pPr>
            <w:r w:rsidRPr="00066D24">
              <w:rPr>
                <w:rFonts w:ascii="Arial Narrow" w:hAnsi="Arial Narrow"/>
                <w:color w:val="000000"/>
                <w:lang w:val="es-ES" w:eastAsia="es-ES"/>
              </w:rPr>
              <w:t>-</w:t>
            </w:r>
            <w:r>
              <w:rPr>
                <w:rFonts w:ascii="Arial Narrow" w:hAnsi="Arial Narrow"/>
                <w:color w:val="000000"/>
                <w:lang w:val="es-ES" w:eastAsia="es-ES"/>
              </w:rPr>
              <w:t>16</w:t>
            </w:r>
          </w:p>
        </w:tc>
        <w:tc>
          <w:tcPr>
            <w:tcW w:w="1240" w:type="dxa"/>
            <w:tcBorders>
              <w:top w:val="single" w:sz="4" w:space="0" w:color="auto"/>
              <w:bottom w:val="single" w:sz="4" w:space="0" w:color="auto"/>
            </w:tcBorders>
            <w:vAlign w:val="center"/>
          </w:tcPr>
          <w:p w:rsidR="000373FB" w:rsidRPr="00066D24" w:rsidRDefault="000373FB" w:rsidP="00066D24">
            <w:pPr>
              <w:spacing w:after="0"/>
              <w:ind w:firstLine="0"/>
              <w:jc w:val="right"/>
              <w:rPr>
                <w:rFonts w:ascii="Arial Narrow" w:hAnsi="Arial Narrow"/>
                <w:color w:val="000000"/>
                <w:lang w:val="es-ES" w:eastAsia="es-ES"/>
              </w:rPr>
            </w:pPr>
            <w:r>
              <w:rPr>
                <w:rFonts w:ascii="Arial Narrow" w:hAnsi="Arial Narrow"/>
                <w:color w:val="000000"/>
                <w:lang w:val="es-ES" w:eastAsia="es-ES"/>
              </w:rPr>
              <w:t>16</w:t>
            </w:r>
          </w:p>
        </w:tc>
      </w:tr>
    </w:tbl>
    <w:p w:rsidR="00066D24" w:rsidRDefault="00066D24" w:rsidP="00066D24">
      <w:pPr>
        <w:pStyle w:val="texto0"/>
        <w:tabs>
          <w:tab w:val="clear" w:pos="2835"/>
          <w:tab w:val="clear" w:pos="3969"/>
          <w:tab w:val="clear" w:pos="5103"/>
          <w:tab w:val="clear" w:pos="6237"/>
          <w:tab w:val="clear" w:pos="7371"/>
        </w:tabs>
        <w:spacing w:before="240" w:after="120"/>
        <w:rPr>
          <w:szCs w:val="26"/>
        </w:rPr>
      </w:pPr>
      <w:r>
        <w:rPr>
          <w:szCs w:val="26"/>
        </w:rPr>
        <w:t xml:space="preserve">En este caso, las pernoctaciones han disminuido un </w:t>
      </w:r>
      <w:r w:rsidR="000373FB">
        <w:rPr>
          <w:szCs w:val="26"/>
        </w:rPr>
        <w:t>16</w:t>
      </w:r>
      <w:r>
        <w:rPr>
          <w:szCs w:val="26"/>
        </w:rPr>
        <w:t xml:space="preserve"> por ciento en el p</w:t>
      </w:r>
      <w:r>
        <w:rPr>
          <w:szCs w:val="26"/>
        </w:rPr>
        <w:t>e</w:t>
      </w:r>
      <w:r>
        <w:rPr>
          <w:szCs w:val="26"/>
        </w:rPr>
        <w:t>riodo analizado aunque</w:t>
      </w:r>
      <w:r w:rsidR="00953932">
        <w:rPr>
          <w:szCs w:val="26"/>
        </w:rPr>
        <w:t>,</w:t>
      </w:r>
      <w:r>
        <w:rPr>
          <w:szCs w:val="26"/>
        </w:rPr>
        <w:t xml:space="preserve"> como en el caso anterior, se observa un pequeño a</w:t>
      </w:r>
      <w:r>
        <w:rPr>
          <w:szCs w:val="26"/>
        </w:rPr>
        <w:t>u</w:t>
      </w:r>
      <w:r>
        <w:rPr>
          <w:szCs w:val="26"/>
        </w:rPr>
        <w:t>mento en los últimos años</w:t>
      </w:r>
      <w:r w:rsidR="000373FB">
        <w:rPr>
          <w:szCs w:val="26"/>
        </w:rPr>
        <w:t xml:space="preserve">. Este incremento se consolida en 2016 año en el que las pernoctaciones han sido </w:t>
      </w:r>
      <w:r w:rsidR="00953932">
        <w:rPr>
          <w:szCs w:val="26"/>
        </w:rPr>
        <w:t xml:space="preserve">un 16 por ciento </w:t>
      </w:r>
      <w:r w:rsidR="000373FB">
        <w:rPr>
          <w:szCs w:val="26"/>
        </w:rPr>
        <w:t>superiores a las de 2015. Otro dato a destacar es que, d</w:t>
      </w:r>
      <w:r>
        <w:rPr>
          <w:szCs w:val="26"/>
        </w:rPr>
        <w:t>el total de pernoctaciones</w:t>
      </w:r>
      <w:r w:rsidR="000373FB">
        <w:rPr>
          <w:szCs w:val="26"/>
        </w:rPr>
        <w:t>,</w:t>
      </w:r>
      <w:r>
        <w:rPr>
          <w:szCs w:val="26"/>
        </w:rPr>
        <w:t xml:space="preserve"> aproximadamente un 74 por cie</w:t>
      </w:r>
      <w:r>
        <w:rPr>
          <w:szCs w:val="26"/>
        </w:rPr>
        <w:t>n</w:t>
      </w:r>
      <w:r>
        <w:rPr>
          <w:szCs w:val="26"/>
        </w:rPr>
        <w:t>to corresponden a los residentes y el 26 por ciento restante a los alberguistas.</w:t>
      </w:r>
    </w:p>
    <w:p w:rsidR="0038236E" w:rsidRPr="00066D24" w:rsidRDefault="00066D24" w:rsidP="0038236E">
      <w:pPr>
        <w:pStyle w:val="texto0"/>
      </w:pPr>
      <w:r w:rsidRPr="00066D24">
        <w:t>Si tenemos en cuenta la disponibilidad anual total de plazas de la residencia y lo comparamos con las pernoctaciones, obtenemos una ocupación anual de este centro del 49 por ciento en 2015 y del 55 por ciento en 2016, es decir, que anualmente se utiliza aproximadamente la mitad de los recursos disponibles.</w:t>
      </w:r>
      <w:r w:rsidR="0038236E">
        <w:t xml:space="preserve"> Al respecto hay que mencionar que, actualmente, el instituto ha iniciado un proc</w:t>
      </w:r>
      <w:r w:rsidR="0038236E">
        <w:t>e</w:t>
      </w:r>
      <w:r w:rsidR="0038236E">
        <w:t>so de reflexión en torno a la gestión integral de la residencia para analizar su futuro, las necesidades que eso implique, y con las conclusiones obtenidas el</w:t>
      </w:r>
      <w:r w:rsidR="0038236E">
        <w:t>a</w:t>
      </w:r>
      <w:r w:rsidR="0038236E">
        <w:t>borar un plan de revitalización de la misma.</w:t>
      </w:r>
      <w:r w:rsidR="00B9622C">
        <w:t xml:space="preserve"> A esto hay que sumar la circun</w:t>
      </w:r>
      <w:r w:rsidR="00B9622C">
        <w:t>s</w:t>
      </w:r>
      <w:r w:rsidR="00B9622C">
        <w:t xml:space="preserve">tancia de que se elaboró un proyecto de reforma de la residencia en 2008 por importe de </w:t>
      </w:r>
      <w:r w:rsidR="00A75863">
        <w:t>1,8</w:t>
      </w:r>
      <w:r w:rsidR="00B9622C">
        <w:t xml:space="preserve"> millones de euros que se encuentra paralizado por falta de créd</w:t>
      </w:r>
      <w:r w:rsidR="00B9622C">
        <w:t>i</w:t>
      </w:r>
      <w:r w:rsidR="00B9622C">
        <w:t>to presupuestario.</w:t>
      </w:r>
    </w:p>
    <w:p w:rsidR="00066D24" w:rsidRPr="00066D24" w:rsidRDefault="00066D24" w:rsidP="00066D24">
      <w:pPr>
        <w:pStyle w:val="texto0"/>
      </w:pPr>
      <w:r w:rsidRPr="00066D24">
        <w:t>Los datos más relevantes de los residentes del curso 2015-2016, que no d</w:t>
      </w:r>
      <w:r w:rsidRPr="00066D24">
        <w:t>i</w:t>
      </w:r>
      <w:r w:rsidRPr="00066D24">
        <w:t>fieren significativamente del de otros cursos, son los siguientes: un 70 por cie</w:t>
      </w:r>
      <w:r w:rsidRPr="00066D24">
        <w:t>n</w:t>
      </w:r>
      <w:r w:rsidRPr="00066D24">
        <w:t xml:space="preserve">to son </w:t>
      </w:r>
      <w:r w:rsidR="008F5E2C">
        <w:t>varones</w:t>
      </w:r>
      <w:r w:rsidRPr="00066D24">
        <w:t>; un 67 por ciento son de Navarra (el resto de otras comunidades autónomas); un 40 por ciento realiza estudios universitarios y un 30 por ciento de bachiller.</w:t>
      </w:r>
    </w:p>
    <w:p w:rsidR="00066D24" w:rsidRDefault="00066D24" w:rsidP="00A4016E">
      <w:pPr>
        <w:pStyle w:val="texto0"/>
        <w:spacing w:after="240"/>
      </w:pPr>
      <w:r w:rsidRPr="00066D24">
        <w:t>Los precios y tarifas acordados por el Consejo de Gobierno del instituto para el curso 2015-2016 son:</w:t>
      </w:r>
    </w:p>
    <w:tbl>
      <w:tblPr>
        <w:tblStyle w:val="Tablaconcuadrcula"/>
        <w:tblW w:w="9959" w:type="dxa"/>
        <w:jc w:val="center"/>
        <w:tblInd w:w="36" w:type="dxa"/>
        <w:tblBorders>
          <w:left w:val="none" w:sz="0" w:space="0" w:color="auto"/>
          <w:right w:val="none" w:sz="0" w:space="0" w:color="auto"/>
        </w:tblBorders>
        <w:tblLook w:val="04A0" w:firstRow="1" w:lastRow="0" w:firstColumn="1" w:lastColumn="0" w:noHBand="0" w:noVBand="1"/>
      </w:tblPr>
      <w:tblGrid>
        <w:gridCol w:w="2493"/>
        <w:gridCol w:w="1353"/>
        <w:gridCol w:w="1842"/>
        <w:gridCol w:w="538"/>
        <w:gridCol w:w="1589"/>
        <w:gridCol w:w="2144"/>
      </w:tblGrid>
      <w:tr w:rsidR="00066D24" w:rsidRPr="003E79D2" w:rsidTr="00C31009">
        <w:trPr>
          <w:trHeight w:val="198"/>
          <w:jc w:val="center"/>
        </w:trPr>
        <w:tc>
          <w:tcPr>
            <w:tcW w:w="9959" w:type="dxa"/>
            <w:gridSpan w:val="6"/>
            <w:tcBorders>
              <w:top w:val="nil"/>
              <w:bottom w:val="single" w:sz="4" w:space="0" w:color="auto"/>
            </w:tcBorders>
            <w:vAlign w:val="center"/>
          </w:tcPr>
          <w:p w:rsidR="00066D24" w:rsidRPr="00C31009" w:rsidRDefault="00066D24" w:rsidP="00A4016E">
            <w:pPr>
              <w:pStyle w:val="texto0"/>
              <w:tabs>
                <w:tab w:val="clear" w:pos="2835"/>
                <w:tab w:val="clear" w:pos="3969"/>
                <w:tab w:val="clear" w:pos="5103"/>
                <w:tab w:val="clear" w:pos="6237"/>
                <w:tab w:val="clear" w:pos="7371"/>
              </w:tabs>
              <w:spacing w:after="60" w:line="240" w:lineRule="atLeast"/>
              <w:ind w:firstLine="0"/>
              <w:contextualSpacing/>
              <w:jc w:val="center"/>
              <w:rPr>
                <w:rFonts w:ascii="Arial" w:hAnsi="Arial" w:cs="Arial"/>
                <w:sz w:val="20"/>
                <w:szCs w:val="20"/>
              </w:rPr>
            </w:pPr>
            <w:r w:rsidRPr="00C31009">
              <w:rPr>
                <w:rFonts w:ascii="Arial" w:hAnsi="Arial" w:cs="Arial"/>
                <w:sz w:val="20"/>
                <w:szCs w:val="20"/>
              </w:rPr>
              <w:t>Alberguista individual</w:t>
            </w:r>
          </w:p>
        </w:tc>
      </w:tr>
      <w:tr w:rsidR="00066D24" w:rsidRPr="00522C4F" w:rsidTr="007023D6">
        <w:trPr>
          <w:trHeight w:val="198"/>
          <w:jc w:val="center"/>
        </w:trPr>
        <w:tc>
          <w:tcPr>
            <w:tcW w:w="3846" w:type="dxa"/>
            <w:gridSpan w:val="2"/>
            <w:tcBorders>
              <w:right w:val="nil"/>
            </w:tcBorders>
            <w:shd w:val="clear" w:color="auto" w:fill="8DB3E2" w:themeFill="text2" w:themeFillTint="66"/>
            <w:vAlign w:val="center"/>
          </w:tcPr>
          <w:p w:rsidR="00066D24" w:rsidRPr="00522C4F"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p>
        </w:tc>
        <w:tc>
          <w:tcPr>
            <w:tcW w:w="1842" w:type="dxa"/>
            <w:tcBorders>
              <w:left w:val="nil"/>
              <w:right w:val="nil"/>
            </w:tcBorders>
            <w:shd w:val="clear" w:color="auto" w:fill="8DB3E2" w:themeFill="text2" w:themeFillTint="66"/>
            <w:vAlign w:val="center"/>
          </w:tcPr>
          <w:p w:rsidR="00A4016E"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522C4F">
              <w:rPr>
                <w:rFonts w:ascii="Arial Narrow" w:hAnsi="Arial Narrow" w:cs="Arial"/>
                <w:sz w:val="20"/>
              </w:rPr>
              <w:t xml:space="preserve">Alojamiento: </w:t>
            </w:r>
          </w:p>
          <w:p w:rsidR="00066D24" w:rsidRPr="00522C4F"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522C4F">
              <w:rPr>
                <w:rFonts w:ascii="Arial Narrow" w:hAnsi="Arial Narrow" w:cs="Arial"/>
                <w:sz w:val="20"/>
              </w:rPr>
              <w:t>habitación sin baño</w:t>
            </w:r>
          </w:p>
        </w:tc>
        <w:tc>
          <w:tcPr>
            <w:tcW w:w="2127" w:type="dxa"/>
            <w:gridSpan w:val="2"/>
            <w:tcBorders>
              <w:left w:val="nil"/>
              <w:right w:val="nil"/>
            </w:tcBorders>
            <w:shd w:val="clear" w:color="auto" w:fill="8DB3E2" w:themeFill="text2" w:themeFillTint="66"/>
            <w:vAlign w:val="center"/>
          </w:tcPr>
          <w:p w:rsidR="00066D24" w:rsidRPr="00522C4F"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522C4F">
              <w:rPr>
                <w:rFonts w:ascii="Arial Narrow" w:hAnsi="Arial Narrow" w:cs="Arial"/>
                <w:sz w:val="20"/>
              </w:rPr>
              <w:t>Alojamiento y desayuno</w:t>
            </w:r>
          </w:p>
        </w:tc>
        <w:tc>
          <w:tcPr>
            <w:tcW w:w="2144" w:type="dxa"/>
            <w:tcBorders>
              <w:left w:val="nil"/>
            </w:tcBorders>
            <w:shd w:val="clear" w:color="auto" w:fill="8DB3E2" w:themeFill="text2" w:themeFillTint="66"/>
            <w:vAlign w:val="center"/>
          </w:tcPr>
          <w:p w:rsidR="00A4016E"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522C4F">
              <w:rPr>
                <w:rFonts w:ascii="Arial Narrow" w:hAnsi="Arial Narrow" w:cs="Arial"/>
                <w:sz w:val="20"/>
              </w:rPr>
              <w:t>Alojamiento, desayuno,</w:t>
            </w:r>
          </w:p>
          <w:p w:rsidR="00066D24" w:rsidRPr="00522C4F"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522C4F">
              <w:rPr>
                <w:rFonts w:ascii="Arial Narrow" w:hAnsi="Arial Narrow" w:cs="Arial"/>
                <w:sz w:val="20"/>
              </w:rPr>
              <w:t xml:space="preserve"> comida y cena</w:t>
            </w:r>
          </w:p>
        </w:tc>
      </w:tr>
      <w:tr w:rsidR="00066D24" w:rsidRPr="00522C4F" w:rsidTr="007023D6">
        <w:trPr>
          <w:trHeight w:val="198"/>
          <w:jc w:val="center"/>
        </w:trPr>
        <w:tc>
          <w:tcPr>
            <w:tcW w:w="3846" w:type="dxa"/>
            <w:gridSpan w:val="2"/>
            <w:tcBorders>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sidRPr="00743FDA">
              <w:rPr>
                <w:rFonts w:ascii="Arial Narrow" w:hAnsi="Arial Narrow" w:cs="Arial"/>
                <w:sz w:val="20"/>
              </w:rPr>
              <w:t>Menores de 30 años</w:t>
            </w:r>
          </w:p>
        </w:tc>
        <w:tc>
          <w:tcPr>
            <w:tcW w:w="1842" w:type="dxa"/>
            <w:tcBorders>
              <w:left w:val="nil"/>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15 € persona/día</w:t>
            </w:r>
          </w:p>
        </w:tc>
        <w:tc>
          <w:tcPr>
            <w:tcW w:w="2127" w:type="dxa"/>
            <w:gridSpan w:val="2"/>
            <w:tcBorders>
              <w:left w:val="nil"/>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17,60 € persona/día</w:t>
            </w:r>
          </w:p>
        </w:tc>
        <w:tc>
          <w:tcPr>
            <w:tcW w:w="2144" w:type="dxa"/>
            <w:tcBorders>
              <w:lef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28 € persona/día</w:t>
            </w:r>
          </w:p>
        </w:tc>
      </w:tr>
      <w:tr w:rsidR="00066D24" w:rsidRPr="00522C4F" w:rsidTr="007023D6">
        <w:trPr>
          <w:trHeight w:val="198"/>
          <w:jc w:val="center"/>
        </w:trPr>
        <w:tc>
          <w:tcPr>
            <w:tcW w:w="3846" w:type="dxa"/>
            <w:gridSpan w:val="2"/>
            <w:tcBorders>
              <w:right w:val="nil"/>
            </w:tcBorders>
            <w:vAlign w:val="center"/>
          </w:tcPr>
          <w:p w:rsidR="00066D24" w:rsidRPr="00743FDA" w:rsidRDefault="00066D24" w:rsidP="007023D6">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sidRPr="00743FDA">
              <w:rPr>
                <w:rFonts w:ascii="Arial Narrow" w:hAnsi="Arial Narrow" w:cs="Arial"/>
                <w:sz w:val="20"/>
              </w:rPr>
              <w:t xml:space="preserve">Menores de 30 años </w:t>
            </w:r>
            <w:r w:rsidR="007023D6">
              <w:rPr>
                <w:rFonts w:ascii="Arial Narrow" w:hAnsi="Arial Narrow" w:cs="Arial"/>
                <w:sz w:val="20"/>
              </w:rPr>
              <w:t>-</w:t>
            </w:r>
            <w:r w:rsidRPr="00743FDA">
              <w:rPr>
                <w:rFonts w:ascii="Arial Narrow" w:hAnsi="Arial Narrow" w:cs="Arial"/>
                <w:sz w:val="20"/>
              </w:rPr>
              <w:t xml:space="preserve"> Carnet Joven</w:t>
            </w:r>
          </w:p>
        </w:tc>
        <w:tc>
          <w:tcPr>
            <w:tcW w:w="1842" w:type="dxa"/>
            <w:tcBorders>
              <w:left w:val="nil"/>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13,5 € persona/día</w:t>
            </w:r>
          </w:p>
        </w:tc>
        <w:tc>
          <w:tcPr>
            <w:tcW w:w="2127" w:type="dxa"/>
            <w:gridSpan w:val="2"/>
            <w:tcBorders>
              <w:left w:val="nil"/>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15,80 € persona/día</w:t>
            </w:r>
          </w:p>
        </w:tc>
        <w:tc>
          <w:tcPr>
            <w:tcW w:w="2144" w:type="dxa"/>
            <w:tcBorders>
              <w:lef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25 € persona/día</w:t>
            </w:r>
          </w:p>
        </w:tc>
      </w:tr>
      <w:tr w:rsidR="00066D24" w:rsidRPr="00522C4F" w:rsidTr="007023D6">
        <w:trPr>
          <w:trHeight w:val="198"/>
          <w:jc w:val="center"/>
        </w:trPr>
        <w:tc>
          <w:tcPr>
            <w:tcW w:w="3846" w:type="dxa"/>
            <w:gridSpan w:val="2"/>
            <w:tcBorders>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sidRPr="00743FDA">
              <w:rPr>
                <w:rFonts w:ascii="Arial Narrow" w:hAnsi="Arial Narrow" w:cs="Arial"/>
                <w:sz w:val="20"/>
              </w:rPr>
              <w:t>30 o más años</w:t>
            </w:r>
          </w:p>
        </w:tc>
        <w:tc>
          <w:tcPr>
            <w:tcW w:w="1842" w:type="dxa"/>
            <w:tcBorders>
              <w:left w:val="nil"/>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16 € persona/día</w:t>
            </w:r>
          </w:p>
        </w:tc>
        <w:tc>
          <w:tcPr>
            <w:tcW w:w="2127" w:type="dxa"/>
            <w:gridSpan w:val="2"/>
            <w:tcBorders>
              <w:left w:val="nil"/>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18,60 € persona/día</w:t>
            </w:r>
          </w:p>
        </w:tc>
        <w:tc>
          <w:tcPr>
            <w:tcW w:w="2144" w:type="dxa"/>
            <w:tcBorders>
              <w:left w:val="nil"/>
              <w:bottom w:val="single" w:sz="4"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29 € persona/día</w:t>
            </w:r>
          </w:p>
        </w:tc>
      </w:tr>
      <w:tr w:rsidR="00066D24" w:rsidRPr="00522C4F" w:rsidTr="00A4016E">
        <w:trPr>
          <w:trHeight w:val="198"/>
          <w:jc w:val="center"/>
        </w:trPr>
        <w:tc>
          <w:tcPr>
            <w:tcW w:w="9959" w:type="dxa"/>
            <w:gridSpan w:val="6"/>
            <w:tcBorders>
              <w:bottom w:val="nil"/>
            </w:tcBorders>
            <w:vAlign w:val="center"/>
          </w:tcPr>
          <w:p w:rsidR="00066D24"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r>
      <w:tr w:rsidR="00066D24" w:rsidRPr="003E79D2" w:rsidTr="00C31009">
        <w:trPr>
          <w:trHeight w:val="198"/>
          <w:jc w:val="center"/>
        </w:trPr>
        <w:tc>
          <w:tcPr>
            <w:tcW w:w="9959" w:type="dxa"/>
            <w:gridSpan w:val="6"/>
            <w:tcBorders>
              <w:top w:val="nil"/>
              <w:bottom w:val="single" w:sz="4" w:space="0" w:color="auto"/>
            </w:tcBorders>
            <w:vAlign w:val="center"/>
          </w:tcPr>
          <w:p w:rsidR="00066D24" w:rsidRPr="00C31009" w:rsidRDefault="00066D24" w:rsidP="00A4016E">
            <w:pPr>
              <w:pStyle w:val="texto0"/>
              <w:tabs>
                <w:tab w:val="clear" w:pos="2835"/>
                <w:tab w:val="clear" w:pos="3969"/>
                <w:tab w:val="clear" w:pos="5103"/>
                <w:tab w:val="clear" w:pos="6237"/>
                <w:tab w:val="clear" w:pos="7371"/>
              </w:tabs>
              <w:spacing w:after="60" w:line="240" w:lineRule="atLeast"/>
              <w:ind w:firstLine="0"/>
              <w:contextualSpacing/>
              <w:jc w:val="center"/>
              <w:rPr>
                <w:rFonts w:ascii="Arial" w:hAnsi="Arial" w:cs="Arial"/>
                <w:sz w:val="20"/>
                <w:szCs w:val="20"/>
              </w:rPr>
            </w:pPr>
            <w:r w:rsidRPr="00C31009">
              <w:rPr>
                <w:rFonts w:ascii="Arial" w:hAnsi="Arial" w:cs="Arial"/>
                <w:sz w:val="20"/>
                <w:szCs w:val="20"/>
              </w:rPr>
              <w:t>Alberguista grupo o familiar</w:t>
            </w:r>
          </w:p>
        </w:tc>
      </w:tr>
      <w:tr w:rsidR="00066D24" w:rsidRPr="00522C4F" w:rsidTr="00C31009">
        <w:trPr>
          <w:trHeight w:val="198"/>
          <w:jc w:val="center"/>
        </w:trPr>
        <w:tc>
          <w:tcPr>
            <w:tcW w:w="2493" w:type="dxa"/>
            <w:vMerge w:val="restart"/>
            <w:tcBorders>
              <w:right w:val="nil"/>
            </w:tcBorders>
            <w:shd w:val="clear" w:color="auto" w:fill="8DB3E2" w:themeFill="text2" w:themeFillTint="66"/>
            <w:vAlign w:val="center"/>
          </w:tcPr>
          <w:p w:rsidR="00A4016E"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rPr>
            </w:pPr>
            <w:r w:rsidRPr="00743FDA">
              <w:rPr>
                <w:rFonts w:ascii="Arial Narrow" w:hAnsi="Arial Narrow" w:cs="Arial"/>
                <w:sz w:val="20"/>
              </w:rPr>
              <w:t xml:space="preserve">Grupos </w:t>
            </w:r>
          </w:p>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rPr>
            </w:pPr>
            <w:r w:rsidRPr="00743FDA">
              <w:rPr>
                <w:rFonts w:ascii="Arial Narrow" w:hAnsi="Arial Narrow" w:cs="Arial"/>
                <w:sz w:val="20"/>
              </w:rPr>
              <w:t>(mínimo 10 personas)</w:t>
            </w:r>
          </w:p>
        </w:tc>
        <w:tc>
          <w:tcPr>
            <w:tcW w:w="3733" w:type="dxa"/>
            <w:gridSpan w:val="3"/>
            <w:tcBorders>
              <w:left w:val="nil"/>
              <w:right w:val="nil"/>
            </w:tcBorders>
            <w:shd w:val="clear" w:color="auto" w:fill="8DB3E2" w:themeFill="text2" w:themeFillTint="66"/>
            <w:vAlign w:val="center"/>
          </w:tcPr>
          <w:p w:rsidR="00A4016E"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 xml:space="preserve">Alojamiento y desayuno. </w:t>
            </w:r>
          </w:p>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Habitación sin baño</w:t>
            </w:r>
          </w:p>
        </w:tc>
        <w:tc>
          <w:tcPr>
            <w:tcW w:w="3733" w:type="dxa"/>
            <w:gridSpan w:val="2"/>
            <w:tcBorders>
              <w:left w:val="nil"/>
            </w:tcBorders>
            <w:shd w:val="clear" w:color="auto" w:fill="8DB3E2" w:themeFill="text2" w:themeFillTint="66"/>
            <w:vAlign w:val="center"/>
          </w:tcPr>
          <w:p w:rsidR="00A4016E"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 xml:space="preserve">Alojamiento, desayuno, comida y cena. </w:t>
            </w:r>
          </w:p>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Habitación sin baño</w:t>
            </w:r>
          </w:p>
        </w:tc>
      </w:tr>
      <w:tr w:rsidR="00066D24" w:rsidRPr="00522C4F" w:rsidTr="00C31009">
        <w:trPr>
          <w:trHeight w:val="198"/>
          <w:jc w:val="center"/>
        </w:trPr>
        <w:tc>
          <w:tcPr>
            <w:tcW w:w="2493" w:type="dxa"/>
            <w:vMerge/>
            <w:tcBorders>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p>
        </w:tc>
        <w:tc>
          <w:tcPr>
            <w:tcW w:w="3733" w:type="dxa"/>
            <w:gridSpan w:val="3"/>
            <w:tcBorders>
              <w:left w:val="nil"/>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16 € persona/día</w:t>
            </w:r>
          </w:p>
        </w:tc>
        <w:tc>
          <w:tcPr>
            <w:tcW w:w="3733" w:type="dxa"/>
            <w:gridSpan w:val="2"/>
            <w:tcBorders>
              <w:left w:val="nil"/>
              <w:bottom w:val="single" w:sz="4"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27 € persona/día</w:t>
            </w:r>
          </w:p>
        </w:tc>
      </w:tr>
      <w:tr w:rsidR="00066D24" w:rsidRPr="00522C4F" w:rsidTr="00A4016E">
        <w:trPr>
          <w:trHeight w:val="198"/>
          <w:jc w:val="center"/>
        </w:trPr>
        <w:tc>
          <w:tcPr>
            <w:tcW w:w="9959" w:type="dxa"/>
            <w:gridSpan w:val="6"/>
            <w:tcBorders>
              <w:bottom w:val="nil"/>
            </w:tcBorders>
            <w:vAlign w:val="center"/>
          </w:tcPr>
          <w:p w:rsidR="00066D24" w:rsidRPr="00522C4F"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r>
      <w:tr w:rsidR="00066D24" w:rsidRPr="003E79D2" w:rsidTr="00C31009">
        <w:trPr>
          <w:trHeight w:val="198"/>
          <w:jc w:val="center"/>
        </w:trPr>
        <w:tc>
          <w:tcPr>
            <w:tcW w:w="9959" w:type="dxa"/>
            <w:gridSpan w:val="6"/>
            <w:tcBorders>
              <w:top w:val="nil"/>
              <w:bottom w:val="single" w:sz="4" w:space="0" w:color="auto"/>
            </w:tcBorders>
            <w:vAlign w:val="center"/>
          </w:tcPr>
          <w:p w:rsidR="00066D24" w:rsidRPr="00C31009" w:rsidRDefault="00066D24" w:rsidP="00A4016E">
            <w:pPr>
              <w:pStyle w:val="texto0"/>
              <w:tabs>
                <w:tab w:val="clear" w:pos="2835"/>
                <w:tab w:val="clear" w:pos="3969"/>
                <w:tab w:val="clear" w:pos="5103"/>
                <w:tab w:val="clear" w:pos="6237"/>
                <w:tab w:val="clear" w:pos="7371"/>
              </w:tabs>
              <w:spacing w:after="60" w:line="240" w:lineRule="atLeast"/>
              <w:ind w:firstLine="0"/>
              <w:contextualSpacing/>
              <w:jc w:val="center"/>
              <w:rPr>
                <w:rFonts w:ascii="Arial" w:hAnsi="Arial" w:cs="Arial"/>
                <w:sz w:val="20"/>
                <w:szCs w:val="20"/>
              </w:rPr>
            </w:pPr>
            <w:r w:rsidRPr="00C31009">
              <w:rPr>
                <w:rFonts w:ascii="Arial" w:hAnsi="Arial" w:cs="Arial"/>
                <w:sz w:val="20"/>
                <w:szCs w:val="20"/>
              </w:rPr>
              <w:t>Residentes estudiantes*</w:t>
            </w:r>
          </w:p>
        </w:tc>
      </w:tr>
      <w:tr w:rsidR="00066D24" w:rsidRPr="00522C4F" w:rsidTr="00C31009">
        <w:trPr>
          <w:trHeight w:val="198"/>
          <w:jc w:val="center"/>
        </w:trPr>
        <w:tc>
          <w:tcPr>
            <w:tcW w:w="2493" w:type="dxa"/>
            <w:tcBorders>
              <w:bottom w:val="single" w:sz="4" w:space="0" w:color="auto"/>
              <w:right w:val="nil"/>
            </w:tcBorders>
            <w:shd w:val="clear" w:color="auto" w:fill="8DB3E2" w:themeFill="text2" w:themeFillTint="66"/>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p>
        </w:tc>
        <w:tc>
          <w:tcPr>
            <w:tcW w:w="3733" w:type="dxa"/>
            <w:gridSpan w:val="3"/>
            <w:tcBorders>
              <w:left w:val="nil"/>
              <w:bottom w:val="single" w:sz="4" w:space="0" w:color="auto"/>
              <w:right w:val="nil"/>
            </w:tcBorders>
            <w:shd w:val="clear" w:color="auto" w:fill="8DB3E2" w:themeFill="text2" w:themeFillTint="66"/>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Alojamiento curso escolar. 8 mensualidades de octubre a mayo del año siguiente</w:t>
            </w:r>
          </w:p>
        </w:tc>
        <w:tc>
          <w:tcPr>
            <w:tcW w:w="3733" w:type="dxa"/>
            <w:gridSpan w:val="2"/>
            <w:tcBorders>
              <w:left w:val="nil"/>
              <w:bottom w:val="single" w:sz="4" w:space="0" w:color="auto"/>
            </w:tcBorders>
            <w:shd w:val="clear" w:color="auto" w:fill="8DB3E2" w:themeFill="text2" w:themeFillTint="66"/>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Alojamiento para residentes-estudiantes en los meses de junio a septiembre por semana</w:t>
            </w:r>
          </w:p>
        </w:tc>
      </w:tr>
      <w:tr w:rsidR="00066D24" w:rsidRPr="00522C4F" w:rsidTr="00C31009">
        <w:trPr>
          <w:trHeight w:val="198"/>
          <w:jc w:val="center"/>
        </w:trPr>
        <w:tc>
          <w:tcPr>
            <w:tcW w:w="2493" w:type="dxa"/>
            <w:tcBorders>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sidRPr="00743FDA">
              <w:rPr>
                <w:rFonts w:ascii="Arial Narrow" w:hAnsi="Arial Narrow" w:cs="Arial"/>
                <w:sz w:val="20"/>
              </w:rPr>
              <w:t>Habitación doble con baño</w:t>
            </w:r>
            <w:r w:rsidR="000373FB">
              <w:rPr>
                <w:rFonts w:ascii="Arial Narrow" w:hAnsi="Arial Narrow" w:cs="Arial"/>
                <w:sz w:val="20"/>
              </w:rPr>
              <w:t xml:space="preserve"> (edificio nuevo)</w:t>
            </w:r>
          </w:p>
        </w:tc>
        <w:tc>
          <w:tcPr>
            <w:tcW w:w="3733" w:type="dxa"/>
            <w:gridSpan w:val="3"/>
            <w:tcBorders>
              <w:left w:val="nil"/>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298 € mensual</w:t>
            </w:r>
            <w:r w:rsidR="008F5E2C">
              <w:rPr>
                <w:rFonts w:ascii="Arial Narrow" w:hAnsi="Arial Narrow" w:cs="Arial"/>
                <w:sz w:val="20"/>
              </w:rPr>
              <w:t>/persona</w:t>
            </w:r>
          </w:p>
        </w:tc>
        <w:tc>
          <w:tcPr>
            <w:tcW w:w="3733" w:type="dxa"/>
            <w:gridSpan w:val="2"/>
            <w:tcBorders>
              <w:left w:val="nil"/>
              <w:bottom w:val="single" w:sz="2" w:space="0" w:color="auto"/>
            </w:tcBorders>
            <w:vAlign w:val="center"/>
          </w:tcPr>
          <w:p w:rsidR="00066D24" w:rsidRPr="00743FDA" w:rsidRDefault="00066D24" w:rsidP="008F5E2C">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75 € seman</w:t>
            </w:r>
            <w:r w:rsidR="005B5EF7">
              <w:rPr>
                <w:rFonts w:ascii="Arial Narrow" w:hAnsi="Arial Narrow" w:cs="Arial"/>
                <w:sz w:val="20"/>
              </w:rPr>
              <w:t>a</w:t>
            </w:r>
            <w:r w:rsidR="008F5E2C">
              <w:rPr>
                <w:rFonts w:ascii="Arial Narrow" w:hAnsi="Arial Narrow" w:cs="Arial"/>
                <w:sz w:val="20"/>
              </w:rPr>
              <w:t>/persona</w:t>
            </w:r>
          </w:p>
        </w:tc>
      </w:tr>
      <w:tr w:rsidR="00066D24" w:rsidRPr="00522C4F" w:rsidTr="00C31009">
        <w:trPr>
          <w:trHeight w:val="198"/>
          <w:jc w:val="center"/>
        </w:trPr>
        <w:tc>
          <w:tcPr>
            <w:tcW w:w="2493" w:type="dxa"/>
            <w:tcBorders>
              <w:top w:val="single" w:sz="2" w:space="0" w:color="auto"/>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sidRPr="00743FDA">
              <w:rPr>
                <w:rFonts w:ascii="Arial Narrow" w:hAnsi="Arial Narrow" w:cs="Arial"/>
                <w:sz w:val="20"/>
              </w:rPr>
              <w:t xml:space="preserve">Habitación doble </w:t>
            </w:r>
            <w:r>
              <w:rPr>
                <w:rFonts w:ascii="Arial Narrow" w:hAnsi="Arial Narrow" w:cs="Arial"/>
                <w:sz w:val="20"/>
              </w:rPr>
              <w:t>baño co</w:t>
            </w:r>
            <w:r>
              <w:rPr>
                <w:rFonts w:ascii="Arial Narrow" w:hAnsi="Arial Narrow" w:cs="Arial"/>
                <w:sz w:val="20"/>
              </w:rPr>
              <w:t>m</w:t>
            </w:r>
            <w:r>
              <w:rPr>
                <w:rFonts w:ascii="Arial Narrow" w:hAnsi="Arial Narrow" w:cs="Arial"/>
                <w:sz w:val="20"/>
              </w:rPr>
              <w:t>partido</w:t>
            </w:r>
            <w:r w:rsidR="000373FB">
              <w:rPr>
                <w:rFonts w:ascii="Arial Narrow" w:hAnsi="Arial Narrow" w:cs="Arial"/>
                <w:sz w:val="20"/>
              </w:rPr>
              <w:t xml:space="preserve"> (edificio antiguo)</w:t>
            </w:r>
          </w:p>
        </w:tc>
        <w:tc>
          <w:tcPr>
            <w:tcW w:w="3733" w:type="dxa"/>
            <w:gridSpan w:val="3"/>
            <w:tcBorders>
              <w:top w:val="single" w:sz="2" w:space="0" w:color="auto"/>
              <w:left w:val="nil"/>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198 € mensual</w:t>
            </w:r>
            <w:r w:rsidR="008F5E2C">
              <w:rPr>
                <w:rFonts w:ascii="Arial Narrow" w:hAnsi="Arial Narrow" w:cs="Arial"/>
                <w:sz w:val="20"/>
              </w:rPr>
              <w:t>/persona</w:t>
            </w:r>
          </w:p>
        </w:tc>
        <w:tc>
          <w:tcPr>
            <w:tcW w:w="3733" w:type="dxa"/>
            <w:gridSpan w:val="2"/>
            <w:tcBorders>
              <w:top w:val="single" w:sz="2" w:space="0" w:color="auto"/>
              <w:left w:val="nil"/>
              <w:bottom w:val="single" w:sz="2"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50 € semana</w:t>
            </w:r>
            <w:r w:rsidR="008F5E2C">
              <w:rPr>
                <w:rFonts w:ascii="Arial Narrow" w:hAnsi="Arial Narrow" w:cs="Arial"/>
                <w:sz w:val="20"/>
              </w:rPr>
              <w:t>/persona</w:t>
            </w:r>
          </w:p>
        </w:tc>
      </w:tr>
      <w:tr w:rsidR="00066D24" w:rsidRPr="00522C4F" w:rsidTr="00C31009">
        <w:trPr>
          <w:trHeight w:val="198"/>
          <w:jc w:val="center"/>
        </w:trPr>
        <w:tc>
          <w:tcPr>
            <w:tcW w:w="2493" w:type="dxa"/>
            <w:tcBorders>
              <w:top w:val="single" w:sz="2" w:space="0" w:color="auto"/>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sidRPr="00743FDA">
              <w:rPr>
                <w:rFonts w:ascii="Arial Narrow" w:hAnsi="Arial Narrow" w:cs="Arial"/>
                <w:sz w:val="20"/>
              </w:rPr>
              <w:t>Habitación individual con baño</w:t>
            </w:r>
            <w:r w:rsidR="000373FB">
              <w:rPr>
                <w:rFonts w:ascii="Arial Narrow" w:hAnsi="Arial Narrow" w:cs="Arial"/>
                <w:sz w:val="20"/>
              </w:rPr>
              <w:t xml:space="preserve"> (edificio antiguo)</w:t>
            </w:r>
          </w:p>
        </w:tc>
        <w:tc>
          <w:tcPr>
            <w:tcW w:w="3733" w:type="dxa"/>
            <w:gridSpan w:val="3"/>
            <w:tcBorders>
              <w:top w:val="single" w:sz="2" w:space="0" w:color="auto"/>
              <w:left w:val="nil"/>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 xml:space="preserve">298 € </w:t>
            </w:r>
            <w:r w:rsidR="008F5E2C" w:rsidRPr="00743FDA">
              <w:rPr>
                <w:rFonts w:ascii="Arial Narrow" w:hAnsi="Arial Narrow" w:cs="Arial"/>
                <w:sz w:val="20"/>
              </w:rPr>
              <w:t>mensual</w:t>
            </w:r>
            <w:r w:rsidR="008F5E2C">
              <w:rPr>
                <w:rFonts w:ascii="Arial Narrow" w:hAnsi="Arial Narrow" w:cs="Arial"/>
                <w:sz w:val="20"/>
              </w:rPr>
              <w:t>/persona</w:t>
            </w:r>
          </w:p>
        </w:tc>
        <w:tc>
          <w:tcPr>
            <w:tcW w:w="3733" w:type="dxa"/>
            <w:gridSpan w:val="2"/>
            <w:tcBorders>
              <w:top w:val="single" w:sz="2" w:space="0" w:color="auto"/>
              <w:left w:val="nil"/>
              <w:bottom w:val="single" w:sz="2"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 xml:space="preserve">75 € </w:t>
            </w:r>
            <w:r w:rsidR="008F5E2C" w:rsidRPr="00743FDA">
              <w:rPr>
                <w:rFonts w:ascii="Arial Narrow" w:hAnsi="Arial Narrow" w:cs="Arial"/>
                <w:sz w:val="20"/>
              </w:rPr>
              <w:t>semana</w:t>
            </w:r>
            <w:r w:rsidR="008F5E2C">
              <w:rPr>
                <w:rFonts w:ascii="Arial Narrow" w:hAnsi="Arial Narrow" w:cs="Arial"/>
                <w:sz w:val="20"/>
              </w:rPr>
              <w:t>/persona</w:t>
            </w:r>
          </w:p>
        </w:tc>
      </w:tr>
      <w:tr w:rsidR="00066D24" w:rsidRPr="00522C4F" w:rsidTr="00C31009">
        <w:trPr>
          <w:trHeight w:val="198"/>
          <w:jc w:val="center"/>
        </w:trPr>
        <w:tc>
          <w:tcPr>
            <w:tcW w:w="2493" w:type="dxa"/>
            <w:tcBorders>
              <w:top w:val="single" w:sz="2" w:space="0" w:color="auto"/>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sidRPr="00743FDA">
              <w:rPr>
                <w:rFonts w:ascii="Arial Narrow" w:hAnsi="Arial Narrow" w:cs="Arial"/>
                <w:sz w:val="20"/>
              </w:rPr>
              <w:t xml:space="preserve">Habitación individual </w:t>
            </w:r>
            <w:r>
              <w:rPr>
                <w:rFonts w:ascii="Arial Narrow" w:hAnsi="Arial Narrow" w:cs="Arial"/>
                <w:sz w:val="20"/>
              </w:rPr>
              <w:t>baño compartido</w:t>
            </w:r>
            <w:r w:rsidR="000373FB">
              <w:rPr>
                <w:rFonts w:ascii="Arial Narrow" w:hAnsi="Arial Narrow" w:cs="Arial"/>
                <w:sz w:val="20"/>
              </w:rPr>
              <w:t xml:space="preserve"> (edificio antiguo)</w:t>
            </w:r>
          </w:p>
        </w:tc>
        <w:tc>
          <w:tcPr>
            <w:tcW w:w="3733" w:type="dxa"/>
            <w:gridSpan w:val="3"/>
            <w:tcBorders>
              <w:top w:val="single" w:sz="2" w:space="0" w:color="auto"/>
              <w:left w:val="nil"/>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 xml:space="preserve">250 € </w:t>
            </w:r>
            <w:r w:rsidR="008F5E2C" w:rsidRPr="00743FDA">
              <w:rPr>
                <w:rFonts w:ascii="Arial Narrow" w:hAnsi="Arial Narrow" w:cs="Arial"/>
                <w:sz w:val="20"/>
              </w:rPr>
              <w:t>mensual</w:t>
            </w:r>
            <w:r w:rsidR="008F5E2C">
              <w:rPr>
                <w:rFonts w:ascii="Arial Narrow" w:hAnsi="Arial Narrow" w:cs="Arial"/>
                <w:sz w:val="20"/>
              </w:rPr>
              <w:t>/persona</w:t>
            </w:r>
          </w:p>
        </w:tc>
        <w:tc>
          <w:tcPr>
            <w:tcW w:w="3733" w:type="dxa"/>
            <w:gridSpan w:val="2"/>
            <w:tcBorders>
              <w:top w:val="single" w:sz="2" w:space="0" w:color="auto"/>
              <w:left w:val="nil"/>
              <w:bottom w:val="single" w:sz="4"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sidRPr="00743FDA">
              <w:rPr>
                <w:rFonts w:ascii="Arial Narrow" w:hAnsi="Arial Narrow" w:cs="Arial"/>
                <w:sz w:val="20"/>
              </w:rPr>
              <w:t xml:space="preserve">62,50 € </w:t>
            </w:r>
            <w:r w:rsidR="008F5E2C" w:rsidRPr="00743FDA">
              <w:rPr>
                <w:rFonts w:ascii="Arial Narrow" w:hAnsi="Arial Narrow" w:cs="Arial"/>
                <w:sz w:val="20"/>
              </w:rPr>
              <w:t>semana</w:t>
            </w:r>
            <w:r w:rsidR="008F5E2C">
              <w:rPr>
                <w:rFonts w:ascii="Arial Narrow" w:hAnsi="Arial Narrow" w:cs="Arial"/>
                <w:sz w:val="20"/>
              </w:rPr>
              <w:t>/persona</w:t>
            </w:r>
          </w:p>
        </w:tc>
      </w:tr>
      <w:tr w:rsidR="00066D24" w:rsidRPr="00522C4F" w:rsidTr="00A4016E">
        <w:trPr>
          <w:trHeight w:val="198"/>
          <w:jc w:val="center"/>
        </w:trPr>
        <w:tc>
          <w:tcPr>
            <w:tcW w:w="9959" w:type="dxa"/>
            <w:gridSpan w:val="6"/>
            <w:tcBorders>
              <w:bottom w:val="nil"/>
            </w:tcBorders>
            <w:vAlign w:val="center"/>
          </w:tcPr>
          <w:p w:rsidR="00066D24" w:rsidRPr="00EF245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6"/>
                <w:szCs w:val="16"/>
              </w:rPr>
            </w:pPr>
            <w:r w:rsidRPr="00EF245A">
              <w:rPr>
                <w:rFonts w:ascii="Arial" w:hAnsi="Arial" w:cs="Arial"/>
                <w:sz w:val="16"/>
                <w:szCs w:val="16"/>
              </w:rPr>
              <w:t>*Los residentes deportistas estarán exentos de la cuota de alojamiento</w:t>
            </w:r>
            <w:r w:rsidR="00EF245A" w:rsidRPr="00EF245A">
              <w:rPr>
                <w:rFonts w:ascii="Arial" w:hAnsi="Arial" w:cs="Arial"/>
                <w:sz w:val="16"/>
                <w:szCs w:val="16"/>
              </w:rPr>
              <w:t>.</w:t>
            </w:r>
          </w:p>
        </w:tc>
      </w:tr>
    </w:tbl>
    <w:p w:rsidR="00066D24" w:rsidRPr="00C31009" w:rsidRDefault="00066D24" w:rsidP="00C31009">
      <w:pPr>
        <w:pStyle w:val="texto0"/>
        <w:spacing w:before="240"/>
      </w:pPr>
      <w:r w:rsidRPr="00C31009">
        <w:t>Estas cantidades son las mismas desde el año 2014 y siguen vigentes a la f</w:t>
      </w:r>
      <w:r w:rsidRPr="00C31009">
        <w:t>e</w:t>
      </w:r>
      <w:r w:rsidRPr="00C31009">
        <w:t>cha de redacción de este informe para el curso 2016-2017.</w:t>
      </w:r>
    </w:p>
    <w:p w:rsidR="00066D24" w:rsidRPr="00C31009" w:rsidRDefault="00066D24" w:rsidP="00C31009">
      <w:pPr>
        <w:pStyle w:val="texto0"/>
      </w:pPr>
      <w:r w:rsidRPr="00C31009">
        <w:t xml:space="preserve">Las infraestructuras </w:t>
      </w:r>
      <w:r w:rsidR="000373FB">
        <w:t>con las que cuenta la residencia</w:t>
      </w:r>
      <w:r w:rsidRPr="00C31009">
        <w:t xml:space="preserve"> son las siguientes:</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2</w:t>
      </w:r>
      <w:r w:rsidR="0049784A">
        <w:rPr>
          <w:rFonts w:cs="Arial"/>
        </w:rPr>
        <w:t>4</w:t>
      </w:r>
      <w:r w:rsidRPr="00CE52FD">
        <w:rPr>
          <w:rFonts w:cs="Arial"/>
        </w:rPr>
        <w:t xml:space="preserve"> habitaciones dobles con baño</w:t>
      </w:r>
      <w:r w:rsidR="000373FB">
        <w:rPr>
          <w:rFonts w:cs="Arial"/>
        </w:rPr>
        <w:t xml:space="preserve"> (una de ellas de uso triple)</w:t>
      </w:r>
      <w:r w:rsidRPr="00CE52FD">
        <w:rPr>
          <w:rFonts w:cs="Arial"/>
        </w:rPr>
        <w:t>.</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Cinco</w:t>
      </w:r>
      <w:r w:rsidR="00066D24" w:rsidRPr="00CE52FD">
        <w:rPr>
          <w:rFonts w:cs="Arial"/>
        </w:rPr>
        <w:t xml:space="preserve"> habitaciones individuales con baño.</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20 habitaciones dobles con baños comunes.</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Cuatro</w:t>
      </w:r>
      <w:r w:rsidR="00066D24" w:rsidRPr="00CE52FD">
        <w:rPr>
          <w:rFonts w:cs="Arial"/>
        </w:rPr>
        <w:t xml:space="preserve"> habitaciones individuales con baños comunes.</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C</w:t>
      </w:r>
      <w:r w:rsidR="00066D24" w:rsidRPr="00CE52FD">
        <w:rPr>
          <w:rFonts w:cs="Arial"/>
        </w:rPr>
        <w:t>omedor self-service de 80 plazas.</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C</w:t>
      </w:r>
      <w:r w:rsidR="00066D24" w:rsidRPr="00CE52FD">
        <w:rPr>
          <w:rFonts w:cs="Arial"/>
        </w:rPr>
        <w:t>omedor especial de 20 plazas.</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 xml:space="preserve">Dos </w:t>
      </w:r>
      <w:r w:rsidR="00066D24" w:rsidRPr="00CE52FD">
        <w:rPr>
          <w:rFonts w:cs="Arial"/>
        </w:rPr>
        <w:t>salas de estar con TV.</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Dos</w:t>
      </w:r>
      <w:r w:rsidR="00066D24" w:rsidRPr="00CE52FD">
        <w:rPr>
          <w:rFonts w:cs="Arial"/>
        </w:rPr>
        <w:t xml:space="preserve"> salas de estudio.</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S</w:t>
      </w:r>
      <w:r w:rsidR="00066D24" w:rsidRPr="00CE52FD">
        <w:rPr>
          <w:rFonts w:cs="Arial"/>
        </w:rPr>
        <w:t>ala de reuniones con medios audiovisuales para 40 personas.</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Dos</w:t>
      </w:r>
      <w:r w:rsidR="00066D24" w:rsidRPr="00CE52FD">
        <w:rPr>
          <w:rFonts w:cs="Arial"/>
        </w:rPr>
        <w:t xml:space="preserve"> salas de reuniones con 20 plazas.</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 xml:space="preserve">Salón de actos con medios audiovisuales </w:t>
      </w:r>
      <w:r w:rsidR="0000668B">
        <w:rPr>
          <w:rFonts w:cs="Arial"/>
        </w:rPr>
        <w:t>con</w:t>
      </w:r>
      <w:r w:rsidRPr="00CE52FD">
        <w:rPr>
          <w:rFonts w:cs="Arial"/>
        </w:rPr>
        <w:t xml:space="preserve"> capacidad para 110 plazas sentadas y 60 personas de pie.</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Servicio de lavadora y secadora por fichas.</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Acceso a las instalaciones del Estadio Larrabide para grupos y concentr</w:t>
      </w:r>
      <w:r w:rsidRPr="00CE52FD">
        <w:rPr>
          <w:rFonts w:cs="Arial"/>
        </w:rPr>
        <w:t>a</w:t>
      </w:r>
      <w:r w:rsidRPr="00CE52FD">
        <w:rPr>
          <w:rFonts w:cs="Arial"/>
        </w:rPr>
        <w:t>ciones previa solicitud.</w:t>
      </w:r>
    </w:p>
    <w:p w:rsidR="00066D24" w:rsidRPr="00F37B22" w:rsidRDefault="00066D24" w:rsidP="00F37B22">
      <w:pPr>
        <w:pStyle w:val="texto0"/>
        <w:spacing w:before="240"/>
      </w:pPr>
      <w:r w:rsidRPr="00F37B22">
        <w:t xml:space="preserve">Los usuarios de las salas existentes son: federaciones deportivas, el </w:t>
      </w:r>
      <w:r w:rsidR="0000668B">
        <w:t>depart</w:t>
      </w:r>
      <w:r w:rsidR="0000668B">
        <w:t>a</w:t>
      </w:r>
      <w:r w:rsidR="0000668B">
        <w:t xml:space="preserve">mento al que esté vinculado el instituto </w:t>
      </w:r>
      <w:r w:rsidRPr="00F37B22">
        <w:t xml:space="preserve">y otras entidades. En concreto, en 2015 las salas se utilizaron durante </w:t>
      </w:r>
      <w:r w:rsidR="00AC5E61">
        <w:t>696</w:t>
      </w:r>
      <w:r w:rsidRPr="00F37B22">
        <w:t xml:space="preserve"> horas, y el salón de actos se reservó para un total de 38 días; hay que tener en cuenta que </w:t>
      </w:r>
      <w:r w:rsidR="0000668B">
        <w:t>tanto el departamento como las federaciones</w:t>
      </w:r>
      <w:r w:rsidRPr="00F37B22">
        <w:t xml:space="preserve"> no paga</w:t>
      </w:r>
      <w:r w:rsidR="0000668B">
        <w:t>n</w:t>
      </w:r>
      <w:r w:rsidRPr="00F37B22">
        <w:t xml:space="preserve"> el uso de estas salas </w:t>
      </w:r>
      <w:r w:rsidR="0000668B">
        <w:t>por estar exentos</w:t>
      </w:r>
      <w:r w:rsidR="00953932">
        <w:t>,</w:t>
      </w:r>
      <w:r w:rsidR="0000668B">
        <w:t xml:space="preserve"> según </w:t>
      </w:r>
      <w:r w:rsidRPr="00F37B22">
        <w:t>Acuerdo del Consejo de Gobierno del propio instituto.</w:t>
      </w:r>
    </w:p>
    <w:p w:rsidR="00066D24" w:rsidRPr="00F37B22" w:rsidRDefault="00066D24" w:rsidP="00F37B22">
      <w:pPr>
        <w:pStyle w:val="texto0"/>
        <w:spacing w:after="240"/>
      </w:pPr>
      <w:r w:rsidRPr="00F37B22">
        <w:t xml:space="preserve">Son </w:t>
      </w:r>
      <w:r w:rsidR="0000668B">
        <w:t>ocho</w:t>
      </w:r>
      <w:r w:rsidRPr="00F37B22">
        <w:t xml:space="preserve"> las personas que trabajan en la residencia </w:t>
      </w:r>
      <w:r w:rsidR="0000668B">
        <w:t>dedicadas a la realiz</w:t>
      </w:r>
      <w:r w:rsidR="0000668B">
        <w:t>a</w:t>
      </w:r>
      <w:r w:rsidR="0000668B">
        <w:t>ción de las siguientes tareas</w:t>
      </w:r>
      <w:r w:rsidRPr="00F37B22">
        <w:t>:</w:t>
      </w:r>
    </w:p>
    <w:tbl>
      <w:tblPr>
        <w:tblStyle w:val="Tablaconcuadrcula"/>
        <w:tblW w:w="8881" w:type="dxa"/>
        <w:jc w:val="center"/>
        <w:tblBorders>
          <w:left w:val="none" w:sz="0" w:space="0" w:color="auto"/>
          <w:right w:val="none" w:sz="0" w:space="0" w:color="auto"/>
          <w:insideV w:val="none" w:sz="0" w:space="0" w:color="auto"/>
        </w:tblBorders>
        <w:tblLook w:val="01E0" w:firstRow="1" w:lastRow="1" w:firstColumn="1" w:lastColumn="1" w:noHBand="0" w:noVBand="0"/>
      </w:tblPr>
      <w:tblGrid>
        <w:gridCol w:w="4640"/>
        <w:gridCol w:w="4241"/>
      </w:tblGrid>
      <w:tr w:rsidR="00066D24" w:rsidRPr="00F37B22" w:rsidTr="00F37B22">
        <w:trPr>
          <w:trHeight w:val="255"/>
          <w:jc w:val="center"/>
        </w:trPr>
        <w:tc>
          <w:tcPr>
            <w:tcW w:w="4640" w:type="dxa"/>
            <w:tcBorders>
              <w:bottom w:val="single" w:sz="4" w:space="0" w:color="auto"/>
            </w:tcBorders>
            <w:shd w:val="clear" w:color="auto" w:fill="8DB3E2" w:themeFill="text2" w:themeFillTint="66"/>
            <w:vAlign w:val="center"/>
          </w:tcPr>
          <w:p w:rsidR="00066D24" w:rsidRPr="00F37B22" w:rsidRDefault="00066D24" w:rsidP="00C31009">
            <w:pPr>
              <w:pStyle w:val="informe"/>
              <w:spacing w:after="0" w:line="240" w:lineRule="atLeast"/>
              <w:ind w:right="-116" w:firstLine="0"/>
              <w:jc w:val="left"/>
              <w:rPr>
                <w:rFonts w:ascii="Arial" w:hAnsi="Arial"/>
                <w:sz w:val="18"/>
                <w:szCs w:val="18"/>
              </w:rPr>
            </w:pPr>
            <w:r w:rsidRPr="00F37B22">
              <w:rPr>
                <w:rFonts w:ascii="Arial" w:hAnsi="Arial"/>
                <w:sz w:val="18"/>
                <w:szCs w:val="18"/>
              </w:rPr>
              <w:t>Puesto</w:t>
            </w:r>
          </w:p>
        </w:tc>
        <w:tc>
          <w:tcPr>
            <w:tcW w:w="4241" w:type="dxa"/>
            <w:tcBorders>
              <w:bottom w:val="single" w:sz="4" w:space="0" w:color="auto"/>
            </w:tcBorders>
            <w:shd w:val="clear" w:color="auto" w:fill="8DB3E2" w:themeFill="text2" w:themeFillTint="66"/>
            <w:vAlign w:val="center"/>
          </w:tcPr>
          <w:p w:rsidR="00066D24" w:rsidRPr="00F37B22" w:rsidRDefault="00066D24" w:rsidP="00066D24">
            <w:pPr>
              <w:pStyle w:val="informe"/>
              <w:spacing w:after="0" w:line="240" w:lineRule="atLeast"/>
              <w:ind w:firstLine="0"/>
              <w:jc w:val="left"/>
              <w:rPr>
                <w:rFonts w:ascii="Arial" w:hAnsi="Arial"/>
                <w:sz w:val="18"/>
                <w:szCs w:val="18"/>
              </w:rPr>
            </w:pPr>
            <w:r w:rsidRPr="00F37B22">
              <w:rPr>
                <w:rFonts w:ascii="Arial" w:hAnsi="Arial"/>
                <w:sz w:val="18"/>
                <w:szCs w:val="18"/>
              </w:rPr>
              <w:t>Nivel y régimen administrativo</w:t>
            </w:r>
          </w:p>
        </w:tc>
      </w:tr>
      <w:tr w:rsidR="00066D24" w:rsidRPr="008B29F2" w:rsidTr="00F37B22">
        <w:trPr>
          <w:trHeight w:val="198"/>
          <w:jc w:val="center"/>
        </w:trPr>
        <w:tc>
          <w:tcPr>
            <w:tcW w:w="4640" w:type="dxa"/>
            <w:tcBorders>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sidRPr="008B29F2">
              <w:rPr>
                <w:rFonts w:ascii="Arial Narrow" w:hAnsi="Arial Narrow"/>
                <w:sz w:val="20"/>
              </w:rPr>
              <w:t>Jefe Ne</w:t>
            </w:r>
            <w:r>
              <w:rPr>
                <w:rFonts w:ascii="Arial Narrow" w:hAnsi="Arial Narrow"/>
                <w:sz w:val="20"/>
              </w:rPr>
              <w:t>goc</w:t>
            </w:r>
            <w:r w:rsidR="00C31009">
              <w:rPr>
                <w:rFonts w:ascii="Arial Narrow" w:hAnsi="Arial Narrow"/>
                <w:sz w:val="20"/>
              </w:rPr>
              <w:t>.</w:t>
            </w:r>
            <w:r>
              <w:rPr>
                <w:rFonts w:ascii="Arial Narrow" w:hAnsi="Arial Narrow"/>
                <w:sz w:val="20"/>
              </w:rPr>
              <w:t xml:space="preserve"> Centros de Juvent</w:t>
            </w:r>
            <w:r w:rsidR="00C31009">
              <w:rPr>
                <w:rFonts w:ascii="Arial Narrow" w:hAnsi="Arial Narrow"/>
                <w:sz w:val="20"/>
              </w:rPr>
              <w:t>.</w:t>
            </w:r>
            <w:r>
              <w:rPr>
                <w:rFonts w:ascii="Arial Narrow" w:hAnsi="Arial Narrow"/>
                <w:sz w:val="20"/>
              </w:rPr>
              <w:t>(responsable de la r</w:t>
            </w:r>
            <w:r w:rsidRPr="008B29F2">
              <w:rPr>
                <w:rFonts w:ascii="Arial Narrow" w:hAnsi="Arial Narrow"/>
                <w:sz w:val="20"/>
              </w:rPr>
              <w:t>esidencia</w:t>
            </w:r>
            <w:r>
              <w:rPr>
                <w:rFonts w:ascii="Arial Narrow" w:hAnsi="Arial Narrow"/>
                <w:sz w:val="20"/>
              </w:rPr>
              <w:t>)</w:t>
            </w:r>
          </w:p>
        </w:tc>
        <w:tc>
          <w:tcPr>
            <w:tcW w:w="4241" w:type="dxa"/>
            <w:tcBorders>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sidRPr="008B29F2">
              <w:rPr>
                <w:rFonts w:ascii="Arial Narrow" w:hAnsi="Arial Narrow"/>
                <w:sz w:val="20"/>
              </w:rPr>
              <w:t>B Funcionario</w:t>
            </w:r>
            <w:r w:rsidR="0000668B">
              <w:rPr>
                <w:rFonts w:ascii="Arial Narrow" w:hAnsi="Arial Narrow"/>
                <w:sz w:val="20"/>
              </w:rPr>
              <w:t xml:space="preserve"> (compartido con otros centros)</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3B0700" w:rsidP="00C31009">
            <w:pPr>
              <w:pStyle w:val="informe"/>
              <w:spacing w:after="0" w:line="240" w:lineRule="atLeast"/>
              <w:ind w:right="-116" w:firstLine="0"/>
              <w:jc w:val="left"/>
              <w:rPr>
                <w:rFonts w:ascii="Arial Narrow" w:hAnsi="Arial Narrow"/>
                <w:sz w:val="20"/>
              </w:rPr>
            </w:pPr>
            <w:r>
              <w:rPr>
                <w:rFonts w:ascii="Arial Narrow" w:hAnsi="Arial Narrow"/>
                <w:sz w:val="20"/>
              </w:rPr>
              <w:t>Encargado Servicios Múltiples</w:t>
            </w:r>
          </w:p>
        </w:tc>
        <w:tc>
          <w:tcPr>
            <w:tcW w:w="4241" w:type="dxa"/>
            <w:tcBorders>
              <w:top w:val="single" w:sz="2" w:space="0" w:color="auto"/>
              <w:bottom w:val="single" w:sz="2" w:space="0" w:color="auto"/>
            </w:tcBorders>
            <w:shd w:val="clear" w:color="auto" w:fill="auto"/>
            <w:vAlign w:val="center"/>
          </w:tcPr>
          <w:p w:rsidR="00066D24" w:rsidRPr="008B29F2" w:rsidRDefault="003B0700" w:rsidP="00066D24">
            <w:pPr>
              <w:pStyle w:val="informe"/>
              <w:spacing w:after="0" w:line="240" w:lineRule="atLeast"/>
              <w:ind w:firstLine="0"/>
              <w:jc w:val="left"/>
              <w:rPr>
                <w:rFonts w:ascii="Arial Narrow" w:hAnsi="Arial Narrow"/>
                <w:sz w:val="20"/>
              </w:rPr>
            </w:pPr>
            <w:r>
              <w:rPr>
                <w:rFonts w:ascii="Arial Narrow" w:hAnsi="Arial Narrow"/>
                <w:sz w:val="20"/>
              </w:rPr>
              <w:t>D</w:t>
            </w:r>
            <w:r w:rsidR="00066D24" w:rsidRPr="008B29F2">
              <w:rPr>
                <w:rFonts w:ascii="Arial Narrow" w:hAnsi="Arial Narrow"/>
                <w:sz w:val="20"/>
              </w:rPr>
              <w:t xml:space="preserve"> Funcionario</w:t>
            </w:r>
            <w:r>
              <w:rPr>
                <w:rFonts w:ascii="Arial Narrow" w:hAnsi="Arial Narrow"/>
                <w:sz w:val="20"/>
              </w:rPr>
              <w:t xml:space="preserve"> (compartido con otros centros)</w:t>
            </w:r>
          </w:p>
        </w:tc>
      </w:tr>
      <w:tr w:rsidR="003B0700" w:rsidRPr="008B29F2" w:rsidTr="00EA3FF6">
        <w:trPr>
          <w:trHeight w:val="198"/>
          <w:jc w:val="center"/>
        </w:trPr>
        <w:tc>
          <w:tcPr>
            <w:tcW w:w="4640" w:type="dxa"/>
            <w:tcBorders>
              <w:top w:val="single" w:sz="2" w:space="0" w:color="auto"/>
              <w:bottom w:val="single" w:sz="2" w:space="0" w:color="auto"/>
            </w:tcBorders>
            <w:shd w:val="clear" w:color="auto" w:fill="auto"/>
            <w:vAlign w:val="center"/>
          </w:tcPr>
          <w:p w:rsidR="003B0700" w:rsidRPr="008B29F2" w:rsidRDefault="003B0700" w:rsidP="00EA3FF6">
            <w:pPr>
              <w:pStyle w:val="informe"/>
              <w:spacing w:after="0" w:line="240" w:lineRule="atLeast"/>
              <w:ind w:right="-116" w:firstLine="0"/>
              <w:jc w:val="left"/>
              <w:rPr>
                <w:rFonts w:ascii="Arial Narrow" w:hAnsi="Arial Narrow"/>
                <w:sz w:val="20"/>
              </w:rPr>
            </w:pPr>
            <w:r w:rsidRPr="008B29F2">
              <w:rPr>
                <w:rFonts w:ascii="Arial Narrow" w:hAnsi="Arial Narrow"/>
                <w:sz w:val="20"/>
              </w:rPr>
              <w:t>Oficial de Mantenimiento</w:t>
            </w:r>
          </w:p>
        </w:tc>
        <w:tc>
          <w:tcPr>
            <w:tcW w:w="4241" w:type="dxa"/>
            <w:tcBorders>
              <w:top w:val="single" w:sz="2" w:space="0" w:color="auto"/>
              <w:bottom w:val="single" w:sz="2" w:space="0" w:color="auto"/>
            </w:tcBorders>
            <w:shd w:val="clear" w:color="auto" w:fill="auto"/>
            <w:vAlign w:val="center"/>
          </w:tcPr>
          <w:p w:rsidR="003B0700" w:rsidRPr="008B29F2" w:rsidRDefault="003B0700" w:rsidP="00EA3FF6">
            <w:pPr>
              <w:pStyle w:val="informe"/>
              <w:spacing w:after="0" w:line="240" w:lineRule="atLeast"/>
              <w:ind w:firstLine="0"/>
              <w:jc w:val="left"/>
              <w:rPr>
                <w:rFonts w:ascii="Arial Narrow" w:hAnsi="Arial Narrow"/>
                <w:sz w:val="20"/>
              </w:rPr>
            </w:pPr>
            <w:r w:rsidRPr="008B29F2">
              <w:rPr>
                <w:rFonts w:ascii="Arial Narrow" w:hAnsi="Arial Narrow"/>
                <w:sz w:val="20"/>
              </w:rPr>
              <w:t>C Funcionario</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sidRPr="008B29F2">
              <w:rPr>
                <w:rFonts w:ascii="Arial Narrow" w:hAnsi="Arial Narrow"/>
                <w:sz w:val="20"/>
              </w:rPr>
              <w:t>Ordenanza</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sidRPr="008B29F2">
              <w:rPr>
                <w:rFonts w:ascii="Arial Narrow" w:hAnsi="Arial Narrow"/>
                <w:sz w:val="20"/>
              </w:rPr>
              <w:t>E Funcionario</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sidRPr="008B29F2">
              <w:rPr>
                <w:rFonts w:ascii="Arial Narrow" w:hAnsi="Arial Narrow"/>
                <w:sz w:val="20"/>
              </w:rPr>
              <w:t>Empleada Servicios Múltiples</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sidRPr="008B29F2">
              <w:rPr>
                <w:rFonts w:ascii="Arial Narrow" w:hAnsi="Arial Narrow"/>
                <w:sz w:val="20"/>
              </w:rPr>
              <w:t>E Funcionario</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sidRPr="008B29F2">
              <w:rPr>
                <w:rFonts w:ascii="Arial Narrow" w:hAnsi="Arial Narrow"/>
                <w:sz w:val="20"/>
              </w:rPr>
              <w:t>Empleada Servicios Múltiples</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sidRPr="008B29F2">
              <w:rPr>
                <w:rFonts w:ascii="Arial Narrow" w:hAnsi="Arial Narrow"/>
                <w:sz w:val="20"/>
              </w:rPr>
              <w:t>E Funcionario</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sidRPr="008B29F2">
              <w:rPr>
                <w:rFonts w:ascii="Arial Narrow" w:hAnsi="Arial Narrow"/>
                <w:sz w:val="20"/>
              </w:rPr>
              <w:t>Empleado Servicios Múltiples</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sidRPr="008B29F2">
              <w:rPr>
                <w:rFonts w:ascii="Arial Narrow" w:hAnsi="Arial Narrow"/>
                <w:sz w:val="20"/>
              </w:rPr>
              <w:t xml:space="preserve">E Funcionario </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sidRPr="008B29F2">
              <w:rPr>
                <w:rFonts w:ascii="Arial Narrow" w:hAnsi="Arial Narrow"/>
                <w:sz w:val="20"/>
              </w:rPr>
              <w:t>Empleada Servicios Múltiples</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sidRPr="008B29F2">
              <w:rPr>
                <w:rFonts w:ascii="Arial Narrow" w:hAnsi="Arial Narrow"/>
                <w:sz w:val="20"/>
              </w:rPr>
              <w:t>E Funcionario</w:t>
            </w:r>
          </w:p>
        </w:tc>
      </w:tr>
      <w:tr w:rsidR="00066D24" w:rsidRPr="008B29F2" w:rsidTr="00F37B22">
        <w:trPr>
          <w:trHeight w:val="198"/>
          <w:jc w:val="center"/>
        </w:trPr>
        <w:tc>
          <w:tcPr>
            <w:tcW w:w="4640" w:type="dxa"/>
            <w:tcBorders>
              <w:top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sidRPr="008B29F2">
              <w:rPr>
                <w:rFonts w:ascii="Arial Narrow" w:hAnsi="Arial Narrow"/>
                <w:sz w:val="20"/>
              </w:rPr>
              <w:t>Portera</w:t>
            </w:r>
          </w:p>
        </w:tc>
        <w:tc>
          <w:tcPr>
            <w:tcW w:w="4241" w:type="dxa"/>
            <w:tcBorders>
              <w:top w:val="single" w:sz="2" w:space="0" w:color="auto"/>
            </w:tcBorders>
            <w:shd w:val="clear" w:color="auto" w:fill="auto"/>
            <w:vAlign w:val="center"/>
          </w:tcPr>
          <w:p w:rsidR="00066D24" w:rsidRPr="008B29F2" w:rsidRDefault="00066D24" w:rsidP="00C31009">
            <w:pPr>
              <w:pStyle w:val="informe"/>
              <w:spacing w:after="0" w:line="240" w:lineRule="atLeast"/>
              <w:ind w:firstLine="0"/>
              <w:jc w:val="left"/>
              <w:rPr>
                <w:rFonts w:ascii="Arial Narrow" w:hAnsi="Arial Narrow"/>
                <w:sz w:val="20"/>
              </w:rPr>
            </w:pPr>
            <w:r w:rsidRPr="008B29F2">
              <w:rPr>
                <w:rFonts w:ascii="Arial Narrow" w:hAnsi="Arial Narrow"/>
                <w:sz w:val="20"/>
              </w:rPr>
              <w:t>E Contratada</w:t>
            </w:r>
            <w:r>
              <w:rPr>
                <w:rFonts w:ascii="Arial Narrow" w:hAnsi="Arial Narrow"/>
                <w:sz w:val="20"/>
              </w:rPr>
              <w:t xml:space="preserve"> que sustituye</w:t>
            </w:r>
            <w:r w:rsidRPr="008B29F2">
              <w:rPr>
                <w:rFonts w:ascii="Arial Narrow" w:hAnsi="Arial Narrow"/>
                <w:sz w:val="20"/>
              </w:rPr>
              <w:t xml:space="preserve"> a un func</w:t>
            </w:r>
            <w:r w:rsidR="00C31009">
              <w:rPr>
                <w:rFonts w:ascii="Arial Narrow" w:hAnsi="Arial Narrow"/>
                <w:sz w:val="20"/>
              </w:rPr>
              <w:t>.</w:t>
            </w:r>
            <w:r w:rsidRPr="008B29F2">
              <w:rPr>
                <w:rFonts w:ascii="Arial Narrow" w:hAnsi="Arial Narrow"/>
                <w:sz w:val="20"/>
              </w:rPr>
              <w:t xml:space="preserve"> liberado sindical.</w:t>
            </w:r>
          </w:p>
        </w:tc>
      </w:tr>
    </w:tbl>
    <w:p w:rsidR="00066D24" w:rsidRPr="00F37B22" w:rsidRDefault="00066D24" w:rsidP="00F37B22">
      <w:pPr>
        <w:pStyle w:val="texto0"/>
        <w:spacing w:before="240"/>
      </w:pPr>
      <w:r w:rsidRPr="00F37B22">
        <w:t>Además de este personal, los servicios de alimentación y limpieza están e</w:t>
      </w:r>
      <w:r w:rsidRPr="00F37B22">
        <w:t>x</w:t>
      </w:r>
      <w:r w:rsidRPr="00F37B22">
        <w:t>ternalizados:</w:t>
      </w:r>
    </w:p>
    <w:p w:rsidR="007023D6" w:rsidRDefault="007023D6">
      <w:pPr>
        <w:spacing w:after="0"/>
        <w:ind w:firstLine="0"/>
        <w:jc w:val="left"/>
        <w:rPr>
          <w:rFonts w:cs="Arial"/>
          <w:spacing w:val="6"/>
          <w:sz w:val="26"/>
          <w:szCs w:val="24"/>
        </w:rPr>
      </w:pPr>
      <w:r>
        <w:rPr>
          <w:rFonts w:cs="Arial"/>
        </w:rPr>
        <w:br w:type="page"/>
      </w:r>
    </w:p>
    <w:p w:rsidR="00066D24" w:rsidRPr="007023D6" w:rsidRDefault="00066D24" w:rsidP="007023D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spacing w:before="240"/>
        <w:ind w:left="0" w:firstLine="289"/>
      </w:pPr>
      <w:r w:rsidRPr="003B0700">
        <w:rPr>
          <w:rFonts w:cs="Arial"/>
        </w:rPr>
        <w:t>Servicio de alimentación</w:t>
      </w:r>
      <w:r w:rsidR="003B0700" w:rsidRPr="003B0700">
        <w:rPr>
          <w:rFonts w:cs="Arial"/>
        </w:rPr>
        <w:t xml:space="preserve">: </w:t>
      </w:r>
      <w:r w:rsidR="003B0700">
        <w:rPr>
          <w:rFonts w:cs="Arial"/>
        </w:rPr>
        <w:t>c</w:t>
      </w:r>
      <w:r w:rsidRPr="007023D6">
        <w:t xml:space="preserve">uando se creó la residencia este servicio se prestaba con medios propios, pero desde </w:t>
      </w:r>
      <w:r w:rsidR="008F5E2C" w:rsidRPr="007023D6">
        <w:t xml:space="preserve">octubre de </w:t>
      </w:r>
      <w:r w:rsidRPr="007023D6">
        <w:t>199</w:t>
      </w:r>
      <w:r w:rsidR="008F5E2C" w:rsidRPr="007023D6">
        <w:t>6</w:t>
      </w:r>
      <w:r w:rsidRPr="007023D6">
        <w:t xml:space="preserve"> está externalizado. El contrato vigente se adjudicó bajo la fórmula de concesión de servicio para el periodo 2013-2015 pudiéndose prorrogar hasta 2020, situación en la que se e</w:t>
      </w:r>
      <w:r w:rsidRPr="007023D6">
        <w:t>n</w:t>
      </w:r>
      <w:r w:rsidRPr="007023D6">
        <w:t xml:space="preserve">cuentra actualmente. El servicio se adjudicó de forma conjunta con el Albergue </w:t>
      </w:r>
      <w:r w:rsidR="002667D0">
        <w:t>J</w:t>
      </w:r>
      <w:r w:rsidRPr="007023D6">
        <w:t>uvenil Santo Cristo de Otadia de Alsasua.</w:t>
      </w:r>
    </w:p>
    <w:p w:rsidR="00066D24" w:rsidRPr="00F37B22" w:rsidRDefault="00066D24" w:rsidP="00F37B22">
      <w:pPr>
        <w:pStyle w:val="texto0"/>
      </w:pPr>
      <w:r w:rsidRPr="00F37B22">
        <w:t>La empresa abona un canon anual al instituto</w:t>
      </w:r>
      <w:r w:rsidR="008F5E2C">
        <w:t xml:space="preserve"> de 6.590 euros</w:t>
      </w:r>
      <w:r w:rsidRPr="00F37B22">
        <w:t xml:space="preserve"> y</w:t>
      </w:r>
      <w:r w:rsidR="00953932">
        <w:t>,</w:t>
      </w:r>
      <w:r w:rsidRPr="00F37B22">
        <w:t xml:space="preserve"> a cambio</w:t>
      </w:r>
      <w:r w:rsidR="008F5E2C">
        <w:t>,</w:t>
      </w:r>
      <w:r w:rsidRPr="00F37B22">
        <w:t xml:space="preserve"> percibe directamente de los usuarios las retribuciones correspondientes a los servicios de desayuno, comida y cena servidos. El personal se ha ido subroga</w:t>
      </w:r>
      <w:r w:rsidRPr="00F37B22">
        <w:t>n</w:t>
      </w:r>
      <w:r w:rsidRPr="00F37B22">
        <w:t xml:space="preserve">do y los pliegos establecen el número de horas que deben realizar por categoría profesional. </w:t>
      </w:r>
    </w:p>
    <w:p w:rsidR="00066D24" w:rsidRPr="00F37B22" w:rsidRDefault="00066D24" w:rsidP="00F37B22">
      <w:pPr>
        <w:pStyle w:val="texto0"/>
        <w:spacing w:after="240"/>
      </w:pPr>
      <w:r w:rsidRPr="00F37B22">
        <w:t xml:space="preserve">Los precios establecidos por la adjudicataria para los servicios prestados son los máximos </w:t>
      </w:r>
      <w:r w:rsidR="008F5E2C">
        <w:t>recogi</w:t>
      </w:r>
      <w:r w:rsidRPr="00F37B22">
        <w:t>dos en los pliegos que son:</w:t>
      </w:r>
    </w:p>
    <w:tbl>
      <w:tblPr>
        <w:tblW w:w="8810"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38"/>
        <w:gridCol w:w="1512"/>
        <w:gridCol w:w="1512"/>
        <w:gridCol w:w="1512"/>
        <w:gridCol w:w="2136"/>
      </w:tblGrid>
      <w:tr w:rsidR="00066D24" w:rsidRPr="00B30CF7" w:rsidTr="00F37B22">
        <w:trPr>
          <w:trHeight w:val="255"/>
          <w:jc w:val="center"/>
        </w:trPr>
        <w:tc>
          <w:tcPr>
            <w:tcW w:w="2138" w:type="dxa"/>
            <w:shd w:val="clear" w:color="auto" w:fill="8DB3E2" w:themeFill="text2" w:themeFillTint="66"/>
            <w:noWrap/>
            <w:vAlign w:val="center"/>
            <w:hideMark/>
          </w:tcPr>
          <w:p w:rsidR="00066D24" w:rsidRPr="00B30CF7" w:rsidRDefault="00066D24" w:rsidP="00F37B22">
            <w:pPr>
              <w:spacing w:after="0"/>
              <w:ind w:firstLine="0"/>
              <w:jc w:val="left"/>
              <w:rPr>
                <w:rFonts w:ascii="Calibri" w:hAnsi="Calibri"/>
                <w:color w:val="000000"/>
                <w:sz w:val="22"/>
                <w:szCs w:val="22"/>
                <w:lang w:val="es-ES" w:eastAsia="es-ES"/>
              </w:rPr>
            </w:pPr>
          </w:p>
        </w:tc>
        <w:tc>
          <w:tcPr>
            <w:tcW w:w="1512" w:type="dxa"/>
            <w:shd w:val="clear" w:color="auto" w:fill="8DB3E2" w:themeFill="text2" w:themeFillTint="66"/>
            <w:noWrap/>
            <w:vAlign w:val="center"/>
            <w:hideMark/>
          </w:tcPr>
          <w:p w:rsidR="00066D24" w:rsidRPr="00B30CF7" w:rsidRDefault="00066D24" w:rsidP="00066D2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Desayuno</w:t>
            </w:r>
          </w:p>
        </w:tc>
        <w:tc>
          <w:tcPr>
            <w:tcW w:w="1512" w:type="dxa"/>
            <w:shd w:val="clear" w:color="auto" w:fill="8DB3E2" w:themeFill="text2" w:themeFillTint="66"/>
            <w:noWrap/>
            <w:vAlign w:val="center"/>
            <w:hideMark/>
          </w:tcPr>
          <w:p w:rsidR="00066D24" w:rsidRPr="00B30CF7" w:rsidRDefault="00066D24" w:rsidP="00066D2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Comida</w:t>
            </w:r>
          </w:p>
        </w:tc>
        <w:tc>
          <w:tcPr>
            <w:tcW w:w="1512" w:type="dxa"/>
            <w:shd w:val="clear" w:color="auto" w:fill="8DB3E2" w:themeFill="text2" w:themeFillTint="66"/>
            <w:noWrap/>
            <w:vAlign w:val="center"/>
            <w:hideMark/>
          </w:tcPr>
          <w:p w:rsidR="00066D24" w:rsidRPr="00B30CF7" w:rsidRDefault="00066D24" w:rsidP="00066D2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Cena</w:t>
            </w:r>
          </w:p>
        </w:tc>
        <w:tc>
          <w:tcPr>
            <w:tcW w:w="2136" w:type="dxa"/>
            <w:shd w:val="clear" w:color="auto" w:fill="8DB3E2" w:themeFill="text2" w:themeFillTint="66"/>
            <w:noWrap/>
            <w:vAlign w:val="center"/>
            <w:hideMark/>
          </w:tcPr>
          <w:p w:rsidR="00066D24" w:rsidRPr="00B30CF7" w:rsidRDefault="00066D24" w:rsidP="00066D2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Pensión completa</w:t>
            </w:r>
          </w:p>
        </w:tc>
      </w:tr>
      <w:tr w:rsidR="00066D24" w:rsidRPr="00F37B22" w:rsidTr="00F37B22">
        <w:trPr>
          <w:trHeight w:val="198"/>
          <w:jc w:val="center"/>
        </w:trPr>
        <w:tc>
          <w:tcPr>
            <w:tcW w:w="2138" w:type="dxa"/>
            <w:shd w:val="clear" w:color="auto" w:fill="auto"/>
            <w:noWrap/>
            <w:vAlign w:val="center"/>
            <w:hideMark/>
          </w:tcPr>
          <w:p w:rsidR="00066D24" w:rsidRPr="00F37B22" w:rsidRDefault="00066D24" w:rsidP="00F37B22">
            <w:pPr>
              <w:spacing w:after="0"/>
              <w:ind w:firstLine="0"/>
              <w:jc w:val="left"/>
              <w:rPr>
                <w:rFonts w:ascii="Arial Narrow" w:hAnsi="Arial Narrow" w:cs="Arial"/>
                <w:color w:val="000000"/>
                <w:lang w:val="es-ES" w:eastAsia="es-ES"/>
              </w:rPr>
            </w:pPr>
            <w:r w:rsidRPr="00F37B22">
              <w:rPr>
                <w:rFonts w:ascii="Arial Narrow" w:hAnsi="Arial Narrow" w:cs="Arial"/>
                <w:color w:val="000000"/>
                <w:lang w:val="es-ES" w:eastAsia="es-ES"/>
              </w:rPr>
              <w:t>Importe diario</w:t>
            </w:r>
          </w:p>
        </w:tc>
        <w:tc>
          <w:tcPr>
            <w:tcW w:w="1512" w:type="dxa"/>
            <w:shd w:val="clear" w:color="auto" w:fill="auto"/>
            <w:noWrap/>
            <w:vAlign w:val="center"/>
            <w:hideMark/>
          </w:tcPr>
          <w:p w:rsidR="00066D24" w:rsidRPr="00F37B22" w:rsidRDefault="00066D24" w:rsidP="00066D24">
            <w:pPr>
              <w:spacing w:after="0"/>
              <w:ind w:firstLine="0"/>
              <w:jc w:val="right"/>
              <w:rPr>
                <w:rFonts w:ascii="Arial Narrow" w:hAnsi="Arial Narrow"/>
                <w:color w:val="000000"/>
                <w:lang w:val="es-ES" w:eastAsia="es-ES"/>
              </w:rPr>
            </w:pPr>
            <w:r w:rsidRPr="00F37B22">
              <w:rPr>
                <w:rFonts w:ascii="Arial Narrow" w:hAnsi="Arial Narrow"/>
                <w:color w:val="000000"/>
                <w:lang w:val="es-ES" w:eastAsia="es-ES"/>
              </w:rPr>
              <w:t>2,61</w:t>
            </w:r>
          </w:p>
        </w:tc>
        <w:tc>
          <w:tcPr>
            <w:tcW w:w="1512" w:type="dxa"/>
            <w:shd w:val="clear" w:color="auto" w:fill="auto"/>
            <w:noWrap/>
            <w:vAlign w:val="center"/>
            <w:hideMark/>
          </w:tcPr>
          <w:p w:rsidR="00066D24" w:rsidRPr="00F37B22" w:rsidRDefault="00066D24" w:rsidP="00066D24">
            <w:pPr>
              <w:spacing w:after="0"/>
              <w:ind w:firstLine="0"/>
              <w:jc w:val="right"/>
              <w:rPr>
                <w:rFonts w:ascii="Arial Narrow" w:hAnsi="Arial Narrow"/>
                <w:color w:val="000000"/>
                <w:lang w:val="es-ES" w:eastAsia="es-ES"/>
              </w:rPr>
            </w:pPr>
            <w:r w:rsidRPr="00F37B22">
              <w:rPr>
                <w:rFonts w:ascii="Arial Narrow" w:hAnsi="Arial Narrow"/>
                <w:color w:val="000000"/>
                <w:lang w:val="es-ES" w:eastAsia="es-ES"/>
              </w:rPr>
              <w:t>8,25</w:t>
            </w:r>
          </w:p>
        </w:tc>
        <w:tc>
          <w:tcPr>
            <w:tcW w:w="1512" w:type="dxa"/>
            <w:shd w:val="clear" w:color="auto" w:fill="auto"/>
            <w:noWrap/>
            <w:vAlign w:val="center"/>
            <w:hideMark/>
          </w:tcPr>
          <w:p w:rsidR="00066D24" w:rsidRPr="00F37B22" w:rsidRDefault="00066D24" w:rsidP="00066D24">
            <w:pPr>
              <w:spacing w:after="0"/>
              <w:ind w:firstLine="0"/>
              <w:jc w:val="right"/>
              <w:rPr>
                <w:rFonts w:ascii="Arial Narrow" w:hAnsi="Arial Narrow"/>
                <w:color w:val="000000"/>
                <w:lang w:val="es-ES" w:eastAsia="es-ES"/>
              </w:rPr>
            </w:pPr>
            <w:r w:rsidRPr="00F37B22">
              <w:rPr>
                <w:rFonts w:ascii="Arial Narrow" w:hAnsi="Arial Narrow"/>
                <w:color w:val="000000"/>
                <w:lang w:val="es-ES" w:eastAsia="es-ES"/>
              </w:rPr>
              <w:t>7,18</w:t>
            </w:r>
          </w:p>
        </w:tc>
        <w:tc>
          <w:tcPr>
            <w:tcW w:w="2136" w:type="dxa"/>
            <w:shd w:val="clear" w:color="auto" w:fill="auto"/>
            <w:noWrap/>
            <w:vAlign w:val="center"/>
            <w:hideMark/>
          </w:tcPr>
          <w:p w:rsidR="00066D24" w:rsidRPr="00F37B22" w:rsidRDefault="00066D24" w:rsidP="00066D24">
            <w:pPr>
              <w:spacing w:after="0"/>
              <w:ind w:firstLine="0"/>
              <w:jc w:val="right"/>
              <w:rPr>
                <w:rFonts w:ascii="Arial Narrow" w:hAnsi="Arial Narrow"/>
                <w:color w:val="000000"/>
                <w:lang w:val="es-ES" w:eastAsia="es-ES"/>
              </w:rPr>
            </w:pPr>
            <w:r w:rsidRPr="00F37B22">
              <w:rPr>
                <w:rFonts w:ascii="Arial Narrow" w:hAnsi="Arial Narrow"/>
                <w:color w:val="000000"/>
                <w:lang w:val="es-ES" w:eastAsia="es-ES"/>
              </w:rPr>
              <w:t>18,04</w:t>
            </w:r>
          </w:p>
        </w:tc>
      </w:tr>
    </w:tbl>
    <w:p w:rsidR="00066D24" w:rsidRPr="00F37B22" w:rsidRDefault="00066D24" w:rsidP="00F37B22">
      <w:pPr>
        <w:pStyle w:val="texto0"/>
        <w:spacing w:before="240"/>
      </w:pPr>
      <w:r w:rsidRPr="00F37B22">
        <w:t>En noviembre de 2013, la adjudicataria solicitó reducir las horas</w:t>
      </w:r>
      <w:r w:rsidR="0000668B">
        <w:t xml:space="preserve"> mensuales</w:t>
      </w:r>
      <w:r w:rsidRPr="00F37B22">
        <w:t xml:space="preserve"> de trabajo que debía realizar según los pliegos que regían el contrato ante una disminución de la actividad prevista inicialmente. Tras el informe favorable del instituto, se acordó rebajar las horas </w:t>
      </w:r>
      <w:r w:rsidR="0000668B">
        <w:t>pasando de 151 a</w:t>
      </w:r>
      <w:r w:rsidRPr="00F37B22">
        <w:t xml:space="preserve"> 136,5. </w:t>
      </w:r>
      <w:r w:rsidR="0000668B">
        <w:t>Dicho informe ya especificaba que, en caso de que el nivel de actividad aumentara alcanzando una ocupación de 72 residentes, las horas de trabajo volverían a ser las 151 e</w:t>
      </w:r>
      <w:r w:rsidR="0000668B">
        <w:t>s</w:t>
      </w:r>
      <w:r w:rsidR="0000668B">
        <w:t>tablecidas en los pliegos.</w:t>
      </w:r>
    </w:p>
    <w:p w:rsidR="00066D24" w:rsidRPr="007023D6" w:rsidRDefault="00066D24" w:rsidP="007023D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pPr>
      <w:r w:rsidRPr="003B0700">
        <w:rPr>
          <w:rFonts w:cs="Arial"/>
        </w:rPr>
        <w:t>Servicio de limpieza</w:t>
      </w:r>
      <w:r w:rsidR="003B0700" w:rsidRPr="003B0700">
        <w:rPr>
          <w:rFonts w:cs="Arial"/>
        </w:rPr>
        <w:t xml:space="preserve">: </w:t>
      </w:r>
      <w:r w:rsidR="003B0700">
        <w:rPr>
          <w:rFonts w:cs="Arial"/>
        </w:rPr>
        <w:t>c</w:t>
      </w:r>
      <w:r w:rsidRPr="007023D6">
        <w:t>ontrato de asistencia adjudicado en 2015 y prorr</w:t>
      </w:r>
      <w:r w:rsidRPr="007023D6">
        <w:t>o</w:t>
      </w:r>
      <w:r w:rsidRPr="007023D6">
        <w:t>gable tres anualidades más (situación en la que se encuentra actualmente). La adjudicación de este servicio se realizó de forma conjunta con la de otros ce</w:t>
      </w:r>
      <w:r w:rsidRPr="007023D6">
        <w:t>n</w:t>
      </w:r>
      <w:r w:rsidRPr="007023D6">
        <w:t>tros (oficinas del instituto, Subdirección General de Juventud, Centro de Tecn</w:t>
      </w:r>
      <w:r w:rsidRPr="007023D6">
        <w:t>i</w:t>
      </w:r>
      <w:r w:rsidRPr="007023D6">
        <w:t>ficación Deportiva Estadio de Larrabide, etc.). El personal también está subr</w:t>
      </w:r>
      <w:r w:rsidRPr="007023D6">
        <w:t>o</w:t>
      </w:r>
      <w:r w:rsidRPr="007023D6">
        <w:t>gado.</w:t>
      </w:r>
    </w:p>
    <w:p w:rsidR="00066D24" w:rsidRDefault="00066D24" w:rsidP="00F37B22">
      <w:pPr>
        <w:pStyle w:val="texto0"/>
      </w:pPr>
      <w:r w:rsidRPr="00F37B22">
        <w:t>Teniendo en cuenta toda la información anterior, los gastos e ingresos imp</w:t>
      </w:r>
      <w:r w:rsidRPr="00F37B22">
        <w:t>u</w:t>
      </w:r>
      <w:r w:rsidRPr="00F37B22">
        <w:t xml:space="preserve">tables a la residencia en el año 2015 ascendieron a </w:t>
      </w:r>
      <w:r w:rsidR="0000668B">
        <w:t>493.389</w:t>
      </w:r>
      <w:r w:rsidRPr="00F37B22">
        <w:t xml:space="preserve"> y 144.724 euros respectivamente. </w:t>
      </w:r>
    </w:p>
    <w:p w:rsidR="0038236E" w:rsidRPr="00F37B22" w:rsidRDefault="0038236E" w:rsidP="00F37B22">
      <w:pPr>
        <w:pStyle w:val="texto0"/>
      </w:pPr>
    </w:p>
    <w:p w:rsidR="00477C53" w:rsidRDefault="00066D24" w:rsidP="00066D24">
      <w:pPr>
        <w:pStyle w:val="atitulo1"/>
      </w:pPr>
      <w:r>
        <w:br w:type="page"/>
      </w:r>
    </w:p>
    <w:p w:rsidR="00324EF1" w:rsidRPr="00341874" w:rsidRDefault="00324EF1" w:rsidP="00324EF1">
      <w:pPr>
        <w:pStyle w:val="atitulo1"/>
      </w:pPr>
      <w:bookmarkStart w:id="14" w:name="_Toc311633164"/>
      <w:bookmarkStart w:id="15" w:name="_Toc311633173"/>
      <w:bookmarkStart w:id="16" w:name="_Toc432757080"/>
      <w:bookmarkStart w:id="17" w:name="_Toc447195014"/>
      <w:bookmarkStart w:id="18" w:name="_Toc473543361"/>
      <w:bookmarkStart w:id="19" w:name="_Toc475449743"/>
      <w:r w:rsidRPr="00983EB9">
        <w:t xml:space="preserve">III. </w:t>
      </w:r>
      <w:bookmarkEnd w:id="14"/>
      <w:bookmarkEnd w:id="15"/>
      <w:r w:rsidRPr="00341874">
        <w:t>Objetivo</w:t>
      </w:r>
      <w:bookmarkEnd w:id="16"/>
      <w:r>
        <w:t>s, alcance y limitaciones</w:t>
      </w:r>
      <w:bookmarkEnd w:id="17"/>
      <w:bookmarkEnd w:id="18"/>
      <w:bookmarkEnd w:id="19"/>
    </w:p>
    <w:p w:rsidR="00324EF1" w:rsidRPr="00324EF1" w:rsidRDefault="00324EF1" w:rsidP="00324EF1">
      <w:pPr>
        <w:pStyle w:val="texto0"/>
      </w:pPr>
      <w:r w:rsidRPr="00324EF1">
        <w:t>Los objetivos de este trabajo teniendo en cuenta la petición parlamentaria fueron:</w:t>
      </w:r>
    </w:p>
    <w:p w:rsidR="00324EF1"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Cuantificar los gastos e ingresos de la residencia para el periodo 2012-2015.</w:t>
      </w:r>
    </w:p>
    <w:p w:rsidR="005234AC" w:rsidRPr="00CE52FD" w:rsidRDefault="005234AC" w:rsidP="005234AC">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 xml:space="preserve">Examinar los procedimientos de registro de la actividad </w:t>
      </w:r>
      <w:r w:rsidR="003B0700">
        <w:rPr>
          <w:rFonts w:cs="Arial"/>
        </w:rPr>
        <w:t>y gestión de las r</w:t>
      </w:r>
      <w:r w:rsidR="003B0700">
        <w:rPr>
          <w:rFonts w:cs="Arial"/>
        </w:rPr>
        <w:t>e</w:t>
      </w:r>
      <w:r w:rsidR="003B0700">
        <w:rPr>
          <w:rFonts w:cs="Arial"/>
        </w:rPr>
        <w:t>servas de</w:t>
      </w:r>
      <w:r>
        <w:rPr>
          <w:rFonts w:cs="Arial"/>
        </w:rPr>
        <w:t xml:space="preserve"> la residencia.</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Analizar la razonabilidad de los gastos e ingresos del año 2015 y si están justificados y contabilizados adecuadamente.</w:t>
      </w:r>
    </w:p>
    <w:p w:rsidR="00324EF1" w:rsidRDefault="00DF70B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Revisar</w:t>
      </w:r>
      <w:r w:rsidR="00324EF1" w:rsidRPr="00CE52FD">
        <w:rPr>
          <w:rFonts w:cs="Arial"/>
        </w:rPr>
        <w:t xml:space="preserve"> el cumplimiento de los pliegos de la contratación del servicio de alimentación y limpieza de la residencia.</w:t>
      </w:r>
    </w:p>
    <w:p w:rsidR="00324EF1" w:rsidRPr="00CE52FD" w:rsidRDefault="00324EF1" w:rsidP="00DF70B1">
      <w:pPr>
        <w:pStyle w:val="texto0"/>
        <w:tabs>
          <w:tab w:val="clear" w:pos="2835"/>
          <w:tab w:val="clear" w:pos="3969"/>
          <w:tab w:val="clear" w:pos="5103"/>
          <w:tab w:val="clear" w:pos="6237"/>
          <w:tab w:val="clear" w:pos="7371"/>
          <w:tab w:val="left" w:pos="480"/>
          <w:tab w:val="num" w:pos="1320"/>
          <w:tab w:val="num" w:pos="1948"/>
        </w:tabs>
        <w:ind w:left="289" w:firstLine="0"/>
        <w:rPr>
          <w:rFonts w:cs="Arial"/>
        </w:rPr>
      </w:pPr>
      <w:r w:rsidRPr="00CE52FD">
        <w:rPr>
          <w:rFonts w:cs="Arial"/>
        </w:rPr>
        <w:t xml:space="preserve">Para realizar nuestro trabajo hemos analizado la siguiente información: </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Ejecución de las partidas presupuestarias del instituto relacionadas con la residencia para el periodo 2012-2015.</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Plantillas de la Administración de la Comunidad Foral de Navarra para el periodo 2012-2015.</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 xml:space="preserve">Normativa aplicable al centro: convocatorias de becas para deportistas de élite, acuerdos de aprobación de precios y tarifas, condiciones administrativas para poder ser considerado albergue juvenil, etc. </w:t>
      </w:r>
    </w:p>
    <w:p w:rsidR="00324EF1"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Pliegos de los contratos del servicio de alimentación y limpieza de la res</w:t>
      </w:r>
      <w:r w:rsidRPr="00CE52FD">
        <w:rPr>
          <w:rFonts w:cs="Arial"/>
        </w:rPr>
        <w:t>i</w:t>
      </w:r>
      <w:r w:rsidRPr="00CE52FD">
        <w:rPr>
          <w:rFonts w:cs="Arial"/>
        </w:rPr>
        <w:t>dencia.</w:t>
      </w:r>
    </w:p>
    <w:p w:rsidR="00DF70B1" w:rsidRDefault="00DF70B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Procedimientos de gestión de gastos e ingresos de la residencia.</w:t>
      </w:r>
    </w:p>
    <w:p w:rsidR="00DF70B1" w:rsidRPr="00CE52FD" w:rsidRDefault="00DF70B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Pr>
          <w:rFonts w:cs="Arial"/>
        </w:rPr>
        <w:t>Procedimientos y documentación referida al registro de la actividad del centro.</w:t>
      </w:r>
    </w:p>
    <w:p w:rsidR="00324EF1" w:rsidRPr="00324EF1" w:rsidRDefault="00324EF1" w:rsidP="00324EF1">
      <w:pPr>
        <w:pStyle w:val="texto0"/>
      </w:pPr>
      <w:r w:rsidRPr="00324EF1">
        <w:t xml:space="preserve">El trabajo se ha ejecutado de acuerdo con los principios y normas de </w:t>
      </w:r>
      <w:proofErr w:type="gramStart"/>
      <w:r w:rsidRPr="00324EF1">
        <w:t>audit</w:t>
      </w:r>
      <w:r w:rsidRPr="00324EF1">
        <w:t>o</w:t>
      </w:r>
      <w:r w:rsidRPr="00324EF1">
        <w:t>ría del Sector Público aprobados por la Comisión de Coordinación de los Órg</w:t>
      </w:r>
      <w:r w:rsidRPr="00324EF1">
        <w:t>a</w:t>
      </w:r>
      <w:r w:rsidRPr="00324EF1">
        <w:t>nos Públicos del Control Externo del Estado Español y desarrollados</w:t>
      </w:r>
      <w:proofErr w:type="gramEnd"/>
      <w:r w:rsidRPr="00324EF1">
        <w:t xml:space="preserve"> por esta Cámara de Comptos en su manual de fiscalización</w:t>
      </w:r>
      <w:r w:rsidR="00953932">
        <w:t>.</w:t>
      </w:r>
      <w:r w:rsidRPr="00324EF1">
        <w:t xml:space="preserve"> </w:t>
      </w:r>
      <w:r w:rsidR="00BC5D7A">
        <w:t>S</w:t>
      </w:r>
      <w:r w:rsidR="00953932">
        <w:t xml:space="preserve">e han </w:t>
      </w:r>
      <w:r w:rsidRPr="00324EF1">
        <w:t>aplic</w:t>
      </w:r>
      <w:r w:rsidR="00953932">
        <w:t>ado</w:t>
      </w:r>
      <w:r w:rsidRPr="00324EF1">
        <w:t xml:space="preserve"> fundame</w:t>
      </w:r>
      <w:r w:rsidRPr="00324EF1">
        <w:t>n</w:t>
      </w:r>
      <w:r w:rsidRPr="00324EF1">
        <w:t>talmente la</w:t>
      </w:r>
      <w:r w:rsidR="00BC5D7A">
        <w:t>s</w:t>
      </w:r>
      <w:r w:rsidRPr="00324EF1">
        <w:t xml:space="preserve"> ISSAI-ES de nivel dos y cuatro referidas a las fiscalizaciones de auditoría financiera y</w:t>
      </w:r>
      <w:r w:rsidR="00953932">
        <w:t>,</w:t>
      </w:r>
      <w:r w:rsidRPr="00324EF1">
        <w:t xml:space="preserve"> más en concreto</w:t>
      </w:r>
      <w:r w:rsidR="00953932">
        <w:t>,</w:t>
      </w:r>
      <w:r w:rsidRPr="00324EF1">
        <w:t xml:space="preserve"> a la revisión de unas partidas específ</w:t>
      </w:r>
      <w:r w:rsidRPr="00324EF1">
        <w:t>i</w:t>
      </w:r>
      <w:r w:rsidRPr="00324EF1">
        <w:t>cas, y de cumplimiento en la parte de ejecución de los contratos. Se incluirán todos aquellos procedimientos técnicos considerados necesarios, de acuerdo con las circunstancias y con el objetivo del trabajo.</w:t>
      </w:r>
    </w:p>
    <w:p w:rsidR="00324EF1" w:rsidRPr="00324EF1" w:rsidRDefault="00324EF1" w:rsidP="00324EF1">
      <w:pPr>
        <w:pStyle w:val="texto0"/>
      </w:pPr>
      <w:r w:rsidRPr="00324EF1">
        <w:t>Ha existido una limitación que ha afectado a la realización de este trabajo r</w:t>
      </w:r>
      <w:r w:rsidRPr="00324EF1">
        <w:t>e</w:t>
      </w:r>
      <w:r w:rsidRPr="00324EF1">
        <w:t>lacionada con la cuantificación de los gastos de la residencia. Hay que tener en cuenta que la residencia es un centro adscrito al instituto y</w:t>
      </w:r>
      <w:r w:rsidR="00953932">
        <w:t>,</w:t>
      </w:r>
      <w:r w:rsidRPr="00324EF1">
        <w:t xml:space="preserve"> por lo tanto</w:t>
      </w:r>
      <w:r w:rsidR="00953932">
        <w:t>,</w:t>
      </w:r>
      <w:r w:rsidRPr="00324EF1">
        <w:t xml:space="preserve"> sus gastos e ingresos están registrados en las partidas presupuestarias de ese centro. La residencia nos ha facilitado los gastos e ingresos para el periodo 2012-2015</w:t>
      </w:r>
      <w:r w:rsidR="00953932">
        <w:t>,</w:t>
      </w:r>
      <w:r w:rsidRPr="00324EF1">
        <w:t xml:space="preserve"> que hemos cotejado con la información de la aplicación SAP de contabilidad con resultado satisfactorio. Durante este proceso de verificación hemos const</w:t>
      </w:r>
      <w:r w:rsidRPr="00324EF1">
        <w:t>a</w:t>
      </w:r>
      <w:r w:rsidRPr="00324EF1">
        <w:t>tado que algunos</w:t>
      </w:r>
      <w:r w:rsidR="00DF70B1">
        <w:t xml:space="preserve"> de los</w:t>
      </w:r>
      <w:r w:rsidRPr="00324EF1">
        <w:t xml:space="preserve"> gastos no están identificados como pertenecientes a la residencia</w:t>
      </w:r>
      <w:r w:rsidR="00DF70B1">
        <w:t>,</w:t>
      </w:r>
      <w:r w:rsidRPr="00324EF1">
        <w:t xml:space="preserve"> por lo que podrían existir </w:t>
      </w:r>
      <w:r w:rsidR="00DF70B1">
        <w:t>otros</w:t>
      </w:r>
      <w:r w:rsidRPr="00324EF1">
        <w:t xml:space="preserve"> que no hayan sido contemplados en nuestro análisis, si bien entendemos que no serían significativos y</w:t>
      </w:r>
      <w:r w:rsidR="00953932">
        <w:t>,</w:t>
      </w:r>
      <w:r w:rsidRPr="00324EF1">
        <w:t xml:space="preserve"> por lo tanto</w:t>
      </w:r>
      <w:r w:rsidR="00953932">
        <w:t>,</w:t>
      </w:r>
      <w:r w:rsidRPr="00324EF1">
        <w:t xml:space="preserve"> no alterarían las conclusiones alcanzadas.</w:t>
      </w:r>
      <w:r w:rsidRPr="00324EF1">
        <w:br w:type="page"/>
      </w:r>
    </w:p>
    <w:p w:rsidR="00324EF1" w:rsidRPr="00BB1925" w:rsidRDefault="00324EF1" w:rsidP="00324EF1">
      <w:pPr>
        <w:pStyle w:val="atitulo1"/>
      </w:pPr>
      <w:bookmarkStart w:id="20" w:name="_Toc398207038"/>
      <w:bookmarkStart w:id="21" w:name="_Toc432757087"/>
      <w:bookmarkStart w:id="22" w:name="_Toc447195021"/>
      <w:bookmarkStart w:id="23" w:name="_Toc473543362"/>
      <w:bookmarkStart w:id="24" w:name="_Toc475449744"/>
      <w:bookmarkStart w:id="25" w:name="_Toc432757082"/>
      <w:bookmarkStart w:id="26" w:name="_Toc447195015"/>
      <w:r>
        <w:t>I</w:t>
      </w:r>
      <w:r w:rsidRPr="00BB1925">
        <w:t xml:space="preserve">V. </w:t>
      </w:r>
      <w:bookmarkEnd w:id="20"/>
      <w:bookmarkEnd w:id="21"/>
      <w:r w:rsidRPr="00BB1925">
        <w:t>Conclusiones y recomendaciones</w:t>
      </w:r>
      <w:bookmarkEnd w:id="22"/>
      <w:bookmarkEnd w:id="23"/>
      <w:bookmarkEnd w:id="24"/>
    </w:p>
    <w:p w:rsidR="00324EF1" w:rsidRPr="00977306" w:rsidRDefault="00324EF1" w:rsidP="00977306">
      <w:pPr>
        <w:pStyle w:val="texto0"/>
      </w:pPr>
      <w:r w:rsidRPr="00977306">
        <w:t>Presentamos en este epígrafe las principales conclusiones del trabajo realiz</w:t>
      </w:r>
      <w:r w:rsidRPr="00977306">
        <w:t>a</w:t>
      </w:r>
      <w:r w:rsidRPr="00977306">
        <w:t>do y las recomendaciones que consideramos oportunas para mejorar las pos</w:t>
      </w:r>
      <w:r w:rsidRPr="00977306">
        <w:t>i</w:t>
      </w:r>
      <w:r w:rsidRPr="00977306">
        <w:t>bles deficiencias detectadas.</w:t>
      </w:r>
    </w:p>
    <w:p w:rsidR="00324EF1" w:rsidRPr="00723975" w:rsidRDefault="00324EF1" w:rsidP="00324EF1">
      <w:pPr>
        <w:pStyle w:val="atitulo2"/>
        <w:spacing w:after="200"/>
      </w:pPr>
      <w:bookmarkStart w:id="27" w:name="_Toc473543363"/>
      <w:bookmarkStart w:id="28" w:name="_Toc475449745"/>
      <w:bookmarkStart w:id="29" w:name="_Toc430848038"/>
      <w:bookmarkStart w:id="30" w:name="_Toc431210965"/>
      <w:bookmarkStart w:id="31" w:name="_Toc431540919"/>
      <w:bookmarkStart w:id="32" w:name="_Toc431557230"/>
      <w:bookmarkStart w:id="33" w:name="_Toc431557268"/>
      <w:bookmarkStart w:id="34" w:name="_Toc432757084"/>
      <w:bookmarkStart w:id="35" w:name="_Toc446862153"/>
      <w:bookmarkStart w:id="36" w:name="_Toc447017463"/>
      <w:bookmarkStart w:id="37" w:name="_Toc447023129"/>
      <w:bookmarkStart w:id="38" w:name="_Toc447195026"/>
      <w:r>
        <w:t>I</w:t>
      </w:r>
      <w:r w:rsidRPr="00723975">
        <w:t>V.</w:t>
      </w:r>
      <w:r>
        <w:t>1</w:t>
      </w:r>
      <w:r w:rsidRPr="00723975">
        <w:t xml:space="preserve">. </w:t>
      </w:r>
      <w:r>
        <w:t>Cuantificación de gastos e ingresos de la residencia (2012-2015)</w:t>
      </w:r>
      <w:bookmarkEnd w:id="27"/>
      <w:bookmarkEnd w:id="28"/>
      <w:r>
        <w:t xml:space="preserve"> </w:t>
      </w:r>
    </w:p>
    <w:p w:rsidR="00324EF1" w:rsidRPr="00977306" w:rsidRDefault="00324EF1" w:rsidP="00977306">
      <w:pPr>
        <w:pStyle w:val="texto0"/>
        <w:spacing w:after="240"/>
      </w:pPr>
      <w:r w:rsidRPr="00977306">
        <w:t>Los datos correspondientes a los gastos e ingresos proporcionados por la r</w:t>
      </w:r>
      <w:r w:rsidRPr="00977306">
        <w:t>e</w:t>
      </w:r>
      <w:r w:rsidRPr="00977306">
        <w:t>sidencia del periodo 2012-2015 son los siguientes:</w:t>
      </w:r>
    </w:p>
    <w:tbl>
      <w:tblPr>
        <w:tblW w:w="9880" w:type="dxa"/>
        <w:jc w:val="center"/>
        <w:tblCellMar>
          <w:left w:w="70" w:type="dxa"/>
          <w:right w:w="70" w:type="dxa"/>
        </w:tblCellMar>
        <w:tblLook w:val="04A0" w:firstRow="1" w:lastRow="0" w:firstColumn="1" w:lastColumn="0" w:noHBand="0" w:noVBand="1"/>
      </w:tblPr>
      <w:tblGrid>
        <w:gridCol w:w="476"/>
        <w:gridCol w:w="817"/>
        <w:gridCol w:w="1293"/>
        <w:gridCol w:w="354"/>
        <w:gridCol w:w="940"/>
        <w:gridCol w:w="1200"/>
        <w:gridCol w:w="1200"/>
        <w:gridCol w:w="1200"/>
        <w:gridCol w:w="1200"/>
        <w:gridCol w:w="1200"/>
      </w:tblGrid>
      <w:tr w:rsidR="007023D6" w:rsidRPr="00730DC0" w:rsidTr="007023D6">
        <w:trPr>
          <w:trHeight w:val="255"/>
          <w:jc w:val="center"/>
        </w:trPr>
        <w:tc>
          <w:tcPr>
            <w:tcW w:w="1293" w:type="dxa"/>
            <w:gridSpan w:val="2"/>
            <w:tcBorders>
              <w:top w:val="single" w:sz="4" w:space="0" w:color="auto"/>
              <w:left w:val="nil"/>
              <w:bottom w:val="single" w:sz="4" w:space="0" w:color="auto"/>
              <w:right w:val="nil"/>
            </w:tcBorders>
            <w:shd w:val="clear" w:color="auto" w:fill="8DB3E2" w:themeFill="text2" w:themeFillTint="66"/>
            <w:vAlign w:val="center"/>
          </w:tcPr>
          <w:p w:rsidR="007023D6" w:rsidRPr="00730DC0" w:rsidRDefault="007023D6" w:rsidP="007023D6">
            <w:pPr>
              <w:spacing w:after="0"/>
              <w:ind w:left="-517" w:right="775"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Cap.</w:t>
            </w:r>
          </w:p>
        </w:tc>
        <w:tc>
          <w:tcPr>
            <w:tcW w:w="1293" w:type="dxa"/>
            <w:tcBorders>
              <w:top w:val="single" w:sz="4" w:space="0" w:color="auto"/>
              <w:left w:val="nil"/>
              <w:bottom w:val="single" w:sz="4" w:space="0" w:color="auto"/>
              <w:right w:val="nil"/>
            </w:tcBorders>
            <w:shd w:val="clear" w:color="auto" w:fill="8DB3E2" w:themeFill="text2" w:themeFillTint="66"/>
            <w:vAlign w:val="center"/>
          </w:tcPr>
          <w:p w:rsidR="007023D6" w:rsidRPr="00730DC0" w:rsidRDefault="007023D6" w:rsidP="00324EF1">
            <w:pPr>
              <w:spacing w:after="0"/>
              <w:ind w:firstLine="0"/>
              <w:jc w:val="right"/>
              <w:rPr>
                <w:rFonts w:ascii="Arial" w:hAnsi="Arial" w:cs="Arial"/>
                <w:color w:val="000000"/>
                <w:sz w:val="18"/>
                <w:szCs w:val="18"/>
                <w:lang w:val="es-ES" w:eastAsia="es-ES"/>
              </w:rPr>
            </w:pPr>
          </w:p>
        </w:tc>
        <w:tc>
          <w:tcPr>
            <w:tcW w:w="1294" w:type="dxa"/>
            <w:gridSpan w:val="2"/>
            <w:tcBorders>
              <w:top w:val="single" w:sz="4" w:space="0" w:color="auto"/>
              <w:left w:val="nil"/>
              <w:bottom w:val="single" w:sz="4" w:space="0" w:color="auto"/>
              <w:right w:val="nil"/>
            </w:tcBorders>
            <w:shd w:val="clear" w:color="auto" w:fill="8DB3E2" w:themeFill="text2" w:themeFillTint="66"/>
            <w:vAlign w:val="center"/>
          </w:tcPr>
          <w:p w:rsidR="007023D6" w:rsidRPr="00730DC0" w:rsidRDefault="007023D6" w:rsidP="00324EF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2012</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2013</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2014</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2015</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977306">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 variación 2015/2012</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 variación 2015/2014</w:t>
            </w:r>
          </w:p>
        </w:tc>
      </w:tr>
      <w:tr w:rsidR="00324EF1" w:rsidRPr="00730DC0" w:rsidTr="00730DC0">
        <w:trPr>
          <w:trHeight w:val="397"/>
          <w:jc w:val="center"/>
        </w:trPr>
        <w:tc>
          <w:tcPr>
            <w:tcW w:w="9880" w:type="dxa"/>
            <w:gridSpan w:val="10"/>
            <w:tcBorders>
              <w:top w:val="single" w:sz="4" w:space="0" w:color="auto"/>
              <w:left w:val="nil"/>
              <w:bottom w:val="single" w:sz="4" w:space="0" w:color="auto"/>
              <w:right w:val="nil"/>
            </w:tcBorders>
            <w:shd w:val="clear" w:color="auto" w:fill="auto"/>
            <w:vAlign w:val="bottom"/>
            <w:hideMark/>
          </w:tcPr>
          <w:p w:rsidR="00324EF1" w:rsidRPr="00730DC0" w:rsidRDefault="00977306" w:rsidP="008F5E2C">
            <w:pPr>
              <w:spacing w:after="20"/>
              <w:ind w:right="-70" w:firstLine="0"/>
              <w:jc w:val="center"/>
              <w:rPr>
                <w:rFonts w:ascii="Arial" w:hAnsi="Arial" w:cs="Arial"/>
                <w:color w:val="000000"/>
                <w:lang w:val="es-ES" w:eastAsia="es-ES"/>
              </w:rPr>
            </w:pPr>
            <w:r w:rsidRPr="00730DC0">
              <w:rPr>
                <w:rFonts w:ascii="Arial" w:hAnsi="Arial" w:cs="Arial"/>
                <w:color w:val="000000"/>
                <w:lang w:eastAsia="es-ES"/>
              </w:rPr>
              <w:t>Gastos</w:t>
            </w:r>
          </w:p>
        </w:tc>
      </w:tr>
      <w:tr w:rsidR="007023D6" w:rsidRPr="00730DC0" w:rsidTr="007023D6">
        <w:trPr>
          <w:trHeight w:val="198"/>
          <w:jc w:val="center"/>
        </w:trPr>
        <w:tc>
          <w:tcPr>
            <w:tcW w:w="476" w:type="dxa"/>
            <w:tcBorders>
              <w:top w:val="single" w:sz="4" w:space="0" w:color="auto"/>
              <w:left w:val="nil"/>
              <w:bottom w:val="single" w:sz="2" w:space="0" w:color="auto"/>
              <w:right w:val="nil"/>
            </w:tcBorders>
            <w:shd w:val="clear" w:color="auto" w:fill="auto"/>
            <w:vAlign w:val="center"/>
          </w:tcPr>
          <w:p w:rsidR="007023D6" w:rsidRPr="00730DC0" w:rsidRDefault="007023D6" w:rsidP="007023D6">
            <w:pPr>
              <w:spacing w:after="0"/>
              <w:ind w:left="-658" w:right="14" w:firstLine="0"/>
              <w:jc w:val="right"/>
              <w:rPr>
                <w:rFonts w:ascii="Arial Narrow" w:hAnsi="Arial Narrow"/>
                <w:color w:val="000000"/>
                <w:lang w:val="es-ES" w:eastAsia="es-ES"/>
              </w:rPr>
            </w:pPr>
            <w:r>
              <w:rPr>
                <w:rFonts w:ascii="Arial Narrow" w:hAnsi="Arial Narrow"/>
                <w:color w:val="000000"/>
                <w:lang w:val="es-ES" w:eastAsia="es-ES"/>
              </w:rPr>
              <w:t>1</w:t>
            </w:r>
          </w:p>
        </w:tc>
        <w:tc>
          <w:tcPr>
            <w:tcW w:w="2464" w:type="dxa"/>
            <w:gridSpan w:val="3"/>
            <w:tcBorders>
              <w:top w:val="single" w:sz="4" w:space="0" w:color="auto"/>
              <w:left w:val="nil"/>
              <w:bottom w:val="single" w:sz="2" w:space="0" w:color="auto"/>
              <w:right w:val="nil"/>
            </w:tcBorders>
            <w:shd w:val="clear" w:color="auto" w:fill="auto"/>
            <w:vAlign w:val="center"/>
          </w:tcPr>
          <w:p w:rsidR="007023D6" w:rsidRPr="00730DC0" w:rsidRDefault="007023D6" w:rsidP="007023D6">
            <w:pPr>
              <w:tabs>
                <w:tab w:val="left" w:pos="460"/>
              </w:tabs>
              <w:spacing w:after="0"/>
              <w:ind w:right="-70" w:firstLine="0"/>
              <w:jc w:val="left"/>
              <w:rPr>
                <w:rFonts w:ascii="Arial Narrow" w:hAnsi="Arial Narrow"/>
                <w:color w:val="000000"/>
                <w:lang w:val="es-ES" w:eastAsia="es-ES"/>
              </w:rPr>
            </w:pPr>
            <w:r>
              <w:rPr>
                <w:rFonts w:ascii="Arial Narrow" w:hAnsi="Arial Narrow"/>
                <w:color w:val="000000"/>
                <w:lang w:val="es-ES" w:eastAsia="es-ES"/>
              </w:rPr>
              <w:t>Gastos Personal</w:t>
            </w:r>
          </w:p>
        </w:tc>
        <w:tc>
          <w:tcPr>
            <w:tcW w:w="94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224.740</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246.763</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228.827</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283.738</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26</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24</w:t>
            </w:r>
          </w:p>
        </w:tc>
      </w:tr>
      <w:tr w:rsidR="007023D6" w:rsidRPr="00730DC0" w:rsidTr="007023D6">
        <w:trPr>
          <w:trHeight w:val="198"/>
          <w:jc w:val="center"/>
        </w:trPr>
        <w:tc>
          <w:tcPr>
            <w:tcW w:w="476" w:type="dxa"/>
            <w:tcBorders>
              <w:top w:val="single" w:sz="2" w:space="0" w:color="auto"/>
              <w:left w:val="nil"/>
              <w:bottom w:val="single" w:sz="2" w:space="0" w:color="auto"/>
              <w:right w:val="nil"/>
            </w:tcBorders>
            <w:shd w:val="clear" w:color="auto" w:fill="auto"/>
            <w:vAlign w:val="center"/>
          </w:tcPr>
          <w:p w:rsidR="007023D6" w:rsidRPr="00730DC0" w:rsidRDefault="007023D6" w:rsidP="007023D6">
            <w:pPr>
              <w:spacing w:after="0"/>
              <w:ind w:left="-658" w:right="14" w:firstLine="0"/>
              <w:jc w:val="right"/>
              <w:rPr>
                <w:rFonts w:ascii="Arial Narrow" w:hAnsi="Arial Narrow"/>
                <w:color w:val="000000"/>
                <w:lang w:val="es-ES" w:eastAsia="es-ES"/>
              </w:rPr>
            </w:pPr>
            <w:r>
              <w:rPr>
                <w:rFonts w:ascii="Arial Narrow" w:hAnsi="Arial Narrow"/>
                <w:color w:val="000000"/>
                <w:lang w:val="es-ES" w:eastAsia="es-ES"/>
              </w:rPr>
              <w:t>2</w:t>
            </w:r>
          </w:p>
        </w:tc>
        <w:tc>
          <w:tcPr>
            <w:tcW w:w="2464" w:type="dxa"/>
            <w:gridSpan w:val="3"/>
            <w:tcBorders>
              <w:top w:val="single" w:sz="2" w:space="0" w:color="auto"/>
              <w:left w:val="nil"/>
              <w:bottom w:val="single" w:sz="2" w:space="0" w:color="auto"/>
              <w:right w:val="nil"/>
            </w:tcBorders>
            <w:shd w:val="clear" w:color="auto" w:fill="auto"/>
            <w:vAlign w:val="center"/>
          </w:tcPr>
          <w:p w:rsidR="007023D6" w:rsidRPr="00730DC0" w:rsidRDefault="007023D6" w:rsidP="008F5E2C">
            <w:pPr>
              <w:spacing w:after="0"/>
              <w:ind w:right="-70" w:firstLine="0"/>
              <w:jc w:val="left"/>
              <w:rPr>
                <w:rFonts w:ascii="Arial Narrow" w:hAnsi="Arial Narrow"/>
                <w:color w:val="000000"/>
                <w:lang w:val="es-ES" w:eastAsia="es-ES"/>
              </w:rPr>
            </w:pPr>
            <w:r>
              <w:rPr>
                <w:rFonts w:ascii="Arial Narrow" w:hAnsi="Arial Narrow"/>
                <w:color w:val="000000"/>
                <w:lang w:val="es-ES" w:eastAsia="es-ES"/>
              </w:rPr>
              <w:t>Bienes corrientes y servicios</w:t>
            </w:r>
          </w:p>
        </w:tc>
        <w:tc>
          <w:tcPr>
            <w:tcW w:w="94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232.673</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207.807</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204.213</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193.316</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-17</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-5</w:t>
            </w:r>
          </w:p>
        </w:tc>
      </w:tr>
      <w:tr w:rsidR="007023D6" w:rsidRPr="00730DC0" w:rsidTr="007023D6">
        <w:trPr>
          <w:trHeight w:val="198"/>
          <w:jc w:val="center"/>
        </w:trPr>
        <w:tc>
          <w:tcPr>
            <w:tcW w:w="476" w:type="dxa"/>
            <w:tcBorders>
              <w:top w:val="single" w:sz="2" w:space="0" w:color="auto"/>
              <w:left w:val="nil"/>
              <w:bottom w:val="single" w:sz="4" w:space="0" w:color="auto"/>
              <w:right w:val="nil"/>
            </w:tcBorders>
            <w:shd w:val="clear" w:color="auto" w:fill="auto"/>
            <w:vAlign w:val="center"/>
          </w:tcPr>
          <w:p w:rsidR="007023D6" w:rsidRPr="00730DC0" w:rsidRDefault="007023D6" w:rsidP="007023D6">
            <w:pPr>
              <w:spacing w:after="0"/>
              <w:ind w:left="-658" w:right="14" w:firstLine="0"/>
              <w:jc w:val="right"/>
              <w:rPr>
                <w:rFonts w:ascii="Arial Narrow" w:hAnsi="Arial Narrow"/>
                <w:color w:val="000000"/>
                <w:lang w:val="es-ES" w:eastAsia="es-ES"/>
              </w:rPr>
            </w:pPr>
            <w:r>
              <w:rPr>
                <w:rFonts w:ascii="Arial Narrow" w:hAnsi="Arial Narrow"/>
                <w:color w:val="000000"/>
                <w:lang w:val="es-ES" w:eastAsia="es-ES"/>
              </w:rPr>
              <w:t>6</w:t>
            </w:r>
          </w:p>
        </w:tc>
        <w:tc>
          <w:tcPr>
            <w:tcW w:w="2464" w:type="dxa"/>
            <w:gridSpan w:val="3"/>
            <w:tcBorders>
              <w:top w:val="single" w:sz="2" w:space="0" w:color="auto"/>
              <w:left w:val="nil"/>
              <w:bottom w:val="single" w:sz="4" w:space="0" w:color="auto"/>
              <w:right w:val="nil"/>
            </w:tcBorders>
            <w:shd w:val="clear" w:color="auto" w:fill="auto"/>
            <w:vAlign w:val="center"/>
          </w:tcPr>
          <w:p w:rsidR="007023D6" w:rsidRPr="00730DC0" w:rsidRDefault="007023D6" w:rsidP="008F5E2C">
            <w:pPr>
              <w:spacing w:after="0"/>
              <w:ind w:right="-70" w:firstLine="0"/>
              <w:jc w:val="left"/>
              <w:rPr>
                <w:rFonts w:ascii="Arial Narrow" w:hAnsi="Arial Narrow"/>
                <w:color w:val="000000"/>
                <w:lang w:val="es-ES" w:eastAsia="es-ES"/>
              </w:rPr>
            </w:pPr>
            <w:r>
              <w:rPr>
                <w:rFonts w:ascii="Arial Narrow" w:hAnsi="Arial Narrow"/>
                <w:color w:val="000000"/>
                <w:lang w:val="es-ES" w:eastAsia="es-ES"/>
              </w:rPr>
              <w:t>Inversiones</w:t>
            </w:r>
          </w:p>
        </w:tc>
        <w:tc>
          <w:tcPr>
            <w:tcW w:w="94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2.949</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5.355</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4.681</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16.335</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454</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eastAsia="es-ES"/>
              </w:rPr>
            </w:pPr>
            <w:r w:rsidRPr="00730DC0">
              <w:rPr>
                <w:rFonts w:ascii="Arial Narrow" w:hAnsi="Arial Narrow"/>
                <w:color w:val="000000"/>
                <w:lang w:eastAsia="es-ES"/>
              </w:rPr>
              <w:t>249</w:t>
            </w:r>
          </w:p>
        </w:tc>
      </w:tr>
      <w:tr w:rsidR="00324EF1" w:rsidRPr="00730DC0" w:rsidTr="008F5E2C">
        <w:trPr>
          <w:trHeight w:val="255"/>
          <w:jc w:val="center"/>
        </w:trPr>
        <w:tc>
          <w:tcPr>
            <w:tcW w:w="2940" w:type="dxa"/>
            <w:gridSpan w:val="4"/>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7023D6">
            <w:pPr>
              <w:spacing w:after="0"/>
              <w:ind w:left="-658" w:right="-70" w:firstLine="0"/>
              <w:jc w:val="left"/>
              <w:rPr>
                <w:rFonts w:ascii="Arial" w:hAnsi="Arial" w:cs="Arial"/>
                <w:color w:val="000000"/>
                <w:sz w:val="18"/>
                <w:szCs w:val="18"/>
                <w:lang w:val="es-ES" w:eastAsia="es-ES"/>
              </w:rPr>
            </w:pPr>
            <w:r w:rsidRPr="00730DC0">
              <w:rPr>
                <w:rFonts w:ascii="Arial" w:hAnsi="Arial" w:cs="Arial"/>
                <w:color w:val="000000"/>
                <w:sz w:val="18"/>
                <w:szCs w:val="18"/>
                <w:lang w:eastAsia="es-ES"/>
              </w:rPr>
              <w:t>Total</w:t>
            </w:r>
          </w:p>
        </w:tc>
        <w:tc>
          <w:tcPr>
            <w:tcW w:w="94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eastAsia="es-ES"/>
              </w:rPr>
            </w:pPr>
            <w:r w:rsidRPr="00730DC0">
              <w:rPr>
                <w:rFonts w:ascii="Arial" w:hAnsi="Arial" w:cs="Arial"/>
                <w:color w:val="000000"/>
                <w:sz w:val="18"/>
                <w:szCs w:val="18"/>
                <w:lang w:eastAsia="es-ES"/>
              </w:rPr>
              <w:t>460.362</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eastAsia="es-ES"/>
              </w:rPr>
            </w:pPr>
            <w:r w:rsidRPr="00730DC0">
              <w:rPr>
                <w:rFonts w:ascii="Arial" w:hAnsi="Arial" w:cs="Arial"/>
                <w:color w:val="000000"/>
                <w:sz w:val="18"/>
                <w:szCs w:val="18"/>
                <w:lang w:eastAsia="es-ES"/>
              </w:rPr>
              <w:t>459.925</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eastAsia="es-ES"/>
              </w:rPr>
            </w:pPr>
            <w:r w:rsidRPr="00730DC0">
              <w:rPr>
                <w:rFonts w:ascii="Arial" w:hAnsi="Arial" w:cs="Arial"/>
                <w:color w:val="000000"/>
                <w:sz w:val="18"/>
                <w:szCs w:val="18"/>
                <w:lang w:eastAsia="es-ES"/>
              </w:rPr>
              <w:t>437.721</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eastAsia="es-ES"/>
              </w:rPr>
            </w:pPr>
            <w:r w:rsidRPr="00730DC0">
              <w:rPr>
                <w:rFonts w:ascii="Arial" w:hAnsi="Arial" w:cs="Arial"/>
                <w:color w:val="000000"/>
                <w:sz w:val="18"/>
                <w:szCs w:val="18"/>
                <w:lang w:eastAsia="es-ES"/>
              </w:rPr>
              <w:t>493.389</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eastAsia="es-ES"/>
              </w:rPr>
            </w:pPr>
            <w:r w:rsidRPr="00730DC0">
              <w:rPr>
                <w:rFonts w:ascii="Arial" w:hAnsi="Arial" w:cs="Arial"/>
                <w:color w:val="000000"/>
                <w:sz w:val="18"/>
                <w:szCs w:val="18"/>
                <w:lang w:eastAsia="es-ES"/>
              </w:rPr>
              <w:t>7</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eastAsia="es-ES"/>
              </w:rPr>
            </w:pPr>
            <w:r w:rsidRPr="00730DC0">
              <w:rPr>
                <w:rFonts w:ascii="Arial" w:hAnsi="Arial" w:cs="Arial"/>
                <w:color w:val="000000"/>
                <w:sz w:val="18"/>
                <w:szCs w:val="18"/>
                <w:lang w:eastAsia="es-ES"/>
              </w:rPr>
              <w:t>13</w:t>
            </w:r>
          </w:p>
        </w:tc>
      </w:tr>
      <w:tr w:rsidR="00324EF1" w:rsidRPr="00730DC0" w:rsidTr="00730DC0">
        <w:trPr>
          <w:trHeight w:val="397"/>
          <w:jc w:val="center"/>
        </w:trPr>
        <w:tc>
          <w:tcPr>
            <w:tcW w:w="9880" w:type="dxa"/>
            <w:gridSpan w:val="10"/>
            <w:tcBorders>
              <w:top w:val="single" w:sz="4" w:space="0" w:color="auto"/>
              <w:left w:val="nil"/>
              <w:bottom w:val="single" w:sz="4" w:space="0" w:color="auto"/>
              <w:right w:val="nil"/>
            </w:tcBorders>
            <w:shd w:val="clear" w:color="auto" w:fill="auto"/>
            <w:vAlign w:val="bottom"/>
            <w:hideMark/>
          </w:tcPr>
          <w:p w:rsidR="00324EF1" w:rsidRPr="00730DC0" w:rsidRDefault="00977306" w:rsidP="008F5E2C">
            <w:pPr>
              <w:spacing w:after="20"/>
              <w:ind w:right="-70" w:firstLine="0"/>
              <w:jc w:val="center"/>
              <w:rPr>
                <w:rFonts w:ascii="Arial" w:hAnsi="Arial" w:cs="Arial"/>
                <w:color w:val="000000"/>
                <w:lang w:val="es-ES" w:eastAsia="es-ES"/>
              </w:rPr>
            </w:pPr>
            <w:r w:rsidRPr="00730DC0">
              <w:rPr>
                <w:rFonts w:ascii="Arial" w:hAnsi="Arial" w:cs="Arial"/>
                <w:color w:val="000000"/>
                <w:lang w:eastAsia="es-ES"/>
              </w:rPr>
              <w:t>Ingresos</w:t>
            </w:r>
          </w:p>
        </w:tc>
      </w:tr>
      <w:tr w:rsidR="007023D6" w:rsidRPr="00730DC0" w:rsidTr="007023D6">
        <w:trPr>
          <w:trHeight w:val="198"/>
          <w:jc w:val="center"/>
        </w:trPr>
        <w:tc>
          <w:tcPr>
            <w:tcW w:w="476" w:type="dxa"/>
            <w:tcBorders>
              <w:top w:val="single" w:sz="4" w:space="0" w:color="auto"/>
              <w:left w:val="nil"/>
              <w:bottom w:val="single" w:sz="4" w:space="0" w:color="auto"/>
              <w:right w:val="nil"/>
            </w:tcBorders>
            <w:shd w:val="clear" w:color="auto" w:fill="auto"/>
            <w:vAlign w:val="center"/>
          </w:tcPr>
          <w:p w:rsidR="007023D6" w:rsidRPr="00730DC0" w:rsidRDefault="007023D6" w:rsidP="007023D6">
            <w:pPr>
              <w:spacing w:after="0"/>
              <w:ind w:left="-658" w:right="28" w:firstLine="0"/>
              <w:jc w:val="right"/>
              <w:rPr>
                <w:rFonts w:ascii="Arial Narrow" w:hAnsi="Arial Narrow"/>
                <w:color w:val="000000"/>
                <w:lang w:val="es-ES" w:eastAsia="es-ES"/>
              </w:rPr>
            </w:pPr>
            <w:r>
              <w:rPr>
                <w:rFonts w:ascii="Arial Narrow" w:hAnsi="Arial Narrow"/>
                <w:color w:val="000000"/>
                <w:lang w:val="es-ES" w:eastAsia="es-ES"/>
              </w:rPr>
              <w:t>3</w:t>
            </w:r>
          </w:p>
        </w:tc>
        <w:tc>
          <w:tcPr>
            <w:tcW w:w="2464" w:type="dxa"/>
            <w:gridSpan w:val="3"/>
            <w:tcBorders>
              <w:top w:val="single" w:sz="4" w:space="0" w:color="auto"/>
              <w:left w:val="nil"/>
              <w:bottom w:val="single" w:sz="4" w:space="0" w:color="auto"/>
              <w:right w:val="nil"/>
            </w:tcBorders>
            <w:shd w:val="clear" w:color="auto" w:fill="auto"/>
            <w:vAlign w:val="center"/>
          </w:tcPr>
          <w:p w:rsidR="007023D6" w:rsidRPr="00730DC0" w:rsidRDefault="007023D6" w:rsidP="008F5E2C">
            <w:pPr>
              <w:spacing w:after="0"/>
              <w:ind w:right="-70" w:firstLine="0"/>
              <w:jc w:val="left"/>
              <w:rPr>
                <w:rFonts w:ascii="Arial Narrow" w:hAnsi="Arial Narrow"/>
                <w:color w:val="000000"/>
                <w:lang w:val="es-ES" w:eastAsia="es-ES"/>
              </w:rPr>
            </w:pPr>
            <w:r>
              <w:rPr>
                <w:rFonts w:ascii="Arial Narrow" w:hAnsi="Arial Narrow"/>
                <w:color w:val="000000"/>
                <w:lang w:val="es-ES" w:eastAsia="es-ES"/>
              </w:rPr>
              <w:t xml:space="preserve">Tasas, </w:t>
            </w:r>
            <w:proofErr w:type="spellStart"/>
            <w:r>
              <w:rPr>
                <w:rFonts w:ascii="Arial Narrow" w:hAnsi="Arial Narrow"/>
                <w:color w:val="000000"/>
                <w:lang w:val="es-ES" w:eastAsia="es-ES"/>
              </w:rPr>
              <w:t>prec</w:t>
            </w:r>
            <w:proofErr w:type="spellEnd"/>
            <w:r>
              <w:rPr>
                <w:rFonts w:ascii="Arial Narrow" w:hAnsi="Arial Narrow"/>
                <w:color w:val="000000"/>
                <w:lang w:val="es-ES" w:eastAsia="es-ES"/>
              </w:rPr>
              <w:t xml:space="preserve">. </w:t>
            </w:r>
            <w:proofErr w:type="spellStart"/>
            <w:r>
              <w:rPr>
                <w:rFonts w:ascii="Arial Narrow" w:hAnsi="Arial Narrow"/>
                <w:color w:val="000000"/>
                <w:lang w:val="es-ES" w:eastAsia="es-ES"/>
              </w:rPr>
              <w:t>pblcos</w:t>
            </w:r>
            <w:proofErr w:type="spellEnd"/>
            <w:r>
              <w:rPr>
                <w:rFonts w:ascii="Arial Narrow" w:hAnsi="Arial Narrow"/>
                <w:color w:val="000000"/>
                <w:lang w:val="es-ES" w:eastAsia="es-ES"/>
              </w:rPr>
              <w:t xml:space="preserve">., </w:t>
            </w:r>
            <w:proofErr w:type="spellStart"/>
            <w:r>
              <w:rPr>
                <w:rFonts w:ascii="Arial Narrow" w:hAnsi="Arial Narrow"/>
                <w:color w:val="000000"/>
                <w:lang w:val="es-ES" w:eastAsia="es-ES"/>
              </w:rPr>
              <w:t>otr</w:t>
            </w:r>
            <w:proofErr w:type="spellEnd"/>
            <w:r>
              <w:rPr>
                <w:rFonts w:ascii="Arial Narrow" w:hAnsi="Arial Narrow"/>
                <w:color w:val="000000"/>
                <w:lang w:val="es-ES" w:eastAsia="es-ES"/>
              </w:rPr>
              <w:t xml:space="preserve">. </w:t>
            </w:r>
            <w:proofErr w:type="spellStart"/>
            <w:proofErr w:type="gramStart"/>
            <w:r>
              <w:rPr>
                <w:rFonts w:ascii="Arial Narrow" w:hAnsi="Arial Narrow"/>
                <w:color w:val="000000"/>
                <w:lang w:val="es-ES" w:eastAsia="es-ES"/>
              </w:rPr>
              <w:t>ingr</w:t>
            </w:r>
            <w:proofErr w:type="spellEnd"/>
            <w:proofErr w:type="gramEnd"/>
            <w:r>
              <w:rPr>
                <w:rFonts w:ascii="Arial Narrow" w:hAnsi="Arial Narrow"/>
                <w:color w:val="000000"/>
                <w:lang w:val="es-ES" w:eastAsia="es-ES"/>
              </w:rPr>
              <w:t>.</w:t>
            </w:r>
          </w:p>
        </w:tc>
        <w:tc>
          <w:tcPr>
            <w:tcW w:w="94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125.603</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151.439</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145.750</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144.724</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15</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lang w:val="es-ES" w:eastAsia="es-ES"/>
              </w:rPr>
            </w:pPr>
            <w:r w:rsidRPr="00730DC0">
              <w:rPr>
                <w:rFonts w:ascii="Arial Narrow" w:hAnsi="Arial Narrow"/>
                <w:color w:val="000000"/>
                <w:lang w:eastAsia="es-ES"/>
              </w:rPr>
              <w:t>-1</w:t>
            </w:r>
          </w:p>
        </w:tc>
      </w:tr>
      <w:tr w:rsidR="00324EF1" w:rsidRPr="00730DC0" w:rsidTr="008F5E2C">
        <w:trPr>
          <w:trHeight w:val="255"/>
          <w:jc w:val="center"/>
        </w:trPr>
        <w:tc>
          <w:tcPr>
            <w:tcW w:w="2940" w:type="dxa"/>
            <w:gridSpan w:val="4"/>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8F5E2C">
            <w:pPr>
              <w:spacing w:after="0"/>
              <w:ind w:right="-70" w:firstLine="0"/>
              <w:jc w:val="left"/>
              <w:rPr>
                <w:rFonts w:ascii="Arial" w:hAnsi="Arial" w:cs="Arial"/>
                <w:color w:val="000000"/>
                <w:sz w:val="18"/>
                <w:szCs w:val="18"/>
                <w:lang w:val="es-ES" w:eastAsia="es-ES"/>
              </w:rPr>
            </w:pPr>
            <w:r w:rsidRPr="00730DC0">
              <w:rPr>
                <w:rFonts w:ascii="Arial" w:hAnsi="Arial" w:cs="Arial"/>
                <w:color w:val="000000"/>
                <w:sz w:val="18"/>
                <w:szCs w:val="18"/>
                <w:lang w:eastAsia="es-ES"/>
              </w:rPr>
              <w:t>Total</w:t>
            </w:r>
          </w:p>
        </w:tc>
        <w:tc>
          <w:tcPr>
            <w:tcW w:w="94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125.603</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151.439</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145.750</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144.724</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15</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lang w:val="es-ES" w:eastAsia="es-ES"/>
              </w:rPr>
            </w:pPr>
            <w:r w:rsidRPr="00730DC0">
              <w:rPr>
                <w:rFonts w:ascii="Arial" w:hAnsi="Arial" w:cs="Arial"/>
                <w:color w:val="000000"/>
                <w:sz w:val="18"/>
                <w:szCs w:val="18"/>
                <w:lang w:eastAsia="es-ES"/>
              </w:rPr>
              <w:t>-1</w:t>
            </w:r>
          </w:p>
        </w:tc>
      </w:tr>
      <w:tr w:rsidR="008F5E2C" w:rsidRPr="00730DC0" w:rsidTr="00115E9F">
        <w:trPr>
          <w:trHeight w:val="397"/>
          <w:jc w:val="center"/>
        </w:trPr>
        <w:tc>
          <w:tcPr>
            <w:tcW w:w="2940" w:type="dxa"/>
            <w:gridSpan w:val="4"/>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8F5E2C">
            <w:pPr>
              <w:spacing w:after="0"/>
              <w:ind w:right="-70" w:firstLine="0"/>
              <w:jc w:val="left"/>
              <w:rPr>
                <w:rFonts w:ascii="Arial" w:hAnsi="Arial" w:cs="Arial"/>
                <w:color w:val="000000"/>
                <w:sz w:val="18"/>
                <w:szCs w:val="18"/>
                <w:lang w:eastAsia="es-ES"/>
              </w:rPr>
            </w:pPr>
          </w:p>
        </w:tc>
        <w:tc>
          <w:tcPr>
            <w:tcW w:w="94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r>
      <w:tr w:rsidR="008F5E2C" w:rsidRPr="00730DC0" w:rsidTr="008F5E2C">
        <w:trPr>
          <w:trHeight w:val="255"/>
          <w:jc w:val="center"/>
        </w:trPr>
        <w:tc>
          <w:tcPr>
            <w:tcW w:w="2940" w:type="dxa"/>
            <w:gridSpan w:val="4"/>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8F5E2C">
            <w:pPr>
              <w:spacing w:after="0"/>
              <w:ind w:right="-70" w:firstLine="0"/>
              <w:jc w:val="left"/>
              <w:rPr>
                <w:rFonts w:ascii="Arial" w:hAnsi="Arial" w:cs="Arial"/>
                <w:color w:val="000000"/>
                <w:sz w:val="18"/>
                <w:szCs w:val="18"/>
                <w:lang w:eastAsia="es-ES"/>
              </w:rPr>
            </w:pPr>
            <w:r>
              <w:rPr>
                <w:rFonts w:ascii="Arial" w:hAnsi="Arial" w:cs="Arial"/>
                <w:color w:val="000000"/>
                <w:sz w:val="18"/>
                <w:szCs w:val="18"/>
                <w:lang w:eastAsia="es-ES"/>
              </w:rPr>
              <w:t>% cobertura ingresos sobre gastos</w:t>
            </w:r>
          </w:p>
        </w:tc>
        <w:tc>
          <w:tcPr>
            <w:tcW w:w="94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27</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33</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33</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29</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w:t>
            </w:r>
          </w:p>
        </w:tc>
      </w:tr>
    </w:tbl>
    <w:p w:rsidR="00324EF1" w:rsidRPr="00977306" w:rsidRDefault="00324EF1" w:rsidP="00977306">
      <w:pPr>
        <w:pStyle w:val="texto0"/>
        <w:spacing w:before="240"/>
      </w:pPr>
      <w:r w:rsidRPr="00977306">
        <w:t>Como se observa, el gasto medio anual en el periodo analizado supera lig</w:t>
      </w:r>
      <w:r w:rsidRPr="00977306">
        <w:t>e</w:t>
      </w:r>
      <w:r w:rsidRPr="00977306">
        <w:t>ramente los 460.000 euros</w:t>
      </w:r>
      <w:r w:rsidR="007D2A0B">
        <w:t>,</w:t>
      </w:r>
      <w:r w:rsidRPr="00977306">
        <w:t xml:space="preserve"> los ingresos medios anuales </w:t>
      </w:r>
      <w:r w:rsidR="008F5E2C">
        <w:t>alcanz</w:t>
      </w:r>
      <w:r w:rsidRPr="00977306">
        <w:t>an los 140.000 euros</w:t>
      </w:r>
      <w:r w:rsidR="007D2A0B">
        <w:t xml:space="preserve"> y el porcentaje de cobertura de estos sobre los gastos es el 30 por ciento</w:t>
      </w:r>
      <w:r w:rsidRPr="00977306">
        <w:t xml:space="preserve">. </w:t>
      </w:r>
    </w:p>
    <w:p w:rsidR="00DF70B1" w:rsidRDefault="00324EF1" w:rsidP="00977306">
      <w:pPr>
        <w:pStyle w:val="texto0"/>
      </w:pPr>
      <w:r w:rsidRPr="00977306">
        <w:t xml:space="preserve">En 2015, el </w:t>
      </w:r>
      <w:r w:rsidR="00DF70B1">
        <w:t>58</w:t>
      </w:r>
      <w:r w:rsidRPr="00977306">
        <w:t xml:space="preserve"> por ciento de los gastos corresponde a personal, el </w:t>
      </w:r>
      <w:r w:rsidR="00DF70B1">
        <w:t>39</w:t>
      </w:r>
      <w:r w:rsidRPr="00977306">
        <w:t xml:space="preserve"> por ciento a bienes corrientes y servicios, y el </w:t>
      </w:r>
      <w:r w:rsidR="00DF70B1">
        <w:t>tres</w:t>
      </w:r>
      <w:r w:rsidRPr="00977306">
        <w:t xml:space="preserve"> por ciento restante a inversiones. </w:t>
      </w:r>
    </w:p>
    <w:p w:rsidR="00DF70B1" w:rsidRDefault="00DF70B1" w:rsidP="00977306">
      <w:pPr>
        <w:pStyle w:val="texto0"/>
      </w:pPr>
      <w:r>
        <w:t>Respecto al gasto de personal</w:t>
      </w:r>
      <w:r w:rsidR="00953932">
        <w:t>,</w:t>
      </w:r>
      <w:r>
        <w:t xml:space="preserve"> hay que tener en cuenta que no incluye el </w:t>
      </w:r>
      <w:r w:rsidR="003B0700">
        <w:t>pe</w:t>
      </w:r>
      <w:r w:rsidR="003B0700">
        <w:t>r</w:t>
      </w:r>
      <w:r w:rsidR="003B0700">
        <w:t>sonal compartido con otros centros (</w:t>
      </w:r>
      <w:r>
        <w:t>responsable de la residencia</w:t>
      </w:r>
      <w:r w:rsidR="003B0700">
        <w:t xml:space="preserve"> y encargado de servicios múltiples);</w:t>
      </w:r>
      <w:r>
        <w:t xml:space="preserve"> por otro lado, sí contiene el correspondiente al funci</w:t>
      </w:r>
      <w:r>
        <w:t>o</w:t>
      </w:r>
      <w:r>
        <w:t>nario liberado sindical</w:t>
      </w:r>
      <w:r w:rsidR="008F5E2C">
        <w:t xml:space="preserve"> y a la persona que le sustituye</w:t>
      </w:r>
      <w:r>
        <w:t>.</w:t>
      </w:r>
      <w:r w:rsidR="008F5E2C">
        <w:t xml:space="preserve"> El motivo principal del aumento de gastos respecto a 2014 es el abono de parte de la paga extraordin</w:t>
      </w:r>
      <w:r w:rsidR="008F5E2C">
        <w:t>a</w:t>
      </w:r>
      <w:r w:rsidR="008F5E2C">
        <w:t>ria de 2012.</w:t>
      </w:r>
    </w:p>
    <w:p w:rsidR="00324EF1" w:rsidRPr="00977306" w:rsidRDefault="00DF70B1" w:rsidP="00977306">
      <w:pPr>
        <w:pStyle w:val="texto0"/>
      </w:pPr>
      <w:r>
        <w:t>Asimismo, d</w:t>
      </w:r>
      <w:r w:rsidR="00324EF1" w:rsidRPr="00977306">
        <w:t>estaca</w:t>
      </w:r>
      <w:r>
        <w:t>mos</w:t>
      </w:r>
      <w:r w:rsidR="00324EF1" w:rsidRPr="00977306">
        <w:t xml:space="preserve"> que el 57 por ciento de los gastos en bienes corrie</w:t>
      </w:r>
      <w:r w:rsidR="00324EF1" w:rsidRPr="00977306">
        <w:t>n</w:t>
      </w:r>
      <w:r w:rsidR="00324EF1" w:rsidRPr="00977306">
        <w:t>tes y servicios se corresponde con el contrato de limpieza y el 27 por ciento con suministros (energía eléctrica, agua y calefacción). Estos porcentajes de distr</w:t>
      </w:r>
      <w:r w:rsidR="00324EF1" w:rsidRPr="00977306">
        <w:t>i</w:t>
      </w:r>
      <w:r w:rsidR="00324EF1" w:rsidRPr="00977306">
        <w:t>bución del gasto son similares en el resto de años analizados.</w:t>
      </w:r>
    </w:p>
    <w:p w:rsidR="00324EF1" w:rsidRDefault="00324EF1" w:rsidP="00977306">
      <w:pPr>
        <w:pStyle w:val="texto0"/>
      </w:pPr>
      <w:r w:rsidRPr="00977306">
        <w:t>En lo que respecta a los ingresos, se observa un crecimiento en el conjunto del periodo</w:t>
      </w:r>
      <w:r w:rsidR="00953932">
        <w:t>,</w:t>
      </w:r>
      <w:r w:rsidRPr="00977306">
        <w:t xml:space="preserve"> si bien en 2015 son prácticamente los mismos que en 2014. </w:t>
      </w:r>
    </w:p>
    <w:p w:rsidR="00115E9F" w:rsidRDefault="00115E9F" w:rsidP="00977306">
      <w:pPr>
        <w:pStyle w:val="texto0"/>
      </w:pPr>
      <w:r>
        <w:t>En 2015, el 82 por ciento de los ingresos corresponde al alojamiento de res</w:t>
      </w:r>
      <w:r>
        <w:t>i</w:t>
      </w:r>
      <w:r>
        <w:t>dentes y alberguistas, y el 18 por ciento restante a los ingresos procedentes de la empresa adjudicataria del servicio de alimentación por el canon de 2015 y 2016 y sus consumos de agua y energía abonados previamente por la reside</w:t>
      </w:r>
      <w:r>
        <w:t>n</w:t>
      </w:r>
      <w:r>
        <w:t>cia.</w:t>
      </w:r>
    </w:p>
    <w:p w:rsidR="005234AC" w:rsidRDefault="005234AC" w:rsidP="005234AC">
      <w:pPr>
        <w:pStyle w:val="atitulo2"/>
        <w:spacing w:after="200"/>
      </w:pPr>
      <w:bookmarkStart w:id="39" w:name="_Toc475449746"/>
      <w:bookmarkStart w:id="40" w:name="_Toc473543365"/>
      <w:r>
        <w:t>I</w:t>
      </w:r>
      <w:r w:rsidRPr="00723975">
        <w:t>V.</w:t>
      </w:r>
      <w:r>
        <w:t>2</w:t>
      </w:r>
      <w:r w:rsidRPr="00723975">
        <w:t xml:space="preserve">. </w:t>
      </w:r>
      <w:r>
        <w:t>Revisión procedimientos de registro de la actividad</w:t>
      </w:r>
      <w:bookmarkEnd w:id="39"/>
      <w:r>
        <w:t xml:space="preserve"> </w:t>
      </w:r>
    </w:p>
    <w:p w:rsidR="005234AC" w:rsidRDefault="005234AC" w:rsidP="005234AC">
      <w:pPr>
        <w:pStyle w:val="texto0"/>
      </w:pPr>
      <w:r>
        <w:t>El registro de la actividad desarrollada por la residencia en cuanto a esta</w:t>
      </w:r>
      <w:r>
        <w:t>n</w:t>
      </w:r>
      <w:r>
        <w:t>cias, ocupaciones, pernoctaciones, reservas, etc., no está informatizado y se ut</w:t>
      </w:r>
      <w:r>
        <w:t>i</w:t>
      </w:r>
      <w:r>
        <w:t xml:space="preserve">lizan procedimientos manuales para anotar todos estos datos. </w:t>
      </w:r>
    </w:p>
    <w:p w:rsidR="005234AC" w:rsidRDefault="005234AC" w:rsidP="005234AC">
      <w:pPr>
        <w:pStyle w:val="texto0"/>
      </w:pPr>
      <w:r>
        <w:t xml:space="preserve">Esto provoca que exista riesgo de cometer errores en el </w:t>
      </w:r>
      <w:r w:rsidR="007D2A0B">
        <w:t>tratamient</w:t>
      </w:r>
      <w:r>
        <w:t>o de la i</w:t>
      </w:r>
      <w:r>
        <w:t>n</w:t>
      </w:r>
      <w:r>
        <w:t>formación</w:t>
      </w:r>
      <w:r w:rsidR="007D2A0B">
        <w:t>,</w:t>
      </w:r>
      <w:r>
        <w:t xml:space="preserve"> si bien la misma solo es utilizada a efectos estadísticos de recopil</w:t>
      </w:r>
      <w:r>
        <w:t>a</w:t>
      </w:r>
      <w:r>
        <w:t>ción de datos</w:t>
      </w:r>
      <w:r w:rsidR="007D2A0B">
        <w:t>,</w:t>
      </w:r>
      <w:r>
        <w:t xml:space="preserve"> y no para la facturación de los servicios prestados.</w:t>
      </w:r>
    </w:p>
    <w:p w:rsidR="003B0700" w:rsidRPr="005234AC" w:rsidRDefault="003B0700" w:rsidP="005234AC">
      <w:pPr>
        <w:pStyle w:val="texto0"/>
      </w:pPr>
      <w:r>
        <w:t>Se han detectado errores en algunos de los datos generales de la residencia en su página web, si bien es previsible que se resuelvan con el proceso actual de creación de una nueva página. Por otro lado, la página web a través de la cual se gestionan las reservas de alberguistas no grupales contiene algunos d</w:t>
      </w:r>
      <w:r>
        <w:t>a</w:t>
      </w:r>
      <w:r>
        <w:t>tos que pueden inducir a confusión sobre el tipo y número de plazas dispon</w:t>
      </w:r>
      <w:r>
        <w:t>i</w:t>
      </w:r>
      <w:r>
        <w:t>bles.</w:t>
      </w:r>
    </w:p>
    <w:p w:rsidR="00324EF1" w:rsidRDefault="00324EF1" w:rsidP="00324EF1">
      <w:pPr>
        <w:pStyle w:val="atitulo2"/>
        <w:spacing w:after="200"/>
      </w:pPr>
      <w:bookmarkStart w:id="41" w:name="_Toc475449747"/>
      <w:r>
        <w:t>I</w:t>
      </w:r>
      <w:r w:rsidRPr="00723975">
        <w:t>V.</w:t>
      </w:r>
      <w:r w:rsidR="005234AC">
        <w:t>3</w:t>
      </w:r>
      <w:r w:rsidRPr="00723975">
        <w:t xml:space="preserve">. </w:t>
      </w:r>
      <w:r>
        <w:t>Opinión</w:t>
      </w:r>
      <w:bookmarkEnd w:id="40"/>
      <w:bookmarkEnd w:id="41"/>
      <w:r>
        <w:t xml:space="preserve"> </w:t>
      </w:r>
    </w:p>
    <w:p w:rsidR="00324EF1" w:rsidRPr="00B40E62" w:rsidRDefault="00324EF1" w:rsidP="00324EF1">
      <w:pPr>
        <w:pStyle w:val="atitulo3"/>
        <w:spacing w:before="240"/>
      </w:pPr>
      <w:r w:rsidRPr="00B40E62">
        <w:t xml:space="preserve">Responsabilidad </w:t>
      </w:r>
      <w:r>
        <w:t>del Instituto Navarro del Deporte y Juventud</w:t>
      </w:r>
      <w:r w:rsidRPr="00B40E62">
        <w:t xml:space="preserve"> </w:t>
      </w:r>
    </w:p>
    <w:p w:rsidR="00324EF1" w:rsidRDefault="00324EF1" w:rsidP="00324EF1">
      <w:pPr>
        <w:pStyle w:val="texto0"/>
      </w:pPr>
      <w:r>
        <w:t>De acuerdo a los estatutos del Instituto Navarro del Deporte y Juventud, la Subdirección de Desarrollo Estratégico, Infraestructuras y Gestión de Recursos es la responsable de gestionar las infraestructuras y centros propios del instituto que tenga adscritos, de c</w:t>
      </w:r>
      <w:r w:rsidRPr="00D366BD">
        <w:t xml:space="preserve">oordinar </w:t>
      </w:r>
      <w:r>
        <w:t>la</w:t>
      </w:r>
      <w:r w:rsidRPr="00D366BD">
        <w:t xml:space="preserve"> planificación y gestión de la actividad ec</w:t>
      </w:r>
      <w:r w:rsidRPr="00D366BD">
        <w:t>o</w:t>
      </w:r>
      <w:r w:rsidRPr="00D366BD">
        <w:t>nómico-administrativa y</w:t>
      </w:r>
      <w:r>
        <w:t xml:space="preserve"> de</w:t>
      </w:r>
      <w:r w:rsidRPr="00D366BD">
        <w:t xml:space="preserve"> realizar el seguimiento </w:t>
      </w:r>
      <w:r>
        <w:t>contable y presupuestario del instituto.</w:t>
      </w:r>
    </w:p>
    <w:p w:rsidR="00324EF1" w:rsidRDefault="00324EF1" w:rsidP="00324EF1">
      <w:pPr>
        <w:pStyle w:val="texto0"/>
      </w:pPr>
      <w:r>
        <w:t>La subdirección citada, y más en concreto su Negociado de Centros de J</w:t>
      </w:r>
      <w:r>
        <w:t>u</w:t>
      </w:r>
      <w:r>
        <w:t>ventud, es la responsable de realizar el seguimiento y control de las contrat</w:t>
      </w:r>
      <w:r>
        <w:t>a</w:t>
      </w:r>
      <w:r>
        <w:t xml:space="preserve">ciones de asistencia de la residencia. </w:t>
      </w:r>
    </w:p>
    <w:p w:rsidR="00324EF1" w:rsidRPr="00672F5F" w:rsidRDefault="00324EF1" w:rsidP="00324EF1">
      <w:pPr>
        <w:pStyle w:val="atitulo3"/>
        <w:spacing w:before="240"/>
      </w:pPr>
      <w:r w:rsidRPr="00B40E62">
        <w:t xml:space="preserve">Responsabilidad de la Cámara de Comptos de Navarra </w:t>
      </w:r>
    </w:p>
    <w:p w:rsidR="00324EF1" w:rsidRPr="00977306" w:rsidRDefault="00324EF1" w:rsidP="00977306">
      <w:pPr>
        <w:pStyle w:val="texto0"/>
      </w:pPr>
      <w:r w:rsidRPr="00977306">
        <w:t>Nuestra responsabilidad es expresar una opinión sobre la razonabilidad y adecuación de los gastos e ingresos de la residencia del ejercicio 2015, así c</w:t>
      </w:r>
      <w:r w:rsidRPr="00977306">
        <w:t>o</w:t>
      </w:r>
      <w:r w:rsidRPr="00977306">
        <w:t>mo sobre el cumplimiento de los pliegos de los contratos que regulan el serv</w:t>
      </w:r>
      <w:r w:rsidRPr="00977306">
        <w:t>i</w:t>
      </w:r>
      <w:r w:rsidRPr="00977306">
        <w:t>cio de alimentación y limpieza de la residencia. Para ello, hemos llevado a cabo nuestro trabajo de conformidad con los principios fundamentales de fiscaliz</w:t>
      </w:r>
      <w:r w:rsidRPr="00977306">
        <w:t>a</w:t>
      </w:r>
      <w:r w:rsidRPr="00977306">
        <w:t>ción de las Instituciones Públicas de Control Externo. Dichos principios exigen que cumplamos los requerimientos de ética, así como que planifiquemos y ej</w:t>
      </w:r>
      <w:r w:rsidRPr="00977306">
        <w:t>e</w:t>
      </w:r>
      <w:r w:rsidRPr="00977306">
        <w:t>cutemos la fiscalización con el fin de obtener una seguridad razonable de que los gastos e ingresos están libres de incorrecciones materiales y que las activ</w:t>
      </w:r>
      <w:r w:rsidRPr="00977306">
        <w:t>i</w:t>
      </w:r>
      <w:r w:rsidRPr="00977306">
        <w:t>dades, operaciones financieras y la información reflejadas en las partidas pr</w:t>
      </w:r>
      <w:r w:rsidRPr="00977306">
        <w:t>e</w:t>
      </w:r>
      <w:r w:rsidRPr="00977306">
        <w:t xml:space="preserve">supuestarias correspondientes, resultan, en todos los aspectos significativos, conformes con la normativa vigente. </w:t>
      </w:r>
    </w:p>
    <w:p w:rsidR="00324EF1" w:rsidRPr="00977306" w:rsidRDefault="00324EF1" w:rsidP="00977306">
      <w:pPr>
        <w:pStyle w:val="texto0"/>
      </w:pPr>
      <w:r w:rsidRPr="00977306">
        <w:t>Una fiscalización requiere la aplicación de procedimientos para obtener ev</w:t>
      </w:r>
      <w:r w:rsidRPr="00977306">
        <w:t>i</w:t>
      </w:r>
      <w:r w:rsidRPr="00977306">
        <w:t xml:space="preserve">dencia de auditoría sobre los importes y la información revelada en este caso en las partidas presupuestarias. Los procedimientos seleccionados dependen del juicio del auditor, incluida la valoración de los riesgos tanto de incorrección material en las partidas debida a fraude o error. Al efectuar dichas valoraciones del riesgo, el auditor tiene en cuenta el control interno relevante para la gestión y control de las partidas presupuestarias por parte de la entidad,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los responsables. </w:t>
      </w:r>
    </w:p>
    <w:p w:rsidR="00324EF1" w:rsidRPr="00977306" w:rsidRDefault="00324EF1" w:rsidP="00977306">
      <w:pPr>
        <w:pStyle w:val="texto0"/>
      </w:pPr>
      <w:r w:rsidRPr="00977306">
        <w:t xml:space="preserve">Consideramos que la evidencia de auditoría que hemos obtenido proporciona una base suficiente y adecuada para nuestra opinión. </w:t>
      </w:r>
    </w:p>
    <w:p w:rsidR="00324EF1" w:rsidRDefault="00324EF1" w:rsidP="00324EF1">
      <w:pPr>
        <w:pStyle w:val="atitulo3"/>
      </w:pPr>
      <w:r>
        <w:t>IV.</w:t>
      </w:r>
      <w:r w:rsidR="005234AC">
        <w:t>3</w:t>
      </w:r>
      <w:r>
        <w:t>.1. Opinión de auditoría financiera sobre los gastos e ingresos de 2015</w:t>
      </w:r>
    </w:p>
    <w:p w:rsidR="00324EF1" w:rsidRPr="00977306" w:rsidRDefault="00324EF1" w:rsidP="00977306">
      <w:pPr>
        <w:pStyle w:val="texto0"/>
      </w:pPr>
      <w:r w:rsidRPr="00977306">
        <w:t>En nuestra opinión, las partidas presupuestarias analizadas expresan, en t</w:t>
      </w:r>
      <w:r w:rsidRPr="00977306">
        <w:t>o</w:t>
      </w:r>
      <w:r w:rsidRPr="00977306">
        <w:t>dos los aspectos significativos, la liquidación de los gastos e ingresos de la r</w:t>
      </w:r>
      <w:r w:rsidRPr="00977306">
        <w:t>e</w:t>
      </w:r>
      <w:r w:rsidRPr="00977306">
        <w:t>sidencia a 31 de diciembre de 2015 de acuerdo al marco normativo de inform</w:t>
      </w:r>
      <w:r w:rsidRPr="00977306">
        <w:t>a</w:t>
      </w:r>
      <w:r w:rsidRPr="00977306">
        <w:t>ción financiera pública aplicable y a los principios y criterios contables cont</w:t>
      </w:r>
      <w:r w:rsidRPr="00977306">
        <w:t>e</w:t>
      </w:r>
      <w:r w:rsidR="00DF70B1">
        <w:t>nidos en el mismo, y los procedimientos de gestión de gastos e ingresos son r</w:t>
      </w:r>
      <w:r w:rsidR="00DF70B1">
        <w:t>a</w:t>
      </w:r>
      <w:r w:rsidR="00DF70B1">
        <w:t>zonables.</w:t>
      </w:r>
    </w:p>
    <w:p w:rsidR="00324EF1" w:rsidRPr="00977306" w:rsidRDefault="00324EF1" w:rsidP="00977306">
      <w:pPr>
        <w:pStyle w:val="atitulo3"/>
        <w:spacing w:before="240"/>
      </w:pPr>
      <w:r w:rsidRPr="00977306">
        <w:t xml:space="preserve">Párrafo de </w:t>
      </w:r>
      <w:r w:rsidR="007D2A0B">
        <w:t>otras cuestiones significativas</w:t>
      </w:r>
    </w:p>
    <w:p w:rsidR="00324EF1" w:rsidRPr="00977306" w:rsidRDefault="007D2A0B" w:rsidP="00977306">
      <w:pPr>
        <w:pStyle w:val="texto0"/>
      </w:pPr>
      <w:r>
        <w:t>Los ingresos de la residencia no incluyen los correspondientes al alojamiento de los residentes con beca, ni los procedentes de las federaciones que</w:t>
      </w:r>
      <w:r w:rsidR="00324EF1" w:rsidRPr="00977306">
        <w:t xml:space="preserve"> utilizan las salas</w:t>
      </w:r>
      <w:r>
        <w:t xml:space="preserve"> por estar</w:t>
      </w:r>
      <w:r w:rsidR="00324EF1" w:rsidRPr="00977306">
        <w:t xml:space="preserve"> exentas de pago</w:t>
      </w:r>
      <w:r>
        <w:t>;</w:t>
      </w:r>
      <w:r w:rsidR="00324EF1" w:rsidRPr="00977306">
        <w:t xml:space="preserve"> </w:t>
      </w:r>
      <w:r>
        <w:t>estos hechos supondrían unos ingresos ad</w:t>
      </w:r>
      <w:r>
        <w:t>i</w:t>
      </w:r>
      <w:r>
        <w:t xml:space="preserve">cionales de 44.661 euros. </w:t>
      </w:r>
    </w:p>
    <w:p w:rsidR="00324EF1" w:rsidRDefault="00324EF1" w:rsidP="00324EF1">
      <w:pPr>
        <w:pStyle w:val="atitulo3"/>
      </w:pPr>
      <w:r>
        <w:t>IV.</w:t>
      </w:r>
      <w:r w:rsidR="005234AC">
        <w:t>3</w:t>
      </w:r>
      <w:r>
        <w:t>.2. Opinión sobre el cumplimiento de los pliegos de los contratos de alimentación y limpieza</w:t>
      </w:r>
    </w:p>
    <w:p w:rsidR="00324EF1" w:rsidRPr="00977306" w:rsidRDefault="00324EF1" w:rsidP="00977306">
      <w:pPr>
        <w:pStyle w:val="atitulo3"/>
        <w:spacing w:before="240"/>
      </w:pPr>
      <w:r w:rsidRPr="00977306">
        <w:t>Fundamento de la opinión con salvedades</w:t>
      </w:r>
    </w:p>
    <w:p w:rsidR="00324EF1" w:rsidRDefault="00324EF1" w:rsidP="00977306">
      <w:pPr>
        <w:pStyle w:val="texto0"/>
      </w:pPr>
      <w:r w:rsidRPr="00C23D05">
        <w:t>Algunas de las mejoras ofertadas por la empresa adjudicataria</w:t>
      </w:r>
      <w:r>
        <w:t xml:space="preserve"> del servicio de alimentación</w:t>
      </w:r>
      <w:r w:rsidR="00953932">
        <w:t>,</w:t>
      </w:r>
      <w:r w:rsidRPr="00C23D05">
        <w:t xml:space="preserve"> </w:t>
      </w:r>
      <w:r w:rsidR="005234AC">
        <w:t>que</w:t>
      </w:r>
      <w:r w:rsidRPr="00C23D05">
        <w:t xml:space="preserve"> resultaron relevantes en la valoración y adjudicación del co</w:t>
      </w:r>
      <w:r w:rsidRPr="00C23D05">
        <w:t>n</w:t>
      </w:r>
      <w:r w:rsidRPr="00C23D05">
        <w:t>trato</w:t>
      </w:r>
      <w:r>
        <w:t>,</w:t>
      </w:r>
      <w:r w:rsidRPr="00C23D05">
        <w:t xml:space="preserve"> no se han cumplido</w:t>
      </w:r>
      <w:r>
        <w:t xml:space="preserve"> a la fecha de redacción de este informe</w:t>
      </w:r>
      <w:r w:rsidR="005234AC">
        <w:t>, si bien no afectan significativamente a la prestación del servicio.</w:t>
      </w:r>
    </w:p>
    <w:p w:rsidR="00324EF1" w:rsidRPr="00977306" w:rsidRDefault="00324EF1" w:rsidP="00977306">
      <w:pPr>
        <w:pStyle w:val="atitulo3"/>
        <w:spacing w:before="240"/>
      </w:pPr>
      <w:r w:rsidRPr="00977306">
        <w:t>Opinión de cumplimiento</w:t>
      </w:r>
    </w:p>
    <w:p w:rsidR="00324EF1" w:rsidRDefault="00324EF1" w:rsidP="00977306">
      <w:pPr>
        <w:pStyle w:val="texto0"/>
      </w:pPr>
      <w:r>
        <w:t>En nuestra opinión, excepto por los hechos descritos en el párrafo del apa</w:t>
      </w:r>
      <w:r>
        <w:t>r</w:t>
      </w:r>
      <w:r>
        <w:t>tado de “Fundamento de la opinión con salvedades”, tanto las cláusulas de los pliegos que rigen el contrato de alimentación como las correspondientes al de limpieza, se cumplen razonablemente.</w:t>
      </w:r>
    </w:p>
    <w:p w:rsidR="00324EF1" w:rsidRDefault="00324EF1" w:rsidP="00324EF1">
      <w:pPr>
        <w:pStyle w:val="atitulo2"/>
        <w:spacing w:after="200"/>
      </w:pPr>
      <w:bookmarkStart w:id="42" w:name="_Toc473543366"/>
      <w:bookmarkStart w:id="43" w:name="_Toc475449748"/>
      <w:bookmarkEnd w:id="29"/>
      <w:bookmarkEnd w:id="30"/>
      <w:bookmarkEnd w:id="31"/>
      <w:bookmarkEnd w:id="32"/>
      <w:bookmarkEnd w:id="33"/>
      <w:bookmarkEnd w:id="34"/>
      <w:bookmarkEnd w:id="35"/>
      <w:bookmarkEnd w:id="36"/>
      <w:bookmarkEnd w:id="37"/>
      <w:bookmarkEnd w:id="38"/>
      <w:r>
        <w:t>I</w:t>
      </w:r>
      <w:r w:rsidRPr="00723975">
        <w:t>V.</w:t>
      </w:r>
      <w:r w:rsidR="005234AC">
        <w:t>4</w:t>
      </w:r>
      <w:r w:rsidRPr="00723975">
        <w:t xml:space="preserve">. </w:t>
      </w:r>
      <w:r>
        <w:t>O</w:t>
      </w:r>
      <w:r w:rsidR="005234AC">
        <w:t>tras o</w:t>
      </w:r>
      <w:r>
        <w:t>bservaciones que no afectan a la opinión</w:t>
      </w:r>
      <w:bookmarkEnd w:id="42"/>
      <w:bookmarkEnd w:id="43"/>
    </w:p>
    <w:p w:rsidR="00324EF1" w:rsidRPr="00977306" w:rsidRDefault="00324EF1" w:rsidP="00977306">
      <w:pPr>
        <w:pStyle w:val="texto0"/>
      </w:pPr>
      <w:r w:rsidRPr="00977306">
        <w:t>A continuación, se exponen las conclusiones y observaciones obtenidas del trabajo realizado sin que éstas afecten a la opinión emitida:</w:t>
      </w:r>
    </w:p>
    <w:p w:rsidR="00046F47" w:rsidRPr="005B5EF7" w:rsidRDefault="00324EF1" w:rsidP="007D2A0B">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851"/>
          <w:tab w:val="num" w:pos="1320"/>
        </w:tabs>
        <w:ind w:left="0" w:firstLine="322"/>
        <w:rPr>
          <w:rFonts w:cs="Arial"/>
        </w:rPr>
      </w:pPr>
      <w:r w:rsidRPr="005B5EF7">
        <w:rPr>
          <w:rFonts w:cs="Arial"/>
        </w:rPr>
        <w:t>Se han detectado errores no significativos en los gastos e ingresos de la r</w:t>
      </w:r>
      <w:r w:rsidRPr="005B5EF7">
        <w:rPr>
          <w:rFonts w:cs="Arial"/>
        </w:rPr>
        <w:t>e</w:t>
      </w:r>
      <w:r w:rsidRPr="005B5EF7">
        <w:rPr>
          <w:rFonts w:cs="Arial"/>
        </w:rPr>
        <w:t xml:space="preserve">sidencia para el año 2015 </w:t>
      </w:r>
      <w:r w:rsidR="00046F47" w:rsidRPr="005B5EF7">
        <w:rPr>
          <w:rFonts w:cs="Arial"/>
        </w:rPr>
        <w:t xml:space="preserve">cuyo efecto neto </w:t>
      </w:r>
      <w:r w:rsidRPr="005B5EF7">
        <w:rPr>
          <w:rFonts w:cs="Arial"/>
        </w:rPr>
        <w:t xml:space="preserve">supone reducir los gastos en </w:t>
      </w:r>
      <w:r w:rsidR="005B5EF7" w:rsidRPr="005B5EF7">
        <w:rPr>
          <w:rFonts w:cs="Arial"/>
        </w:rPr>
        <w:t>3.233</w:t>
      </w:r>
      <w:r w:rsidRPr="005B5EF7">
        <w:rPr>
          <w:rFonts w:cs="Arial"/>
        </w:rPr>
        <w:t xml:space="preserve"> euros y </w:t>
      </w:r>
      <w:r w:rsidR="00046F47" w:rsidRPr="005B5EF7">
        <w:rPr>
          <w:rFonts w:cs="Arial"/>
        </w:rPr>
        <w:t xml:space="preserve">aumentar los ingresos en </w:t>
      </w:r>
      <w:r w:rsidR="005B5EF7" w:rsidRPr="005B5EF7">
        <w:rPr>
          <w:rFonts w:cs="Arial"/>
        </w:rPr>
        <w:t>14.172.</w:t>
      </w:r>
      <w:r w:rsidR="00046F47" w:rsidRPr="005B5EF7">
        <w:rPr>
          <w:rFonts w:cs="Arial"/>
        </w:rPr>
        <w:t xml:space="preserve"> </w:t>
      </w:r>
      <w:r w:rsidR="005B5EF7" w:rsidRPr="005B5EF7">
        <w:rPr>
          <w:rFonts w:cs="Arial"/>
        </w:rPr>
        <w:t>La principal causa</w:t>
      </w:r>
      <w:r w:rsidR="00046F47" w:rsidRPr="005B5EF7">
        <w:rPr>
          <w:rFonts w:cs="Arial"/>
        </w:rPr>
        <w:t xml:space="preserve"> de estas deficie</w:t>
      </w:r>
      <w:r w:rsidR="00046F47" w:rsidRPr="005B5EF7">
        <w:rPr>
          <w:rFonts w:cs="Arial"/>
        </w:rPr>
        <w:t>n</w:t>
      </w:r>
      <w:r w:rsidR="00046F47" w:rsidRPr="005B5EF7">
        <w:rPr>
          <w:rFonts w:cs="Arial"/>
        </w:rPr>
        <w:t xml:space="preserve">cias </w:t>
      </w:r>
      <w:r w:rsidR="005B5EF7" w:rsidRPr="005B5EF7">
        <w:rPr>
          <w:rFonts w:cs="Arial"/>
        </w:rPr>
        <w:t>es el procedimiento utilizado para contabilizar los ingresos de la reside</w:t>
      </w:r>
      <w:r w:rsidR="005B5EF7" w:rsidRPr="005B5EF7">
        <w:rPr>
          <w:rFonts w:cs="Arial"/>
        </w:rPr>
        <w:t>n</w:t>
      </w:r>
      <w:r w:rsidR="005B5EF7" w:rsidRPr="005B5EF7">
        <w:rPr>
          <w:rFonts w:cs="Arial"/>
        </w:rPr>
        <w:t>cia</w:t>
      </w:r>
      <w:r w:rsidR="005B5EF7">
        <w:rPr>
          <w:rFonts w:cs="Arial"/>
        </w:rPr>
        <w:t>. E</w:t>
      </w:r>
      <w:r w:rsidR="005B5EF7" w:rsidRPr="005B5EF7">
        <w:rPr>
          <w:rFonts w:cs="Arial"/>
        </w:rPr>
        <w:t xml:space="preserve">n concreto, </w:t>
      </w:r>
      <w:r w:rsidR="00046F47" w:rsidRPr="005B5EF7">
        <w:rPr>
          <w:rFonts w:cs="Arial"/>
        </w:rPr>
        <w:t>se utiliza una cuenta de recaudación que sigue el proced</w:t>
      </w:r>
      <w:r w:rsidR="00046F47" w:rsidRPr="005B5EF7">
        <w:rPr>
          <w:rFonts w:cs="Arial"/>
        </w:rPr>
        <w:t>i</w:t>
      </w:r>
      <w:r w:rsidR="00046F47" w:rsidRPr="005B5EF7">
        <w:rPr>
          <w:rFonts w:cs="Arial"/>
        </w:rPr>
        <w:t>miento general del Gobierno de Navarra de las “quincenas”; esto hace que se registren todos los movimientos de ese periodo temporal cuando llega la info</w:t>
      </w:r>
      <w:r w:rsidR="00046F47" w:rsidRPr="005B5EF7">
        <w:rPr>
          <w:rFonts w:cs="Arial"/>
        </w:rPr>
        <w:t>r</w:t>
      </w:r>
      <w:r w:rsidR="00046F47" w:rsidRPr="005B5EF7">
        <w:rPr>
          <w:rFonts w:cs="Arial"/>
        </w:rPr>
        <w:t>mación</w:t>
      </w:r>
      <w:r w:rsidR="005B5EF7">
        <w:rPr>
          <w:rFonts w:cs="Arial"/>
        </w:rPr>
        <w:t>,</w:t>
      </w:r>
      <w:r w:rsidR="00046F47" w:rsidRPr="005B5EF7">
        <w:rPr>
          <w:rFonts w:cs="Arial"/>
        </w:rPr>
        <w:t xml:space="preserve"> pudiendo darse la circunstancia de que no se cumpla </w:t>
      </w:r>
      <w:r w:rsidR="007D2A0B" w:rsidRPr="005B5EF7">
        <w:rPr>
          <w:rFonts w:cs="Arial"/>
        </w:rPr>
        <w:t xml:space="preserve">estrictamente </w:t>
      </w:r>
      <w:r w:rsidR="00046F47" w:rsidRPr="005B5EF7">
        <w:rPr>
          <w:rFonts w:cs="Arial"/>
        </w:rPr>
        <w:t>con el criterio del devengo. Así por ejemplo, en 2015 se contabilizaron facturas de 2014 por 6.402 euros y se dejaron de registrar los ingresos del mes de dicie</w:t>
      </w:r>
      <w:r w:rsidR="00046F47" w:rsidRPr="005B5EF7">
        <w:rPr>
          <w:rFonts w:cs="Arial"/>
        </w:rPr>
        <w:t>m</w:t>
      </w:r>
      <w:r w:rsidR="00046F47" w:rsidRPr="005B5EF7">
        <w:rPr>
          <w:rFonts w:cs="Arial"/>
        </w:rPr>
        <w:t>bre de 2015 por importe de 22.794 euros.</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rsidRPr="00CE52FD">
        <w:rPr>
          <w:rFonts w:cs="Arial"/>
        </w:rPr>
        <w:t xml:space="preserve">No consta que se realice un seguimiento sobre las limpiezas generales </w:t>
      </w:r>
      <w:r w:rsidR="00046F47">
        <w:rPr>
          <w:rFonts w:cs="Arial"/>
        </w:rPr>
        <w:t>no diarias</w:t>
      </w:r>
      <w:r w:rsidRPr="00CE52FD">
        <w:rPr>
          <w:rFonts w:cs="Arial"/>
        </w:rPr>
        <w:t xml:space="preserve"> que la adjudicataria</w:t>
      </w:r>
      <w:r w:rsidR="005B5EF7">
        <w:rPr>
          <w:rFonts w:cs="Arial"/>
        </w:rPr>
        <w:t>,</w:t>
      </w:r>
      <w:r w:rsidRPr="00CE52FD">
        <w:rPr>
          <w:rFonts w:cs="Arial"/>
        </w:rPr>
        <w:t xml:space="preserve"> </w:t>
      </w:r>
      <w:r w:rsidR="005B5EF7">
        <w:rPr>
          <w:rFonts w:cs="Arial"/>
        </w:rPr>
        <w:t>tanto del servicio de alimentación como de limpi</w:t>
      </w:r>
      <w:r w:rsidR="005B5EF7">
        <w:rPr>
          <w:rFonts w:cs="Arial"/>
        </w:rPr>
        <w:t>e</w:t>
      </w:r>
      <w:r w:rsidR="005B5EF7">
        <w:rPr>
          <w:rFonts w:cs="Arial"/>
        </w:rPr>
        <w:t xml:space="preserve">za, </w:t>
      </w:r>
      <w:r w:rsidRPr="00CE52FD">
        <w:rPr>
          <w:rFonts w:cs="Arial"/>
        </w:rPr>
        <w:t>debería realizar según los pliegos.</w:t>
      </w:r>
    </w:p>
    <w:p w:rsidR="00324EF1" w:rsidRDefault="0000039E"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szCs w:val="26"/>
        </w:rPr>
      </w:pPr>
      <w:r>
        <w:rPr>
          <w:szCs w:val="26"/>
        </w:rPr>
        <w:t>El plazo previsto de abono de los costes de alimentación de los deportistas  becados a la empresa adjudicataria es mensual</w:t>
      </w:r>
      <w:r w:rsidR="00D02FA2">
        <w:rPr>
          <w:szCs w:val="26"/>
        </w:rPr>
        <w:t>, sin embargo, l</w:t>
      </w:r>
      <w:r>
        <w:rPr>
          <w:szCs w:val="26"/>
        </w:rPr>
        <w:t xml:space="preserve">os abonos de las subvenciones a </w:t>
      </w:r>
      <w:r w:rsidR="00D02FA2">
        <w:rPr>
          <w:szCs w:val="26"/>
        </w:rPr>
        <w:t xml:space="preserve">estos </w:t>
      </w:r>
      <w:r>
        <w:rPr>
          <w:szCs w:val="26"/>
        </w:rPr>
        <w:t>deportistas se han efectuado con distinta periodicidad (trimestral, cuatrimestral, etc.)</w:t>
      </w:r>
      <w:r w:rsidR="00046F47">
        <w:rPr>
          <w:szCs w:val="26"/>
        </w:rPr>
        <w:t>.</w:t>
      </w:r>
    </w:p>
    <w:p w:rsidR="00046F47" w:rsidRDefault="00046F47" w:rsidP="00CF41F2">
      <w:pPr>
        <w:pStyle w:val="Texto"/>
      </w:pPr>
      <w:r>
        <w:t>Durante la realización de nuestro trabajo, los responsables de la residencia han elaborado el inventario referido al servicio de alimentación con resultado satisfactorio de acuerdo a lo contemplado en los pliegos.</w:t>
      </w:r>
    </w:p>
    <w:p w:rsidR="00324EF1" w:rsidRDefault="00324EF1" w:rsidP="00324EF1">
      <w:pPr>
        <w:pStyle w:val="atitulo2"/>
        <w:spacing w:after="200"/>
      </w:pPr>
      <w:bookmarkStart w:id="44" w:name="_Toc473543367"/>
      <w:bookmarkStart w:id="45" w:name="_Toc475449749"/>
      <w:r>
        <w:t>I</w:t>
      </w:r>
      <w:r w:rsidRPr="00723975">
        <w:t>V.</w:t>
      </w:r>
      <w:r>
        <w:t>5</w:t>
      </w:r>
      <w:r w:rsidRPr="00723975">
        <w:t xml:space="preserve">. </w:t>
      </w:r>
      <w:r>
        <w:t>Recomendaciones</w:t>
      </w:r>
      <w:bookmarkEnd w:id="44"/>
      <w:bookmarkEnd w:id="45"/>
    </w:p>
    <w:p w:rsidR="00324EF1" w:rsidRPr="00FB7152" w:rsidRDefault="00324EF1" w:rsidP="00324EF1">
      <w:pPr>
        <w:pStyle w:val="texto0"/>
      </w:pPr>
      <w:r>
        <w:t xml:space="preserve">Tras analizar las conclusiones del trabajo realizado, y teniendo en cuenta, además, que los contratos celebrados al amparo del acuerdo marco finalizan en diciembre de 2016, </w:t>
      </w:r>
      <w:r w:rsidRPr="00FB7152">
        <w:t>recomendamos:</w:t>
      </w:r>
    </w:p>
    <w:p w:rsidR="00B9622C" w:rsidRDefault="00B9622C"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Concluir el proceso de reflexión en torno a la residencia y elaborar el plan de revitalización de la misma</w:t>
      </w:r>
      <w:r w:rsidR="00263978">
        <w:rPr>
          <w:rFonts w:cs="Arial"/>
          <w:i/>
        </w:rPr>
        <w:t>, analizando la conveniencia o no de poner en marcha el proyecto de reforma previsto de forma parcial o total,</w:t>
      </w:r>
      <w:r>
        <w:rPr>
          <w:rFonts w:cs="Arial"/>
          <w:i/>
        </w:rPr>
        <w:t xml:space="preserve"> en función de </w:t>
      </w:r>
      <w:r w:rsidR="005B5EF7">
        <w:rPr>
          <w:rFonts w:cs="Arial"/>
          <w:i/>
        </w:rPr>
        <w:t>la decisión adoptada</w:t>
      </w:r>
      <w:r>
        <w:rPr>
          <w:rFonts w:cs="Arial"/>
          <w:i/>
        </w:rPr>
        <w:t>.</w:t>
      </w:r>
    </w:p>
    <w:p w:rsidR="00B9622C" w:rsidRDefault="00B9622C" w:rsidP="00B9622C">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En todo caso, ante el porcentaje actual de ocupación y uso de la reside</w:t>
      </w:r>
      <w:r>
        <w:rPr>
          <w:rFonts w:cs="Arial"/>
          <w:i/>
        </w:rPr>
        <w:t>n</w:t>
      </w:r>
      <w:r>
        <w:rPr>
          <w:rFonts w:cs="Arial"/>
          <w:i/>
        </w:rPr>
        <w:t>cia, dar mayor difusión y publicidad de su existencia y posibles usos para: e</w:t>
      </w:r>
      <w:r>
        <w:rPr>
          <w:rFonts w:cs="Arial"/>
          <w:i/>
        </w:rPr>
        <w:t>s</w:t>
      </w:r>
      <w:r>
        <w:rPr>
          <w:rFonts w:cs="Arial"/>
          <w:i/>
        </w:rPr>
        <w:t>tudiantes habituales, deportistas, alojamientos particulares, alberguistas, a</w:t>
      </w:r>
      <w:r>
        <w:rPr>
          <w:rFonts w:cs="Arial"/>
          <w:i/>
        </w:rPr>
        <w:t>l</w:t>
      </w:r>
      <w:r>
        <w:rPr>
          <w:rFonts w:cs="Arial"/>
          <w:i/>
        </w:rPr>
        <w:t>quiler de salas y salón de actos, etc.</w:t>
      </w:r>
    </w:p>
    <w:p w:rsidR="00EA3FF6" w:rsidRDefault="00EA3FF6" w:rsidP="00B9622C">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Analizar la posibilidad de establecer acuerdos o convenios con entidades para aumentar la ocupación de la residencia determinando en su caso los p</w:t>
      </w:r>
      <w:r>
        <w:rPr>
          <w:rFonts w:cs="Arial"/>
          <w:i/>
        </w:rPr>
        <w:t>o</w:t>
      </w:r>
      <w:r>
        <w:rPr>
          <w:rFonts w:cs="Arial"/>
          <w:i/>
        </w:rPr>
        <w:t>sibles descuentos que se prevean aplicar.</w:t>
      </w:r>
    </w:p>
    <w:p w:rsidR="005B5EF7" w:rsidRPr="005B5EF7" w:rsidRDefault="005B5EF7" w:rsidP="005B5EF7">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sidRPr="005B5EF7">
        <w:rPr>
          <w:rFonts w:cs="Arial"/>
          <w:i/>
        </w:rPr>
        <w:t xml:space="preserve">Requerir en forma al concesionario </w:t>
      </w:r>
      <w:r w:rsidR="00EA3FF6">
        <w:rPr>
          <w:rFonts w:cs="Arial"/>
          <w:i/>
        </w:rPr>
        <w:t xml:space="preserve">del servicio de alimentación </w:t>
      </w:r>
      <w:r w:rsidRPr="005B5EF7">
        <w:rPr>
          <w:rFonts w:cs="Arial"/>
          <w:i/>
        </w:rPr>
        <w:t>que i</w:t>
      </w:r>
      <w:r w:rsidRPr="005B5EF7">
        <w:rPr>
          <w:rFonts w:cs="Arial"/>
          <w:i/>
        </w:rPr>
        <w:t>m</w:t>
      </w:r>
      <w:r w:rsidRPr="005B5EF7">
        <w:rPr>
          <w:rFonts w:cs="Arial"/>
          <w:i/>
        </w:rPr>
        <w:t xml:space="preserve">plemente </w:t>
      </w:r>
      <w:r w:rsidR="000653A6" w:rsidRPr="005B5EF7">
        <w:rPr>
          <w:rFonts w:cs="Arial"/>
          <w:i/>
        </w:rPr>
        <w:t>las mejoras</w:t>
      </w:r>
      <w:r w:rsidR="000653A6">
        <w:rPr>
          <w:rFonts w:cs="Arial"/>
          <w:i/>
        </w:rPr>
        <w:t xml:space="preserve"> </w:t>
      </w:r>
      <w:r w:rsidR="00EA3FF6">
        <w:rPr>
          <w:rFonts w:cs="Arial"/>
          <w:i/>
        </w:rPr>
        <w:t xml:space="preserve">especificadas </w:t>
      </w:r>
      <w:r w:rsidRPr="005B5EF7">
        <w:rPr>
          <w:rFonts w:cs="Arial"/>
          <w:i/>
        </w:rPr>
        <w:t xml:space="preserve">en su oferta. </w:t>
      </w:r>
    </w:p>
    <w:p w:rsidR="005B5EF7" w:rsidRPr="005B5EF7" w:rsidRDefault="005B5EF7" w:rsidP="005B5EF7">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sidRPr="005B5EF7">
        <w:rPr>
          <w:rFonts w:cs="Arial"/>
          <w:i/>
        </w:rPr>
        <w:t xml:space="preserve">Incluir en los </w:t>
      </w:r>
      <w:r>
        <w:rPr>
          <w:rFonts w:cs="Arial"/>
          <w:i/>
        </w:rPr>
        <w:t>p</w:t>
      </w:r>
      <w:r w:rsidRPr="005B5EF7">
        <w:rPr>
          <w:rFonts w:cs="Arial"/>
          <w:i/>
        </w:rPr>
        <w:t>liegos de cláusulas administrativas las penalidades a apl</w:t>
      </w:r>
      <w:r w:rsidRPr="005B5EF7">
        <w:rPr>
          <w:rFonts w:cs="Arial"/>
          <w:i/>
        </w:rPr>
        <w:t>i</w:t>
      </w:r>
      <w:r w:rsidRPr="005B5EF7">
        <w:rPr>
          <w:rFonts w:cs="Arial"/>
          <w:i/>
        </w:rPr>
        <w:t>car en caso de incumplimiento</w:t>
      </w:r>
      <w:r>
        <w:rPr>
          <w:rFonts w:cs="Arial"/>
          <w:i/>
        </w:rPr>
        <w:t xml:space="preserve"> de mejoras</w:t>
      </w:r>
      <w:r w:rsidRPr="005B5EF7">
        <w:rPr>
          <w:rFonts w:cs="Arial"/>
          <w:i/>
        </w:rPr>
        <w:t xml:space="preserve"> en función de su gravedad. </w:t>
      </w:r>
    </w:p>
    <w:p w:rsidR="00324EF1" w:rsidRPr="00490193" w:rsidRDefault="00324EF1" w:rsidP="005B5EF7">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 xml:space="preserve">Controlar que la adjudicataria del servicio de </w:t>
      </w:r>
      <w:r w:rsidR="005B5EF7">
        <w:rPr>
          <w:rFonts w:cs="Arial"/>
          <w:i/>
        </w:rPr>
        <w:t xml:space="preserve">alimentación y la de </w:t>
      </w:r>
      <w:r>
        <w:rPr>
          <w:rFonts w:cs="Arial"/>
          <w:i/>
        </w:rPr>
        <w:t>limpi</w:t>
      </w:r>
      <w:r>
        <w:rPr>
          <w:rFonts w:cs="Arial"/>
          <w:i/>
        </w:rPr>
        <w:t>e</w:t>
      </w:r>
      <w:r>
        <w:rPr>
          <w:rFonts w:cs="Arial"/>
          <w:i/>
        </w:rPr>
        <w:t xml:space="preserve">za realice las limpiezas generales </w:t>
      </w:r>
      <w:r w:rsidR="00EA3FF6">
        <w:rPr>
          <w:rFonts w:cs="Arial"/>
          <w:i/>
        </w:rPr>
        <w:t xml:space="preserve">y tareas específicas </w:t>
      </w:r>
      <w:r>
        <w:rPr>
          <w:rFonts w:cs="Arial"/>
          <w:i/>
        </w:rPr>
        <w:t>de menor frecuencia s</w:t>
      </w:r>
      <w:r>
        <w:rPr>
          <w:rFonts w:cs="Arial"/>
          <w:i/>
        </w:rPr>
        <w:t>e</w:t>
      </w:r>
      <w:r>
        <w:rPr>
          <w:rFonts w:cs="Arial"/>
          <w:i/>
        </w:rPr>
        <w:t>gún lo estipulado en los pliegos</w:t>
      </w:r>
      <w:r w:rsidR="00EA3FF6">
        <w:rPr>
          <w:rFonts w:cs="Arial"/>
          <w:i/>
        </w:rPr>
        <w:t xml:space="preserve"> de acuerdo al </w:t>
      </w:r>
      <w:proofErr w:type="spellStart"/>
      <w:r w:rsidR="00EA3FF6">
        <w:rPr>
          <w:rFonts w:cs="Arial"/>
          <w:i/>
        </w:rPr>
        <w:t>planning</w:t>
      </w:r>
      <w:proofErr w:type="spellEnd"/>
      <w:r w:rsidR="00EA3FF6">
        <w:rPr>
          <w:rFonts w:cs="Arial"/>
          <w:i/>
        </w:rPr>
        <w:t xml:space="preserve"> mensual que se est</w:t>
      </w:r>
      <w:r w:rsidR="00EA3FF6">
        <w:rPr>
          <w:rFonts w:cs="Arial"/>
          <w:i/>
        </w:rPr>
        <w:t>a</w:t>
      </w:r>
      <w:r w:rsidR="00EA3FF6">
        <w:rPr>
          <w:rFonts w:cs="Arial"/>
          <w:i/>
        </w:rPr>
        <w:t>blezca</w:t>
      </w:r>
      <w:r>
        <w:rPr>
          <w:rFonts w:cs="Arial"/>
          <w:i/>
        </w:rPr>
        <w:t>.</w:t>
      </w:r>
    </w:p>
    <w:p w:rsidR="00324EF1" w:rsidRDefault="00324EF1"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Implantar una aplicación informática que gestione el registro de los res</w:t>
      </w:r>
      <w:r>
        <w:rPr>
          <w:rFonts w:cs="Arial"/>
          <w:i/>
        </w:rPr>
        <w:t>i</w:t>
      </w:r>
      <w:r>
        <w:rPr>
          <w:rFonts w:cs="Arial"/>
          <w:i/>
        </w:rPr>
        <w:t xml:space="preserve">dentes y alberguistas para mejorar el tratamiento de esta información. </w:t>
      </w:r>
    </w:p>
    <w:p w:rsidR="00F56541" w:rsidRDefault="00F56541"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Registrar en el capítulo 5 de ingresos los importes percibidos por el canon abonado por la empresa adjudicataria del servicio de alimentación.</w:t>
      </w:r>
    </w:p>
    <w:p w:rsidR="00324EF1" w:rsidRDefault="00324EF1"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Realizar una memoria anual de actividad de la residencia que contenga los datos más relevantes de la gestión de este centro.</w:t>
      </w:r>
    </w:p>
    <w:p w:rsidR="00EA3FF6" w:rsidRDefault="00EA3FF6"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Corregir los errores existentes sobre los datos generales de la residencia en la nueva página web.</w:t>
      </w:r>
    </w:p>
    <w:p w:rsidR="00EA3FF6" w:rsidRDefault="00EA3FF6"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Clarificar los datos de la página web que gestiona las reservas de albe</w:t>
      </w:r>
      <w:r>
        <w:rPr>
          <w:rFonts w:cs="Arial"/>
          <w:i/>
        </w:rPr>
        <w:t>r</w:t>
      </w:r>
      <w:r>
        <w:rPr>
          <w:rFonts w:cs="Arial"/>
          <w:i/>
        </w:rPr>
        <w:t>guistas no grupales para evitar confusiones al respecto.</w:t>
      </w:r>
    </w:p>
    <w:p w:rsidR="00EA3FF6" w:rsidRDefault="00EA3FF6"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 xml:space="preserve">Evaluar la adecuación de las prestaciones del servicio de </w:t>
      </w:r>
      <w:proofErr w:type="gramStart"/>
      <w:r>
        <w:rPr>
          <w:rFonts w:cs="Arial"/>
          <w:i/>
        </w:rPr>
        <w:t>limpieza existe</w:t>
      </w:r>
      <w:r>
        <w:rPr>
          <w:rFonts w:cs="Arial"/>
          <w:i/>
        </w:rPr>
        <w:t>n</w:t>
      </w:r>
      <w:r>
        <w:rPr>
          <w:rFonts w:cs="Arial"/>
          <w:i/>
        </w:rPr>
        <w:t>tes</w:t>
      </w:r>
      <w:proofErr w:type="gramEnd"/>
      <w:r>
        <w:rPr>
          <w:rFonts w:cs="Arial"/>
          <w:i/>
        </w:rPr>
        <w:t xml:space="preserve"> actualmente para futuras adjudicaciones</w:t>
      </w:r>
      <w:r w:rsidR="00BC5D7A">
        <w:rPr>
          <w:rFonts w:cs="Arial"/>
          <w:i/>
        </w:rPr>
        <w:t>,</w:t>
      </w:r>
      <w:r>
        <w:rPr>
          <w:rFonts w:cs="Arial"/>
          <w:i/>
        </w:rPr>
        <w:t xml:space="preserve"> teniendo en cuenta los porcent</w:t>
      </w:r>
      <w:r>
        <w:rPr>
          <w:rFonts w:cs="Arial"/>
          <w:i/>
        </w:rPr>
        <w:t>a</w:t>
      </w:r>
      <w:r>
        <w:rPr>
          <w:rFonts w:cs="Arial"/>
          <w:i/>
        </w:rPr>
        <w:t>jes de ocupación que existan.</w:t>
      </w:r>
    </w:p>
    <w:p w:rsidR="00EA3FF6" w:rsidRDefault="00EA3FF6"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rFonts w:cs="Arial"/>
          <w:i/>
        </w:rPr>
        <w:t>Valorar la posibilidad de abonar las subvenciones a los deportistas bec</w:t>
      </w:r>
      <w:r>
        <w:rPr>
          <w:rFonts w:cs="Arial"/>
          <w:i/>
        </w:rPr>
        <w:t>a</w:t>
      </w:r>
      <w:r>
        <w:rPr>
          <w:rFonts w:cs="Arial"/>
          <w:i/>
        </w:rPr>
        <w:t>dos mensualmente, una vez presentados los justificantes de pago de los gastos subvencionados.</w:t>
      </w:r>
    </w:p>
    <w:bookmarkEnd w:id="25"/>
    <w:bookmarkEnd w:id="26"/>
    <w:p w:rsidR="00B3343F" w:rsidRPr="00C27760" w:rsidRDefault="00B3343F" w:rsidP="00CF41F2">
      <w:pPr>
        <w:pStyle w:val="Alegacin"/>
      </w:pPr>
      <w:r w:rsidRPr="00C27760">
        <w:t xml:space="preserve">Informe que se emite a propuesta de la auditora </w:t>
      </w:r>
      <w:r w:rsidR="00BB7B95">
        <w:t>Karen Moreno Orduñ</w:t>
      </w:r>
      <w:r w:rsidRPr="00C27760">
        <w:t>a, re</w:t>
      </w:r>
      <w:r w:rsidRPr="00C27760">
        <w:t>s</w:t>
      </w:r>
      <w:r w:rsidRPr="00C27760">
        <w:t>ponsable de la realización de este trabajo, una vez cumplimentados los trámites previstos por la normativa vigente.</w:t>
      </w:r>
    </w:p>
    <w:p w:rsidR="00B3343F" w:rsidRPr="00C27760" w:rsidRDefault="00B3343F" w:rsidP="00B3343F">
      <w:pPr>
        <w:pStyle w:val="texto0"/>
        <w:jc w:val="center"/>
        <w:rPr>
          <w:lang w:val="es-ES"/>
        </w:rPr>
      </w:pPr>
      <w:r w:rsidRPr="00C27760">
        <w:rPr>
          <w:lang w:val="es-ES"/>
        </w:rPr>
        <w:t xml:space="preserve">Pamplona, </w:t>
      </w:r>
      <w:r w:rsidR="00DA0F2B">
        <w:rPr>
          <w:lang w:val="es-ES"/>
        </w:rPr>
        <w:t>21</w:t>
      </w:r>
      <w:r w:rsidR="00A528FE">
        <w:rPr>
          <w:lang w:val="es-ES"/>
        </w:rPr>
        <w:t xml:space="preserve"> </w:t>
      </w:r>
      <w:r>
        <w:rPr>
          <w:lang w:val="es-ES"/>
        </w:rPr>
        <w:t>de febrero de 2017</w:t>
      </w:r>
    </w:p>
    <w:p w:rsidR="00564F2D" w:rsidRPr="004B2F01" w:rsidRDefault="00B3343F" w:rsidP="00B3343F">
      <w:pPr>
        <w:pStyle w:val="texto0"/>
        <w:jc w:val="center"/>
      </w:pPr>
      <w:r>
        <w:rPr>
          <w:lang w:val="es-ES"/>
        </w:rPr>
        <w:t>La presidenta, Asunción Olaechea Estanga</w:t>
      </w:r>
    </w:p>
    <w:p w:rsidR="00DA0F2B" w:rsidRPr="00560C02" w:rsidRDefault="00DA0F2B" w:rsidP="00560C02">
      <w:pPr>
        <w:pStyle w:val="atitulo1"/>
      </w:pPr>
      <w:bookmarkStart w:id="46" w:name="_Toc296595498"/>
      <w:bookmarkStart w:id="47" w:name="_Toc315086300"/>
      <w:bookmarkStart w:id="48" w:name="_Toc317584124"/>
      <w:bookmarkStart w:id="49" w:name="_Toc434579203"/>
      <w:bookmarkStart w:id="50" w:name="_Toc466449028"/>
      <w:bookmarkStart w:id="51" w:name="_Toc475449750"/>
      <w:r w:rsidRPr="00560C02">
        <w:t>Alegaciones formuladas al informe provisional</w:t>
      </w:r>
      <w:bookmarkEnd w:id="46"/>
      <w:bookmarkEnd w:id="47"/>
      <w:bookmarkEnd w:id="48"/>
      <w:bookmarkEnd w:id="49"/>
      <w:bookmarkEnd w:id="50"/>
      <w:bookmarkEnd w:id="51"/>
    </w:p>
    <w:p w:rsidR="00CF41F2" w:rsidRPr="00CF41F2" w:rsidRDefault="00CF41F2" w:rsidP="00CF41F2">
      <w:pPr>
        <w:pStyle w:val="Alegacin"/>
        <w:rPr>
          <w:b/>
        </w:rPr>
      </w:pPr>
      <w:r w:rsidRPr="00CF41F2">
        <w:rPr>
          <w:b/>
        </w:rPr>
        <w:t>Aportaciones respecto al informe remitido por la Cámara de Comptos, sobre la Residencia Fuerte Príncipe</w:t>
      </w:r>
    </w:p>
    <w:p w:rsidR="00CF41F2" w:rsidRPr="00560C02" w:rsidRDefault="00CF41F2" w:rsidP="00CF41F2">
      <w:pPr>
        <w:pStyle w:val="Alegacin"/>
        <w:rPr>
          <w:spacing w:val="4"/>
        </w:rPr>
      </w:pPr>
      <w:r w:rsidRPr="00560C02">
        <w:rPr>
          <w:spacing w:val="4"/>
        </w:rPr>
        <w:t>Agradecer a la Cámara de Comptos y a sus técnicos el informe tan exhaust</w:t>
      </w:r>
      <w:r w:rsidRPr="00560C02">
        <w:rPr>
          <w:spacing w:val="4"/>
        </w:rPr>
        <w:t>i</w:t>
      </w:r>
      <w:r w:rsidRPr="00560C02">
        <w:rPr>
          <w:spacing w:val="4"/>
        </w:rPr>
        <w:t>vo que ha realizado y a las aportaciones que nos ayudarán a mejorar en un fut</w:t>
      </w:r>
      <w:r w:rsidRPr="00560C02">
        <w:rPr>
          <w:spacing w:val="4"/>
        </w:rPr>
        <w:t>u</w:t>
      </w:r>
      <w:r w:rsidRPr="00560C02">
        <w:rPr>
          <w:spacing w:val="4"/>
        </w:rPr>
        <w:t>ro.</w:t>
      </w:r>
    </w:p>
    <w:p w:rsidR="00CF41F2" w:rsidRDefault="00CF41F2" w:rsidP="00CF41F2">
      <w:pPr>
        <w:pStyle w:val="Alegacin"/>
      </w:pPr>
      <w:r w:rsidRPr="0063177B">
        <w:t>Respecto a las recomendaciones realizadas, decir:</w:t>
      </w:r>
    </w:p>
    <w:p w:rsidR="00CF41F2" w:rsidRPr="0063177B" w:rsidRDefault="00CF41F2" w:rsidP="00CF41F2">
      <w:pPr>
        <w:pStyle w:val="Alegacin"/>
        <w:rPr>
          <w:i/>
        </w:rPr>
      </w:pPr>
      <w:r w:rsidRPr="0063177B">
        <w:rPr>
          <w:i/>
        </w:rPr>
        <w:t>• Concluir el proceso de reflexión en torno a la residencia y elaborar el plan de revitalización de la misma, analizando la conveniencia o no de poner en marcha el proyecto de r</w:t>
      </w:r>
      <w:r w:rsidRPr="0063177B">
        <w:rPr>
          <w:i/>
        </w:rPr>
        <w:t>e</w:t>
      </w:r>
      <w:r w:rsidRPr="0063177B">
        <w:rPr>
          <w:i/>
        </w:rPr>
        <w:t>forma previsto de forma parcial o total, en función de la decisión adoptada.</w:t>
      </w:r>
    </w:p>
    <w:p w:rsidR="00CF41F2" w:rsidRDefault="00CF41F2" w:rsidP="00CF41F2">
      <w:pPr>
        <w:pStyle w:val="Alegacin"/>
      </w:pPr>
      <w:r>
        <w:t>Comentar a este respecto</w:t>
      </w:r>
      <w:r w:rsidRPr="0063177B">
        <w:t xml:space="preserve"> que est</w:t>
      </w:r>
      <w:r>
        <w:t>á</w:t>
      </w:r>
      <w:r w:rsidRPr="0063177B">
        <w:t xml:space="preserve"> programado para este año la reforma de la cubierta del tejado y de la fachada, ya que en el análisis que se ha realizado se han considerado como los puntos prioritarios de actuación, dado que no existen posibilidades de acometer la totalidad el proyecto diseñado y que actualmente, no hay volumen de ocupación que justifique esa inversión.</w:t>
      </w:r>
    </w:p>
    <w:p w:rsidR="00CF41F2" w:rsidRPr="0063177B" w:rsidRDefault="00CF41F2" w:rsidP="00CF41F2">
      <w:pPr>
        <w:pStyle w:val="Alegacin"/>
        <w:rPr>
          <w:i/>
        </w:rPr>
      </w:pPr>
      <w:r w:rsidRPr="0063177B">
        <w:rPr>
          <w:i/>
        </w:rPr>
        <w:t xml:space="preserve">• En todo caso, ante el porcentaje actual de </w:t>
      </w:r>
      <w:r w:rsidR="00560C02">
        <w:rPr>
          <w:i/>
        </w:rPr>
        <w:t>ocupación y uso de la residen-</w:t>
      </w:r>
      <w:proofErr w:type="spellStart"/>
      <w:r w:rsidR="00560C02">
        <w:rPr>
          <w:i/>
        </w:rPr>
        <w:t>ci</w:t>
      </w:r>
      <w:r w:rsidRPr="0063177B">
        <w:rPr>
          <w:i/>
        </w:rPr>
        <w:t>a</w:t>
      </w:r>
      <w:proofErr w:type="spellEnd"/>
      <w:r w:rsidRPr="0063177B">
        <w:rPr>
          <w:i/>
        </w:rPr>
        <w:t>, dar mayor difusión y publicidad de su existencia y posibles usos para: es</w:t>
      </w:r>
      <w:r w:rsidRPr="0063177B">
        <w:rPr>
          <w:i/>
        </w:rPr>
        <w:softHyphen/>
        <w:t>tudiantes habituales, depo</w:t>
      </w:r>
      <w:r w:rsidRPr="0063177B">
        <w:rPr>
          <w:i/>
        </w:rPr>
        <w:t>r</w:t>
      </w:r>
      <w:r w:rsidRPr="0063177B">
        <w:rPr>
          <w:i/>
        </w:rPr>
        <w:t>tistas, alojamientos particulares, alberguistas, al</w:t>
      </w:r>
      <w:r w:rsidRPr="0063177B">
        <w:rPr>
          <w:i/>
        </w:rPr>
        <w:softHyphen/>
        <w:t>quiler de salas y salón de actos, etc.</w:t>
      </w:r>
    </w:p>
    <w:p w:rsidR="00CF41F2" w:rsidRPr="0063177B" w:rsidRDefault="00CF41F2" w:rsidP="00CF41F2">
      <w:pPr>
        <w:pStyle w:val="Alegacin"/>
        <w:rPr>
          <w:i/>
        </w:rPr>
      </w:pPr>
      <w:r w:rsidRPr="0063177B">
        <w:rPr>
          <w:i/>
        </w:rPr>
        <w:t>• Analizar la posibilidad de establecer acuerdos o convenios con entidades para aumentar la ocupación de la residencia determinando en su caso los po</w:t>
      </w:r>
      <w:r w:rsidRPr="0063177B">
        <w:rPr>
          <w:i/>
        </w:rPr>
        <w:softHyphen/>
        <w:t>sibles descuentos que se pr</w:t>
      </w:r>
      <w:r w:rsidRPr="0063177B">
        <w:rPr>
          <w:i/>
        </w:rPr>
        <w:t>e</w:t>
      </w:r>
      <w:r w:rsidRPr="0063177B">
        <w:rPr>
          <w:i/>
        </w:rPr>
        <w:t>vean aplicar.</w:t>
      </w:r>
    </w:p>
    <w:p w:rsidR="00CF41F2" w:rsidRDefault="00CF41F2" w:rsidP="00CF41F2">
      <w:pPr>
        <w:pStyle w:val="Alegacin"/>
      </w:pPr>
      <w:r w:rsidRPr="0063177B">
        <w:t>Completamente de acuerdo con la recomendación realizada. Estamos prep</w:t>
      </w:r>
      <w:r w:rsidRPr="0063177B">
        <w:t>a</w:t>
      </w:r>
      <w:r w:rsidRPr="0063177B">
        <w:t>rando la aprobación de los nuevos precios públicos, e incluiremos estas pr</w:t>
      </w:r>
      <w:r w:rsidRPr="0063177B">
        <w:t>o</w:t>
      </w:r>
      <w:r w:rsidRPr="0063177B">
        <w:t>puestas de realizar acuerdos o convenios para aumentar la ocupación así como los posibles descuentos a aplicar.</w:t>
      </w:r>
    </w:p>
    <w:p w:rsidR="00CF41F2" w:rsidRPr="0063177B" w:rsidRDefault="00CF41F2" w:rsidP="00CF41F2">
      <w:pPr>
        <w:pStyle w:val="Alegacin"/>
        <w:rPr>
          <w:i/>
        </w:rPr>
      </w:pPr>
      <w:r w:rsidRPr="0063177B">
        <w:rPr>
          <w:i/>
        </w:rPr>
        <w:t xml:space="preserve">• Requerir en forma al concesionario del </w:t>
      </w:r>
      <w:r>
        <w:rPr>
          <w:i/>
        </w:rPr>
        <w:t>servicio de alimentación que i</w:t>
      </w:r>
      <w:r>
        <w:rPr>
          <w:i/>
        </w:rPr>
        <w:t>m</w:t>
      </w:r>
      <w:r w:rsidRPr="0063177B">
        <w:rPr>
          <w:i/>
        </w:rPr>
        <w:t>plemente las m</w:t>
      </w:r>
      <w:r w:rsidRPr="0063177B">
        <w:rPr>
          <w:i/>
        </w:rPr>
        <w:t>e</w:t>
      </w:r>
      <w:r w:rsidRPr="0063177B">
        <w:rPr>
          <w:i/>
        </w:rPr>
        <w:t>joras especificadas en su oferta.</w:t>
      </w:r>
    </w:p>
    <w:p w:rsidR="00CF41F2" w:rsidRPr="0063177B" w:rsidRDefault="00CF41F2" w:rsidP="00CF41F2">
      <w:pPr>
        <w:pStyle w:val="Alegacin"/>
        <w:rPr>
          <w:i/>
        </w:rPr>
      </w:pPr>
      <w:r w:rsidRPr="0063177B">
        <w:rPr>
          <w:i/>
        </w:rPr>
        <w:t>• Incluir en los pliegos de cláusulas adminis</w:t>
      </w:r>
      <w:r>
        <w:rPr>
          <w:i/>
        </w:rPr>
        <w:t>trativas las penalidades a apl</w:t>
      </w:r>
      <w:r>
        <w:rPr>
          <w:i/>
        </w:rPr>
        <w:t>i</w:t>
      </w:r>
      <w:r w:rsidRPr="0063177B">
        <w:rPr>
          <w:i/>
        </w:rPr>
        <w:t>car en caso de incumplimiento de mejoras en función de su gravedad.</w:t>
      </w:r>
    </w:p>
    <w:p w:rsidR="00CF41F2" w:rsidRPr="0063177B" w:rsidRDefault="00CF41F2" w:rsidP="00CF41F2">
      <w:pPr>
        <w:pStyle w:val="Alegacin"/>
        <w:rPr>
          <w:i/>
        </w:rPr>
      </w:pPr>
      <w:r w:rsidRPr="0063177B">
        <w:rPr>
          <w:i/>
        </w:rPr>
        <w:t>• Controlar que la adjudicataria del servicio</w:t>
      </w:r>
      <w:r>
        <w:rPr>
          <w:i/>
        </w:rPr>
        <w:t xml:space="preserve"> de alimentación y la de limpi</w:t>
      </w:r>
      <w:r>
        <w:rPr>
          <w:i/>
        </w:rPr>
        <w:t>e</w:t>
      </w:r>
      <w:r w:rsidRPr="0063177B">
        <w:rPr>
          <w:i/>
        </w:rPr>
        <w:t>za realice las lim</w:t>
      </w:r>
      <w:r>
        <w:rPr>
          <w:i/>
        </w:rPr>
        <w:t>piezas generales y tareas específicas de menor frecuencia s</w:t>
      </w:r>
      <w:r>
        <w:rPr>
          <w:i/>
        </w:rPr>
        <w:t>e</w:t>
      </w:r>
      <w:r w:rsidRPr="0063177B">
        <w:rPr>
          <w:i/>
        </w:rPr>
        <w:t xml:space="preserve">gún lo estipulado en los pliegos de acuerdo </w:t>
      </w:r>
      <w:r>
        <w:rPr>
          <w:i/>
        </w:rPr>
        <w:t xml:space="preserve">al </w:t>
      </w:r>
      <w:proofErr w:type="spellStart"/>
      <w:r>
        <w:rPr>
          <w:i/>
        </w:rPr>
        <w:t>planning</w:t>
      </w:r>
      <w:proofErr w:type="spellEnd"/>
      <w:r>
        <w:rPr>
          <w:i/>
        </w:rPr>
        <w:t xml:space="preserve"> mensual que se est</w:t>
      </w:r>
      <w:r>
        <w:rPr>
          <w:i/>
        </w:rPr>
        <w:t>a</w:t>
      </w:r>
      <w:r w:rsidRPr="0063177B">
        <w:rPr>
          <w:i/>
        </w:rPr>
        <w:t>blezca.</w:t>
      </w:r>
    </w:p>
    <w:p w:rsidR="00CF41F2" w:rsidRPr="00560C02" w:rsidRDefault="00CF41F2" w:rsidP="00CF41F2">
      <w:pPr>
        <w:pStyle w:val="Alegacin"/>
        <w:rPr>
          <w:spacing w:val="4"/>
        </w:rPr>
      </w:pPr>
      <w:r w:rsidRPr="00560C02">
        <w:rPr>
          <w:spacing w:val="4"/>
        </w:rPr>
        <w:t>Se está elaborando un protocolo de seguimiento, al tiempo que se les solic</w:t>
      </w:r>
      <w:r w:rsidRPr="00560C02">
        <w:rPr>
          <w:spacing w:val="4"/>
        </w:rPr>
        <w:t>i</w:t>
      </w:r>
      <w:r w:rsidRPr="00560C02">
        <w:rPr>
          <w:spacing w:val="4"/>
        </w:rPr>
        <w:t xml:space="preserve">tará a los concesionarios que presenten un </w:t>
      </w:r>
      <w:proofErr w:type="spellStart"/>
      <w:r w:rsidRPr="00560C02">
        <w:rPr>
          <w:spacing w:val="4"/>
        </w:rPr>
        <w:t>planning</w:t>
      </w:r>
      <w:proofErr w:type="spellEnd"/>
      <w:r w:rsidRPr="00560C02">
        <w:rPr>
          <w:spacing w:val="4"/>
        </w:rPr>
        <w:t xml:space="preserve"> mensual donde se reflejen las t</w:t>
      </w:r>
      <w:r w:rsidRPr="00560C02">
        <w:rPr>
          <w:spacing w:val="4"/>
        </w:rPr>
        <w:t>a</w:t>
      </w:r>
      <w:r w:rsidRPr="00560C02">
        <w:rPr>
          <w:spacing w:val="4"/>
        </w:rPr>
        <w:t>reas que se van a desarrollar, al cual se realizará un seguimiento exhaust</w:t>
      </w:r>
      <w:r w:rsidRPr="00560C02">
        <w:rPr>
          <w:spacing w:val="4"/>
        </w:rPr>
        <w:t>i</w:t>
      </w:r>
      <w:r w:rsidRPr="00560C02">
        <w:rPr>
          <w:spacing w:val="4"/>
        </w:rPr>
        <w:t>vo.</w:t>
      </w:r>
    </w:p>
    <w:p w:rsidR="00CF41F2" w:rsidRPr="0063177B" w:rsidRDefault="00CF41F2" w:rsidP="00CF41F2">
      <w:pPr>
        <w:pStyle w:val="Alegacin"/>
        <w:rPr>
          <w:i/>
        </w:rPr>
      </w:pPr>
      <w:r w:rsidRPr="0063177B">
        <w:rPr>
          <w:i/>
        </w:rPr>
        <w:t>• Implantar una aplicación informática que gestione el registro de los resi</w:t>
      </w:r>
      <w:r w:rsidRPr="0063177B">
        <w:rPr>
          <w:i/>
        </w:rPr>
        <w:softHyphen/>
        <w:t>dentes y albe</w:t>
      </w:r>
      <w:r w:rsidRPr="0063177B">
        <w:rPr>
          <w:i/>
        </w:rPr>
        <w:t>r</w:t>
      </w:r>
      <w:r w:rsidRPr="0063177B">
        <w:rPr>
          <w:i/>
        </w:rPr>
        <w:t>guistas para mejorar el tratamiento de esta información.</w:t>
      </w:r>
    </w:p>
    <w:p w:rsidR="00CF41F2" w:rsidRPr="0063177B" w:rsidRDefault="00CF41F2" w:rsidP="00CF41F2">
      <w:pPr>
        <w:pStyle w:val="Alegacin"/>
        <w:rPr>
          <w:i/>
        </w:rPr>
      </w:pPr>
      <w:r w:rsidRPr="0063177B">
        <w:rPr>
          <w:i/>
        </w:rPr>
        <w:t>• Corregir los errores existentes sobre los datos generales de la residencia en la nueva p</w:t>
      </w:r>
      <w:r w:rsidRPr="0063177B">
        <w:rPr>
          <w:i/>
        </w:rPr>
        <w:t>á</w:t>
      </w:r>
      <w:r w:rsidRPr="0063177B">
        <w:rPr>
          <w:i/>
        </w:rPr>
        <w:t>gina web.</w:t>
      </w:r>
    </w:p>
    <w:p w:rsidR="00CF41F2" w:rsidRPr="0063177B" w:rsidRDefault="00CF41F2" w:rsidP="00CF41F2">
      <w:pPr>
        <w:pStyle w:val="Alegacin"/>
        <w:rPr>
          <w:i/>
        </w:rPr>
      </w:pPr>
      <w:r w:rsidRPr="0063177B">
        <w:rPr>
          <w:i/>
        </w:rPr>
        <w:t>• Clarificar los datos de la página web que gestiona las reservas de alber</w:t>
      </w:r>
      <w:r w:rsidRPr="0063177B">
        <w:rPr>
          <w:i/>
        </w:rPr>
        <w:softHyphen/>
        <w:t>guistas no grup</w:t>
      </w:r>
      <w:r w:rsidRPr="0063177B">
        <w:rPr>
          <w:i/>
        </w:rPr>
        <w:t>a</w:t>
      </w:r>
      <w:r w:rsidRPr="0063177B">
        <w:rPr>
          <w:i/>
        </w:rPr>
        <w:t>les para evitar confusiones al respecto</w:t>
      </w:r>
    </w:p>
    <w:p w:rsidR="00CF41F2" w:rsidRDefault="00CF41F2" w:rsidP="00CF41F2">
      <w:pPr>
        <w:pStyle w:val="Alegacin"/>
      </w:pPr>
      <w:r>
        <w:t>Está</w:t>
      </w:r>
      <w:r w:rsidRPr="0063177B">
        <w:t xml:space="preserve"> en marcha una nueva web del INDJ, don</w:t>
      </w:r>
      <w:r>
        <w:t>d</w:t>
      </w:r>
      <w:r w:rsidRPr="0063177B">
        <w:t>e se corregirán los datos, igualmente se ut</w:t>
      </w:r>
      <w:r w:rsidRPr="0063177B">
        <w:t>i</w:t>
      </w:r>
      <w:r w:rsidRPr="0063177B">
        <w:t>lizara el motor de búsquedas del REAJ, que per</w:t>
      </w:r>
      <w:r>
        <w:t>m</w:t>
      </w:r>
      <w:r w:rsidRPr="0063177B">
        <w:t>ite, resolver los problemas que actualmente existen encunado a la actualización y segu</w:t>
      </w:r>
      <w:r w:rsidRPr="0063177B">
        <w:t>i</w:t>
      </w:r>
      <w:r w:rsidRPr="0063177B">
        <w:t>miento de los habitaciones ocupadas en la residencia en cada momento, y tener la oferta actualizada en la red.</w:t>
      </w:r>
    </w:p>
    <w:p w:rsidR="00CF41F2" w:rsidRPr="0063177B" w:rsidRDefault="00CF41F2" w:rsidP="00CF41F2">
      <w:pPr>
        <w:pStyle w:val="Alegacin"/>
        <w:rPr>
          <w:i/>
        </w:rPr>
      </w:pPr>
      <w:r w:rsidRPr="0063177B">
        <w:rPr>
          <w:i/>
        </w:rPr>
        <w:t>• Registrar en el capítulo 5 de ingresos los importes percibidos por el canon abonado por la empresa adjudicataria del servicio de alimentación.</w:t>
      </w:r>
    </w:p>
    <w:p w:rsidR="00CF41F2" w:rsidRDefault="00CF41F2" w:rsidP="00CF41F2">
      <w:pPr>
        <w:pStyle w:val="Alegacin"/>
      </w:pPr>
      <w:r w:rsidRPr="0063177B">
        <w:t>De acuerdo con esta apreciación y lo corregiremos en las próximos asientos contables que se produzcan.</w:t>
      </w:r>
    </w:p>
    <w:p w:rsidR="00CF41F2" w:rsidRPr="0063177B" w:rsidRDefault="00CF41F2" w:rsidP="00CF41F2">
      <w:pPr>
        <w:pStyle w:val="Alegacin"/>
        <w:rPr>
          <w:i/>
        </w:rPr>
      </w:pPr>
      <w:r w:rsidRPr="0063177B">
        <w:rPr>
          <w:i/>
        </w:rPr>
        <w:t xml:space="preserve">• Evaluar la adecuación de las prestaciones del servicio de </w:t>
      </w:r>
      <w:proofErr w:type="gramStart"/>
      <w:r w:rsidRPr="0063177B">
        <w:rPr>
          <w:i/>
        </w:rPr>
        <w:t>limpieza existe</w:t>
      </w:r>
      <w:r w:rsidRPr="0063177B">
        <w:rPr>
          <w:i/>
        </w:rPr>
        <w:t>n</w:t>
      </w:r>
      <w:r w:rsidRPr="0063177B">
        <w:rPr>
          <w:i/>
        </w:rPr>
        <w:t>tes</w:t>
      </w:r>
      <w:proofErr w:type="gramEnd"/>
      <w:r w:rsidRPr="0063177B">
        <w:rPr>
          <w:i/>
        </w:rPr>
        <w:t xml:space="preserve"> actualmente para futuras adjudicaciones, </w:t>
      </w:r>
      <w:r>
        <w:rPr>
          <w:i/>
        </w:rPr>
        <w:t>teniendo en cuenta los porcent</w:t>
      </w:r>
      <w:r>
        <w:rPr>
          <w:i/>
        </w:rPr>
        <w:t>a</w:t>
      </w:r>
      <w:r w:rsidRPr="0063177B">
        <w:rPr>
          <w:i/>
        </w:rPr>
        <w:t>jes de ocupación que exi</w:t>
      </w:r>
      <w:r w:rsidRPr="0063177B">
        <w:rPr>
          <w:i/>
        </w:rPr>
        <w:t>s</w:t>
      </w:r>
      <w:r w:rsidRPr="0063177B">
        <w:rPr>
          <w:i/>
        </w:rPr>
        <w:t>tan.</w:t>
      </w:r>
    </w:p>
    <w:p w:rsidR="00CF41F2" w:rsidRDefault="00CF41F2" w:rsidP="00CF41F2">
      <w:pPr>
        <w:pStyle w:val="Alegacin"/>
      </w:pPr>
      <w:r w:rsidRPr="0063177B">
        <w:t>Actualmente se est</w:t>
      </w:r>
      <w:r>
        <w:t>á</w:t>
      </w:r>
      <w:r w:rsidRPr="0063177B">
        <w:t xml:space="preserve"> analizando el contrato de limpieza conjunto que la e</w:t>
      </w:r>
      <w:r w:rsidRPr="0063177B">
        <w:t>m</w:t>
      </w:r>
      <w:r w:rsidRPr="0063177B">
        <w:t>presa adjudicataria presta en varios centros, y analizando las tareas que se</w:t>
      </w:r>
      <w:r>
        <w:t xml:space="preserve"> </w:t>
      </w:r>
      <w:r w:rsidRPr="0063177B">
        <w:t>des</w:t>
      </w:r>
      <w:r w:rsidRPr="0063177B">
        <w:t>a</w:t>
      </w:r>
      <w:r w:rsidRPr="0063177B">
        <w:t>rrollan en cada caso para ajustarlas a las necesidades de cada centro o instal</w:t>
      </w:r>
      <w:r w:rsidRPr="0063177B">
        <w:t>a</w:t>
      </w:r>
      <w:r w:rsidRPr="0063177B">
        <w:t>ción, de cara al próximo concu</w:t>
      </w:r>
      <w:r w:rsidRPr="0063177B">
        <w:t>r</w:t>
      </w:r>
      <w:r w:rsidRPr="0063177B">
        <w:t>so que se realice.</w:t>
      </w:r>
    </w:p>
    <w:p w:rsidR="00CF41F2" w:rsidRPr="0063177B" w:rsidRDefault="00CF41F2" w:rsidP="00CF41F2">
      <w:pPr>
        <w:pStyle w:val="Alegacin"/>
        <w:rPr>
          <w:i/>
        </w:rPr>
      </w:pPr>
      <w:r w:rsidRPr="0063177B">
        <w:rPr>
          <w:i/>
        </w:rPr>
        <w:t>• Valorar la posibilidad de abonar las subvenciones a los deportistas beca-dos mensua</w:t>
      </w:r>
      <w:r w:rsidRPr="0063177B">
        <w:rPr>
          <w:i/>
        </w:rPr>
        <w:t>l</w:t>
      </w:r>
      <w:r w:rsidRPr="0063177B">
        <w:rPr>
          <w:i/>
        </w:rPr>
        <w:t>mente, una vez presentados los justificantes de pago de los gastos subvencionados.</w:t>
      </w:r>
    </w:p>
    <w:p w:rsidR="00CF41F2" w:rsidRDefault="00CF41F2" w:rsidP="00CF41F2">
      <w:pPr>
        <w:pStyle w:val="Alegacin"/>
      </w:pPr>
      <w:r w:rsidRPr="0063177B">
        <w:t>Buscaremos el método que nos permita poder abonar mensualmente las b</w:t>
      </w:r>
      <w:r w:rsidRPr="0063177B">
        <w:t>e</w:t>
      </w:r>
      <w:r w:rsidRPr="0063177B">
        <w:t>cas en las próximas convocatorias que realicemos de becas de alimentación a los deportistas.</w:t>
      </w:r>
    </w:p>
    <w:p w:rsidR="00CF41F2" w:rsidRDefault="00CF41F2" w:rsidP="00CF41F2">
      <w:pPr>
        <w:pStyle w:val="Alegacin"/>
      </w:pPr>
      <w:r w:rsidRPr="0063177B">
        <w:t>Pamplona a 13 de febrero de 2017</w:t>
      </w:r>
    </w:p>
    <w:p w:rsidR="00DA0F2B" w:rsidRDefault="00CF41F2" w:rsidP="00560C02">
      <w:pPr>
        <w:pStyle w:val="Alegacin"/>
        <w:rPr>
          <w:rFonts w:cs="Arial"/>
        </w:rPr>
      </w:pPr>
      <w:r>
        <w:t xml:space="preserve">El </w:t>
      </w:r>
      <w:r w:rsidRPr="0063177B">
        <w:rPr>
          <w:rFonts w:ascii="Calibri" w:hAnsi="Calibri"/>
        </w:rPr>
        <w:t xml:space="preserve">Director Gerente </w:t>
      </w:r>
      <w:r>
        <w:rPr>
          <w:rFonts w:ascii="Calibri" w:hAnsi="Calibri"/>
        </w:rPr>
        <w:t xml:space="preserve">del </w:t>
      </w:r>
      <w:r w:rsidRPr="0063177B">
        <w:rPr>
          <w:rFonts w:ascii="Calibri" w:hAnsi="Calibri"/>
        </w:rPr>
        <w:t>Instituto Navarro de Deporte y Juventud</w:t>
      </w:r>
      <w:r>
        <w:rPr>
          <w:rFonts w:ascii="Calibri" w:hAnsi="Calibri"/>
        </w:rPr>
        <w:t xml:space="preserve">: </w:t>
      </w:r>
      <w:r w:rsidRPr="0063177B">
        <w:t xml:space="preserve">Rubén </w:t>
      </w:r>
      <w:proofErr w:type="spellStart"/>
      <w:r w:rsidRPr="0063177B">
        <w:t>Goñi</w:t>
      </w:r>
      <w:proofErr w:type="spellEnd"/>
      <w:r w:rsidRPr="0063177B">
        <w:t xml:space="preserve"> </w:t>
      </w:r>
      <w:proofErr w:type="spellStart"/>
      <w:r w:rsidRPr="0063177B">
        <w:t>Urroz</w:t>
      </w:r>
      <w:proofErr w:type="spellEnd"/>
    </w:p>
    <w:p w:rsidR="00DA0F2B" w:rsidRDefault="00DA0F2B" w:rsidP="00DA0F2B">
      <w:pPr>
        <w:pStyle w:val="texto0"/>
        <w:tabs>
          <w:tab w:val="clear" w:pos="2835"/>
          <w:tab w:val="clear" w:pos="3969"/>
          <w:tab w:val="clear" w:pos="5103"/>
          <w:tab w:val="clear" w:pos="6237"/>
          <w:tab w:val="clear" w:pos="7371"/>
          <w:tab w:val="left" w:pos="480"/>
          <w:tab w:val="num" w:pos="720"/>
          <w:tab w:val="num" w:pos="1320"/>
        </w:tabs>
        <w:rPr>
          <w:rFonts w:cs="Arial"/>
        </w:rPr>
        <w:sectPr w:rsidR="00DA0F2B"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DA0F2B" w:rsidRDefault="00DA0F2B" w:rsidP="00560C02">
      <w:pPr>
        <w:pStyle w:val="atitulo1"/>
      </w:pPr>
      <w:bookmarkStart w:id="52" w:name="_Toc475449751"/>
      <w:r w:rsidRPr="00DA0F2B">
        <w:t>Contestación de la Cámara de Comptos a las alegaciones presentadas al informe provision</w:t>
      </w:r>
      <w:r>
        <w:t>al</w:t>
      </w:r>
      <w:bookmarkEnd w:id="52"/>
    </w:p>
    <w:p w:rsidR="00B919B2" w:rsidRDefault="00B919B2" w:rsidP="008E68A0">
      <w:pPr>
        <w:ind w:firstLine="336"/>
        <w:rPr>
          <w:rFonts w:ascii="Arial" w:hAnsi="Arial" w:cs="Arial"/>
          <w:sz w:val="24"/>
          <w:szCs w:val="24"/>
        </w:rPr>
      </w:pPr>
    </w:p>
    <w:p w:rsidR="008E68A0" w:rsidRPr="00F578A7" w:rsidRDefault="008E68A0" w:rsidP="008E68A0">
      <w:pPr>
        <w:ind w:firstLine="336"/>
        <w:rPr>
          <w:rFonts w:ascii="Arial" w:hAnsi="Arial" w:cs="Arial"/>
          <w:spacing w:val="-3"/>
          <w:sz w:val="24"/>
          <w:szCs w:val="24"/>
        </w:rPr>
      </w:pPr>
      <w:bookmarkStart w:id="53" w:name="_GoBack"/>
      <w:bookmarkEnd w:id="53"/>
      <w:r w:rsidRPr="00F578A7">
        <w:rPr>
          <w:rFonts w:ascii="Arial" w:hAnsi="Arial" w:cs="Arial"/>
          <w:sz w:val="24"/>
          <w:szCs w:val="24"/>
        </w:rPr>
        <w:t xml:space="preserve">Analizadas las alegaciones presentadas por </w:t>
      </w:r>
      <w:r>
        <w:rPr>
          <w:rFonts w:ascii="Arial" w:hAnsi="Arial" w:cs="Arial"/>
          <w:sz w:val="24"/>
          <w:szCs w:val="24"/>
        </w:rPr>
        <w:t>el director gerente del Instituto Navarro de Deporte y Juventud</w:t>
      </w:r>
      <w:r w:rsidRPr="00F578A7">
        <w:rPr>
          <w:rFonts w:ascii="Arial" w:hAnsi="Arial" w:cs="Arial"/>
          <w:sz w:val="24"/>
          <w:szCs w:val="24"/>
        </w:rPr>
        <w:t xml:space="preserve"> del Gobierno de Navarra, al considerar que const</w:t>
      </w:r>
      <w:r w:rsidRPr="00F578A7">
        <w:rPr>
          <w:rFonts w:ascii="Arial" w:hAnsi="Arial" w:cs="Arial"/>
          <w:sz w:val="24"/>
          <w:szCs w:val="24"/>
        </w:rPr>
        <w:t>i</w:t>
      </w:r>
      <w:r w:rsidRPr="00F578A7">
        <w:rPr>
          <w:rFonts w:ascii="Arial" w:hAnsi="Arial" w:cs="Arial"/>
          <w:sz w:val="24"/>
          <w:szCs w:val="24"/>
        </w:rPr>
        <w:t>tuyen explicaciones al informe que no alteran sus conclusiones, se incorporan al mismo y se eleva el informe a definitivo</w:t>
      </w:r>
      <w:r>
        <w:rPr>
          <w:rFonts w:ascii="Arial" w:hAnsi="Arial" w:cs="Arial"/>
          <w:sz w:val="24"/>
          <w:szCs w:val="24"/>
        </w:rPr>
        <w:t>.</w:t>
      </w:r>
    </w:p>
    <w:p w:rsidR="008E68A0" w:rsidRPr="00F578A7" w:rsidRDefault="008E68A0" w:rsidP="008E68A0">
      <w:pPr>
        <w:ind w:firstLine="336"/>
        <w:rPr>
          <w:rFonts w:ascii="Arial" w:hAnsi="Arial" w:cs="Arial"/>
          <w:spacing w:val="6"/>
          <w:sz w:val="24"/>
          <w:szCs w:val="24"/>
        </w:rPr>
      </w:pPr>
      <w:r w:rsidRPr="00F578A7">
        <w:rPr>
          <w:rFonts w:ascii="Arial" w:hAnsi="Arial" w:cs="Arial"/>
          <w:spacing w:val="6"/>
          <w:sz w:val="24"/>
          <w:szCs w:val="24"/>
        </w:rPr>
        <w:t xml:space="preserve">Agradeciendo la colaboración y el contenido de las </w:t>
      </w:r>
      <w:r>
        <w:rPr>
          <w:rFonts w:ascii="Arial" w:hAnsi="Arial" w:cs="Arial"/>
          <w:spacing w:val="6"/>
          <w:sz w:val="24"/>
          <w:szCs w:val="24"/>
        </w:rPr>
        <w:t>alegaci</w:t>
      </w:r>
      <w:r w:rsidRPr="00F578A7">
        <w:rPr>
          <w:rFonts w:ascii="Arial" w:hAnsi="Arial" w:cs="Arial"/>
          <w:spacing w:val="6"/>
          <w:sz w:val="24"/>
          <w:szCs w:val="24"/>
        </w:rPr>
        <w:t xml:space="preserve">ones realizadas, </w:t>
      </w:r>
    </w:p>
    <w:p w:rsidR="008E68A0" w:rsidRPr="00F578A7" w:rsidRDefault="008E68A0" w:rsidP="008E68A0">
      <w:pPr>
        <w:spacing w:before="240" w:after="120"/>
        <w:ind w:firstLine="0"/>
        <w:jc w:val="center"/>
        <w:rPr>
          <w:rFonts w:ascii="Arial" w:hAnsi="Arial" w:cs="Arial"/>
          <w:spacing w:val="6"/>
          <w:sz w:val="24"/>
          <w:szCs w:val="24"/>
        </w:rPr>
      </w:pPr>
      <w:r w:rsidRPr="00F578A7">
        <w:rPr>
          <w:rFonts w:ascii="Arial" w:hAnsi="Arial" w:cs="Arial"/>
          <w:spacing w:val="6"/>
          <w:sz w:val="24"/>
          <w:szCs w:val="24"/>
        </w:rPr>
        <w:t xml:space="preserve">Pamplona, </w:t>
      </w:r>
      <w:r w:rsidR="00483FB0">
        <w:rPr>
          <w:rFonts w:ascii="Arial" w:hAnsi="Arial" w:cs="Arial"/>
          <w:spacing w:val="6"/>
          <w:sz w:val="24"/>
          <w:szCs w:val="24"/>
        </w:rPr>
        <w:t>21 de febrero de 2017</w:t>
      </w:r>
    </w:p>
    <w:p w:rsidR="008E68A0" w:rsidRPr="004978D8" w:rsidRDefault="008E68A0" w:rsidP="008E68A0">
      <w:pPr>
        <w:numPr>
          <w:ilvl w:val="12"/>
          <w:numId w:val="0"/>
        </w:numPr>
        <w:spacing w:after="1200"/>
        <w:jc w:val="center"/>
        <w:rPr>
          <w:lang w:val="es-ES"/>
        </w:rPr>
      </w:pPr>
      <w:r>
        <w:rPr>
          <w:rFonts w:ascii="Arial" w:hAnsi="Arial" w:cs="Arial"/>
          <w:spacing w:val="6"/>
          <w:sz w:val="24"/>
          <w:szCs w:val="24"/>
          <w:lang w:val="es-ES"/>
        </w:rPr>
        <w:t>La presidenta</w:t>
      </w:r>
      <w:r w:rsidRPr="00C35424">
        <w:rPr>
          <w:rFonts w:ascii="Arial" w:hAnsi="Arial" w:cs="Arial"/>
          <w:spacing w:val="6"/>
          <w:sz w:val="24"/>
          <w:szCs w:val="24"/>
          <w:lang w:val="es-ES"/>
        </w:rPr>
        <w:t xml:space="preserve">, </w:t>
      </w:r>
      <w:r>
        <w:rPr>
          <w:rFonts w:ascii="Arial" w:hAnsi="Arial" w:cs="Arial"/>
          <w:spacing w:val="6"/>
          <w:sz w:val="24"/>
          <w:szCs w:val="24"/>
          <w:lang w:val="es-ES"/>
        </w:rPr>
        <w:t>Asunción Olaechea Estanga</w:t>
      </w:r>
    </w:p>
    <w:sectPr w:rsidR="008E68A0" w:rsidRPr="004978D8" w:rsidSect="00483FB0">
      <w:footerReference w:type="default" r:id="rId16"/>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A0" w:rsidRDefault="008E68A0">
      <w:r>
        <w:separator/>
      </w:r>
    </w:p>
    <w:p w:rsidR="008E68A0" w:rsidRDefault="008E68A0"/>
    <w:p w:rsidR="008E68A0" w:rsidRDefault="008E68A0"/>
    <w:p w:rsidR="008E68A0" w:rsidRDefault="008E68A0"/>
  </w:endnote>
  <w:endnote w:type="continuationSeparator" w:id="0">
    <w:p w:rsidR="008E68A0" w:rsidRDefault="008E68A0">
      <w:r>
        <w:continuationSeparator/>
      </w:r>
    </w:p>
    <w:p w:rsidR="008E68A0" w:rsidRDefault="008E68A0"/>
    <w:p w:rsidR="008E68A0" w:rsidRDefault="008E68A0"/>
    <w:p w:rsidR="008E68A0" w:rsidRDefault="008E6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ourier New"/>
    <w:panose1 w:val="00000000000000000000"/>
    <w:charset w:val="00"/>
    <w:family w:val="moder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4B5E">
      <w:rPr>
        <w:rStyle w:val="Nmerodepgina"/>
        <w:noProof/>
      </w:rPr>
      <w:t>19</w:t>
    </w:r>
    <w:r>
      <w:rPr>
        <w:rStyle w:val="Nmerodepgina"/>
      </w:rPr>
      <w:fldChar w:fldCharType="end"/>
    </w:r>
  </w:p>
  <w:p w:rsidR="008E68A0" w:rsidRDefault="008E68A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Pr="00F03814" w:rsidRDefault="008E68A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05C65C8" wp14:editId="23B9903C">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E68A0" w:rsidRPr="00F74E38" w:rsidRDefault="008E68A0" w:rsidP="00F03814">
    <w:pPr>
      <w:pStyle w:val="Piedepgina"/>
      <w:tabs>
        <w:tab w:val="clear" w:pos="4252"/>
        <w:tab w:val="clear" w:pos="8504"/>
        <w:tab w:val="center" w:pos="4560"/>
      </w:tabs>
      <w:ind w:right="360"/>
      <w:jc w:val="left"/>
      <w:rPr>
        <w:rStyle w:val="Nmerodepgina"/>
      </w:rPr>
    </w:pPr>
  </w:p>
  <w:p w:rsidR="008E68A0" w:rsidRPr="00C13453" w:rsidRDefault="008E68A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Pr="00F03814" w:rsidRDefault="008E68A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FD3E90C" wp14:editId="2FA06068">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60C02">
      <w:rPr>
        <w:rStyle w:val="Nmerodepgina"/>
        <w:noProof/>
        <w:szCs w:val="24"/>
      </w:rPr>
      <w:t>18</w:t>
    </w:r>
    <w:r w:rsidRPr="001D4F09">
      <w:rPr>
        <w:rStyle w:val="Nmerodepgina"/>
        <w:szCs w:val="24"/>
      </w:rPr>
      <w:fldChar w:fldCharType="end"/>
    </w:r>
    <w:r w:rsidRPr="001D4F09">
      <w:rPr>
        <w:rStyle w:val="Nmerodepgina"/>
        <w:szCs w:val="24"/>
      </w:rPr>
      <w:t xml:space="preserve"> -</w:t>
    </w:r>
  </w:p>
  <w:p w:rsidR="008E68A0" w:rsidRPr="00C13453" w:rsidRDefault="008E68A0" w:rsidP="00D2472C">
    <w:pPr>
      <w:pStyle w:val="BorradorProvisional"/>
      <w:ind w:left="0"/>
      <w:jc w:val="center"/>
    </w:pPr>
  </w:p>
  <w:p w:rsidR="008E68A0" w:rsidRDefault="008E68A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B0" w:rsidRPr="00F03814" w:rsidRDefault="00483FB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3417753" wp14:editId="618B86A3">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483FB0" w:rsidRPr="00C13453" w:rsidRDefault="00483FB0" w:rsidP="00D2472C">
    <w:pPr>
      <w:pStyle w:val="BorradorProvisional"/>
      <w:ind w:left="0"/>
      <w:jc w:val="center"/>
    </w:pPr>
  </w:p>
  <w:p w:rsidR="00483FB0" w:rsidRDefault="00483F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A0" w:rsidRDefault="008E68A0">
      <w:r>
        <w:separator/>
      </w:r>
    </w:p>
    <w:p w:rsidR="008E68A0" w:rsidRDefault="008E68A0"/>
    <w:p w:rsidR="008E68A0" w:rsidRDefault="008E68A0"/>
    <w:p w:rsidR="008E68A0" w:rsidRDefault="008E68A0"/>
  </w:footnote>
  <w:footnote w:type="continuationSeparator" w:id="0">
    <w:p w:rsidR="008E68A0" w:rsidRDefault="008E68A0">
      <w:r>
        <w:continuationSeparator/>
      </w:r>
    </w:p>
    <w:p w:rsidR="008E68A0" w:rsidRDefault="008E68A0"/>
    <w:p w:rsidR="008E68A0" w:rsidRDefault="008E68A0"/>
    <w:p w:rsidR="008E68A0" w:rsidRDefault="008E68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0740A8D" wp14:editId="6EC59AD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E68A0" w:rsidRPr="0059650E" w:rsidRDefault="008E68A0" w:rsidP="00891D73">
    <w:pPr>
      <w:pStyle w:val="Encabezado"/>
      <w:pBdr>
        <w:bottom w:val="single" w:sz="4" w:space="1" w:color="auto"/>
      </w:pBdr>
      <w:ind w:firstLine="0"/>
      <w:rPr>
        <w:lang w:val="es-ES"/>
      </w:rPr>
    </w:pPr>
    <w:r>
      <w:rPr>
        <w:lang w:val="es-ES"/>
      </w:rPr>
      <w:t>informe de fiscalización SOBRE la residencia juvenil fuerte del príncipe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p w:rsidR="008E68A0" w:rsidRDefault="008E68A0"/>
  <w:p w:rsidR="008E68A0" w:rsidRDefault="008E68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F43"/>
    <w:multiLevelType w:val="hybridMultilevel"/>
    <w:tmpl w:val="870EAD88"/>
    <w:lvl w:ilvl="0" w:tplc="C12AE28A">
      <w:start w:val="2"/>
      <w:numFmt w:val="lowerLetter"/>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
    <w:nsid w:val="10C32FF8"/>
    <w:multiLevelType w:val="hybridMultilevel"/>
    <w:tmpl w:val="1BA83FF4"/>
    <w:lvl w:ilvl="0" w:tplc="751E7D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2E0C4504"/>
    <w:multiLevelType w:val="hybridMultilevel"/>
    <w:tmpl w:val="C35C34C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3357516C"/>
    <w:multiLevelType w:val="hybridMultilevel"/>
    <w:tmpl w:val="A6440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12024F"/>
    <w:multiLevelType w:val="hybridMultilevel"/>
    <w:tmpl w:val="89D675AE"/>
    <w:lvl w:ilvl="0" w:tplc="F63601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52E96F25"/>
    <w:multiLevelType w:val="singleLevel"/>
    <w:tmpl w:val="820EB7F6"/>
    <w:lvl w:ilvl="0">
      <w:start w:val="46"/>
      <w:numFmt w:val="bullet"/>
      <w:lvlText w:val=""/>
      <w:lvlJc w:val="left"/>
      <w:pPr>
        <w:ind w:left="1920" w:hanging="360"/>
      </w:pPr>
      <w:rPr>
        <w:rFonts w:ascii="Wingdings" w:hAnsi="Wingdings" w:hint="default"/>
        <w:color w:val="auto"/>
      </w:rPr>
    </w:lvl>
  </w:abstractNum>
  <w:abstractNum w:abstractNumId="8">
    <w:nsid w:val="579955A5"/>
    <w:multiLevelType w:val="hybridMultilevel"/>
    <w:tmpl w:val="E38CF5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644B5128"/>
    <w:multiLevelType w:val="singleLevel"/>
    <w:tmpl w:val="B60C7632"/>
    <w:lvl w:ilvl="0">
      <w:start w:val="46"/>
      <w:numFmt w:val="bullet"/>
      <w:pStyle w:val="Texto"/>
      <w:lvlText w:val=""/>
      <w:lvlJc w:val="left"/>
      <w:pPr>
        <w:tabs>
          <w:tab w:val="num" w:pos="1948"/>
        </w:tabs>
        <w:ind w:left="1418" w:firstLine="170"/>
      </w:pPr>
      <w:rPr>
        <w:rFonts w:ascii="Wingdings" w:hAnsi="Wingdings" w:hint="default"/>
      </w:rPr>
    </w:lvl>
  </w:abstractNum>
  <w:abstractNum w:abstractNumId="1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6E62692A"/>
    <w:multiLevelType w:val="hybridMultilevel"/>
    <w:tmpl w:val="8C0C2EE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72A45169"/>
    <w:multiLevelType w:val="hybridMultilevel"/>
    <w:tmpl w:val="AABA19E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3"/>
  </w:num>
  <w:num w:numId="2">
    <w:abstractNumId w:val="9"/>
  </w:num>
  <w:num w:numId="3">
    <w:abstractNumId w:val="2"/>
  </w:num>
  <w:num w:numId="4">
    <w:abstractNumId w:val="6"/>
  </w:num>
  <w:num w:numId="5">
    <w:abstractNumId w:val="10"/>
  </w:num>
  <w:num w:numId="6">
    <w:abstractNumId w:val="2"/>
  </w:num>
  <w:num w:numId="7">
    <w:abstractNumId w:val="2"/>
  </w:num>
  <w:num w:numId="8">
    <w:abstractNumId w:val="2"/>
  </w:num>
  <w:num w:numId="9">
    <w:abstractNumId w:val="3"/>
  </w:num>
  <w:num w:numId="10">
    <w:abstractNumId w:val="8"/>
  </w:num>
  <w:num w:numId="11">
    <w:abstractNumId w:val="4"/>
  </w:num>
  <w:num w:numId="12">
    <w:abstractNumId w:val="7"/>
  </w:num>
  <w:num w:numId="13">
    <w:abstractNumId w:val="12"/>
  </w:num>
  <w:num w:numId="14">
    <w:abstractNumId w:val="11"/>
  </w:num>
  <w:num w:numId="15">
    <w:abstractNumId w:val="1"/>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6C"/>
    <w:rsid w:val="0000039E"/>
    <w:rsid w:val="000010BB"/>
    <w:rsid w:val="000019D8"/>
    <w:rsid w:val="0000668B"/>
    <w:rsid w:val="00006736"/>
    <w:rsid w:val="00006A97"/>
    <w:rsid w:val="0001123B"/>
    <w:rsid w:val="00012A7F"/>
    <w:rsid w:val="00017A3A"/>
    <w:rsid w:val="00036E42"/>
    <w:rsid w:val="000373FB"/>
    <w:rsid w:val="0004166B"/>
    <w:rsid w:val="0004373B"/>
    <w:rsid w:val="000448FA"/>
    <w:rsid w:val="00046F47"/>
    <w:rsid w:val="00053A42"/>
    <w:rsid w:val="0005517D"/>
    <w:rsid w:val="0006133D"/>
    <w:rsid w:val="00063585"/>
    <w:rsid w:val="000653A6"/>
    <w:rsid w:val="00066D24"/>
    <w:rsid w:val="00071CD0"/>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0D9"/>
    <w:rsid w:val="001045C9"/>
    <w:rsid w:val="00107CC1"/>
    <w:rsid w:val="00111A92"/>
    <w:rsid w:val="001145C3"/>
    <w:rsid w:val="00115E9F"/>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42D9"/>
    <w:rsid w:val="00166A6C"/>
    <w:rsid w:val="00173EDD"/>
    <w:rsid w:val="0017402B"/>
    <w:rsid w:val="00181D37"/>
    <w:rsid w:val="001835B7"/>
    <w:rsid w:val="0018426B"/>
    <w:rsid w:val="00185A37"/>
    <w:rsid w:val="00194309"/>
    <w:rsid w:val="00195909"/>
    <w:rsid w:val="0019660E"/>
    <w:rsid w:val="001B39E2"/>
    <w:rsid w:val="001C2B26"/>
    <w:rsid w:val="001C3A32"/>
    <w:rsid w:val="001D3C5D"/>
    <w:rsid w:val="001D4F09"/>
    <w:rsid w:val="001F1482"/>
    <w:rsid w:val="001F20D7"/>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3E78"/>
    <w:rsid w:val="00262C3C"/>
    <w:rsid w:val="00263978"/>
    <w:rsid w:val="00264C88"/>
    <w:rsid w:val="0026532C"/>
    <w:rsid w:val="0026575D"/>
    <w:rsid w:val="002667D0"/>
    <w:rsid w:val="002672E7"/>
    <w:rsid w:val="002705B0"/>
    <w:rsid w:val="002717A6"/>
    <w:rsid w:val="00272015"/>
    <w:rsid w:val="00273C10"/>
    <w:rsid w:val="00274B4C"/>
    <w:rsid w:val="00276264"/>
    <w:rsid w:val="00281DCA"/>
    <w:rsid w:val="00294DC9"/>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24EF1"/>
    <w:rsid w:val="00330787"/>
    <w:rsid w:val="00337493"/>
    <w:rsid w:val="0034285F"/>
    <w:rsid w:val="003464A4"/>
    <w:rsid w:val="00347F89"/>
    <w:rsid w:val="00351684"/>
    <w:rsid w:val="00354458"/>
    <w:rsid w:val="00356217"/>
    <w:rsid w:val="003579EC"/>
    <w:rsid w:val="00363653"/>
    <w:rsid w:val="0036509D"/>
    <w:rsid w:val="003667BE"/>
    <w:rsid w:val="0037228C"/>
    <w:rsid w:val="003738FD"/>
    <w:rsid w:val="003810BE"/>
    <w:rsid w:val="00381662"/>
    <w:rsid w:val="0038236E"/>
    <w:rsid w:val="00386F6C"/>
    <w:rsid w:val="00387709"/>
    <w:rsid w:val="00387794"/>
    <w:rsid w:val="00397162"/>
    <w:rsid w:val="003A335E"/>
    <w:rsid w:val="003A3DD2"/>
    <w:rsid w:val="003B0700"/>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5DD2"/>
    <w:rsid w:val="00426805"/>
    <w:rsid w:val="00430150"/>
    <w:rsid w:val="004302F9"/>
    <w:rsid w:val="0043229B"/>
    <w:rsid w:val="00435287"/>
    <w:rsid w:val="00440A22"/>
    <w:rsid w:val="0045550E"/>
    <w:rsid w:val="00456456"/>
    <w:rsid w:val="00462367"/>
    <w:rsid w:val="0046490C"/>
    <w:rsid w:val="00470287"/>
    <w:rsid w:val="00470733"/>
    <w:rsid w:val="00477C53"/>
    <w:rsid w:val="00483FB0"/>
    <w:rsid w:val="00485380"/>
    <w:rsid w:val="00487226"/>
    <w:rsid w:val="00493D87"/>
    <w:rsid w:val="004950D4"/>
    <w:rsid w:val="0049784A"/>
    <w:rsid w:val="004A0506"/>
    <w:rsid w:val="004A2342"/>
    <w:rsid w:val="004A2F62"/>
    <w:rsid w:val="004B1DB8"/>
    <w:rsid w:val="004B2F01"/>
    <w:rsid w:val="004B4182"/>
    <w:rsid w:val="004B4538"/>
    <w:rsid w:val="004B6FB6"/>
    <w:rsid w:val="004C571D"/>
    <w:rsid w:val="004C60A6"/>
    <w:rsid w:val="004D35A2"/>
    <w:rsid w:val="004D5FD1"/>
    <w:rsid w:val="004F7C93"/>
    <w:rsid w:val="005053D9"/>
    <w:rsid w:val="00506105"/>
    <w:rsid w:val="00513162"/>
    <w:rsid w:val="005234AC"/>
    <w:rsid w:val="00525809"/>
    <w:rsid w:val="00535130"/>
    <w:rsid w:val="00537302"/>
    <w:rsid w:val="0054044D"/>
    <w:rsid w:val="00555509"/>
    <w:rsid w:val="00560C02"/>
    <w:rsid w:val="00561C5B"/>
    <w:rsid w:val="00564F2D"/>
    <w:rsid w:val="00566CDA"/>
    <w:rsid w:val="0056727E"/>
    <w:rsid w:val="00567BA6"/>
    <w:rsid w:val="00570033"/>
    <w:rsid w:val="00570147"/>
    <w:rsid w:val="0057307E"/>
    <w:rsid w:val="00573A4C"/>
    <w:rsid w:val="00574B79"/>
    <w:rsid w:val="00574D12"/>
    <w:rsid w:val="005800B4"/>
    <w:rsid w:val="0058070B"/>
    <w:rsid w:val="00580925"/>
    <w:rsid w:val="0058296F"/>
    <w:rsid w:val="00595E80"/>
    <w:rsid w:val="0059650E"/>
    <w:rsid w:val="00596953"/>
    <w:rsid w:val="005A6030"/>
    <w:rsid w:val="005B57AD"/>
    <w:rsid w:val="005B5EF7"/>
    <w:rsid w:val="005B722E"/>
    <w:rsid w:val="005C02FE"/>
    <w:rsid w:val="005C1A8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677"/>
    <w:rsid w:val="006736A9"/>
    <w:rsid w:val="00673BC7"/>
    <w:rsid w:val="00674975"/>
    <w:rsid w:val="00675D39"/>
    <w:rsid w:val="0068560B"/>
    <w:rsid w:val="006A1277"/>
    <w:rsid w:val="006A2602"/>
    <w:rsid w:val="006A2D41"/>
    <w:rsid w:val="006A67E1"/>
    <w:rsid w:val="006C36FB"/>
    <w:rsid w:val="006C7D62"/>
    <w:rsid w:val="006D0B23"/>
    <w:rsid w:val="006D2ED6"/>
    <w:rsid w:val="006D4841"/>
    <w:rsid w:val="006D5685"/>
    <w:rsid w:val="006D7CB4"/>
    <w:rsid w:val="006E1987"/>
    <w:rsid w:val="006E23B2"/>
    <w:rsid w:val="006E5207"/>
    <w:rsid w:val="006F5C70"/>
    <w:rsid w:val="006F6A20"/>
    <w:rsid w:val="007023D6"/>
    <w:rsid w:val="007047B2"/>
    <w:rsid w:val="00704DE7"/>
    <w:rsid w:val="00706868"/>
    <w:rsid w:val="007078B8"/>
    <w:rsid w:val="00715E32"/>
    <w:rsid w:val="007162D1"/>
    <w:rsid w:val="00716463"/>
    <w:rsid w:val="0071706E"/>
    <w:rsid w:val="00727292"/>
    <w:rsid w:val="00730DC0"/>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2A0B"/>
    <w:rsid w:val="007D53ED"/>
    <w:rsid w:val="007D6001"/>
    <w:rsid w:val="007D7F94"/>
    <w:rsid w:val="007E1B76"/>
    <w:rsid w:val="007E219A"/>
    <w:rsid w:val="007E37BF"/>
    <w:rsid w:val="007E6593"/>
    <w:rsid w:val="007F1101"/>
    <w:rsid w:val="007F2CB1"/>
    <w:rsid w:val="00803D20"/>
    <w:rsid w:val="00804B5E"/>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33C2"/>
    <w:rsid w:val="008C56B9"/>
    <w:rsid w:val="008D05E0"/>
    <w:rsid w:val="008D2600"/>
    <w:rsid w:val="008E0AC0"/>
    <w:rsid w:val="008E221A"/>
    <w:rsid w:val="008E3FFE"/>
    <w:rsid w:val="008E60BE"/>
    <w:rsid w:val="008E68A0"/>
    <w:rsid w:val="008E6B74"/>
    <w:rsid w:val="008F0FAF"/>
    <w:rsid w:val="008F46CD"/>
    <w:rsid w:val="008F5E2C"/>
    <w:rsid w:val="008F6480"/>
    <w:rsid w:val="008F7740"/>
    <w:rsid w:val="00900CA2"/>
    <w:rsid w:val="00903653"/>
    <w:rsid w:val="00910A52"/>
    <w:rsid w:val="00911479"/>
    <w:rsid w:val="0091484D"/>
    <w:rsid w:val="00925E71"/>
    <w:rsid w:val="0093329F"/>
    <w:rsid w:val="00937043"/>
    <w:rsid w:val="009445D3"/>
    <w:rsid w:val="00953932"/>
    <w:rsid w:val="00955A8A"/>
    <w:rsid w:val="0096400D"/>
    <w:rsid w:val="00966600"/>
    <w:rsid w:val="009671D9"/>
    <w:rsid w:val="00971352"/>
    <w:rsid w:val="00975CF7"/>
    <w:rsid w:val="00975E5B"/>
    <w:rsid w:val="00977306"/>
    <w:rsid w:val="00977C8F"/>
    <w:rsid w:val="00977F94"/>
    <w:rsid w:val="009863E9"/>
    <w:rsid w:val="00992E20"/>
    <w:rsid w:val="009936FC"/>
    <w:rsid w:val="00993925"/>
    <w:rsid w:val="00993977"/>
    <w:rsid w:val="009A05D1"/>
    <w:rsid w:val="009A28AC"/>
    <w:rsid w:val="009A3A5B"/>
    <w:rsid w:val="009A3F2A"/>
    <w:rsid w:val="009A46B2"/>
    <w:rsid w:val="009B2AAC"/>
    <w:rsid w:val="009B3521"/>
    <w:rsid w:val="009B541C"/>
    <w:rsid w:val="009C4460"/>
    <w:rsid w:val="009C603E"/>
    <w:rsid w:val="009D7192"/>
    <w:rsid w:val="009E0E38"/>
    <w:rsid w:val="009E1A35"/>
    <w:rsid w:val="009E7BD8"/>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016E"/>
    <w:rsid w:val="00A4576A"/>
    <w:rsid w:val="00A45AD0"/>
    <w:rsid w:val="00A45EE9"/>
    <w:rsid w:val="00A528FE"/>
    <w:rsid w:val="00A53C14"/>
    <w:rsid w:val="00A61410"/>
    <w:rsid w:val="00A6198A"/>
    <w:rsid w:val="00A65108"/>
    <w:rsid w:val="00A66C9C"/>
    <w:rsid w:val="00A7067F"/>
    <w:rsid w:val="00A707A7"/>
    <w:rsid w:val="00A718FD"/>
    <w:rsid w:val="00A72341"/>
    <w:rsid w:val="00A75863"/>
    <w:rsid w:val="00A776ED"/>
    <w:rsid w:val="00A80E50"/>
    <w:rsid w:val="00A83663"/>
    <w:rsid w:val="00A83B0F"/>
    <w:rsid w:val="00A84216"/>
    <w:rsid w:val="00A90BFA"/>
    <w:rsid w:val="00A92BF3"/>
    <w:rsid w:val="00A943C8"/>
    <w:rsid w:val="00A950A4"/>
    <w:rsid w:val="00A9520D"/>
    <w:rsid w:val="00A96395"/>
    <w:rsid w:val="00A9747D"/>
    <w:rsid w:val="00AA00A6"/>
    <w:rsid w:val="00AA0757"/>
    <w:rsid w:val="00AA6BA8"/>
    <w:rsid w:val="00AA7F5A"/>
    <w:rsid w:val="00AB2340"/>
    <w:rsid w:val="00AB5FE4"/>
    <w:rsid w:val="00AB659D"/>
    <w:rsid w:val="00AC229F"/>
    <w:rsid w:val="00AC5E61"/>
    <w:rsid w:val="00AD7671"/>
    <w:rsid w:val="00AE53E8"/>
    <w:rsid w:val="00AE6FE4"/>
    <w:rsid w:val="00AF2059"/>
    <w:rsid w:val="00AF3D84"/>
    <w:rsid w:val="00AF4161"/>
    <w:rsid w:val="00AF580B"/>
    <w:rsid w:val="00B007C8"/>
    <w:rsid w:val="00B14410"/>
    <w:rsid w:val="00B15E61"/>
    <w:rsid w:val="00B24F35"/>
    <w:rsid w:val="00B32C88"/>
    <w:rsid w:val="00B3343F"/>
    <w:rsid w:val="00B34747"/>
    <w:rsid w:val="00B42E49"/>
    <w:rsid w:val="00B50903"/>
    <w:rsid w:val="00B62FFE"/>
    <w:rsid w:val="00B65013"/>
    <w:rsid w:val="00B7123A"/>
    <w:rsid w:val="00B7435C"/>
    <w:rsid w:val="00B76F38"/>
    <w:rsid w:val="00B8085D"/>
    <w:rsid w:val="00B81EFF"/>
    <w:rsid w:val="00B836BB"/>
    <w:rsid w:val="00B84122"/>
    <w:rsid w:val="00B862B0"/>
    <w:rsid w:val="00B919B2"/>
    <w:rsid w:val="00B9622C"/>
    <w:rsid w:val="00BA2B7C"/>
    <w:rsid w:val="00BB142A"/>
    <w:rsid w:val="00BB34B9"/>
    <w:rsid w:val="00BB35C2"/>
    <w:rsid w:val="00BB553B"/>
    <w:rsid w:val="00BB7B95"/>
    <w:rsid w:val="00BC28D7"/>
    <w:rsid w:val="00BC376C"/>
    <w:rsid w:val="00BC5D7A"/>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009"/>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A62FA"/>
    <w:rsid w:val="00CB14E9"/>
    <w:rsid w:val="00CB6D90"/>
    <w:rsid w:val="00CB72C3"/>
    <w:rsid w:val="00CC45E4"/>
    <w:rsid w:val="00CD019F"/>
    <w:rsid w:val="00CD27C5"/>
    <w:rsid w:val="00CE4169"/>
    <w:rsid w:val="00CE52FD"/>
    <w:rsid w:val="00CE7894"/>
    <w:rsid w:val="00CF06A1"/>
    <w:rsid w:val="00CF1467"/>
    <w:rsid w:val="00CF41F2"/>
    <w:rsid w:val="00CF48D6"/>
    <w:rsid w:val="00CF57D6"/>
    <w:rsid w:val="00CF6C1B"/>
    <w:rsid w:val="00D019D5"/>
    <w:rsid w:val="00D02FA2"/>
    <w:rsid w:val="00D040FE"/>
    <w:rsid w:val="00D168FD"/>
    <w:rsid w:val="00D16F64"/>
    <w:rsid w:val="00D2472C"/>
    <w:rsid w:val="00D279BA"/>
    <w:rsid w:val="00D40338"/>
    <w:rsid w:val="00D404B5"/>
    <w:rsid w:val="00D447CB"/>
    <w:rsid w:val="00D47D16"/>
    <w:rsid w:val="00D505F4"/>
    <w:rsid w:val="00D51CE1"/>
    <w:rsid w:val="00D562F2"/>
    <w:rsid w:val="00D61B93"/>
    <w:rsid w:val="00D67E4A"/>
    <w:rsid w:val="00D763FD"/>
    <w:rsid w:val="00D82D6C"/>
    <w:rsid w:val="00D90AD1"/>
    <w:rsid w:val="00D941F7"/>
    <w:rsid w:val="00DA0F2B"/>
    <w:rsid w:val="00DA4DDF"/>
    <w:rsid w:val="00DB0804"/>
    <w:rsid w:val="00DB16BE"/>
    <w:rsid w:val="00DB2FC4"/>
    <w:rsid w:val="00DC382A"/>
    <w:rsid w:val="00DE1923"/>
    <w:rsid w:val="00DE2B33"/>
    <w:rsid w:val="00DE638B"/>
    <w:rsid w:val="00DE72EE"/>
    <w:rsid w:val="00DF37E5"/>
    <w:rsid w:val="00DF70B1"/>
    <w:rsid w:val="00E034FE"/>
    <w:rsid w:val="00E041E5"/>
    <w:rsid w:val="00E04888"/>
    <w:rsid w:val="00E0763B"/>
    <w:rsid w:val="00E10302"/>
    <w:rsid w:val="00E17EC5"/>
    <w:rsid w:val="00E26BFD"/>
    <w:rsid w:val="00E27E90"/>
    <w:rsid w:val="00E33D02"/>
    <w:rsid w:val="00E34F2C"/>
    <w:rsid w:val="00E35D79"/>
    <w:rsid w:val="00E4641E"/>
    <w:rsid w:val="00E519AE"/>
    <w:rsid w:val="00E57AF7"/>
    <w:rsid w:val="00E6241B"/>
    <w:rsid w:val="00E64FCC"/>
    <w:rsid w:val="00E703B6"/>
    <w:rsid w:val="00E72200"/>
    <w:rsid w:val="00E72B1B"/>
    <w:rsid w:val="00E75D47"/>
    <w:rsid w:val="00E766F5"/>
    <w:rsid w:val="00E80195"/>
    <w:rsid w:val="00E82948"/>
    <w:rsid w:val="00E90218"/>
    <w:rsid w:val="00E913BB"/>
    <w:rsid w:val="00E95F2E"/>
    <w:rsid w:val="00EA1508"/>
    <w:rsid w:val="00EA1541"/>
    <w:rsid w:val="00EA32E4"/>
    <w:rsid w:val="00EA3FF6"/>
    <w:rsid w:val="00EA7E36"/>
    <w:rsid w:val="00EB0898"/>
    <w:rsid w:val="00EB627B"/>
    <w:rsid w:val="00EB6D94"/>
    <w:rsid w:val="00EC3459"/>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245A"/>
    <w:rsid w:val="00EF7F8B"/>
    <w:rsid w:val="00F03814"/>
    <w:rsid w:val="00F07A09"/>
    <w:rsid w:val="00F1390C"/>
    <w:rsid w:val="00F14D98"/>
    <w:rsid w:val="00F20C5E"/>
    <w:rsid w:val="00F36A1D"/>
    <w:rsid w:val="00F37B22"/>
    <w:rsid w:val="00F44278"/>
    <w:rsid w:val="00F51B65"/>
    <w:rsid w:val="00F52AAB"/>
    <w:rsid w:val="00F52EB6"/>
    <w:rsid w:val="00F55260"/>
    <w:rsid w:val="00F56541"/>
    <w:rsid w:val="00F6316B"/>
    <w:rsid w:val="00F65AE0"/>
    <w:rsid w:val="00F74E38"/>
    <w:rsid w:val="00F76D6F"/>
    <w:rsid w:val="00F778B0"/>
    <w:rsid w:val="00F83BC2"/>
    <w:rsid w:val="00F92EC1"/>
    <w:rsid w:val="00F94C47"/>
    <w:rsid w:val="00F95AFC"/>
    <w:rsid w:val="00FA0421"/>
    <w:rsid w:val="00FA3389"/>
    <w:rsid w:val="00FA3476"/>
    <w:rsid w:val="00FA4193"/>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0"/>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0"/>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0">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0"/>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0"/>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0"/>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0"/>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0"/>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66D24"/>
    <w:rPr>
      <w:rFonts w:ascii="Arial" w:hAnsi="Arial"/>
      <w:b/>
      <w:color w:val="000000"/>
      <w:kern w:val="28"/>
      <w:sz w:val="25"/>
      <w:szCs w:val="26"/>
      <w:lang w:val="es-ES_tradnl" w:eastAsia="en-US"/>
    </w:rPr>
  </w:style>
  <w:style w:type="paragraph" w:customStyle="1" w:styleId="informe">
    <w:name w:val="informe"/>
    <w:rsid w:val="00066D24"/>
    <w:pPr>
      <w:tabs>
        <w:tab w:val="left" w:pos="720"/>
      </w:tabs>
      <w:jc w:val="both"/>
    </w:pPr>
    <w:rPr>
      <w:sz w:val="24"/>
      <w:lang w:val="es-ES_tradnl"/>
    </w:rPr>
  </w:style>
  <w:style w:type="character" w:customStyle="1" w:styleId="atitulo2Car">
    <w:name w:val="atitulo2 Car"/>
    <w:link w:val="atitulo2"/>
    <w:locked/>
    <w:rsid w:val="00324EF1"/>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324EF1"/>
    <w:pPr>
      <w:ind w:left="720"/>
      <w:contextualSpacing/>
    </w:pPr>
  </w:style>
  <w:style w:type="paragraph" w:customStyle="1" w:styleId="Default">
    <w:name w:val="Default"/>
    <w:rsid w:val="005B5EF7"/>
    <w:pPr>
      <w:autoSpaceDE w:val="0"/>
      <w:autoSpaceDN w:val="0"/>
      <w:adjustRightInd w:val="0"/>
    </w:pPr>
    <w:rPr>
      <w:rFonts w:ascii="Arial" w:hAnsi="Arial" w:cs="Arial"/>
      <w:color w:val="000000"/>
      <w:sz w:val="24"/>
      <w:szCs w:val="24"/>
    </w:rPr>
  </w:style>
  <w:style w:type="paragraph" w:customStyle="1" w:styleId="Estilo">
    <w:name w:val="Estilo"/>
    <w:rsid w:val="00CF41F2"/>
    <w:pPr>
      <w:widowControl w:val="0"/>
      <w:autoSpaceDE w:val="0"/>
      <w:autoSpaceDN w:val="0"/>
      <w:adjustRightInd w:val="0"/>
    </w:pPr>
    <w:rPr>
      <w:rFonts w:ascii="Courier New" w:hAnsi="Courier New" w:cs="Courier New"/>
      <w:sz w:val="24"/>
      <w:szCs w:val="24"/>
    </w:rPr>
  </w:style>
  <w:style w:type="paragraph" w:customStyle="1" w:styleId="Texto">
    <w:name w:val="Texto"/>
    <w:basedOn w:val="texto0"/>
    <w:link w:val="TextoCar0"/>
    <w:qFormat/>
    <w:rsid w:val="00CF41F2"/>
    <w:pPr>
      <w:numPr>
        <w:numId w:val="2"/>
      </w:numPr>
      <w:tabs>
        <w:tab w:val="clear" w:pos="2835"/>
        <w:tab w:val="clear" w:pos="3969"/>
        <w:tab w:val="clear" w:pos="5103"/>
        <w:tab w:val="clear" w:pos="6237"/>
        <w:tab w:val="clear" w:pos="7371"/>
        <w:tab w:val="num" w:pos="360"/>
        <w:tab w:val="left" w:pos="480"/>
      </w:tabs>
      <w:ind w:left="0" w:firstLine="289"/>
    </w:pPr>
    <w:rPr>
      <w:szCs w:val="26"/>
    </w:rPr>
  </w:style>
  <w:style w:type="paragraph" w:customStyle="1" w:styleId="Alegacin">
    <w:name w:val="Alegación"/>
    <w:basedOn w:val="texto0"/>
    <w:link w:val="AlegacinCar"/>
    <w:qFormat/>
    <w:rsid w:val="00CF41F2"/>
    <w:pPr>
      <w:spacing w:before="240"/>
    </w:pPr>
    <w:rPr>
      <w:lang w:val="es-ES"/>
    </w:rPr>
  </w:style>
  <w:style w:type="character" w:customStyle="1" w:styleId="TextoCar0">
    <w:name w:val="Texto Car"/>
    <w:basedOn w:val="textoCar"/>
    <w:link w:val="Texto"/>
    <w:rsid w:val="00CF41F2"/>
    <w:rPr>
      <w:spacing w:val="6"/>
      <w:sz w:val="26"/>
      <w:szCs w:val="26"/>
      <w:lang w:val="es-ES_tradnl" w:eastAsia="en-US" w:bidi="ar-SA"/>
    </w:rPr>
  </w:style>
  <w:style w:type="character" w:customStyle="1" w:styleId="AlegacinCar">
    <w:name w:val="Alegación Car"/>
    <w:basedOn w:val="textoCar"/>
    <w:link w:val="Alegacin"/>
    <w:rsid w:val="00CF41F2"/>
    <w:rPr>
      <w:spacing w:val="6"/>
      <w:sz w:val="26"/>
      <w:szCs w:val="24"/>
      <w:lang w:val="es-ES_tradn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0"/>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0"/>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0">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0"/>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0"/>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0"/>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0"/>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0"/>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66D24"/>
    <w:rPr>
      <w:rFonts w:ascii="Arial" w:hAnsi="Arial"/>
      <w:b/>
      <w:color w:val="000000"/>
      <w:kern w:val="28"/>
      <w:sz w:val="25"/>
      <w:szCs w:val="26"/>
      <w:lang w:val="es-ES_tradnl" w:eastAsia="en-US"/>
    </w:rPr>
  </w:style>
  <w:style w:type="paragraph" w:customStyle="1" w:styleId="informe">
    <w:name w:val="informe"/>
    <w:rsid w:val="00066D24"/>
    <w:pPr>
      <w:tabs>
        <w:tab w:val="left" w:pos="720"/>
      </w:tabs>
      <w:jc w:val="both"/>
    </w:pPr>
    <w:rPr>
      <w:sz w:val="24"/>
      <w:lang w:val="es-ES_tradnl"/>
    </w:rPr>
  </w:style>
  <w:style w:type="character" w:customStyle="1" w:styleId="atitulo2Car">
    <w:name w:val="atitulo2 Car"/>
    <w:link w:val="atitulo2"/>
    <w:locked/>
    <w:rsid w:val="00324EF1"/>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324EF1"/>
    <w:pPr>
      <w:ind w:left="720"/>
      <w:contextualSpacing/>
    </w:pPr>
  </w:style>
  <w:style w:type="paragraph" w:customStyle="1" w:styleId="Default">
    <w:name w:val="Default"/>
    <w:rsid w:val="005B5EF7"/>
    <w:pPr>
      <w:autoSpaceDE w:val="0"/>
      <w:autoSpaceDN w:val="0"/>
      <w:adjustRightInd w:val="0"/>
    </w:pPr>
    <w:rPr>
      <w:rFonts w:ascii="Arial" w:hAnsi="Arial" w:cs="Arial"/>
      <w:color w:val="000000"/>
      <w:sz w:val="24"/>
      <w:szCs w:val="24"/>
    </w:rPr>
  </w:style>
  <w:style w:type="paragraph" w:customStyle="1" w:styleId="Estilo">
    <w:name w:val="Estilo"/>
    <w:rsid w:val="00CF41F2"/>
    <w:pPr>
      <w:widowControl w:val="0"/>
      <w:autoSpaceDE w:val="0"/>
      <w:autoSpaceDN w:val="0"/>
      <w:adjustRightInd w:val="0"/>
    </w:pPr>
    <w:rPr>
      <w:rFonts w:ascii="Courier New" w:hAnsi="Courier New" w:cs="Courier New"/>
      <w:sz w:val="24"/>
      <w:szCs w:val="24"/>
    </w:rPr>
  </w:style>
  <w:style w:type="paragraph" w:customStyle="1" w:styleId="Texto">
    <w:name w:val="Texto"/>
    <w:basedOn w:val="texto0"/>
    <w:link w:val="TextoCar0"/>
    <w:qFormat/>
    <w:rsid w:val="00CF41F2"/>
    <w:pPr>
      <w:numPr>
        <w:numId w:val="2"/>
      </w:numPr>
      <w:tabs>
        <w:tab w:val="clear" w:pos="2835"/>
        <w:tab w:val="clear" w:pos="3969"/>
        <w:tab w:val="clear" w:pos="5103"/>
        <w:tab w:val="clear" w:pos="6237"/>
        <w:tab w:val="clear" w:pos="7371"/>
        <w:tab w:val="num" w:pos="360"/>
        <w:tab w:val="left" w:pos="480"/>
      </w:tabs>
      <w:ind w:left="0" w:firstLine="289"/>
    </w:pPr>
    <w:rPr>
      <w:szCs w:val="26"/>
    </w:rPr>
  </w:style>
  <w:style w:type="paragraph" w:customStyle="1" w:styleId="Alegacin">
    <w:name w:val="Alegación"/>
    <w:basedOn w:val="texto0"/>
    <w:link w:val="AlegacinCar"/>
    <w:qFormat/>
    <w:rsid w:val="00CF41F2"/>
    <w:pPr>
      <w:spacing w:before="240"/>
    </w:pPr>
    <w:rPr>
      <w:lang w:val="es-ES"/>
    </w:rPr>
  </w:style>
  <w:style w:type="character" w:customStyle="1" w:styleId="TextoCar0">
    <w:name w:val="Texto Car"/>
    <w:basedOn w:val="textoCar"/>
    <w:link w:val="Texto"/>
    <w:rsid w:val="00CF41F2"/>
    <w:rPr>
      <w:spacing w:val="6"/>
      <w:sz w:val="26"/>
      <w:szCs w:val="26"/>
      <w:lang w:val="es-ES_tradnl" w:eastAsia="en-US" w:bidi="ar-SA"/>
    </w:rPr>
  </w:style>
  <w:style w:type="character" w:customStyle="1" w:styleId="AlegacinCar">
    <w:name w:val="Alegación Car"/>
    <w:basedOn w:val="textoCar"/>
    <w:link w:val="Alegacin"/>
    <w:rsid w:val="00CF41F2"/>
    <w:rPr>
      <w:spacing w:val="6"/>
      <w:sz w:val="26"/>
      <w:szCs w:val="24"/>
      <w:lang w:val="es-ES_trad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19</Pages>
  <Words>5225</Words>
  <Characters>28743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12</cp:revision>
  <cp:lastPrinted>2017-02-21T13:15:00Z</cp:lastPrinted>
  <dcterms:created xsi:type="dcterms:W3CDTF">2017-02-10T13:54:00Z</dcterms:created>
  <dcterms:modified xsi:type="dcterms:W3CDTF">2017-02-24T08:41:00Z</dcterms:modified>
</cp:coreProperties>
</file>