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A6" w:rsidRDefault="009573E3" w:rsidP="00901293">
      <w:pPr>
        <w:pStyle w:val="Textoindependiente"/>
        <w:spacing w:after="0" w:line="360" w:lineRule="auto"/>
        <w:rPr>
          <w:rFonts w:cs="Arial"/>
          <w:sz w:val="22"/>
          <w:szCs w:val="22"/>
        </w:rPr>
      </w:pPr>
      <w:proofErr w:type="spellStart"/>
      <w:r>
        <w:rPr>
          <w:sz w:val="22"/>
          <w:szCs w:val="22"/>
        </w:rPr>
        <w:t>Unión</w:t>
      </w:r>
      <w:proofErr w:type="spellEnd"/>
      <w:r>
        <w:rPr>
          <w:sz w:val="22"/>
          <w:szCs w:val="22"/>
        </w:rPr>
        <w:t xml:space="preserve"> del </w:t>
      </w:r>
      <w:proofErr w:type="spellStart"/>
      <w:r>
        <w:rPr>
          <w:sz w:val="22"/>
          <w:szCs w:val="22"/>
        </w:rPr>
        <w:t>Pueblo</w:t>
      </w:r>
      <w:proofErr w:type="spellEnd"/>
      <w:r>
        <w:rPr>
          <w:sz w:val="22"/>
          <w:szCs w:val="22"/>
        </w:rPr>
        <w:t xml:space="preserve"> Navarro (UPN) parlamentu-taldeari atxikitako foru parlamentari Mari Carmen Segura Moreno andreak</w:t>
      </w:r>
      <w:bookmarkStart w:id="0" w:name="Listadesplegable5"/>
      <w:r>
        <w:rPr>
          <w:sz w:val="22"/>
          <w:szCs w:val="22"/>
        </w:rPr>
        <w:t xml:space="preserve"> </w:t>
      </w:r>
      <w:bookmarkEnd w:id="0"/>
      <w:r>
        <w:rPr>
          <w:sz w:val="22"/>
          <w:szCs w:val="22"/>
        </w:rPr>
        <w:t>ondoren azaltzen den galderari idatziz erantzuteko eskatu du, eta ondotik dator Landa Garapeneko, Ingurumeneko eta Toki Administrazioko kontseilariaren erantzuna. Honako hauei buruzko informazioa eskatu du: “Hondakinei buruzko 2017tik 2027ra bitarteko Planak ez du jasotzen izaera publikoko azpiegitura berririk paratzea errefusaren aurretratamendurako; izan ere, aurreikuspenen arabera, 2014an sortu zenaren erdira jaitsiko da errefusa, eta planaren arabera Tuterako eta Carcarko plantak nahikoa dira Nafarroan sortzen den errefus guztia tratatzeko.</w:t>
      </w:r>
    </w:p>
    <w:p w:rsidR="000608A6" w:rsidRDefault="000608A6" w:rsidP="00901293">
      <w:pPr>
        <w:pStyle w:val="Textoindependiente"/>
        <w:spacing w:after="0" w:line="360" w:lineRule="auto"/>
        <w:rPr>
          <w:rFonts w:cs="Arial"/>
          <w:sz w:val="22"/>
          <w:szCs w:val="22"/>
        </w:rPr>
      </w:pPr>
      <w:r>
        <w:rPr>
          <w:sz w:val="22"/>
          <w:szCs w:val="22"/>
        </w:rPr>
        <w:t xml:space="preserve">Horrek esan nahi du planta horietara eramanen dela Nafarroa osoko errefusa </w:t>
      </w:r>
      <w:proofErr w:type="spellStart"/>
      <w:r>
        <w:rPr>
          <w:sz w:val="22"/>
          <w:szCs w:val="22"/>
        </w:rPr>
        <w:t>–Iruñekoa</w:t>
      </w:r>
      <w:proofErr w:type="spellEnd"/>
      <w:r>
        <w:rPr>
          <w:sz w:val="22"/>
          <w:szCs w:val="22"/>
        </w:rPr>
        <w:t xml:space="preserve"> </w:t>
      </w:r>
      <w:proofErr w:type="spellStart"/>
      <w:r>
        <w:rPr>
          <w:sz w:val="22"/>
          <w:szCs w:val="22"/>
        </w:rPr>
        <w:t>barne–</w:t>
      </w:r>
      <w:proofErr w:type="spellEnd"/>
      <w:r>
        <w:rPr>
          <w:sz w:val="22"/>
          <w:szCs w:val="22"/>
        </w:rPr>
        <w:t>, plan horren arabera hain garrantzitsua den gertutasun-printzipioa urratuz?</w:t>
      </w:r>
    </w:p>
    <w:p w:rsidR="000608A6" w:rsidRDefault="000608A6" w:rsidP="00901293">
      <w:pPr>
        <w:pStyle w:val="Textoindependiente"/>
        <w:spacing w:after="0" w:line="360" w:lineRule="auto"/>
        <w:rPr>
          <w:rFonts w:cs="Arial"/>
          <w:sz w:val="22"/>
          <w:szCs w:val="22"/>
        </w:rPr>
      </w:pPr>
      <w:r>
        <w:rPr>
          <w:sz w:val="22"/>
          <w:szCs w:val="22"/>
        </w:rPr>
        <w:t xml:space="preserve">Zer beste aukera aintzat hartzen dira </w:t>
      </w:r>
      <w:proofErr w:type="spellStart"/>
      <w:r>
        <w:rPr>
          <w:sz w:val="22"/>
          <w:szCs w:val="22"/>
        </w:rPr>
        <w:t>Iruñerriko</w:t>
      </w:r>
      <w:proofErr w:type="spellEnd"/>
      <w:r>
        <w:rPr>
          <w:sz w:val="22"/>
          <w:szCs w:val="22"/>
        </w:rPr>
        <w:t xml:space="preserve"> errefuserako?</w:t>
      </w:r>
    </w:p>
    <w:p w:rsidR="00A572B9" w:rsidRDefault="00A572B9" w:rsidP="00901293">
      <w:pPr>
        <w:pStyle w:val="Textoindependiente"/>
        <w:spacing w:after="0" w:line="360" w:lineRule="auto"/>
        <w:rPr>
          <w:rFonts w:cs="Arial"/>
          <w:sz w:val="22"/>
          <w:szCs w:val="22"/>
        </w:rPr>
      </w:pPr>
      <w:r>
        <w:rPr>
          <w:sz w:val="22"/>
          <w:szCs w:val="22"/>
        </w:rPr>
        <w:t>Zer beste aukera aintzat hartzen dira errefuserako, hori behar bezala tratatua ez deneko hondakin-mankomunitateetan?</w:t>
      </w:r>
    </w:p>
    <w:p w:rsidR="001760CB" w:rsidRDefault="00A572B9" w:rsidP="00901293">
      <w:pPr>
        <w:pStyle w:val="Textoindependiente"/>
        <w:spacing w:after="0" w:line="360" w:lineRule="auto"/>
        <w:rPr>
          <w:rFonts w:cs="Arial"/>
          <w:sz w:val="22"/>
          <w:szCs w:val="22"/>
        </w:rPr>
      </w:pPr>
      <w:r>
        <w:t>Zer epe darabiltzate aukera horiei dagokienez?”</w:t>
      </w:r>
      <w:r>
        <w:rPr>
          <w:sz w:val="23"/>
          <w:szCs w:val="23"/>
        </w:rPr>
        <w:t xml:space="preserve"> </w:t>
      </w:r>
      <w:r>
        <w:rPr>
          <w:b/>
          <w:sz w:val="22"/>
          <w:szCs w:val="22"/>
        </w:rPr>
        <w:t>(9-17/PES-00036)</w:t>
      </w:r>
      <w:r>
        <w:rPr>
          <w:sz w:val="22"/>
          <w:szCs w:val="22"/>
        </w:rPr>
        <w:t>. Hona hemen kontseilariaren erantzuna:</w:t>
      </w:r>
    </w:p>
    <w:p w:rsidR="001760CB" w:rsidRDefault="00DC4FB9" w:rsidP="00F0596D">
      <w:pPr>
        <w:pStyle w:val="Textoindependiente"/>
        <w:spacing w:after="0" w:line="360" w:lineRule="auto"/>
        <w:rPr>
          <w:rFonts w:cs="Arial"/>
          <w:sz w:val="22"/>
          <w:szCs w:val="22"/>
        </w:rPr>
      </w:pPr>
      <w:r>
        <w:rPr>
          <w:sz w:val="22"/>
          <w:szCs w:val="22"/>
        </w:rPr>
        <w:t>Egindako galdera:</w:t>
      </w:r>
    </w:p>
    <w:p w:rsidR="001760CB" w:rsidRDefault="00A572B9" w:rsidP="00A572B9">
      <w:pPr>
        <w:pStyle w:val="Textoindependiente"/>
        <w:spacing w:after="0" w:line="360" w:lineRule="auto"/>
        <w:rPr>
          <w:rFonts w:cs="Arial"/>
          <w:b/>
          <w:sz w:val="22"/>
          <w:szCs w:val="22"/>
        </w:rPr>
      </w:pPr>
      <w:r>
        <w:rPr>
          <w:b/>
          <w:sz w:val="22"/>
          <w:szCs w:val="22"/>
        </w:rPr>
        <w:t xml:space="preserve">Horrek esan nahi du planta horietara eramanen dela Nafarroa osoko errefusa </w:t>
      </w:r>
      <w:proofErr w:type="spellStart"/>
      <w:r>
        <w:rPr>
          <w:b/>
          <w:sz w:val="22"/>
          <w:szCs w:val="22"/>
        </w:rPr>
        <w:t>–Iruñekoa</w:t>
      </w:r>
      <w:proofErr w:type="spellEnd"/>
      <w:r>
        <w:rPr>
          <w:b/>
          <w:sz w:val="22"/>
          <w:szCs w:val="22"/>
        </w:rPr>
        <w:t xml:space="preserve"> </w:t>
      </w:r>
      <w:proofErr w:type="spellStart"/>
      <w:r>
        <w:rPr>
          <w:b/>
          <w:sz w:val="22"/>
          <w:szCs w:val="22"/>
        </w:rPr>
        <w:t>barne–</w:t>
      </w:r>
      <w:proofErr w:type="spellEnd"/>
      <w:r>
        <w:rPr>
          <w:b/>
          <w:sz w:val="22"/>
          <w:szCs w:val="22"/>
        </w:rPr>
        <w:t>, plan horren arabera hain garrantzitsua den gertutasun-printzipioa urratuz?</w:t>
      </w:r>
    </w:p>
    <w:p w:rsidR="001760CB" w:rsidRDefault="00DC4FB9" w:rsidP="00A572B9">
      <w:pPr>
        <w:pStyle w:val="Textoindependiente"/>
        <w:spacing w:after="0" w:line="360" w:lineRule="auto"/>
        <w:rPr>
          <w:rFonts w:cs="Arial"/>
          <w:sz w:val="22"/>
          <w:szCs w:val="22"/>
        </w:rPr>
      </w:pPr>
      <w:r>
        <w:rPr>
          <w:sz w:val="22"/>
          <w:szCs w:val="22"/>
        </w:rPr>
        <w:t xml:space="preserve">Erantzuna: 2027ko Planak jasotzen du kudeaketa-aukera baten alde egitea sortutako errefusaren % 100 tratatzeko, birziklatzea eta material eta materia organikoen </w:t>
      </w:r>
      <w:proofErr w:type="spellStart"/>
      <w:r>
        <w:rPr>
          <w:sz w:val="22"/>
          <w:szCs w:val="22"/>
        </w:rPr>
        <w:t>balorizatze</w:t>
      </w:r>
      <w:proofErr w:type="spellEnd"/>
      <w:r>
        <w:rPr>
          <w:sz w:val="22"/>
          <w:szCs w:val="22"/>
        </w:rPr>
        <w:t xml:space="preserve"> materiala ahal den guztian bultzatuz, halako moduz non isuri aurretik tratatuko baitira. </w:t>
      </w:r>
    </w:p>
    <w:p w:rsidR="001760CB" w:rsidRDefault="00A572B9" w:rsidP="00A572B9">
      <w:pPr>
        <w:pStyle w:val="Textoindependiente"/>
        <w:spacing w:after="0" w:line="360" w:lineRule="auto"/>
        <w:rPr>
          <w:rFonts w:cs="Arial"/>
          <w:sz w:val="22"/>
          <w:szCs w:val="22"/>
        </w:rPr>
      </w:pPr>
      <w:r>
        <w:rPr>
          <w:sz w:val="22"/>
          <w:szCs w:val="22"/>
        </w:rPr>
        <w:t xml:space="preserve">Jarduketa hori, gainera, bat dator 2020rako sektore lausoen ibilbide-orriaren ildoarekin, zeren eta sektore lausoen jaulkipenak gehien bat hondakinak zabortegietan pilatzearen ondorioz sortzen baitira. </w:t>
      </w:r>
    </w:p>
    <w:p w:rsidR="001760CB" w:rsidRDefault="00A572B9" w:rsidP="00A572B9">
      <w:pPr>
        <w:pStyle w:val="Textoindependiente"/>
        <w:spacing w:after="0" w:line="360" w:lineRule="auto"/>
        <w:rPr>
          <w:rFonts w:cs="Arial"/>
          <w:sz w:val="22"/>
          <w:szCs w:val="22"/>
        </w:rPr>
      </w:pPr>
      <w:r>
        <w:rPr>
          <w:sz w:val="22"/>
          <w:szCs w:val="22"/>
        </w:rPr>
        <w:t>PEMAR 2016-2022 delakoan ezarritakoarekin ere bat badator, bai eta Nafarroako errefusetarako plantetan egindako auditorietan lortutako emaitzekin ere. Izan ere, gaiak berrerabiltzerako eta birziklatzerako prestatzeko helburuak lortzeko datozen urteetarako ahaleginak bideratu behar dira bereizita jasotzen diren hondakinen kopuruak nabarmen handitzera, hondakin nahastuen kopurua gutxituz, zeren eta azken horiek birziklatzerako egiten duten ekarpena askoz ere txikiagoa baita, haietatik lortzen diren materialak kalitate askoz ere txikiagokoak izatearen ondorioz.</w:t>
      </w:r>
    </w:p>
    <w:p w:rsidR="001760CB" w:rsidRDefault="00A572B9" w:rsidP="00A572B9">
      <w:pPr>
        <w:pStyle w:val="Textoindependiente"/>
        <w:spacing w:after="0" w:line="360" w:lineRule="auto"/>
        <w:rPr>
          <w:rFonts w:cs="Arial"/>
          <w:sz w:val="22"/>
          <w:szCs w:val="22"/>
        </w:rPr>
      </w:pPr>
      <w:r>
        <w:rPr>
          <w:sz w:val="22"/>
          <w:szCs w:val="22"/>
        </w:rPr>
        <w:t xml:space="preserve">Planak ez du jasotzen izaera publikoko azpiegitura berririk paratzea errefusaren aurretratamendurako; izan ere, aurreikuspenen arabera, 2014an sortu zenaren erdira jaitsiko da errefusa, eta planaren arabera Tuterako eta Carcarko plantak nahikoak dira Nafarroan sortzen den errefus guztia tratatzeko). Hori dela eta, Planean jasota dago Iruñerrian </w:t>
      </w:r>
      <w:r>
        <w:rPr>
          <w:sz w:val="22"/>
          <w:szCs w:val="22"/>
        </w:rPr>
        <w:lastRenderedPageBreak/>
        <w:t xml:space="preserve">transferentzia planta berri bat egitea, dela lehendik dauden instalazioetan, dela kokaleku berrietan, errefusa planta horietara eramaten bada. </w:t>
      </w:r>
    </w:p>
    <w:p w:rsidR="001760CB" w:rsidRDefault="00A572B9" w:rsidP="00A572B9">
      <w:pPr>
        <w:pStyle w:val="Textoindependiente"/>
        <w:spacing w:after="0" w:line="360" w:lineRule="auto"/>
        <w:rPr>
          <w:rFonts w:cs="Arial"/>
          <w:sz w:val="22"/>
          <w:szCs w:val="22"/>
        </w:rPr>
      </w:pPr>
      <w:r>
        <w:rPr>
          <w:sz w:val="22"/>
          <w:szCs w:val="22"/>
        </w:rPr>
        <w:t>Aukeran, planta bat egin liteke Iruñerrian, zeren eta Nafarroako biztanleriaren erdia baino gehiago bertan bizi baita, horrekin lotuta dagoen beste tratamendu-planta batzuetarako garraioa saiheste aldera.</w:t>
      </w:r>
    </w:p>
    <w:p w:rsidR="001760CB" w:rsidRDefault="00A572B9" w:rsidP="00A572B9">
      <w:pPr>
        <w:pStyle w:val="Textoindependiente"/>
        <w:spacing w:after="0" w:line="360" w:lineRule="auto"/>
        <w:rPr>
          <w:rFonts w:cs="Arial"/>
          <w:sz w:val="22"/>
          <w:szCs w:val="22"/>
        </w:rPr>
      </w:pPr>
      <w:r>
        <w:rPr>
          <w:sz w:val="22"/>
          <w:szCs w:val="22"/>
        </w:rPr>
        <w:t xml:space="preserve">Hori guztia dela eta, Nafarroako Hondakinen 2017-2027 aldirako Planak </w:t>
      </w:r>
      <w:proofErr w:type="spellStart"/>
      <w:r>
        <w:rPr>
          <w:sz w:val="22"/>
          <w:szCs w:val="22"/>
        </w:rPr>
        <w:t>autosufizientzia</w:t>
      </w:r>
      <w:proofErr w:type="spellEnd"/>
      <w:r>
        <w:rPr>
          <w:sz w:val="22"/>
          <w:szCs w:val="22"/>
        </w:rPr>
        <w:t xml:space="preserve"> eta hurbiltasun printzipioa aplikatzen du, 22/2011 Legearen 9. artikuluan eta 2016-2022 aldirako Hondakinetarako Estatuko Esparru Planean ezarri bezala, zeren eta gaur egun gisa horretako hondakinak tratatzeko dauden plantak (</w:t>
      </w:r>
      <w:proofErr w:type="spellStart"/>
      <w:r>
        <w:rPr>
          <w:sz w:val="22"/>
          <w:szCs w:val="22"/>
        </w:rPr>
        <w:t>autosufizientzia</w:t>
      </w:r>
      <w:proofErr w:type="spellEnd"/>
      <w:r>
        <w:rPr>
          <w:sz w:val="22"/>
          <w:szCs w:val="22"/>
        </w:rPr>
        <w:t>), hurbilen daudenak (hurbiltasuna), Tuterakoa eta Carcarkoa baitira, eta horiek, aldakuntzarik egin gabe edo egiteko modukoak diren mudantza txiki batzuekin, aipatutako epean gauza izan daitezke Iruñerrian sortutako errefusak jasotzeko. Halere, Planean bertan aipatzen denez, aukeran planta bat egin liteke Iruñerrian, arestian adierazitako arrazoiak direla eta.</w:t>
      </w:r>
    </w:p>
    <w:p w:rsidR="00A572B9" w:rsidRPr="00A572B9" w:rsidRDefault="00A572B9" w:rsidP="00A572B9">
      <w:pPr>
        <w:pStyle w:val="Textoindependiente"/>
        <w:spacing w:after="0" w:line="360" w:lineRule="auto"/>
        <w:rPr>
          <w:rFonts w:cs="Arial"/>
          <w:sz w:val="22"/>
          <w:szCs w:val="22"/>
        </w:rPr>
      </w:pPr>
      <w:r>
        <w:rPr>
          <w:sz w:val="22"/>
          <w:szCs w:val="22"/>
        </w:rPr>
        <w:t>Hori guztia Planaren barruan aurreikusitako ekintzetan jasotzen da, 6.74 eta 6.166 tauletan, biak ere 6. kapituluaren barruan: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A572B9" w:rsidRPr="001760CB" w:rsidTr="001760CB">
        <w:trPr>
          <w:trHeight w:val="1144"/>
        </w:trPr>
        <w:tc>
          <w:tcPr>
            <w:tcW w:w="1985" w:type="dxa"/>
            <w:vAlign w:val="center"/>
          </w:tcPr>
          <w:p w:rsidR="00A572B9" w:rsidRPr="001760CB" w:rsidRDefault="00A572B9" w:rsidP="003D3880">
            <w:pPr>
              <w:pStyle w:val="Textoindependiente"/>
              <w:spacing w:before="40" w:after="40"/>
              <w:rPr>
                <w:rFonts w:cs="Arial"/>
                <w:sz w:val="18"/>
                <w:szCs w:val="18"/>
              </w:rPr>
            </w:pPr>
            <w:r>
              <w:rPr>
                <w:sz w:val="18"/>
                <w:szCs w:val="18"/>
              </w:rPr>
              <w:t>A.R.05.29.56</w:t>
            </w:r>
          </w:p>
        </w:tc>
        <w:tc>
          <w:tcPr>
            <w:tcW w:w="7087" w:type="dxa"/>
            <w:vAlign w:val="center"/>
          </w:tcPr>
          <w:p w:rsidR="00A572B9" w:rsidRPr="001760CB" w:rsidRDefault="00A572B9" w:rsidP="003D3880">
            <w:pPr>
              <w:pStyle w:val="Textoindependiente"/>
              <w:spacing w:before="40" w:after="40"/>
              <w:rPr>
                <w:rFonts w:cs="Arial"/>
                <w:sz w:val="18"/>
                <w:szCs w:val="18"/>
              </w:rPr>
            </w:pPr>
            <w:r>
              <w:rPr>
                <w:sz w:val="18"/>
                <w:szCs w:val="18"/>
              </w:rPr>
              <w:t>Egun dauden instalazioak egokitzea Nafarroa osoko errefusa jasotzeko eta, kasua bada, aukeran, Iruñerrian errefusa tratatzeko planta berri bat egin dadin sustatzea.</w:t>
            </w:r>
          </w:p>
        </w:tc>
      </w:tr>
    </w:tbl>
    <w:p w:rsidR="00A572B9" w:rsidRPr="00A572B9" w:rsidRDefault="00A572B9" w:rsidP="003D3880">
      <w:pPr>
        <w:pStyle w:val="Textoindependiente"/>
        <w:spacing w:before="40" w:after="40"/>
        <w:rPr>
          <w:rFonts w:cs="Arial"/>
          <w:sz w:val="22"/>
          <w:szCs w:val="22"/>
        </w:rPr>
      </w:pPr>
    </w:p>
    <w:tbl>
      <w:tblPr>
        <w:tblW w:w="0" w:type="auto"/>
        <w:jc w:val="center"/>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394"/>
        <w:gridCol w:w="567"/>
        <w:gridCol w:w="2119"/>
      </w:tblGrid>
      <w:tr w:rsidR="00A572B9" w:rsidRPr="001760CB" w:rsidTr="001760CB">
        <w:trPr>
          <w:trHeight w:val="456"/>
          <w:jc w:val="center"/>
        </w:trPr>
        <w:tc>
          <w:tcPr>
            <w:tcW w:w="1980" w:type="dxa"/>
            <w:vMerge w:val="restart"/>
            <w:vAlign w:val="center"/>
          </w:tcPr>
          <w:p w:rsidR="00A572B9" w:rsidRPr="001760CB" w:rsidRDefault="00A572B9" w:rsidP="003D3880">
            <w:pPr>
              <w:pStyle w:val="Textoindependiente"/>
              <w:spacing w:before="40" w:after="40"/>
              <w:rPr>
                <w:rFonts w:cs="Arial"/>
                <w:sz w:val="18"/>
                <w:szCs w:val="18"/>
              </w:rPr>
            </w:pPr>
            <w:r>
              <w:rPr>
                <w:sz w:val="18"/>
                <w:szCs w:val="18"/>
              </w:rPr>
              <w:t>ERREFUSA</w:t>
            </w:r>
          </w:p>
        </w:tc>
        <w:tc>
          <w:tcPr>
            <w:tcW w:w="4394" w:type="dxa"/>
            <w:vAlign w:val="center"/>
          </w:tcPr>
          <w:p w:rsidR="00A572B9" w:rsidRPr="001760CB" w:rsidRDefault="00A572B9" w:rsidP="003D3880">
            <w:pPr>
              <w:pStyle w:val="Textoindependiente"/>
              <w:spacing w:before="40" w:after="40"/>
              <w:rPr>
                <w:rFonts w:cs="Arial"/>
                <w:sz w:val="18"/>
                <w:szCs w:val="18"/>
              </w:rPr>
            </w:pPr>
            <w:r>
              <w:rPr>
                <w:sz w:val="18"/>
                <w:szCs w:val="18"/>
              </w:rPr>
              <w:t>EGUN DAUDEN PLANTAK (kudeaketa publikoa)</w:t>
            </w:r>
          </w:p>
        </w:tc>
        <w:tc>
          <w:tcPr>
            <w:tcW w:w="567" w:type="dxa"/>
            <w:vAlign w:val="center"/>
          </w:tcPr>
          <w:p w:rsidR="00A572B9" w:rsidRPr="001760CB" w:rsidRDefault="00A572B9" w:rsidP="003D3880">
            <w:pPr>
              <w:pStyle w:val="Textoindependiente"/>
              <w:spacing w:before="40" w:after="40"/>
              <w:rPr>
                <w:rFonts w:cs="Arial"/>
                <w:sz w:val="18"/>
                <w:szCs w:val="18"/>
              </w:rPr>
            </w:pPr>
            <w:r>
              <w:rPr>
                <w:sz w:val="18"/>
                <w:szCs w:val="18"/>
              </w:rPr>
              <w:t>2</w:t>
            </w:r>
          </w:p>
        </w:tc>
        <w:tc>
          <w:tcPr>
            <w:tcW w:w="2119" w:type="dxa"/>
            <w:vAlign w:val="center"/>
          </w:tcPr>
          <w:p w:rsidR="00A572B9" w:rsidRPr="001760CB" w:rsidRDefault="00A572B9" w:rsidP="003D3880">
            <w:pPr>
              <w:pStyle w:val="Textoindependiente"/>
              <w:spacing w:before="40" w:after="40"/>
              <w:rPr>
                <w:rFonts w:cs="Arial"/>
                <w:sz w:val="18"/>
                <w:szCs w:val="18"/>
              </w:rPr>
            </w:pPr>
            <w:r>
              <w:rPr>
                <w:sz w:val="18"/>
                <w:szCs w:val="18"/>
              </w:rPr>
              <w:t>CARCARKO HONDAKINAK TRATATZEKO ZENTROA</w:t>
            </w:r>
          </w:p>
          <w:p w:rsidR="00A572B9" w:rsidRPr="001760CB" w:rsidRDefault="00A572B9" w:rsidP="003D3880">
            <w:pPr>
              <w:pStyle w:val="Textoindependiente"/>
              <w:spacing w:before="40" w:after="40"/>
              <w:rPr>
                <w:rFonts w:cs="Arial"/>
                <w:sz w:val="18"/>
                <w:szCs w:val="18"/>
              </w:rPr>
            </w:pPr>
            <w:r>
              <w:rPr>
                <w:sz w:val="18"/>
                <w:szCs w:val="18"/>
              </w:rPr>
              <w:t>CULEBRETEKO HONDAKINAK TRATATZEKO ZENTROA</w:t>
            </w:r>
          </w:p>
        </w:tc>
      </w:tr>
      <w:tr w:rsidR="00A572B9" w:rsidRPr="001760CB" w:rsidTr="001760CB">
        <w:trPr>
          <w:trHeight w:val="336"/>
          <w:jc w:val="center"/>
        </w:trPr>
        <w:tc>
          <w:tcPr>
            <w:tcW w:w="1980" w:type="dxa"/>
            <w:vMerge/>
            <w:vAlign w:val="center"/>
          </w:tcPr>
          <w:p w:rsidR="00A572B9" w:rsidRPr="001760CB" w:rsidRDefault="00A572B9" w:rsidP="003D3880">
            <w:pPr>
              <w:pStyle w:val="Textoindependiente"/>
              <w:spacing w:before="40" w:after="40"/>
              <w:rPr>
                <w:rFonts w:cs="Arial"/>
                <w:sz w:val="18"/>
                <w:szCs w:val="18"/>
              </w:rPr>
            </w:pPr>
          </w:p>
        </w:tc>
        <w:tc>
          <w:tcPr>
            <w:tcW w:w="4394" w:type="dxa"/>
            <w:vAlign w:val="center"/>
          </w:tcPr>
          <w:p w:rsidR="00A572B9" w:rsidRPr="001760CB" w:rsidRDefault="00A572B9" w:rsidP="003D3880">
            <w:pPr>
              <w:pStyle w:val="Textoindependiente"/>
              <w:spacing w:before="40" w:after="40"/>
              <w:rPr>
                <w:rFonts w:cs="Arial"/>
                <w:sz w:val="18"/>
                <w:szCs w:val="18"/>
              </w:rPr>
            </w:pPr>
            <w:r>
              <w:rPr>
                <w:sz w:val="18"/>
                <w:szCs w:val="18"/>
              </w:rPr>
              <w:t>PLANTA BERRIA, AUKERAN (kudeaketa publikoa)</w:t>
            </w:r>
          </w:p>
        </w:tc>
        <w:tc>
          <w:tcPr>
            <w:tcW w:w="567" w:type="dxa"/>
            <w:vAlign w:val="center"/>
          </w:tcPr>
          <w:p w:rsidR="00A572B9" w:rsidRPr="001760CB" w:rsidRDefault="00A572B9" w:rsidP="003D3880">
            <w:pPr>
              <w:pStyle w:val="Textoindependiente"/>
              <w:spacing w:before="40" w:after="40"/>
              <w:rPr>
                <w:rFonts w:cs="Arial"/>
                <w:sz w:val="18"/>
                <w:szCs w:val="18"/>
              </w:rPr>
            </w:pPr>
            <w:r>
              <w:rPr>
                <w:sz w:val="18"/>
                <w:szCs w:val="18"/>
              </w:rPr>
              <w:t>1</w:t>
            </w:r>
          </w:p>
        </w:tc>
        <w:tc>
          <w:tcPr>
            <w:tcW w:w="2119" w:type="dxa"/>
            <w:vAlign w:val="center"/>
          </w:tcPr>
          <w:p w:rsidR="00A572B9" w:rsidRPr="001760CB" w:rsidRDefault="00A572B9" w:rsidP="003D3880">
            <w:pPr>
              <w:pStyle w:val="Textoindependiente"/>
              <w:spacing w:before="40" w:after="40"/>
              <w:rPr>
                <w:rFonts w:cs="Arial"/>
                <w:sz w:val="18"/>
                <w:szCs w:val="18"/>
              </w:rPr>
            </w:pPr>
            <w:r>
              <w:rPr>
                <w:sz w:val="18"/>
                <w:szCs w:val="18"/>
              </w:rPr>
              <w:t>IRUÑEKO ESKUALDEA</w:t>
            </w:r>
          </w:p>
        </w:tc>
      </w:tr>
    </w:tbl>
    <w:p w:rsidR="001760CB" w:rsidRDefault="001760CB" w:rsidP="00A572B9">
      <w:pPr>
        <w:pStyle w:val="Textoindependiente"/>
        <w:spacing w:after="0" w:line="360" w:lineRule="auto"/>
        <w:rPr>
          <w:rFonts w:cs="Arial"/>
          <w:sz w:val="22"/>
          <w:szCs w:val="22"/>
        </w:rPr>
      </w:pPr>
    </w:p>
    <w:p w:rsidR="001760CB" w:rsidRDefault="00A572B9" w:rsidP="00A572B9">
      <w:pPr>
        <w:pStyle w:val="Textoindependiente"/>
        <w:spacing w:after="0" w:line="360" w:lineRule="auto"/>
        <w:rPr>
          <w:rFonts w:cs="Arial"/>
          <w:sz w:val="22"/>
          <w:szCs w:val="22"/>
        </w:rPr>
      </w:pPr>
      <w:r>
        <w:rPr>
          <w:sz w:val="22"/>
          <w:szCs w:val="22"/>
        </w:rPr>
        <w:t>Egindako galdera:</w:t>
      </w:r>
    </w:p>
    <w:p w:rsidR="001760CB" w:rsidRDefault="00A572B9" w:rsidP="00A572B9">
      <w:pPr>
        <w:spacing w:after="200"/>
        <w:jc w:val="both"/>
        <w:rPr>
          <w:rFonts w:ascii="Arial" w:hAnsi="Arial" w:cs="Arial"/>
          <w:b/>
          <w:sz w:val="22"/>
          <w:szCs w:val="22"/>
        </w:rPr>
      </w:pPr>
      <w:r>
        <w:rPr>
          <w:rFonts w:ascii="Arial" w:hAnsi="Arial"/>
          <w:b/>
          <w:sz w:val="22"/>
          <w:szCs w:val="22"/>
        </w:rPr>
        <w:t xml:space="preserve">Zer beste aukera aintzat hartzen dira </w:t>
      </w:r>
      <w:proofErr w:type="spellStart"/>
      <w:r>
        <w:rPr>
          <w:rFonts w:ascii="Arial" w:hAnsi="Arial"/>
          <w:b/>
          <w:sz w:val="22"/>
          <w:szCs w:val="22"/>
        </w:rPr>
        <w:t>Iruñerriko</w:t>
      </w:r>
      <w:proofErr w:type="spellEnd"/>
      <w:r>
        <w:rPr>
          <w:rFonts w:ascii="Arial" w:hAnsi="Arial"/>
          <w:b/>
          <w:sz w:val="22"/>
          <w:szCs w:val="22"/>
        </w:rPr>
        <w:t xml:space="preserve"> errefuserako?</w:t>
      </w:r>
    </w:p>
    <w:p w:rsidR="001760CB" w:rsidRDefault="00C8136E" w:rsidP="00A572B9">
      <w:pPr>
        <w:pStyle w:val="Textoindependiente"/>
        <w:spacing w:after="0" w:line="360" w:lineRule="auto"/>
        <w:rPr>
          <w:rFonts w:cs="Arial"/>
          <w:sz w:val="22"/>
          <w:szCs w:val="22"/>
        </w:rPr>
      </w:pPr>
      <w:r>
        <w:rPr>
          <w:sz w:val="22"/>
          <w:szCs w:val="22"/>
        </w:rPr>
        <w:t xml:space="preserve">Erantzuna: Hondakinen Planaren zirriborroan eta haren eranskinetan, ordezko aukera batzuk planteatu ziren errefusaren tratamendurako; esate baterako, </w:t>
      </w:r>
      <w:proofErr w:type="spellStart"/>
      <w:r>
        <w:rPr>
          <w:sz w:val="22"/>
          <w:szCs w:val="22"/>
        </w:rPr>
        <w:t>biolehortzearen</w:t>
      </w:r>
      <w:proofErr w:type="spellEnd"/>
      <w:r>
        <w:rPr>
          <w:sz w:val="22"/>
          <w:szCs w:val="22"/>
        </w:rPr>
        <w:t xml:space="preserve"> bidezko tratamendu biologiko mekanikoa, autoklabea eta txandakako </w:t>
      </w:r>
      <w:proofErr w:type="spellStart"/>
      <w:r>
        <w:rPr>
          <w:sz w:val="22"/>
          <w:szCs w:val="22"/>
        </w:rPr>
        <w:t>bioerreaktoreak</w:t>
      </w:r>
      <w:proofErr w:type="spellEnd"/>
      <w:r>
        <w:rPr>
          <w:sz w:val="22"/>
          <w:szCs w:val="22"/>
        </w:rPr>
        <w:t xml:space="preserve">, zeinak aholkatzen baitira zuzenean errefusa tratatzeko, gai organikoaren eta beste material batzuen </w:t>
      </w:r>
      <w:proofErr w:type="spellStart"/>
      <w:r>
        <w:rPr>
          <w:sz w:val="22"/>
          <w:szCs w:val="22"/>
        </w:rPr>
        <w:t>balorizatzea</w:t>
      </w:r>
      <w:proofErr w:type="spellEnd"/>
      <w:r>
        <w:rPr>
          <w:sz w:val="22"/>
          <w:szCs w:val="22"/>
        </w:rPr>
        <w:t xml:space="preserve"> areagotzeari begira. Nafarroarako proposatutako kasuan, aintzat hartu zen tratamendu biologiko mekanikoa dela egokiena gai organiko gutxien daukan errefusa tratatzeko, zeren eta hori gehien bat gaikako bilketan bereizi baita, halako moduz non lehenengo gai hori egonkortzen baita eta aukera ematen baita gero bertan dauden gainerako material birziklagarriak bereizteko.</w:t>
      </w:r>
    </w:p>
    <w:p w:rsidR="001760CB" w:rsidRDefault="00A572B9" w:rsidP="00A572B9">
      <w:pPr>
        <w:pStyle w:val="Textoindependiente"/>
        <w:spacing w:after="0" w:line="360" w:lineRule="auto"/>
        <w:rPr>
          <w:rFonts w:cs="Arial"/>
          <w:sz w:val="22"/>
          <w:szCs w:val="22"/>
        </w:rPr>
      </w:pPr>
      <w:r>
        <w:rPr>
          <w:sz w:val="22"/>
          <w:szCs w:val="22"/>
        </w:rPr>
        <w:lastRenderedPageBreak/>
        <w:t xml:space="preserve">Horrekin guztiarekin, Planak jotzen du beharrezkoa litzatekeela transferentzia planta bat egitea, sortutako errefusa planta horietara bidaltzeko. Hala eta guztiz ere atea irekita uzten da, aukeran, dauden ordezko bideen azterlana egin ondoren, errefuserako planta bat eraiki dadin (tratamendu biologiko mekanikoa egiteko, aurreko lerrokadan aipatu den bezala), Iruñerrian. Planta horrek egokia izan beharko luke planean aurreikusitako errefusen sorkuntzaren dimentsioei aurre egiteko. Instalazio hori AR 05.28.53 ekintzaren barruan aipatzen da. Iruñerrian errefusaren tratamendurako planta berri bat egin dadin sustatzea, 5 urteko kronograma bat ezarriz, hura guztiz egin eta abian jarri arte. </w:t>
      </w:r>
    </w:p>
    <w:p w:rsidR="001760CB" w:rsidRDefault="00A572B9" w:rsidP="00A572B9">
      <w:pPr>
        <w:pStyle w:val="Textoindependiente"/>
        <w:spacing w:after="0" w:line="360" w:lineRule="auto"/>
        <w:rPr>
          <w:rFonts w:cs="Arial"/>
          <w:sz w:val="22"/>
          <w:szCs w:val="22"/>
        </w:rPr>
      </w:pPr>
      <w:r>
        <w:rPr>
          <w:sz w:val="22"/>
          <w:szCs w:val="22"/>
        </w:rPr>
        <w:t>Halaber, ekintza horiek Planeko aurrekontuaren 8. kapituluan jasota daude.</w:t>
      </w:r>
    </w:p>
    <w:p w:rsidR="001760CB" w:rsidRDefault="00A572B9" w:rsidP="00A572B9">
      <w:pPr>
        <w:pStyle w:val="Textoindependiente"/>
        <w:spacing w:after="0" w:line="360" w:lineRule="auto"/>
        <w:rPr>
          <w:rFonts w:cs="Arial"/>
          <w:sz w:val="22"/>
          <w:szCs w:val="22"/>
        </w:rPr>
      </w:pPr>
      <w:r>
        <w:rPr>
          <w:sz w:val="22"/>
          <w:szCs w:val="22"/>
        </w:rPr>
        <w:t xml:space="preserve">Inbertsioetako gastuak </w:t>
      </w:r>
    </w:p>
    <w:p w:rsidR="001760CB" w:rsidRDefault="00A572B9" w:rsidP="00A572B9">
      <w:pPr>
        <w:pStyle w:val="Textoindependiente"/>
        <w:spacing w:after="0" w:line="360" w:lineRule="auto"/>
        <w:rPr>
          <w:rFonts w:cs="Arial"/>
          <w:sz w:val="22"/>
          <w:szCs w:val="22"/>
        </w:rPr>
      </w:pPr>
      <w:r>
        <w:rPr>
          <w:sz w:val="22"/>
          <w:szCs w:val="22"/>
        </w:rPr>
        <w:t>Hondakinen Plana garatzeko aintzat hartutako inbertsioek 55.401.000 euro egiten dute 2017-2027 aldi osorako, kontuan hartuta Iruñerriaren inguruan aukeran ezar litezkeen azpiegitura berriak: Transferentzia-planta, hondakindegia eta errefusa tratatzeko planta; horien guztien kasuan, egiteko daude haiei buruzko aukeren azterlanak.</w:t>
      </w:r>
    </w:p>
    <w:p w:rsidR="001760CB" w:rsidRDefault="00A572B9" w:rsidP="00A572B9">
      <w:pPr>
        <w:pStyle w:val="Textoindependiente"/>
        <w:spacing w:after="0" w:line="360" w:lineRule="auto"/>
        <w:rPr>
          <w:rFonts w:cs="Arial"/>
          <w:sz w:val="22"/>
          <w:szCs w:val="22"/>
        </w:rPr>
      </w:pPr>
      <w:r>
        <w:rPr>
          <w:sz w:val="22"/>
          <w:szCs w:val="22"/>
        </w:rPr>
        <w:t>Iruñerriaren inguruan aukeran ezar litezkeen azpiegitura berriak jaso dira: Transferentzia-planta, hondakindegia eta errefusa tratatzeko planta; guztiek ere egiteko dauzkate haiei buruzko aukeren azterlanak.</w:t>
      </w:r>
    </w:p>
    <w:p w:rsidR="001760CB" w:rsidRDefault="008932F8" w:rsidP="008932F8">
      <w:pPr>
        <w:pStyle w:val="Textoindependiente"/>
        <w:spacing w:after="0" w:line="360" w:lineRule="auto"/>
        <w:rPr>
          <w:rFonts w:cs="Arial"/>
          <w:sz w:val="22"/>
          <w:szCs w:val="22"/>
        </w:rPr>
      </w:pPr>
      <w:r>
        <w:rPr>
          <w:sz w:val="22"/>
          <w:szCs w:val="22"/>
        </w:rPr>
        <w:t>Egindako galdera:</w:t>
      </w:r>
    </w:p>
    <w:p w:rsidR="001760CB" w:rsidRDefault="008932F8" w:rsidP="008932F8">
      <w:pPr>
        <w:pStyle w:val="Textoindependiente"/>
        <w:spacing w:after="0" w:line="360" w:lineRule="auto"/>
        <w:rPr>
          <w:rFonts w:cs="Arial"/>
          <w:b/>
          <w:sz w:val="22"/>
          <w:szCs w:val="22"/>
        </w:rPr>
      </w:pPr>
      <w:r>
        <w:rPr>
          <w:b/>
          <w:sz w:val="22"/>
          <w:szCs w:val="22"/>
        </w:rPr>
        <w:t>Zer beste aukera aintzat hartzen dira errefuserako, hori behar bezala tratatua ez deneko hondakin-mankomunitateetan?</w:t>
      </w:r>
    </w:p>
    <w:p w:rsidR="001760CB" w:rsidRDefault="008932F8" w:rsidP="008932F8">
      <w:pPr>
        <w:pStyle w:val="Textoindependiente"/>
        <w:spacing w:after="0" w:line="360" w:lineRule="auto"/>
        <w:rPr>
          <w:rFonts w:cs="Arial"/>
          <w:sz w:val="22"/>
          <w:szCs w:val="22"/>
        </w:rPr>
      </w:pPr>
      <w:r>
        <w:rPr>
          <w:sz w:val="22"/>
          <w:szCs w:val="22"/>
        </w:rPr>
        <w:t>Erantzuna: Aurreko puntuen erantzunetan aipatutako bereak.</w:t>
      </w:r>
    </w:p>
    <w:p w:rsidR="001760CB" w:rsidRDefault="008932F8" w:rsidP="008932F8">
      <w:pPr>
        <w:pStyle w:val="Textoindependiente"/>
        <w:spacing w:after="0" w:line="360" w:lineRule="auto"/>
        <w:rPr>
          <w:rFonts w:cs="Arial"/>
          <w:sz w:val="22"/>
          <w:szCs w:val="22"/>
        </w:rPr>
      </w:pPr>
      <w:r>
        <w:rPr>
          <w:sz w:val="22"/>
          <w:szCs w:val="22"/>
        </w:rPr>
        <w:t>Egindako galdera:</w:t>
      </w:r>
    </w:p>
    <w:p w:rsidR="001760CB" w:rsidRDefault="008932F8" w:rsidP="008932F8">
      <w:pPr>
        <w:pStyle w:val="Textoindependiente"/>
        <w:spacing w:after="0" w:line="360" w:lineRule="auto"/>
        <w:rPr>
          <w:rFonts w:cs="Arial"/>
          <w:b/>
          <w:sz w:val="22"/>
          <w:szCs w:val="22"/>
        </w:rPr>
      </w:pPr>
      <w:r>
        <w:rPr>
          <w:b/>
          <w:sz w:val="22"/>
          <w:szCs w:val="22"/>
        </w:rPr>
        <w:t>Zer epe darabiltzate aukera horiei dagokienez?</w:t>
      </w:r>
    </w:p>
    <w:p w:rsidR="008932F8" w:rsidRDefault="008932F8" w:rsidP="008932F8">
      <w:pPr>
        <w:pStyle w:val="Textoindependiente"/>
        <w:spacing w:after="0" w:line="360" w:lineRule="auto"/>
        <w:rPr>
          <w:rFonts w:cs="Arial"/>
          <w:sz w:val="22"/>
          <w:szCs w:val="22"/>
        </w:rPr>
      </w:pPr>
      <w:r>
        <w:rPr>
          <w:sz w:val="22"/>
          <w:szCs w:val="22"/>
        </w:rPr>
        <w:t xml:space="preserve">Erantzuna: O.R.05 Planaren helburuan, </w:t>
      </w:r>
      <w:proofErr w:type="spellStart"/>
      <w:r>
        <w:rPr>
          <w:sz w:val="22"/>
          <w:szCs w:val="22"/>
        </w:rPr>
        <w:t>M.R.</w:t>
      </w:r>
      <w:proofErr w:type="spellEnd"/>
      <w:r>
        <w:rPr>
          <w:sz w:val="22"/>
          <w:szCs w:val="22"/>
        </w:rPr>
        <w:t>05.29 neurri elkartuan eta A.R.05.29.56 ekintzan, ordezko aukera horietarako ezarritako epeak aipatzen dira.</w:t>
      </w:r>
    </w:p>
    <w:p w:rsidR="008932F8" w:rsidRPr="008932F8" w:rsidRDefault="008932F8" w:rsidP="008932F8">
      <w:pPr>
        <w:pStyle w:val="Textoindependiente"/>
        <w:spacing w:after="0" w:line="360" w:lineRule="auto"/>
        <w:rPr>
          <w:rFonts w:cs="Arial"/>
          <w:sz w:val="22"/>
          <w:szCs w:val="22"/>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91"/>
        <w:gridCol w:w="1769"/>
        <w:gridCol w:w="838"/>
        <w:gridCol w:w="720"/>
        <w:gridCol w:w="1291"/>
      </w:tblGrid>
      <w:tr w:rsidR="008932F8" w:rsidRPr="001760CB" w:rsidTr="00C13649">
        <w:trPr>
          <w:trHeight w:val="315"/>
        </w:trPr>
        <w:tc>
          <w:tcPr>
            <w:tcW w:w="3168" w:type="dxa"/>
          </w:tcPr>
          <w:p w:rsidR="008932F8" w:rsidRPr="001760CB" w:rsidRDefault="008932F8" w:rsidP="003D3880">
            <w:pPr>
              <w:pStyle w:val="Textoindependiente"/>
              <w:spacing w:before="40" w:after="40"/>
              <w:rPr>
                <w:rFonts w:cs="Arial"/>
                <w:sz w:val="18"/>
                <w:szCs w:val="18"/>
              </w:rPr>
            </w:pPr>
            <w:bookmarkStart w:id="1" w:name="_GoBack"/>
            <w:r>
              <w:rPr>
                <w:sz w:val="18"/>
                <w:szCs w:val="18"/>
              </w:rPr>
              <w:t xml:space="preserve">Etxeetako eta saltokietako hondakinak birziklatzea eta </w:t>
            </w:r>
            <w:proofErr w:type="spellStart"/>
            <w:r>
              <w:rPr>
                <w:sz w:val="18"/>
                <w:szCs w:val="18"/>
              </w:rPr>
              <w:t>balorizatzea</w:t>
            </w:r>
            <w:proofErr w:type="spellEnd"/>
          </w:p>
        </w:tc>
        <w:tc>
          <w:tcPr>
            <w:tcW w:w="1291" w:type="dxa"/>
          </w:tcPr>
          <w:p w:rsidR="008932F8" w:rsidRPr="001760CB" w:rsidRDefault="008932F8" w:rsidP="003D3880">
            <w:pPr>
              <w:pStyle w:val="Textoindependiente"/>
              <w:spacing w:before="40" w:after="40"/>
              <w:rPr>
                <w:rFonts w:cs="Arial"/>
                <w:sz w:val="18"/>
                <w:szCs w:val="18"/>
              </w:rPr>
            </w:pPr>
            <w:r>
              <w:rPr>
                <w:sz w:val="18"/>
                <w:szCs w:val="18"/>
              </w:rPr>
              <w:t>Helburuaren kodea</w:t>
            </w:r>
          </w:p>
        </w:tc>
        <w:tc>
          <w:tcPr>
            <w:tcW w:w="1769" w:type="dxa"/>
          </w:tcPr>
          <w:p w:rsidR="008932F8" w:rsidRPr="001760CB" w:rsidRDefault="008932F8" w:rsidP="003D3880">
            <w:pPr>
              <w:pStyle w:val="Textoindependiente"/>
              <w:spacing w:before="40" w:after="40"/>
              <w:rPr>
                <w:rFonts w:cs="Arial"/>
                <w:sz w:val="18"/>
                <w:szCs w:val="18"/>
              </w:rPr>
            </w:pPr>
            <w:r>
              <w:rPr>
                <w:sz w:val="18"/>
                <w:szCs w:val="18"/>
              </w:rPr>
              <w:t>deskribapena</w:t>
            </w:r>
          </w:p>
        </w:tc>
        <w:tc>
          <w:tcPr>
            <w:tcW w:w="838" w:type="dxa"/>
          </w:tcPr>
          <w:p w:rsidR="008932F8" w:rsidRPr="001760CB" w:rsidRDefault="008932F8" w:rsidP="003D3880">
            <w:pPr>
              <w:pStyle w:val="Textoindependiente"/>
              <w:spacing w:before="40" w:after="40"/>
              <w:rPr>
                <w:rFonts w:cs="Arial"/>
                <w:sz w:val="18"/>
                <w:szCs w:val="18"/>
              </w:rPr>
            </w:pPr>
            <w:r>
              <w:rPr>
                <w:sz w:val="18"/>
                <w:szCs w:val="18"/>
              </w:rPr>
              <w:t>2010</w:t>
            </w:r>
          </w:p>
        </w:tc>
        <w:tc>
          <w:tcPr>
            <w:tcW w:w="720" w:type="dxa"/>
          </w:tcPr>
          <w:p w:rsidR="008932F8" w:rsidRPr="001760CB" w:rsidRDefault="008932F8" w:rsidP="003D3880">
            <w:pPr>
              <w:pStyle w:val="Textoindependiente"/>
              <w:spacing w:before="40" w:after="40"/>
              <w:rPr>
                <w:rFonts w:cs="Arial"/>
                <w:sz w:val="18"/>
                <w:szCs w:val="18"/>
              </w:rPr>
            </w:pPr>
            <w:r>
              <w:rPr>
                <w:sz w:val="18"/>
                <w:szCs w:val="18"/>
              </w:rPr>
              <w:t>2014</w:t>
            </w:r>
          </w:p>
        </w:tc>
        <w:tc>
          <w:tcPr>
            <w:tcW w:w="1291" w:type="dxa"/>
          </w:tcPr>
          <w:p w:rsidR="008932F8" w:rsidRPr="001760CB" w:rsidRDefault="008932F8" w:rsidP="003D3880">
            <w:pPr>
              <w:pStyle w:val="Textoindependiente"/>
              <w:spacing w:before="40" w:after="40"/>
              <w:rPr>
                <w:rFonts w:cs="Arial"/>
                <w:sz w:val="18"/>
                <w:szCs w:val="18"/>
              </w:rPr>
            </w:pPr>
            <w:r>
              <w:rPr>
                <w:sz w:val="18"/>
                <w:szCs w:val="18"/>
              </w:rPr>
              <w:t>2017. helburua.</w:t>
            </w:r>
          </w:p>
        </w:tc>
      </w:tr>
      <w:tr w:rsidR="008932F8" w:rsidRPr="001760CB" w:rsidTr="00C13649">
        <w:trPr>
          <w:trHeight w:val="315"/>
        </w:trPr>
        <w:tc>
          <w:tcPr>
            <w:tcW w:w="3168" w:type="dxa"/>
          </w:tcPr>
          <w:p w:rsidR="008932F8" w:rsidRPr="001760CB" w:rsidRDefault="008932F8" w:rsidP="003D3880">
            <w:pPr>
              <w:pStyle w:val="Textoindependiente"/>
              <w:spacing w:before="40" w:after="40"/>
              <w:rPr>
                <w:rFonts w:cs="Arial"/>
                <w:sz w:val="18"/>
                <w:szCs w:val="18"/>
              </w:rPr>
            </w:pPr>
            <w:r>
              <w:rPr>
                <w:sz w:val="18"/>
                <w:szCs w:val="18"/>
              </w:rPr>
              <w:t xml:space="preserve">Errefusa (hondakin nahasiak) </w:t>
            </w:r>
          </w:p>
        </w:tc>
        <w:tc>
          <w:tcPr>
            <w:tcW w:w="1291" w:type="dxa"/>
          </w:tcPr>
          <w:p w:rsidR="008932F8" w:rsidRPr="001760CB" w:rsidRDefault="008932F8" w:rsidP="003D3880">
            <w:pPr>
              <w:pStyle w:val="Textoindependiente"/>
              <w:spacing w:before="40" w:after="40"/>
              <w:rPr>
                <w:rFonts w:cs="Arial"/>
                <w:sz w:val="18"/>
                <w:szCs w:val="18"/>
              </w:rPr>
            </w:pPr>
            <w:r>
              <w:rPr>
                <w:sz w:val="18"/>
                <w:szCs w:val="18"/>
              </w:rPr>
              <w:t xml:space="preserve">O.R.05 </w:t>
            </w:r>
          </w:p>
        </w:tc>
        <w:tc>
          <w:tcPr>
            <w:tcW w:w="1769" w:type="dxa"/>
          </w:tcPr>
          <w:p w:rsidR="008932F8" w:rsidRPr="001760CB" w:rsidRDefault="008932F8" w:rsidP="003D3880">
            <w:pPr>
              <w:pStyle w:val="Textoindependiente"/>
              <w:spacing w:before="40" w:after="40"/>
              <w:rPr>
                <w:rFonts w:cs="Arial"/>
                <w:sz w:val="18"/>
                <w:szCs w:val="18"/>
              </w:rPr>
            </w:pPr>
            <w:r>
              <w:rPr>
                <w:sz w:val="18"/>
                <w:szCs w:val="18"/>
              </w:rPr>
              <w:t xml:space="preserve">Errefusaren </w:t>
            </w:r>
            <w:proofErr w:type="spellStart"/>
            <w:r>
              <w:rPr>
                <w:sz w:val="18"/>
                <w:szCs w:val="18"/>
              </w:rPr>
              <w:t>tratamentua</w:t>
            </w:r>
            <w:proofErr w:type="spellEnd"/>
            <w:r>
              <w:rPr>
                <w:sz w:val="18"/>
                <w:szCs w:val="18"/>
              </w:rPr>
              <w:t xml:space="preserve"> </w:t>
            </w:r>
          </w:p>
        </w:tc>
        <w:tc>
          <w:tcPr>
            <w:tcW w:w="838" w:type="dxa"/>
          </w:tcPr>
          <w:p w:rsidR="008932F8" w:rsidRPr="001760CB" w:rsidRDefault="008932F8" w:rsidP="003D3880">
            <w:pPr>
              <w:pStyle w:val="Textoindependiente"/>
              <w:spacing w:before="40" w:after="40"/>
              <w:rPr>
                <w:rFonts w:cs="Arial"/>
                <w:sz w:val="18"/>
                <w:szCs w:val="18"/>
              </w:rPr>
            </w:pPr>
            <w:r>
              <w:rPr>
                <w:sz w:val="18"/>
                <w:szCs w:val="18"/>
              </w:rPr>
              <w:t xml:space="preserve">38% </w:t>
            </w:r>
          </w:p>
        </w:tc>
        <w:tc>
          <w:tcPr>
            <w:tcW w:w="720" w:type="dxa"/>
          </w:tcPr>
          <w:p w:rsidR="008932F8" w:rsidRPr="001760CB" w:rsidRDefault="008932F8" w:rsidP="003D3880">
            <w:pPr>
              <w:pStyle w:val="Textoindependiente"/>
              <w:spacing w:before="40" w:after="40"/>
              <w:rPr>
                <w:rFonts w:cs="Arial"/>
                <w:sz w:val="18"/>
                <w:szCs w:val="18"/>
              </w:rPr>
            </w:pPr>
            <w:r>
              <w:rPr>
                <w:sz w:val="18"/>
                <w:szCs w:val="18"/>
              </w:rPr>
              <w:t xml:space="preserve">43% </w:t>
            </w:r>
          </w:p>
        </w:tc>
        <w:tc>
          <w:tcPr>
            <w:tcW w:w="1291" w:type="dxa"/>
          </w:tcPr>
          <w:p w:rsidR="008932F8" w:rsidRPr="001760CB" w:rsidRDefault="008932F8" w:rsidP="003D3880">
            <w:pPr>
              <w:pStyle w:val="Textoindependiente"/>
              <w:spacing w:before="40" w:after="40"/>
              <w:rPr>
                <w:rFonts w:cs="Arial"/>
                <w:sz w:val="18"/>
                <w:szCs w:val="18"/>
              </w:rPr>
            </w:pPr>
            <w:r>
              <w:rPr>
                <w:sz w:val="18"/>
                <w:szCs w:val="18"/>
              </w:rPr>
              <w:t xml:space="preserve">% 100, 2017-12-31 baino lehen </w:t>
            </w:r>
          </w:p>
        </w:tc>
      </w:tr>
    </w:tbl>
    <w:p w:rsidR="001760CB" w:rsidRPr="008932F8" w:rsidRDefault="001760CB" w:rsidP="008932F8">
      <w:pPr>
        <w:pStyle w:val="Textoindependiente"/>
        <w:spacing w:after="0" w:line="360" w:lineRule="auto"/>
        <w:rPr>
          <w:rFonts w:cs="Arial"/>
          <w:sz w:val="22"/>
          <w:szCs w:val="22"/>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269"/>
        <w:gridCol w:w="803"/>
        <w:gridCol w:w="756"/>
        <w:gridCol w:w="709"/>
        <w:gridCol w:w="828"/>
        <w:gridCol w:w="720"/>
      </w:tblGrid>
      <w:tr w:rsidR="008932F8" w:rsidRPr="001760CB" w:rsidTr="008932F8">
        <w:trPr>
          <w:trHeight w:val="645"/>
        </w:trPr>
        <w:tc>
          <w:tcPr>
            <w:tcW w:w="1368" w:type="dxa"/>
          </w:tcPr>
          <w:p w:rsidR="008932F8" w:rsidRPr="001760CB" w:rsidRDefault="008932F8" w:rsidP="003D3880">
            <w:pPr>
              <w:pStyle w:val="Textoindependiente"/>
              <w:spacing w:before="40" w:after="40"/>
              <w:jc w:val="left"/>
              <w:rPr>
                <w:rFonts w:cs="Arial"/>
                <w:sz w:val="18"/>
                <w:szCs w:val="18"/>
              </w:rPr>
            </w:pPr>
            <w:r>
              <w:rPr>
                <w:sz w:val="18"/>
                <w:szCs w:val="18"/>
              </w:rPr>
              <w:t>Ekintzaren kodea</w:t>
            </w:r>
          </w:p>
        </w:tc>
        <w:tc>
          <w:tcPr>
            <w:tcW w:w="4269" w:type="dxa"/>
          </w:tcPr>
          <w:p w:rsidR="008932F8" w:rsidRPr="001760CB" w:rsidRDefault="008932F8" w:rsidP="003D3880">
            <w:pPr>
              <w:pStyle w:val="Textoindependiente"/>
              <w:spacing w:before="40" w:after="40"/>
              <w:rPr>
                <w:rFonts w:cs="Arial"/>
                <w:sz w:val="18"/>
                <w:szCs w:val="18"/>
              </w:rPr>
            </w:pPr>
            <w:r>
              <w:rPr>
                <w:sz w:val="18"/>
                <w:szCs w:val="18"/>
              </w:rPr>
              <w:t>deskribapena</w:t>
            </w:r>
          </w:p>
        </w:tc>
        <w:tc>
          <w:tcPr>
            <w:tcW w:w="803" w:type="dxa"/>
          </w:tcPr>
          <w:p w:rsidR="008932F8" w:rsidRPr="001760CB" w:rsidRDefault="008932F8" w:rsidP="003D3880">
            <w:pPr>
              <w:pStyle w:val="Textoindependiente"/>
              <w:spacing w:before="40" w:after="40"/>
              <w:rPr>
                <w:rFonts w:cs="Arial"/>
                <w:sz w:val="18"/>
                <w:szCs w:val="18"/>
              </w:rPr>
            </w:pPr>
            <w:r>
              <w:rPr>
                <w:sz w:val="18"/>
                <w:szCs w:val="18"/>
              </w:rPr>
              <w:t>2017</w:t>
            </w:r>
          </w:p>
        </w:tc>
        <w:tc>
          <w:tcPr>
            <w:tcW w:w="756" w:type="dxa"/>
          </w:tcPr>
          <w:p w:rsidR="008932F8" w:rsidRPr="001760CB" w:rsidRDefault="008932F8" w:rsidP="003D3880">
            <w:pPr>
              <w:pStyle w:val="Textoindependiente"/>
              <w:spacing w:before="40" w:after="40"/>
              <w:rPr>
                <w:rFonts w:cs="Arial"/>
                <w:sz w:val="18"/>
                <w:szCs w:val="18"/>
              </w:rPr>
            </w:pPr>
            <w:r>
              <w:rPr>
                <w:sz w:val="18"/>
                <w:szCs w:val="18"/>
              </w:rPr>
              <w:t>2018</w:t>
            </w:r>
          </w:p>
        </w:tc>
        <w:tc>
          <w:tcPr>
            <w:tcW w:w="709" w:type="dxa"/>
          </w:tcPr>
          <w:p w:rsidR="008932F8" w:rsidRPr="001760CB" w:rsidRDefault="008932F8" w:rsidP="003D3880">
            <w:pPr>
              <w:pStyle w:val="Textoindependiente"/>
              <w:spacing w:before="40" w:after="40"/>
              <w:rPr>
                <w:rFonts w:cs="Arial"/>
                <w:sz w:val="18"/>
                <w:szCs w:val="18"/>
              </w:rPr>
            </w:pPr>
            <w:r>
              <w:rPr>
                <w:sz w:val="18"/>
                <w:szCs w:val="18"/>
              </w:rPr>
              <w:t>2019</w:t>
            </w:r>
          </w:p>
        </w:tc>
        <w:tc>
          <w:tcPr>
            <w:tcW w:w="828" w:type="dxa"/>
          </w:tcPr>
          <w:p w:rsidR="008932F8" w:rsidRPr="001760CB" w:rsidRDefault="008932F8" w:rsidP="003D3880">
            <w:pPr>
              <w:pStyle w:val="Textoindependiente"/>
              <w:spacing w:before="40" w:after="40"/>
              <w:rPr>
                <w:rFonts w:cs="Arial"/>
                <w:sz w:val="18"/>
                <w:szCs w:val="18"/>
              </w:rPr>
            </w:pPr>
            <w:r>
              <w:rPr>
                <w:sz w:val="18"/>
                <w:szCs w:val="18"/>
              </w:rPr>
              <w:t>2020</w:t>
            </w:r>
          </w:p>
        </w:tc>
        <w:tc>
          <w:tcPr>
            <w:tcW w:w="720" w:type="dxa"/>
          </w:tcPr>
          <w:p w:rsidR="008932F8" w:rsidRPr="001760CB" w:rsidRDefault="008932F8" w:rsidP="003D3880">
            <w:pPr>
              <w:pStyle w:val="Textoindependiente"/>
              <w:spacing w:before="40" w:after="40"/>
              <w:rPr>
                <w:rFonts w:cs="Arial"/>
                <w:sz w:val="18"/>
                <w:szCs w:val="18"/>
              </w:rPr>
            </w:pPr>
            <w:r>
              <w:rPr>
                <w:sz w:val="18"/>
                <w:szCs w:val="18"/>
              </w:rPr>
              <w:t>2022</w:t>
            </w:r>
          </w:p>
        </w:tc>
      </w:tr>
      <w:tr w:rsidR="008932F8" w:rsidRPr="001760CB" w:rsidTr="008932F8">
        <w:trPr>
          <w:trHeight w:val="645"/>
        </w:trPr>
        <w:tc>
          <w:tcPr>
            <w:tcW w:w="1368" w:type="dxa"/>
            <w:vAlign w:val="center"/>
          </w:tcPr>
          <w:p w:rsidR="008932F8" w:rsidRPr="001760CB" w:rsidRDefault="008932F8" w:rsidP="003D3880">
            <w:pPr>
              <w:pStyle w:val="Textoindependiente"/>
              <w:spacing w:before="40" w:after="40"/>
              <w:jc w:val="left"/>
              <w:rPr>
                <w:rFonts w:cs="Arial"/>
                <w:sz w:val="18"/>
                <w:szCs w:val="18"/>
              </w:rPr>
            </w:pPr>
            <w:r>
              <w:rPr>
                <w:sz w:val="18"/>
                <w:szCs w:val="18"/>
              </w:rPr>
              <w:t>A.R.05.29.56</w:t>
            </w:r>
          </w:p>
        </w:tc>
        <w:tc>
          <w:tcPr>
            <w:tcW w:w="4269" w:type="dxa"/>
            <w:vAlign w:val="center"/>
          </w:tcPr>
          <w:p w:rsidR="008932F8" w:rsidRPr="001760CB" w:rsidRDefault="008932F8" w:rsidP="003D3880">
            <w:pPr>
              <w:pStyle w:val="Textoindependiente"/>
              <w:spacing w:before="40" w:after="40"/>
              <w:rPr>
                <w:rFonts w:cs="Arial"/>
                <w:sz w:val="18"/>
                <w:szCs w:val="18"/>
              </w:rPr>
            </w:pPr>
            <w:r>
              <w:rPr>
                <w:sz w:val="18"/>
                <w:szCs w:val="18"/>
              </w:rPr>
              <w:t>Egun dauden instalazioak egokitzea Nafarroa osoko errefusak jasotzeko eta, kasua bada, aukeran, Iruñerrian errefusa tratatzeko planta berri bat egin dadin sustatzea.</w:t>
            </w:r>
          </w:p>
          <w:p w:rsidR="008932F8" w:rsidRPr="001760CB" w:rsidRDefault="008932F8" w:rsidP="003D3880">
            <w:pPr>
              <w:pStyle w:val="Textoindependiente"/>
              <w:spacing w:before="40" w:after="40"/>
              <w:rPr>
                <w:rFonts w:cs="Arial"/>
                <w:sz w:val="18"/>
                <w:szCs w:val="18"/>
              </w:rPr>
            </w:pPr>
            <w:r>
              <w:rPr>
                <w:sz w:val="18"/>
                <w:szCs w:val="18"/>
              </w:rPr>
              <w:t xml:space="preserve">Halaber, instalazio horiek egokitu eta hobetu behar dira haien efizientzia handitzeko tratatu beharreko zatiki guztietan, hartara birziklatzean </w:t>
            </w:r>
            <w:r>
              <w:rPr>
                <w:sz w:val="18"/>
                <w:szCs w:val="18"/>
              </w:rPr>
              <w:lastRenderedPageBreak/>
              <w:t>aurreikusitako emaitza onenak lortzeko.</w:t>
            </w:r>
          </w:p>
        </w:tc>
        <w:tc>
          <w:tcPr>
            <w:tcW w:w="803" w:type="dxa"/>
            <w:vAlign w:val="center"/>
          </w:tcPr>
          <w:p w:rsidR="008932F8" w:rsidRPr="001760CB" w:rsidRDefault="008932F8" w:rsidP="003D3880">
            <w:pPr>
              <w:pStyle w:val="Textoindependiente"/>
              <w:spacing w:before="40" w:after="40"/>
              <w:rPr>
                <w:rFonts w:cs="Arial"/>
                <w:sz w:val="18"/>
                <w:szCs w:val="18"/>
              </w:rPr>
            </w:pPr>
            <w:r>
              <w:rPr>
                <w:sz w:val="18"/>
                <w:szCs w:val="18"/>
              </w:rPr>
              <w:lastRenderedPageBreak/>
              <w:t>X</w:t>
            </w:r>
          </w:p>
        </w:tc>
        <w:tc>
          <w:tcPr>
            <w:tcW w:w="756" w:type="dxa"/>
            <w:vAlign w:val="center"/>
          </w:tcPr>
          <w:p w:rsidR="008932F8" w:rsidRPr="001760CB" w:rsidRDefault="008932F8" w:rsidP="003D3880">
            <w:pPr>
              <w:pStyle w:val="Textoindependiente"/>
              <w:spacing w:before="40" w:after="40"/>
              <w:rPr>
                <w:rFonts w:cs="Arial"/>
                <w:sz w:val="18"/>
                <w:szCs w:val="18"/>
              </w:rPr>
            </w:pPr>
            <w:r>
              <w:rPr>
                <w:sz w:val="18"/>
                <w:szCs w:val="18"/>
              </w:rPr>
              <w:t>X</w:t>
            </w:r>
          </w:p>
        </w:tc>
        <w:tc>
          <w:tcPr>
            <w:tcW w:w="709" w:type="dxa"/>
            <w:vAlign w:val="center"/>
          </w:tcPr>
          <w:p w:rsidR="008932F8" w:rsidRPr="001760CB" w:rsidRDefault="008932F8" w:rsidP="003D3880">
            <w:pPr>
              <w:pStyle w:val="Textoindependiente"/>
              <w:spacing w:before="40" w:after="40"/>
              <w:rPr>
                <w:rFonts w:cs="Arial"/>
                <w:sz w:val="18"/>
                <w:szCs w:val="18"/>
              </w:rPr>
            </w:pPr>
            <w:r>
              <w:rPr>
                <w:sz w:val="18"/>
                <w:szCs w:val="18"/>
              </w:rPr>
              <w:t>X</w:t>
            </w:r>
          </w:p>
        </w:tc>
        <w:tc>
          <w:tcPr>
            <w:tcW w:w="828" w:type="dxa"/>
            <w:vAlign w:val="center"/>
          </w:tcPr>
          <w:p w:rsidR="008932F8" w:rsidRPr="001760CB" w:rsidRDefault="008932F8" w:rsidP="003D3880">
            <w:pPr>
              <w:pStyle w:val="Textoindependiente"/>
              <w:spacing w:before="40" w:after="40"/>
              <w:rPr>
                <w:rFonts w:cs="Arial"/>
                <w:sz w:val="18"/>
                <w:szCs w:val="18"/>
              </w:rPr>
            </w:pPr>
            <w:r>
              <w:rPr>
                <w:sz w:val="18"/>
                <w:szCs w:val="18"/>
              </w:rPr>
              <w:t>X</w:t>
            </w:r>
          </w:p>
        </w:tc>
        <w:tc>
          <w:tcPr>
            <w:tcW w:w="720" w:type="dxa"/>
            <w:vAlign w:val="center"/>
          </w:tcPr>
          <w:p w:rsidR="008932F8" w:rsidRPr="001760CB" w:rsidRDefault="008932F8" w:rsidP="003D3880">
            <w:pPr>
              <w:pStyle w:val="Textoindependiente"/>
              <w:spacing w:before="40" w:after="40"/>
              <w:rPr>
                <w:rFonts w:cs="Arial"/>
                <w:sz w:val="18"/>
                <w:szCs w:val="18"/>
              </w:rPr>
            </w:pPr>
            <w:r>
              <w:rPr>
                <w:sz w:val="18"/>
                <w:szCs w:val="18"/>
              </w:rPr>
              <w:t>X</w:t>
            </w:r>
          </w:p>
        </w:tc>
      </w:tr>
      <w:bookmarkEnd w:id="1"/>
    </w:tbl>
    <w:p w:rsidR="001760CB" w:rsidRDefault="001760CB" w:rsidP="00F0596D">
      <w:pPr>
        <w:pStyle w:val="Textoindependiente"/>
        <w:spacing w:after="0" w:line="360" w:lineRule="auto"/>
        <w:rPr>
          <w:rFonts w:ascii="Tahoma" w:hAnsi="Tahoma" w:cs="Tahoma"/>
          <w:color w:val="000000"/>
          <w:sz w:val="22"/>
          <w:szCs w:val="22"/>
          <w:lang w:val="es-ES"/>
        </w:rPr>
      </w:pPr>
    </w:p>
    <w:p w:rsidR="009D5A1D" w:rsidRDefault="002D723F" w:rsidP="00F0596D">
      <w:pPr>
        <w:pStyle w:val="Textoindependiente"/>
        <w:spacing w:after="0" w:line="360" w:lineRule="auto"/>
        <w:rPr>
          <w:rFonts w:ascii="Tahoma" w:hAnsi="Tahoma" w:cs="Tahoma"/>
          <w:color w:val="000000"/>
          <w:sz w:val="22"/>
          <w:szCs w:val="22"/>
        </w:rPr>
      </w:pPr>
      <w:r>
        <w:rPr>
          <w:rFonts w:ascii="Tahoma" w:hAnsi="Tahoma"/>
          <w:color w:val="000000"/>
          <w:sz w:val="22"/>
          <w:szCs w:val="22"/>
        </w:rPr>
        <w:t xml:space="preserve">Halaber, aditzera ematen dizugu Nafarroako Hondakinen Planari buruzko informazio guztia honako esteka honetan daukazula: </w:t>
      </w:r>
    </w:p>
    <w:p w:rsidR="001760CB" w:rsidRDefault="003D3880" w:rsidP="00F0596D">
      <w:pPr>
        <w:pStyle w:val="Textoindependiente"/>
        <w:spacing w:after="0" w:line="360" w:lineRule="auto"/>
        <w:rPr>
          <w:rFonts w:ascii="Tahoma" w:hAnsi="Tahoma" w:cs="Tahoma"/>
          <w:color w:val="000000"/>
          <w:sz w:val="22"/>
          <w:szCs w:val="22"/>
        </w:rPr>
      </w:pPr>
      <w:hyperlink r:id="rId9" w:history="1">
        <w:r w:rsidR="001760CB">
          <w:rPr>
            <w:rStyle w:val="Hipervnculo"/>
            <w:rFonts w:ascii="Tahoma" w:hAnsi="Tahoma"/>
            <w:sz w:val="22"/>
            <w:szCs w:val="22"/>
          </w:rPr>
          <w:t>http://www.navarra.es/home_es/Temas/Medio+Ambiente/Residuos/Plan+de+residuos.htm</w:t>
        </w:r>
      </w:hyperlink>
    </w:p>
    <w:p w:rsidR="001760CB" w:rsidRDefault="00966998" w:rsidP="00966998">
      <w:pPr>
        <w:pStyle w:val="Textoindependiente"/>
        <w:spacing w:before="120" w:after="0" w:line="360" w:lineRule="auto"/>
        <w:rPr>
          <w:rFonts w:cs="Arial"/>
          <w:sz w:val="22"/>
          <w:szCs w:val="22"/>
        </w:rPr>
      </w:pPr>
      <w:r>
        <w:rPr>
          <w:sz w:val="22"/>
          <w:szCs w:val="22"/>
        </w:rPr>
        <w:t>Hori guztia jakinarazten dizut, Nafarroako Parlamentuko Erregelamenduaren 194. artikulua betez.</w:t>
      </w:r>
    </w:p>
    <w:p w:rsidR="00901293" w:rsidRPr="00901293" w:rsidRDefault="00901293" w:rsidP="00901293">
      <w:pPr>
        <w:spacing w:line="360" w:lineRule="auto"/>
        <w:jc w:val="center"/>
        <w:rPr>
          <w:rFonts w:ascii="Arial" w:hAnsi="Arial" w:cs="Arial"/>
          <w:sz w:val="22"/>
          <w:szCs w:val="22"/>
        </w:rPr>
      </w:pPr>
      <w:r>
        <w:rPr>
          <w:rFonts w:ascii="Arial" w:hAnsi="Arial"/>
          <w:sz w:val="22"/>
          <w:szCs w:val="22"/>
        </w:rPr>
        <w:t>Iruñean, 2017ko martxoaren 3an</w:t>
      </w:r>
    </w:p>
    <w:p w:rsidR="001760CB" w:rsidRDefault="001760CB" w:rsidP="00901293">
      <w:pPr>
        <w:spacing w:line="360" w:lineRule="auto"/>
        <w:jc w:val="center"/>
        <w:rPr>
          <w:rFonts w:ascii="Arial" w:hAnsi="Arial" w:cs="Arial"/>
          <w:sz w:val="22"/>
          <w:szCs w:val="22"/>
        </w:rPr>
      </w:pPr>
      <w:r>
        <w:rPr>
          <w:sz w:val="22"/>
          <w:szCs w:val="22"/>
        </w:rPr>
        <w:t>Landa Garapeneko, Ingurumeneko eta Toki Administrazioko kontseilaria:</w:t>
      </w:r>
      <w:r>
        <w:rPr>
          <w:rFonts w:ascii="Arial" w:hAnsi="Arial"/>
          <w:sz w:val="22"/>
          <w:szCs w:val="22"/>
        </w:rPr>
        <w:t xml:space="preserve"> Isabel Elizalde </w:t>
      </w:r>
      <w:proofErr w:type="spellStart"/>
      <w:r>
        <w:rPr>
          <w:rFonts w:ascii="Arial" w:hAnsi="Arial"/>
          <w:sz w:val="22"/>
          <w:szCs w:val="22"/>
        </w:rPr>
        <w:t>Arretxea</w:t>
      </w:r>
      <w:proofErr w:type="spellEnd"/>
    </w:p>
    <w:p w:rsidR="000C4EA8" w:rsidRDefault="000C4EA8" w:rsidP="002C487D">
      <w:pPr>
        <w:spacing w:line="360" w:lineRule="auto"/>
        <w:rPr>
          <w:rFonts w:ascii="Arial" w:hAnsi="Arial" w:cs="Arial"/>
          <w:sz w:val="22"/>
          <w:szCs w:val="22"/>
        </w:rPr>
      </w:pPr>
    </w:p>
    <w:sectPr w:rsidR="000C4EA8" w:rsidSect="00F008A3">
      <w:headerReference w:type="default" r:id="rId10"/>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628" w:rsidRDefault="00D32628">
      <w:r>
        <w:separator/>
      </w:r>
    </w:p>
  </w:endnote>
  <w:endnote w:type="continuationSeparator" w:id="0">
    <w:p w:rsidR="00D32628" w:rsidRDefault="00D3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628" w:rsidRDefault="00D32628">
      <w:r>
        <w:separator/>
      </w:r>
    </w:p>
  </w:footnote>
  <w:footnote w:type="continuationSeparator" w:id="0">
    <w:p w:rsidR="00D32628" w:rsidRDefault="00D3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8313F"/>
    <w:rsid w:val="000C4EA8"/>
    <w:rsid w:val="00162111"/>
    <w:rsid w:val="001760CB"/>
    <w:rsid w:val="002B0435"/>
    <w:rsid w:val="002C487D"/>
    <w:rsid w:val="002D723F"/>
    <w:rsid w:val="002D7F3F"/>
    <w:rsid w:val="0030333F"/>
    <w:rsid w:val="003D3880"/>
    <w:rsid w:val="003F202A"/>
    <w:rsid w:val="0041058C"/>
    <w:rsid w:val="00440B04"/>
    <w:rsid w:val="004A7F4C"/>
    <w:rsid w:val="004F4DAA"/>
    <w:rsid w:val="0051364C"/>
    <w:rsid w:val="006415DD"/>
    <w:rsid w:val="00710131"/>
    <w:rsid w:val="007254CC"/>
    <w:rsid w:val="007751A2"/>
    <w:rsid w:val="00807388"/>
    <w:rsid w:val="00842199"/>
    <w:rsid w:val="00886558"/>
    <w:rsid w:val="008932F8"/>
    <w:rsid w:val="008E7325"/>
    <w:rsid w:val="00901293"/>
    <w:rsid w:val="009222E1"/>
    <w:rsid w:val="009573E3"/>
    <w:rsid w:val="00966998"/>
    <w:rsid w:val="009D5A1D"/>
    <w:rsid w:val="00A526BF"/>
    <w:rsid w:val="00A52CE4"/>
    <w:rsid w:val="00A572B9"/>
    <w:rsid w:val="00B8751E"/>
    <w:rsid w:val="00BA3258"/>
    <w:rsid w:val="00BD7FDC"/>
    <w:rsid w:val="00BF26FD"/>
    <w:rsid w:val="00C14281"/>
    <w:rsid w:val="00C75BB9"/>
    <w:rsid w:val="00C8136E"/>
    <w:rsid w:val="00D32628"/>
    <w:rsid w:val="00D81E4B"/>
    <w:rsid w:val="00DA210E"/>
    <w:rsid w:val="00DC4FB9"/>
    <w:rsid w:val="00E76CF6"/>
    <w:rsid w:val="00EB02C9"/>
    <w:rsid w:val="00EC430E"/>
    <w:rsid w:val="00F008A3"/>
    <w:rsid w:val="00F0596D"/>
    <w:rsid w:val="00F57AC4"/>
    <w:rsid w:val="00F72A37"/>
    <w:rsid w:val="00FD6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character" w:styleId="Hipervnculo">
    <w:name w:val="Hyperlink"/>
    <w:basedOn w:val="Fuentedeprrafopredeter"/>
    <w:rsid w:val="009D5A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character" w:styleId="Hipervnculo">
    <w:name w:val="Hyperlink"/>
    <w:basedOn w:val="Fuentedeprrafopredeter"/>
    <w:rsid w:val="009D5A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varra.es/home_es/Temas/Medio+Ambiente/Residuos/Plan+de+residuo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A64F-81F2-4B88-8AFE-484D38C6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10</TotalTime>
  <Pages>4</Pages>
  <Words>935</Words>
  <Characters>7039</Characters>
  <Application>Microsoft Office Word</Application>
  <DocSecurity>0</DocSecurity>
  <Lines>586</Lines>
  <Paragraphs>569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3</cp:revision>
  <cp:lastPrinted>2017-03-02T12:09:00Z</cp:lastPrinted>
  <dcterms:created xsi:type="dcterms:W3CDTF">2017-04-24T10:12:00Z</dcterms:created>
  <dcterms:modified xsi:type="dcterms:W3CDTF">2017-04-24T11:54:00Z</dcterms:modified>
</cp:coreProperties>
</file>