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73B7F" w:rsidRDefault="00CB70CD" w:rsidP="00207D58">
      <w:pPr>
        <w:pStyle w:val="EstiloPortada"/>
        <w:ind w:left="3840" w:right="-58"/>
        <w:rPr>
          <w:b w:val="0"/>
          <w:color w:val="BFBFBF" w:themeColor="background1" w:themeShade="BF"/>
        </w:rPr>
      </w:pPr>
      <w:r w:rsidRPr="00873B7F">
        <w:rPr>
          <w:b w:val="0"/>
          <w:noProof/>
          <w:color w:val="A6A6A6" w:themeColor="background1" w:themeShade="A6"/>
          <w:lang w:val="es-ES" w:eastAsia="es-ES"/>
        </w:rPr>
        <mc:AlternateContent>
          <mc:Choice Requires="wps">
            <w:drawing>
              <wp:anchor distT="0" distB="0" distL="114300" distR="114300" simplePos="0" relativeHeight="251657728" behindDoc="0" locked="0" layoutInCell="1" allowOverlap="1" wp14:anchorId="115362F7" wp14:editId="47085600">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062CD" w:rsidRPr="002C7026" w:rsidRDefault="00C062CD"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C062CD" w:rsidRPr="002C7026" w:rsidRDefault="00C062CD"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C062CD" w:rsidRPr="002C7026" w:rsidRDefault="00C062CD"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C062CD" w:rsidRPr="002C7026" w:rsidRDefault="00C062CD"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C062CD" w:rsidRPr="002C7026" w:rsidRDefault="00C062CD"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C062CD" w:rsidRPr="002C7026" w:rsidRDefault="00C062CD"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C062CD" w:rsidRPr="002C7026" w:rsidRDefault="00C062CD"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C062CD" w:rsidRPr="002C7026" w:rsidRDefault="00C062CD"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C062CD" w:rsidRPr="002C7026" w:rsidRDefault="00C062CD"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C062CD" w:rsidRPr="002C7026" w:rsidRDefault="00C062CD"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C062CD" w:rsidRPr="002C7026" w:rsidRDefault="00C062CD"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C062CD" w:rsidRPr="002C7026" w:rsidRDefault="00C062CD"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1C3A32" w:rsidRPr="003C4D81" w:rsidRDefault="001C3A32" w:rsidP="00891D73">
      <w:pPr>
        <w:pStyle w:val="texto"/>
        <w:rPr>
          <w:rFonts w:ascii="Arial" w:hAnsi="Arial" w:cs="Arial"/>
          <w:b/>
          <w:sz w:val="36"/>
          <w:szCs w:val="36"/>
        </w:rPr>
      </w:pPr>
    </w:p>
    <w:p w:rsidR="00491391" w:rsidRDefault="00621A26" w:rsidP="00621A26">
      <w:pPr>
        <w:pStyle w:val="EstiloPortada"/>
        <w:spacing w:before="0"/>
        <w:ind w:left="2694" w:right="-425"/>
        <w:jc w:val="right"/>
        <w:rPr>
          <w:sz w:val="48"/>
          <w:szCs w:val="48"/>
        </w:rPr>
      </w:pPr>
      <w:r w:rsidRPr="00621A26">
        <w:rPr>
          <w:sz w:val="48"/>
          <w:szCs w:val="48"/>
        </w:rPr>
        <w:t xml:space="preserve">Préstamos </w:t>
      </w:r>
      <w:r w:rsidR="00491391">
        <w:rPr>
          <w:sz w:val="48"/>
          <w:szCs w:val="48"/>
        </w:rPr>
        <w:t>de</w:t>
      </w:r>
      <w:r w:rsidRPr="00621A26">
        <w:rPr>
          <w:sz w:val="48"/>
          <w:szCs w:val="48"/>
        </w:rPr>
        <w:t xml:space="preserve"> la sociedad</w:t>
      </w:r>
      <w:r w:rsidR="007857A8">
        <w:rPr>
          <w:sz w:val="48"/>
          <w:szCs w:val="48"/>
        </w:rPr>
        <w:t xml:space="preserve"> </w:t>
      </w:r>
    </w:p>
    <w:p w:rsidR="00491391" w:rsidRDefault="00621A26" w:rsidP="00621A26">
      <w:pPr>
        <w:pStyle w:val="EstiloPortada"/>
        <w:spacing w:before="0"/>
        <w:ind w:left="2694" w:right="-425"/>
        <w:jc w:val="right"/>
        <w:rPr>
          <w:sz w:val="48"/>
          <w:szCs w:val="48"/>
        </w:rPr>
      </w:pPr>
      <w:r>
        <w:rPr>
          <w:sz w:val="48"/>
          <w:szCs w:val="48"/>
        </w:rPr>
        <w:t xml:space="preserve"> </w:t>
      </w:r>
      <w:proofErr w:type="gramStart"/>
      <w:r w:rsidRPr="00621A26">
        <w:rPr>
          <w:sz w:val="48"/>
          <w:szCs w:val="48"/>
        </w:rPr>
        <w:t>pública</w:t>
      </w:r>
      <w:proofErr w:type="gramEnd"/>
      <w:r w:rsidRPr="00621A26">
        <w:rPr>
          <w:sz w:val="48"/>
          <w:szCs w:val="48"/>
        </w:rPr>
        <w:t xml:space="preserve"> Sodena SL a la </w:t>
      </w:r>
    </w:p>
    <w:p w:rsidR="00621A26" w:rsidRPr="00D115AC" w:rsidRDefault="00621A26" w:rsidP="00621A26">
      <w:pPr>
        <w:pStyle w:val="EstiloPortada"/>
        <w:spacing w:before="0"/>
        <w:ind w:left="2694" w:right="-425"/>
        <w:jc w:val="right"/>
        <w:rPr>
          <w:sz w:val="48"/>
          <w:szCs w:val="48"/>
        </w:rPr>
      </w:pPr>
      <w:proofErr w:type="gramStart"/>
      <w:r w:rsidRPr="00621A26">
        <w:rPr>
          <w:sz w:val="48"/>
          <w:szCs w:val="48"/>
        </w:rPr>
        <w:t>empresa</w:t>
      </w:r>
      <w:proofErr w:type="gramEnd"/>
      <w:r>
        <w:rPr>
          <w:sz w:val="48"/>
          <w:szCs w:val="48"/>
        </w:rPr>
        <w:t xml:space="preserve"> </w:t>
      </w:r>
      <w:r w:rsidRPr="00621A26">
        <w:rPr>
          <w:sz w:val="48"/>
          <w:szCs w:val="48"/>
        </w:rPr>
        <w:t>Davalor Salud SL</w:t>
      </w:r>
    </w:p>
    <w:p w:rsidR="001C3A32" w:rsidRDefault="001C3A32" w:rsidP="00BB29A4">
      <w:pPr>
        <w:pStyle w:val="texto"/>
        <w:ind w:left="1843" w:right="-142"/>
      </w:pPr>
    </w:p>
    <w:p w:rsidR="00FE4963" w:rsidRDefault="00FE4963" w:rsidP="00891D73">
      <w:pPr>
        <w:pStyle w:val="texto"/>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Pr="00204979" w:rsidRDefault="00BB29A4" w:rsidP="00891D73">
      <w:pPr>
        <w:pStyle w:val="texto"/>
      </w:pPr>
    </w:p>
    <w:p w:rsidR="00873B7F" w:rsidRDefault="00873B7F" w:rsidP="00764B5C">
      <w:pPr>
        <w:pStyle w:val="texto"/>
        <w:ind w:firstLine="0"/>
      </w:pPr>
    </w:p>
    <w:p w:rsidR="00873B7F" w:rsidRPr="00204979" w:rsidRDefault="00873B7F" w:rsidP="00891D73">
      <w:pPr>
        <w:pStyle w:val="texto"/>
      </w:pPr>
    </w:p>
    <w:p w:rsidR="00716463" w:rsidRPr="000839F5" w:rsidRDefault="000839F5" w:rsidP="009936FC">
      <w:pPr>
        <w:pStyle w:val="Fechaportada"/>
        <w:rPr>
          <w:sz w:val="30"/>
          <w:szCs w:val="30"/>
        </w:rPr>
      </w:pPr>
      <w:r w:rsidRPr="000839F5">
        <w:rPr>
          <w:sz w:val="30"/>
          <w:szCs w:val="30"/>
        </w:rPr>
        <w:t>Mayo,</w:t>
      </w:r>
      <w:r w:rsidR="00407EAE" w:rsidRPr="000839F5">
        <w:rPr>
          <w:sz w:val="30"/>
          <w:szCs w:val="30"/>
        </w:rPr>
        <w:t xml:space="preserve"> </w:t>
      </w:r>
      <w:r w:rsidR="008656F3" w:rsidRPr="000839F5">
        <w:rPr>
          <w:sz w:val="30"/>
          <w:szCs w:val="30"/>
        </w:rPr>
        <w:t>201</w:t>
      </w:r>
      <w:r w:rsidR="00621A26" w:rsidRPr="000839F5">
        <w:rPr>
          <w:sz w:val="30"/>
          <w:szCs w:val="30"/>
        </w:rPr>
        <w:t>7</w:t>
      </w:r>
    </w:p>
    <w:p w:rsidR="008E3FFE" w:rsidRPr="00B52998" w:rsidRDefault="008E3FFE" w:rsidP="00891D73">
      <w:pPr>
        <w:pStyle w:val="ndice"/>
        <w:rPr>
          <w:rFonts w:ascii="Times New Roman" w:hAnsi="Times New Roman"/>
          <w:color w:val="auto"/>
        </w:rPr>
        <w:sectPr w:rsidR="008E3FFE" w:rsidRPr="00B52998" w:rsidSect="00482F67">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CA2049" w:rsidRDefault="004950CC" w:rsidP="008157EA">
      <w:pPr>
        <w:pStyle w:val="texto"/>
        <w:ind w:right="-211"/>
        <w:jc w:val="right"/>
        <w:rPr>
          <w:noProof/>
        </w:rPr>
      </w:pPr>
      <w:r>
        <w:tab/>
      </w:r>
      <w:r>
        <w:tab/>
      </w:r>
      <w:r>
        <w:tab/>
      </w:r>
      <w:r>
        <w:tab/>
      </w:r>
      <w:r>
        <w:tab/>
      </w:r>
      <w:r>
        <w:rPr>
          <w:smallCaps/>
          <w:sz w:val="20"/>
          <w:szCs w:val="20"/>
        </w:rPr>
        <w:t>página</w:t>
      </w:r>
      <w:r w:rsidR="00F81F03">
        <w:t xml:space="preserve"> </w:t>
      </w:r>
      <w:r w:rsidR="00882BEB">
        <w:rPr>
          <w:rFonts w:ascii="Arial Narrow" w:hAnsi="Arial Narrow"/>
          <w:smallCaps/>
          <w:spacing w:val="0"/>
          <w:sz w:val="22"/>
          <w:szCs w:val="20"/>
        </w:rPr>
        <w:fldChar w:fldCharType="begin"/>
      </w:r>
      <w:r w:rsidR="00882BEB">
        <w:instrText xml:space="preserve"> TOC \o "1-3" \h \z \t "atitulo1;1;atitulo2;2" </w:instrText>
      </w:r>
      <w:r w:rsidR="00882BEB">
        <w:rPr>
          <w:rFonts w:ascii="Arial Narrow" w:hAnsi="Arial Narrow"/>
          <w:smallCaps/>
          <w:spacing w:val="0"/>
          <w:sz w:val="22"/>
          <w:szCs w:val="20"/>
        </w:rPr>
        <w:fldChar w:fldCharType="separate"/>
      </w:r>
    </w:p>
    <w:p w:rsidR="00CA2049" w:rsidRDefault="00F065DE">
      <w:pPr>
        <w:pStyle w:val="TDC1"/>
        <w:rPr>
          <w:rFonts w:asciiTheme="minorHAnsi" w:eastAsiaTheme="minorEastAsia" w:hAnsiTheme="minorHAnsi" w:cstheme="minorBidi"/>
          <w:smallCaps w:val="0"/>
          <w:noProof/>
          <w:szCs w:val="22"/>
          <w:lang w:val="es-ES" w:eastAsia="es-ES"/>
        </w:rPr>
      </w:pPr>
      <w:hyperlink w:anchor="_Toc483306999" w:history="1">
        <w:r w:rsidR="00CA2049" w:rsidRPr="00EE1DBD">
          <w:rPr>
            <w:rStyle w:val="Hipervnculo"/>
            <w:noProof/>
          </w:rPr>
          <w:t>I. Introducción</w:t>
        </w:r>
        <w:r w:rsidR="00CA2049">
          <w:rPr>
            <w:noProof/>
            <w:webHidden/>
          </w:rPr>
          <w:tab/>
        </w:r>
        <w:r w:rsidR="00CA2049">
          <w:rPr>
            <w:noProof/>
            <w:webHidden/>
          </w:rPr>
          <w:fldChar w:fldCharType="begin"/>
        </w:r>
        <w:r w:rsidR="00CA2049">
          <w:rPr>
            <w:noProof/>
            <w:webHidden/>
          </w:rPr>
          <w:instrText xml:space="preserve"> PAGEREF _Toc483306999 \h </w:instrText>
        </w:r>
        <w:r w:rsidR="00CA2049">
          <w:rPr>
            <w:noProof/>
            <w:webHidden/>
          </w:rPr>
        </w:r>
        <w:r w:rsidR="00CA2049">
          <w:rPr>
            <w:noProof/>
            <w:webHidden/>
          </w:rPr>
          <w:fldChar w:fldCharType="separate"/>
        </w:r>
        <w:r w:rsidR="00705AEC">
          <w:rPr>
            <w:noProof/>
            <w:webHidden/>
          </w:rPr>
          <w:t>3</w:t>
        </w:r>
        <w:r w:rsidR="00CA2049">
          <w:rPr>
            <w:noProof/>
            <w:webHidden/>
          </w:rPr>
          <w:fldChar w:fldCharType="end"/>
        </w:r>
      </w:hyperlink>
    </w:p>
    <w:p w:rsidR="00CA2049" w:rsidRDefault="00F065DE">
      <w:pPr>
        <w:pStyle w:val="TDC1"/>
        <w:rPr>
          <w:rFonts w:asciiTheme="minorHAnsi" w:eastAsiaTheme="minorEastAsia" w:hAnsiTheme="minorHAnsi" w:cstheme="minorBidi"/>
          <w:smallCaps w:val="0"/>
          <w:noProof/>
          <w:szCs w:val="22"/>
          <w:lang w:val="es-ES" w:eastAsia="es-ES"/>
        </w:rPr>
      </w:pPr>
      <w:hyperlink w:anchor="_Toc483307000" w:history="1">
        <w:r w:rsidR="00CA2049" w:rsidRPr="00EE1DBD">
          <w:rPr>
            <w:rStyle w:val="Hipervnculo"/>
            <w:noProof/>
          </w:rPr>
          <w:t>II. Descripción general de Sodena, SL y Davalor Salud, SL</w:t>
        </w:r>
        <w:r w:rsidR="00CA2049">
          <w:rPr>
            <w:noProof/>
            <w:webHidden/>
          </w:rPr>
          <w:tab/>
        </w:r>
        <w:r w:rsidR="00CA2049">
          <w:rPr>
            <w:noProof/>
            <w:webHidden/>
          </w:rPr>
          <w:fldChar w:fldCharType="begin"/>
        </w:r>
        <w:r w:rsidR="00CA2049">
          <w:rPr>
            <w:noProof/>
            <w:webHidden/>
          </w:rPr>
          <w:instrText xml:space="preserve"> PAGEREF _Toc483307000 \h </w:instrText>
        </w:r>
        <w:r w:rsidR="00CA2049">
          <w:rPr>
            <w:noProof/>
            <w:webHidden/>
          </w:rPr>
        </w:r>
        <w:r w:rsidR="00CA2049">
          <w:rPr>
            <w:noProof/>
            <w:webHidden/>
          </w:rPr>
          <w:fldChar w:fldCharType="separate"/>
        </w:r>
        <w:r w:rsidR="00705AEC">
          <w:rPr>
            <w:noProof/>
            <w:webHidden/>
          </w:rPr>
          <w:t>5</w:t>
        </w:r>
        <w:r w:rsidR="00CA2049">
          <w:rPr>
            <w:noProof/>
            <w:webHidden/>
          </w:rPr>
          <w:fldChar w:fldCharType="end"/>
        </w:r>
      </w:hyperlink>
    </w:p>
    <w:p w:rsidR="00CA2049" w:rsidRDefault="00F065DE">
      <w:pPr>
        <w:pStyle w:val="TDC2"/>
        <w:rPr>
          <w:rFonts w:asciiTheme="minorHAnsi" w:eastAsiaTheme="minorEastAsia" w:hAnsiTheme="minorHAnsi" w:cstheme="minorBidi"/>
          <w:noProof/>
          <w:szCs w:val="22"/>
          <w:lang w:val="es-ES" w:eastAsia="es-ES"/>
        </w:rPr>
      </w:pPr>
      <w:hyperlink w:anchor="_Toc483307001" w:history="1">
        <w:r w:rsidR="00CA2049" w:rsidRPr="00EE1DBD">
          <w:rPr>
            <w:rStyle w:val="Hipervnculo"/>
            <w:noProof/>
          </w:rPr>
          <w:t>II.1. Sociedad de Desarrollo de Navarra, SL</w:t>
        </w:r>
        <w:r w:rsidR="00CA2049">
          <w:rPr>
            <w:noProof/>
            <w:webHidden/>
          </w:rPr>
          <w:tab/>
        </w:r>
        <w:r w:rsidR="00CA2049">
          <w:rPr>
            <w:noProof/>
            <w:webHidden/>
          </w:rPr>
          <w:fldChar w:fldCharType="begin"/>
        </w:r>
        <w:r w:rsidR="00CA2049">
          <w:rPr>
            <w:noProof/>
            <w:webHidden/>
          </w:rPr>
          <w:instrText xml:space="preserve"> PAGEREF _Toc483307001 \h </w:instrText>
        </w:r>
        <w:r w:rsidR="00CA2049">
          <w:rPr>
            <w:noProof/>
            <w:webHidden/>
          </w:rPr>
        </w:r>
        <w:r w:rsidR="00CA2049">
          <w:rPr>
            <w:noProof/>
            <w:webHidden/>
          </w:rPr>
          <w:fldChar w:fldCharType="separate"/>
        </w:r>
        <w:r w:rsidR="00705AEC">
          <w:rPr>
            <w:noProof/>
            <w:webHidden/>
          </w:rPr>
          <w:t>5</w:t>
        </w:r>
        <w:r w:rsidR="00CA2049">
          <w:rPr>
            <w:noProof/>
            <w:webHidden/>
          </w:rPr>
          <w:fldChar w:fldCharType="end"/>
        </w:r>
      </w:hyperlink>
    </w:p>
    <w:p w:rsidR="00CA2049" w:rsidRDefault="00F065DE">
      <w:pPr>
        <w:pStyle w:val="TDC2"/>
        <w:rPr>
          <w:rFonts w:asciiTheme="minorHAnsi" w:eastAsiaTheme="minorEastAsia" w:hAnsiTheme="minorHAnsi" w:cstheme="minorBidi"/>
          <w:noProof/>
          <w:szCs w:val="22"/>
          <w:lang w:val="es-ES" w:eastAsia="es-ES"/>
        </w:rPr>
      </w:pPr>
      <w:hyperlink w:anchor="_Toc483307002" w:history="1">
        <w:r w:rsidR="00CA2049" w:rsidRPr="00EE1DBD">
          <w:rPr>
            <w:rStyle w:val="Hipervnculo"/>
            <w:noProof/>
          </w:rPr>
          <w:t>II.2. Sociedad Davalor Salud, SL</w:t>
        </w:r>
        <w:r w:rsidR="00CA2049">
          <w:rPr>
            <w:noProof/>
            <w:webHidden/>
          </w:rPr>
          <w:tab/>
        </w:r>
        <w:r w:rsidR="00CA2049">
          <w:rPr>
            <w:noProof/>
            <w:webHidden/>
          </w:rPr>
          <w:fldChar w:fldCharType="begin"/>
        </w:r>
        <w:r w:rsidR="00CA2049">
          <w:rPr>
            <w:noProof/>
            <w:webHidden/>
          </w:rPr>
          <w:instrText xml:space="preserve"> PAGEREF _Toc483307002 \h </w:instrText>
        </w:r>
        <w:r w:rsidR="00CA2049">
          <w:rPr>
            <w:noProof/>
            <w:webHidden/>
          </w:rPr>
        </w:r>
        <w:r w:rsidR="00CA2049">
          <w:rPr>
            <w:noProof/>
            <w:webHidden/>
          </w:rPr>
          <w:fldChar w:fldCharType="separate"/>
        </w:r>
        <w:r w:rsidR="00705AEC">
          <w:rPr>
            <w:noProof/>
            <w:webHidden/>
          </w:rPr>
          <w:t>11</w:t>
        </w:r>
        <w:r w:rsidR="00CA2049">
          <w:rPr>
            <w:noProof/>
            <w:webHidden/>
          </w:rPr>
          <w:fldChar w:fldCharType="end"/>
        </w:r>
      </w:hyperlink>
    </w:p>
    <w:p w:rsidR="00CA2049" w:rsidRDefault="00F065DE">
      <w:pPr>
        <w:pStyle w:val="TDC1"/>
        <w:rPr>
          <w:rFonts w:asciiTheme="minorHAnsi" w:eastAsiaTheme="minorEastAsia" w:hAnsiTheme="minorHAnsi" w:cstheme="minorBidi"/>
          <w:smallCaps w:val="0"/>
          <w:noProof/>
          <w:szCs w:val="22"/>
          <w:lang w:val="es-ES" w:eastAsia="es-ES"/>
        </w:rPr>
      </w:pPr>
      <w:hyperlink w:anchor="_Toc483307003" w:history="1">
        <w:r w:rsidR="00CA2049" w:rsidRPr="00EE1DBD">
          <w:rPr>
            <w:rStyle w:val="Hipervnculo"/>
            <w:noProof/>
          </w:rPr>
          <w:t>III. Conclusiones</w:t>
        </w:r>
        <w:r w:rsidR="00CA2049">
          <w:rPr>
            <w:noProof/>
            <w:webHidden/>
          </w:rPr>
          <w:tab/>
        </w:r>
        <w:r w:rsidR="00CA2049">
          <w:rPr>
            <w:noProof/>
            <w:webHidden/>
          </w:rPr>
          <w:fldChar w:fldCharType="begin"/>
        </w:r>
        <w:r w:rsidR="00CA2049">
          <w:rPr>
            <w:noProof/>
            <w:webHidden/>
          </w:rPr>
          <w:instrText xml:space="preserve"> PAGEREF _Toc483307003 \h </w:instrText>
        </w:r>
        <w:r w:rsidR="00CA2049">
          <w:rPr>
            <w:noProof/>
            <w:webHidden/>
          </w:rPr>
        </w:r>
        <w:r w:rsidR="00CA2049">
          <w:rPr>
            <w:noProof/>
            <w:webHidden/>
          </w:rPr>
          <w:fldChar w:fldCharType="separate"/>
        </w:r>
        <w:r w:rsidR="00705AEC">
          <w:rPr>
            <w:noProof/>
            <w:webHidden/>
          </w:rPr>
          <w:t>18</w:t>
        </w:r>
        <w:r w:rsidR="00CA2049">
          <w:rPr>
            <w:noProof/>
            <w:webHidden/>
          </w:rPr>
          <w:fldChar w:fldCharType="end"/>
        </w:r>
      </w:hyperlink>
    </w:p>
    <w:p w:rsidR="00CA2049" w:rsidRDefault="00F065DE">
      <w:pPr>
        <w:pStyle w:val="TDC2"/>
        <w:rPr>
          <w:rFonts w:asciiTheme="minorHAnsi" w:eastAsiaTheme="minorEastAsia" w:hAnsiTheme="minorHAnsi" w:cstheme="minorBidi"/>
          <w:noProof/>
          <w:szCs w:val="22"/>
          <w:lang w:val="es-ES" w:eastAsia="es-ES"/>
        </w:rPr>
      </w:pPr>
      <w:hyperlink w:anchor="_Toc483307004" w:history="1">
        <w:r w:rsidR="00CA2049" w:rsidRPr="00EE1DBD">
          <w:rPr>
            <w:rStyle w:val="Hipervnculo"/>
            <w:noProof/>
          </w:rPr>
          <w:t xml:space="preserve">III.1. Cuantificación y características de los préstamos concedidos por Sodena, SL </w:t>
        </w:r>
        <w:r w:rsidR="00CA2049">
          <w:rPr>
            <w:rStyle w:val="Hipervnculo"/>
            <w:noProof/>
          </w:rPr>
          <w:t xml:space="preserve">                                     </w:t>
        </w:r>
        <w:r w:rsidR="00CA2049" w:rsidRPr="00EE1DBD">
          <w:rPr>
            <w:rStyle w:val="Hipervnculo"/>
            <w:noProof/>
          </w:rPr>
          <w:t>a Davalor Salud, SL.</w:t>
        </w:r>
        <w:r w:rsidR="00CA2049">
          <w:rPr>
            <w:noProof/>
            <w:webHidden/>
          </w:rPr>
          <w:tab/>
        </w:r>
        <w:r w:rsidR="00CA2049">
          <w:rPr>
            <w:noProof/>
            <w:webHidden/>
          </w:rPr>
          <w:fldChar w:fldCharType="begin"/>
        </w:r>
        <w:r w:rsidR="00CA2049">
          <w:rPr>
            <w:noProof/>
            <w:webHidden/>
          </w:rPr>
          <w:instrText xml:space="preserve"> PAGEREF _Toc483307004 \h </w:instrText>
        </w:r>
        <w:r w:rsidR="00CA2049">
          <w:rPr>
            <w:noProof/>
            <w:webHidden/>
          </w:rPr>
        </w:r>
        <w:r w:rsidR="00CA2049">
          <w:rPr>
            <w:noProof/>
            <w:webHidden/>
          </w:rPr>
          <w:fldChar w:fldCharType="separate"/>
        </w:r>
        <w:r w:rsidR="00705AEC">
          <w:rPr>
            <w:noProof/>
            <w:webHidden/>
          </w:rPr>
          <w:t>18</w:t>
        </w:r>
        <w:r w:rsidR="00CA2049">
          <w:rPr>
            <w:noProof/>
            <w:webHidden/>
          </w:rPr>
          <w:fldChar w:fldCharType="end"/>
        </w:r>
      </w:hyperlink>
    </w:p>
    <w:p w:rsidR="00CA2049" w:rsidRDefault="00F065DE">
      <w:pPr>
        <w:pStyle w:val="TDC2"/>
        <w:rPr>
          <w:rFonts w:asciiTheme="minorHAnsi" w:eastAsiaTheme="minorEastAsia" w:hAnsiTheme="minorHAnsi" w:cstheme="minorBidi"/>
          <w:noProof/>
          <w:szCs w:val="22"/>
          <w:lang w:val="es-ES" w:eastAsia="es-ES"/>
        </w:rPr>
      </w:pPr>
      <w:hyperlink w:anchor="_Toc483307005" w:history="1">
        <w:r w:rsidR="00CA2049" w:rsidRPr="00EE1DBD">
          <w:rPr>
            <w:rStyle w:val="Hipervnculo"/>
            <w:noProof/>
          </w:rPr>
          <w:t xml:space="preserve">III.2. Cumplimiento por Sodena de la normativa reguladora para la concesión de los préstamos </w:t>
        </w:r>
        <w:r w:rsidR="00CA2049">
          <w:rPr>
            <w:rStyle w:val="Hipervnculo"/>
            <w:noProof/>
          </w:rPr>
          <w:t xml:space="preserve">                      </w:t>
        </w:r>
        <w:r w:rsidR="00CA2049" w:rsidRPr="00EE1DBD">
          <w:rPr>
            <w:rStyle w:val="Hipervnculo"/>
            <w:noProof/>
          </w:rPr>
          <w:t>a Davalor Salud, SL</w:t>
        </w:r>
        <w:r w:rsidR="00CA2049">
          <w:rPr>
            <w:noProof/>
            <w:webHidden/>
          </w:rPr>
          <w:tab/>
        </w:r>
        <w:r w:rsidR="00CA2049">
          <w:rPr>
            <w:noProof/>
            <w:webHidden/>
          </w:rPr>
          <w:fldChar w:fldCharType="begin"/>
        </w:r>
        <w:r w:rsidR="00CA2049">
          <w:rPr>
            <w:noProof/>
            <w:webHidden/>
          </w:rPr>
          <w:instrText xml:space="preserve"> PAGEREF _Toc483307005 \h </w:instrText>
        </w:r>
        <w:r w:rsidR="00CA2049">
          <w:rPr>
            <w:noProof/>
            <w:webHidden/>
          </w:rPr>
        </w:r>
        <w:r w:rsidR="00CA2049">
          <w:rPr>
            <w:noProof/>
            <w:webHidden/>
          </w:rPr>
          <w:fldChar w:fldCharType="separate"/>
        </w:r>
        <w:r w:rsidR="00705AEC">
          <w:rPr>
            <w:noProof/>
            <w:webHidden/>
          </w:rPr>
          <w:t>20</w:t>
        </w:r>
        <w:r w:rsidR="00CA2049">
          <w:rPr>
            <w:noProof/>
            <w:webHidden/>
          </w:rPr>
          <w:fldChar w:fldCharType="end"/>
        </w:r>
      </w:hyperlink>
    </w:p>
    <w:p w:rsidR="00CA2049" w:rsidRDefault="00F065DE">
      <w:pPr>
        <w:pStyle w:val="TDC1"/>
        <w:rPr>
          <w:rFonts w:asciiTheme="minorHAnsi" w:eastAsiaTheme="minorEastAsia" w:hAnsiTheme="minorHAnsi" w:cstheme="minorBidi"/>
          <w:smallCaps w:val="0"/>
          <w:noProof/>
          <w:szCs w:val="22"/>
          <w:lang w:val="es-ES" w:eastAsia="es-ES"/>
        </w:rPr>
      </w:pPr>
      <w:hyperlink w:anchor="_Toc483307006" w:history="1">
        <w:r w:rsidR="00CA2049" w:rsidRPr="00EE1DBD">
          <w:rPr>
            <w:rStyle w:val="Hipervnculo"/>
            <w:noProof/>
            <w:lang w:val="es-ES" w:eastAsia="es-ES"/>
          </w:rPr>
          <w:t>IV. Comentarios y observaciones</w:t>
        </w:r>
        <w:r w:rsidR="00CA2049">
          <w:rPr>
            <w:noProof/>
            <w:webHidden/>
          </w:rPr>
          <w:tab/>
        </w:r>
        <w:r w:rsidR="00CA2049">
          <w:rPr>
            <w:noProof/>
            <w:webHidden/>
          </w:rPr>
          <w:fldChar w:fldCharType="begin"/>
        </w:r>
        <w:r w:rsidR="00CA2049">
          <w:rPr>
            <w:noProof/>
            <w:webHidden/>
          </w:rPr>
          <w:instrText xml:space="preserve"> PAGEREF _Toc483307006 \h </w:instrText>
        </w:r>
        <w:r w:rsidR="00CA2049">
          <w:rPr>
            <w:noProof/>
            <w:webHidden/>
          </w:rPr>
        </w:r>
        <w:r w:rsidR="00CA2049">
          <w:rPr>
            <w:noProof/>
            <w:webHidden/>
          </w:rPr>
          <w:fldChar w:fldCharType="separate"/>
        </w:r>
        <w:r w:rsidR="00705AEC">
          <w:rPr>
            <w:noProof/>
            <w:webHidden/>
          </w:rPr>
          <w:t>24</w:t>
        </w:r>
        <w:r w:rsidR="00CA2049">
          <w:rPr>
            <w:noProof/>
            <w:webHidden/>
          </w:rPr>
          <w:fldChar w:fldCharType="end"/>
        </w:r>
      </w:hyperlink>
    </w:p>
    <w:p w:rsidR="00CA2049" w:rsidRDefault="00F065DE">
      <w:pPr>
        <w:pStyle w:val="TDC2"/>
        <w:rPr>
          <w:rFonts w:asciiTheme="minorHAnsi" w:eastAsiaTheme="minorEastAsia" w:hAnsiTheme="minorHAnsi" w:cstheme="minorBidi"/>
          <w:noProof/>
          <w:szCs w:val="22"/>
          <w:lang w:val="es-ES" w:eastAsia="es-ES"/>
        </w:rPr>
      </w:pPr>
      <w:hyperlink w:anchor="_Toc483307007" w:history="1">
        <w:r w:rsidR="00CA2049" w:rsidRPr="00EE1DBD">
          <w:rPr>
            <w:rStyle w:val="Hipervnculo"/>
            <w:noProof/>
            <w:lang w:val="es-ES" w:eastAsia="es-ES"/>
          </w:rPr>
          <w:t>IV.1. Préstamo participativo de un millón de euros</w:t>
        </w:r>
        <w:r w:rsidR="00CA2049">
          <w:rPr>
            <w:noProof/>
            <w:webHidden/>
          </w:rPr>
          <w:tab/>
        </w:r>
        <w:r w:rsidR="00CA2049">
          <w:rPr>
            <w:noProof/>
            <w:webHidden/>
          </w:rPr>
          <w:fldChar w:fldCharType="begin"/>
        </w:r>
        <w:r w:rsidR="00CA2049">
          <w:rPr>
            <w:noProof/>
            <w:webHidden/>
          </w:rPr>
          <w:instrText xml:space="preserve"> PAGEREF _Toc483307007 \h </w:instrText>
        </w:r>
        <w:r w:rsidR="00CA2049">
          <w:rPr>
            <w:noProof/>
            <w:webHidden/>
          </w:rPr>
        </w:r>
        <w:r w:rsidR="00CA2049">
          <w:rPr>
            <w:noProof/>
            <w:webHidden/>
          </w:rPr>
          <w:fldChar w:fldCharType="separate"/>
        </w:r>
        <w:r w:rsidR="00705AEC">
          <w:rPr>
            <w:noProof/>
            <w:webHidden/>
          </w:rPr>
          <w:t>24</w:t>
        </w:r>
        <w:r w:rsidR="00CA2049">
          <w:rPr>
            <w:noProof/>
            <w:webHidden/>
          </w:rPr>
          <w:fldChar w:fldCharType="end"/>
        </w:r>
      </w:hyperlink>
    </w:p>
    <w:p w:rsidR="00CA2049" w:rsidRDefault="00F065DE">
      <w:pPr>
        <w:pStyle w:val="TDC2"/>
        <w:rPr>
          <w:rFonts w:asciiTheme="minorHAnsi" w:eastAsiaTheme="minorEastAsia" w:hAnsiTheme="minorHAnsi" w:cstheme="minorBidi"/>
          <w:noProof/>
          <w:szCs w:val="22"/>
          <w:lang w:val="es-ES" w:eastAsia="es-ES"/>
        </w:rPr>
      </w:pPr>
      <w:hyperlink w:anchor="_Toc483307008" w:history="1">
        <w:r w:rsidR="00CA2049" w:rsidRPr="00EE1DBD">
          <w:rPr>
            <w:rStyle w:val="Hipervnculo"/>
            <w:noProof/>
            <w:lang w:val="es-ES" w:eastAsia="es-ES"/>
          </w:rPr>
          <w:t>IV.2. Préstamos BEI de 400.000 y de 600.000 euros</w:t>
        </w:r>
        <w:r w:rsidR="00CA2049">
          <w:rPr>
            <w:noProof/>
            <w:webHidden/>
          </w:rPr>
          <w:tab/>
        </w:r>
        <w:r w:rsidR="00CA2049">
          <w:rPr>
            <w:noProof/>
            <w:webHidden/>
          </w:rPr>
          <w:fldChar w:fldCharType="begin"/>
        </w:r>
        <w:r w:rsidR="00CA2049">
          <w:rPr>
            <w:noProof/>
            <w:webHidden/>
          </w:rPr>
          <w:instrText xml:space="preserve"> PAGEREF _Toc483307008 \h </w:instrText>
        </w:r>
        <w:r w:rsidR="00CA2049">
          <w:rPr>
            <w:noProof/>
            <w:webHidden/>
          </w:rPr>
        </w:r>
        <w:r w:rsidR="00CA2049">
          <w:rPr>
            <w:noProof/>
            <w:webHidden/>
          </w:rPr>
          <w:fldChar w:fldCharType="separate"/>
        </w:r>
        <w:r w:rsidR="00705AEC">
          <w:rPr>
            <w:noProof/>
            <w:webHidden/>
          </w:rPr>
          <w:t>29</w:t>
        </w:r>
        <w:r w:rsidR="00CA2049">
          <w:rPr>
            <w:noProof/>
            <w:webHidden/>
          </w:rPr>
          <w:fldChar w:fldCharType="end"/>
        </w:r>
      </w:hyperlink>
    </w:p>
    <w:p w:rsidR="00CA2049" w:rsidRDefault="00F065DE">
      <w:pPr>
        <w:pStyle w:val="TDC1"/>
        <w:rPr>
          <w:rFonts w:asciiTheme="minorHAnsi" w:eastAsiaTheme="minorEastAsia" w:hAnsiTheme="minorHAnsi" w:cstheme="minorBidi"/>
          <w:smallCaps w:val="0"/>
          <w:noProof/>
          <w:szCs w:val="22"/>
          <w:lang w:val="es-ES" w:eastAsia="es-ES"/>
        </w:rPr>
      </w:pPr>
      <w:hyperlink w:anchor="_Toc483307009" w:history="1">
        <w:r w:rsidR="00CA2049" w:rsidRPr="00EE1DBD">
          <w:rPr>
            <w:rStyle w:val="Hipervnculo"/>
            <w:noProof/>
          </w:rPr>
          <w:t>Alegaciones formuladas por Davalor Salud, SL al informe provisional</w:t>
        </w:r>
        <w:r w:rsidR="00CA2049">
          <w:rPr>
            <w:noProof/>
            <w:webHidden/>
          </w:rPr>
          <w:tab/>
        </w:r>
        <w:r w:rsidR="00CA2049">
          <w:rPr>
            <w:noProof/>
            <w:webHidden/>
          </w:rPr>
          <w:fldChar w:fldCharType="begin"/>
        </w:r>
        <w:r w:rsidR="00CA2049">
          <w:rPr>
            <w:noProof/>
            <w:webHidden/>
          </w:rPr>
          <w:instrText xml:space="preserve"> PAGEREF _Toc483307009 \h </w:instrText>
        </w:r>
        <w:r w:rsidR="00CA2049">
          <w:rPr>
            <w:noProof/>
            <w:webHidden/>
          </w:rPr>
        </w:r>
        <w:r w:rsidR="00CA2049">
          <w:rPr>
            <w:noProof/>
            <w:webHidden/>
          </w:rPr>
          <w:fldChar w:fldCharType="separate"/>
        </w:r>
        <w:r w:rsidR="00705AEC">
          <w:rPr>
            <w:noProof/>
            <w:webHidden/>
          </w:rPr>
          <w:t>34</w:t>
        </w:r>
        <w:r w:rsidR="00CA2049">
          <w:rPr>
            <w:noProof/>
            <w:webHidden/>
          </w:rPr>
          <w:fldChar w:fldCharType="end"/>
        </w:r>
      </w:hyperlink>
    </w:p>
    <w:p w:rsidR="00891D73" w:rsidRDefault="00882BEB" w:rsidP="00146342">
      <w:pPr>
        <w:pStyle w:val="texto"/>
      </w:pPr>
      <w:r>
        <w:fldChar w:fldCharType="end"/>
      </w:r>
    </w:p>
    <w:p w:rsidR="00891D73" w:rsidRDefault="00891D73" w:rsidP="00146342">
      <w:pPr>
        <w:pStyle w:val="texto"/>
      </w:pPr>
    </w:p>
    <w:p w:rsidR="008E3FFE" w:rsidRDefault="008E3FFE" w:rsidP="00587AC6">
      <w:pPr>
        <w:pStyle w:val="texto"/>
        <w:ind w:firstLine="0"/>
        <w:sectPr w:rsidR="008E3FFE" w:rsidSect="00482F67">
          <w:type w:val="oddPage"/>
          <w:pgSz w:w="11907" w:h="16840" w:code="9"/>
          <w:pgMar w:top="2109" w:right="1559" w:bottom="1644" w:left="1559" w:header="369" w:footer="402" w:gutter="0"/>
          <w:pgNumType w:start="3"/>
          <w:cols w:space="720"/>
          <w:docGrid w:linePitch="360"/>
        </w:sectPr>
      </w:pPr>
    </w:p>
    <w:p w:rsidR="00BB7F16" w:rsidRDefault="00BB7F16" w:rsidP="00BB7F16">
      <w:pPr>
        <w:pStyle w:val="atitulo1"/>
      </w:pPr>
      <w:bookmarkStart w:id="0" w:name="_Toc303592528"/>
      <w:bookmarkStart w:id="1" w:name="_Toc309383711"/>
      <w:bookmarkStart w:id="2" w:name="_Toc339016600"/>
      <w:bookmarkStart w:id="3" w:name="_Toc463350236"/>
      <w:bookmarkStart w:id="4" w:name="_Toc463611381"/>
      <w:bookmarkStart w:id="5" w:name="_Toc483306999"/>
      <w:r w:rsidRPr="00FB570E">
        <w:lastRenderedPageBreak/>
        <w:t>I. Introducción</w:t>
      </w:r>
      <w:bookmarkEnd w:id="0"/>
      <w:bookmarkEnd w:id="1"/>
      <w:bookmarkEnd w:id="2"/>
      <w:bookmarkEnd w:id="3"/>
      <w:bookmarkEnd w:id="4"/>
      <w:bookmarkEnd w:id="5"/>
      <w:r>
        <w:t xml:space="preserve"> </w:t>
      </w:r>
    </w:p>
    <w:p w:rsidR="00B63BF3" w:rsidRPr="00176BC5" w:rsidRDefault="00B63BF3" w:rsidP="00B63BF3">
      <w:pPr>
        <w:pStyle w:val="texto"/>
        <w:rPr>
          <w:spacing w:val="0"/>
          <w:szCs w:val="26"/>
          <w:lang w:val="es-ES" w:eastAsia="es-ES"/>
        </w:rPr>
      </w:pPr>
      <w:r w:rsidRPr="00F30A16">
        <w:rPr>
          <w:szCs w:val="26"/>
          <w:lang w:val="es-ES" w:eastAsia="es-ES"/>
        </w:rPr>
        <w:t>De acuerdo con la Ley Foral 19/1984, de 20 de diciembre, reguladora de la Cámara de Comptos de Navarra-</w:t>
      </w:r>
      <w:proofErr w:type="spellStart"/>
      <w:r w:rsidRPr="00F30A16">
        <w:rPr>
          <w:szCs w:val="26"/>
          <w:lang w:val="es-ES" w:eastAsia="es-ES"/>
        </w:rPr>
        <w:t>Nafarroako</w:t>
      </w:r>
      <w:proofErr w:type="spellEnd"/>
      <w:r w:rsidRPr="00F30A16">
        <w:rPr>
          <w:szCs w:val="26"/>
          <w:lang w:val="es-ES" w:eastAsia="es-ES"/>
        </w:rPr>
        <w:t xml:space="preserve"> </w:t>
      </w:r>
      <w:proofErr w:type="spellStart"/>
      <w:r w:rsidRPr="00F30A16">
        <w:rPr>
          <w:szCs w:val="26"/>
          <w:lang w:val="es-ES" w:eastAsia="es-ES"/>
        </w:rPr>
        <w:t>Kontuen</w:t>
      </w:r>
      <w:proofErr w:type="spellEnd"/>
      <w:r w:rsidRPr="00F30A16">
        <w:rPr>
          <w:szCs w:val="26"/>
          <w:lang w:val="es-ES" w:eastAsia="es-ES"/>
        </w:rPr>
        <w:t xml:space="preserve"> </w:t>
      </w:r>
      <w:proofErr w:type="spellStart"/>
      <w:r w:rsidRPr="00F30A16">
        <w:rPr>
          <w:szCs w:val="26"/>
          <w:lang w:val="es-ES" w:eastAsia="es-ES"/>
        </w:rPr>
        <w:t>Ganb</w:t>
      </w:r>
      <w:r>
        <w:rPr>
          <w:szCs w:val="26"/>
          <w:lang w:val="es-ES" w:eastAsia="es-ES"/>
        </w:rPr>
        <w:t>e</w:t>
      </w:r>
      <w:r w:rsidRPr="00F30A16">
        <w:rPr>
          <w:szCs w:val="26"/>
          <w:lang w:val="es-ES" w:eastAsia="es-ES"/>
        </w:rPr>
        <w:t>ra</w:t>
      </w:r>
      <w:proofErr w:type="spellEnd"/>
      <w:r w:rsidRPr="00F30A16">
        <w:rPr>
          <w:szCs w:val="26"/>
          <w:lang w:val="es-ES" w:eastAsia="es-ES"/>
        </w:rPr>
        <w:t xml:space="preserve"> y a petición de</w:t>
      </w:r>
      <w:r>
        <w:rPr>
          <w:szCs w:val="26"/>
          <w:lang w:val="es-ES" w:eastAsia="es-ES"/>
        </w:rPr>
        <w:t xml:space="preserve"> la agrupación parlamentaria del Partido Popular de Navarra, la</w:t>
      </w:r>
      <w:r w:rsidRPr="00F30A16">
        <w:rPr>
          <w:szCs w:val="26"/>
          <w:lang w:val="es-ES" w:eastAsia="es-ES"/>
        </w:rPr>
        <w:t xml:space="preserve"> Junta de Port</w:t>
      </w:r>
      <w:r w:rsidRPr="00F30A16">
        <w:rPr>
          <w:szCs w:val="26"/>
          <w:lang w:val="es-ES" w:eastAsia="es-ES"/>
        </w:rPr>
        <w:t>a</w:t>
      </w:r>
      <w:r w:rsidRPr="00F30A16">
        <w:rPr>
          <w:szCs w:val="26"/>
          <w:lang w:val="es-ES" w:eastAsia="es-ES"/>
        </w:rPr>
        <w:t xml:space="preserve">voces del Parlamento de Navarra </w:t>
      </w:r>
      <w:r>
        <w:rPr>
          <w:szCs w:val="26"/>
          <w:lang w:val="es-ES" w:eastAsia="es-ES"/>
        </w:rPr>
        <w:t>acordó, el 9 de enero de 2017, que la Cámara de Comptos realizara un informe de fiscalización sobre “</w:t>
      </w:r>
      <w:r>
        <w:rPr>
          <w:i/>
          <w:szCs w:val="26"/>
          <w:lang w:val="es-ES" w:eastAsia="es-ES"/>
        </w:rPr>
        <w:t>el préstamo particip</w:t>
      </w:r>
      <w:r>
        <w:rPr>
          <w:i/>
          <w:szCs w:val="26"/>
          <w:lang w:val="es-ES" w:eastAsia="es-ES"/>
        </w:rPr>
        <w:t>a</w:t>
      </w:r>
      <w:r>
        <w:rPr>
          <w:i/>
          <w:szCs w:val="26"/>
          <w:lang w:val="es-ES" w:eastAsia="es-ES"/>
        </w:rPr>
        <w:t>tivo de 2,2 millones de euros concedidos por Sodena a la empresa Davalor S</w:t>
      </w:r>
      <w:r>
        <w:rPr>
          <w:i/>
          <w:szCs w:val="26"/>
          <w:lang w:val="es-ES" w:eastAsia="es-ES"/>
        </w:rPr>
        <w:t>a</w:t>
      </w:r>
      <w:r>
        <w:rPr>
          <w:i/>
          <w:szCs w:val="26"/>
          <w:lang w:val="es-ES" w:eastAsia="es-ES"/>
        </w:rPr>
        <w:t>lud, SL”</w:t>
      </w:r>
      <w:r>
        <w:rPr>
          <w:szCs w:val="26"/>
          <w:lang w:val="es-ES" w:eastAsia="es-ES"/>
        </w:rPr>
        <w:t xml:space="preserve">. </w:t>
      </w:r>
      <w:r w:rsidRPr="00176BC5">
        <w:rPr>
          <w:spacing w:val="0"/>
          <w:szCs w:val="26"/>
          <w:lang w:val="es-ES" w:eastAsia="es-ES"/>
        </w:rPr>
        <w:t>En concreto, la citada petición hacía referencia a los siguientes aspectos:</w:t>
      </w:r>
    </w:p>
    <w:p w:rsidR="00B63BF3" w:rsidRPr="00601F54" w:rsidRDefault="00B63BF3" w:rsidP="00B63BF3">
      <w:pPr>
        <w:pStyle w:val="texto"/>
        <w:numPr>
          <w:ilvl w:val="0"/>
          <w:numId w:val="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pacing w:val="-4"/>
          <w:sz w:val="22"/>
          <w:szCs w:val="22"/>
        </w:rPr>
      </w:pPr>
      <w:r w:rsidRPr="00601F54">
        <w:rPr>
          <w:i/>
          <w:spacing w:val="-4"/>
          <w:sz w:val="22"/>
          <w:szCs w:val="22"/>
        </w:rPr>
        <w:t>“Análisis de:</w:t>
      </w:r>
    </w:p>
    <w:p w:rsidR="00B63BF3" w:rsidRPr="00601F54" w:rsidRDefault="00B63BF3" w:rsidP="00B63BF3">
      <w:pPr>
        <w:pStyle w:val="texto"/>
        <w:rPr>
          <w:i/>
          <w:sz w:val="22"/>
          <w:szCs w:val="22"/>
          <w:lang w:val="es-ES" w:eastAsia="es-ES"/>
        </w:rPr>
      </w:pPr>
      <w:r w:rsidRPr="00601F54">
        <w:rPr>
          <w:i/>
          <w:sz w:val="22"/>
          <w:szCs w:val="22"/>
          <w:lang w:val="es-ES" w:eastAsia="es-ES"/>
        </w:rPr>
        <w:t xml:space="preserve">1º. El préstamo participativo de 2,2 millones concedido por Sodena a la empresa Davalor Salud </w:t>
      </w:r>
      <w:r>
        <w:rPr>
          <w:i/>
          <w:sz w:val="22"/>
          <w:szCs w:val="22"/>
          <w:lang w:val="es-ES" w:eastAsia="es-ES"/>
        </w:rPr>
        <w:t>SL</w:t>
      </w:r>
      <w:r w:rsidRPr="00601F54">
        <w:rPr>
          <w:i/>
          <w:sz w:val="22"/>
          <w:szCs w:val="22"/>
          <w:lang w:val="es-ES" w:eastAsia="es-ES"/>
        </w:rPr>
        <w:t>, teniendo en cuenta si se ha puesto en riesgo dinero público debido a la difícil vi</w:t>
      </w:r>
      <w:r w:rsidRPr="00601F54">
        <w:rPr>
          <w:i/>
          <w:sz w:val="22"/>
          <w:szCs w:val="22"/>
          <w:lang w:val="es-ES" w:eastAsia="es-ES"/>
        </w:rPr>
        <w:t>a</w:t>
      </w:r>
      <w:r w:rsidRPr="00601F54">
        <w:rPr>
          <w:i/>
          <w:sz w:val="22"/>
          <w:szCs w:val="22"/>
          <w:lang w:val="es-ES" w:eastAsia="es-ES"/>
        </w:rPr>
        <w:t>bilidad económica de dicha empresa.</w:t>
      </w:r>
    </w:p>
    <w:p w:rsidR="00B63BF3" w:rsidRPr="00601F54" w:rsidRDefault="00B63BF3" w:rsidP="00B63BF3">
      <w:pPr>
        <w:pStyle w:val="texto"/>
        <w:rPr>
          <w:i/>
          <w:sz w:val="22"/>
          <w:szCs w:val="22"/>
          <w:lang w:val="es-ES" w:eastAsia="es-ES"/>
        </w:rPr>
      </w:pPr>
      <w:r w:rsidRPr="00601F54">
        <w:rPr>
          <w:i/>
          <w:sz w:val="22"/>
          <w:szCs w:val="22"/>
          <w:lang w:val="es-ES" w:eastAsia="es-ES"/>
        </w:rPr>
        <w:t>2º. Idoneidad o no de conceder dicho préstamo.</w:t>
      </w:r>
    </w:p>
    <w:p w:rsidR="00B63BF3" w:rsidRPr="00601F54" w:rsidRDefault="00B63BF3" w:rsidP="00B63BF3">
      <w:pPr>
        <w:pStyle w:val="texto"/>
        <w:rPr>
          <w:i/>
          <w:sz w:val="22"/>
          <w:szCs w:val="22"/>
          <w:lang w:val="es-ES" w:eastAsia="es-ES"/>
        </w:rPr>
      </w:pPr>
      <w:r w:rsidRPr="00601F54">
        <w:rPr>
          <w:i/>
          <w:sz w:val="22"/>
          <w:szCs w:val="22"/>
          <w:lang w:val="es-ES" w:eastAsia="es-ES"/>
        </w:rPr>
        <w:t>3º. Forma de conceder el primer préstamo de un millón a la misma empresa, y en base a qué informe o informes se concedió.</w:t>
      </w:r>
    </w:p>
    <w:p w:rsidR="00B63BF3" w:rsidRPr="00601F54" w:rsidRDefault="00B63BF3" w:rsidP="00B63BF3">
      <w:pPr>
        <w:pStyle w:val="texto"/>
        <w:numPr>
          <w:ilvl w:val="0"/>
          <w:numId w:val="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pacing w:val="-4"/>
          <w:sz w:val="22"/>
          <w:szCs w:val="22"/>
        </w:rPr>
      </w:pPr>
      <w:r w:rsidRPr="00601F54">
        <w:rPr>
          <w:i/>
          <w:spacing w:val="-4"/>
          <w:sz w:val="22"/>
          <w:szCs w:val="22"/>
        </w:rPr>
        <w:t>Valoración por parte de la Cámara de Comptos de ambas actuaciones.”</w:t>
      </w:r>
    </w:p>
    <w:p w:rsidR="00B63BF3" w:rsidRDefault="00B63BF3" w:rsidP="00B63BF3">
      <w:pPr>
        <w:pStyle w:val="texto"/>
        <w:tabs>
          <w:tab w:val="clear" w:pos="2835"/>
          <w:tab w:val="clear" w:pos="3969"/>
          <w:tab w:val="clear" w:pos="5103"/>
          <w:tab w:val="clear" w:pos="6237"/>
          <w:tab w:val="clear" w:pos="7371"/>
        </w:tabs>
        <w:rPr>
          <w:szCs w:val="26"/>
        </w:rPr>
      </w:pPr>
      <w:r>
        <w:rPr>
          <w:szCs w:val="26"/>
        </w:rPr>
        <w:t>Con carácter previo conviene precisar que Sodena SL ha concedido a la e</w:t>
      </w:r>
      <w:r>
        <w:rPr>
          <w:szCs w:val="26"/>
        </w:rPr>
        <w:t>m</w:t>
      </w:r>
      <w:r>
        <w:rPr>
          <w:szCs w:val="26"/>
        </w:rPr>
        <w:t>presa Davalor Salud SL un total de tres préstamos por importe global de dos millones, de los que solo uno es participativo por cuantía de un millón.</w:t>
      </w:r>
    </w:p>
    <w:p w:rsidR="00B63BF3" w:rsidRDefault="00B63BF3" w:rsidP="00B63BF3">
      <w:pPr>
        <w:pStyle w:val="texto"/>
        <w:tabs>
          <w:tab w:val="clear" w:pos="2835"/>
          <w:tab w:val="clear" w:pos="3969"/>
          <w:tab w:val="clear" w:pos="5103"/>
          <w:tab w:val="clear" w:pos="6237"/>
          <w:tab w:val="clear" w:pos="7371"/>
        </w:tabs>
        <w:rPr>
          <w:szCs w:val="26"/>
        </w:rPr>
      </w:pPr>
      <w:r>
        <w:rPr>
          <w:szCs w:val="26"/>
        </w:rPr>
        <w:t>Al objeto de dar cumplimiento a esta petición, se incluyó en el Programa de Fiscalización de 2017 de esta Cámara la realización del mencionado trabajo.</w:t>
      </w:r>
    </w:p>
    <w:p w:rsidR="00B63BF3" w:rsidRPr="00C9451A" w:rsidRDefault="00B63BF3" w:rsidP="00B63BF3">
      <w:pPr>
        <w:pStyle w:val="texto"/>
        <w:tabs>
          <w:tab w:val="clear" w:pos="2835"/>
          <w:tab w:val="clear" w:pos="3969"/>
          <w:tab w:val="clear" w:pos="5103"/>
          <w:tab w:val="clear" w:pos="6237"/>
          <w:tab w:val="clear" w:pos="7371"/>
        </w:tabs>
        <w:rPr>
          <w:szCs w:val="26"/>
        </w:rPr>
      </w:pPr>
      <w:r>
        <w:rPr>
          <w:szCs w:val="26"/>
        </w:rPr>
        <w:t xml:space="preserve">La Cámara de Comptos </w:t>
      </w:r>
      <w:r w:rsidRPr="0076219E">
        <w:rPr>
          <w:szCs w:val="26"/>
        </w:rPr>
        <w:t>h</w:t>
      </w:r>
      <w:r>
        <w:rPr>
          <w:szCs w:val="26"/>
        </w:rPr>
        <w:t>a</w:t>
      </w:r>
      <w:r w:rsidRPr="0076219E">
        <w:rPr>
          <w:szCs w:val="26"/>
        </w:rPr>
        <w:t xml:space="preserve"> planificado y ejecutado una </w:t>
      </w:r>
      <w:r w:rsidRPr="00786D18">
        <w:rPr>
          <w:szCs w:val="26"/>
        </w:rPr>
        <w:t>fiscalización de cu</w:t>
      </w:r>
      <w:r w:rsidRPr="00786D18">
        <w:rPr>
          <w:szCs w:val="26"/>
        </w:rPr>
        <w:t>m</w:t>
      </w:r>
      <w:r>
        <w:rPr>
          <w:szCs w:val="26"/>
        </w:rPr>
        <w:t xml:space="preserve">plimiento </w:t>
      </w:r>
      <w:r w:rsidRPr="00786D18">
        <w:rPr>
          <w:szCs w:val="26"/>
        </w:rPr>
        <w:t xml:space="preserve">con seguridad razonable para emitir una opinión sobre </w:t>
      </w:r>
      <w:r w:rsidRPr="0076219E">
        <w:rPr>
          <w:szCs w:val="26"/>
        </w:rPr>
        <w:t>si</w:t>
      </w:r>
      <w:r>
        <w:rPr>
          <w:szCs w:val="26"/>
        </w:rPr>
        <w:t xml:space="preserve"> la concesión de los préstamos anteriores </w:t>
      </w:r>
      <w:r w:rsidRPr="0076219E">
        <w:rPr>
          <w:szCs w:val="26"/>
        </w:rPr>
        <w:t>resulta conforme</w:t>
      </w:r>
      <w:r>
        <w:rPr>
          <w:szCs w:val="26"/>
        </w:rPr>
        <w:t>,</w:t>
      </w:r>
      <w:r w:rsidRPr="0076219E">
        <w:rPr>
          <w:szCs w:val="26"/>
        </w:rPr>
        <w:t xml:space="preserve"> en todos los aspectos</w:t>
      </w:r>
      <w:r>
        <w:rPr>
          <w:szCs w:val="26"/>
        </w:rPr>
        <w:t xml:space="preserve"> </w:t>
      </w:r>
      <w:r w:rsidRPr="0076219E">
        <w:rPr>
          <w:szCs w:val="26"/>
        </w:rPr>
        <w:t>significat</w:t>
      </w:r>
      <w:r w:rsidRPr="0076219E">
        <w:rPr>
          <w:szCs w:val="26"/>
        </w:rPr>
        <w:t>i</w:t>
      </w:r>
      <w:r w:rsidRPr="0076219E">
        <w:rPr>
          <w:szCs w:val="26"/>
        </w:rPr>
        <w:t>vos</w:t>
      </w:r>
      <w:r>
        <w:rPr>
          <w:szCs w:val="26"/>
        </w:rPr>
        <w:t>, con las normas y procedimientos establecidos por Sodena</w:t>
      </w:r>
      <w:r w:rsidRPr="0076219E">
        <w:rPr>
          <w:szCs w:val="26"/>
        </w:rPr>
        <w:t xml:space="preserve"> </w:t>
      </w:r>
      <w:r>
        <w:rPr>
          <w:szCs w:val="26"/>
        </w:rPr>
        <w:t>para operaciones de esta naturaleza</w:t>
      </w:r>
      <w:r w:rsidRPr="0076219E">
        <w:rPr>
          <w:szCs w:val="26"/>
        </w:rPr>
        <w:t xml:space="preserve">. </w:t>
      </w:r>
    </w:p>
    <w:p w:rsidR="00B63BF3" w:rsidRPr="001E01A6" w:rsidRDefault="00B63BF3" w:rsidP="00B63BF3">
      <w:pPr>
        <w:pStyle w:val="texto"/>
        <w:tabs>
          <w:tab w:val="clear" w:pos="2835"/>
          <w:tab w:val="clear" w:pos="3969"/>
          <w:tab w:val="clear" w:pos="5103"/>
          <w:tab w:val="clear" w:pos="6237"/>
          <w:tab w:val="clear" w:pos="7371"/>
        </w:tabs>
        <w:rPr>
          <w:szCs w:val="26"/>
        </w:rPr>
      </w:pPr>
      <w:r>
        <w:rPr>
          <w:szCs w:val="26"/>
        </w:rPr>
        <w:t xml:space="preserve">El ámbito temporal de nuestra actuación </w:t>
      </w:r>
      <w:r w:rsidRPr="00633D2F">
        <w:rPr>
          <w:szCs w:val="26"/>
        </w:rPr>
        <w:t xml:space="preserve">se </w:t>
      </w:r>
      <w:r>
        <w:rPr>
          <w:szCs w:val="26"/>
        </w:rPr>
        <w:t>ha extendido, de acuerdo con la petición parlamentaria, desde junio de 2015 hasta marzo de 2017.</w:t>
      </w:r>
    </w:p>
    <w:p w:rsidR="00B63BF3" w:rsidRDefault="00B63BF3" w:rsidP="00B63BF3">
      <w:pPr>
        <w:pStyle w:val="texto"/>
        <w:tabs>
          <w:tab w:val="clear" w:pos="2835"/>
          <w:tab w:val="clear" w:pos="3969"/>
          <w:tab w:val="clear" w:pos="5103"/>
          <w:tab w:val="clear" w:pos="6237"/>
          <w:tab w:val="clear" w:pos="7371"/>
        </w:tabs>
        <w:rPr>
          <w:szCs w:val="26"/>
        </w:rPr>
      </w:pPr>
      <w:r>
        <w:rPr>
          <w:szCs w:val="26"/>
        </w:rPr>
        <w:t>En cuanto al alcance del trabajo, se ha analizado fundamentalmente el marco general que regula la concesión de préstamos por la sociedad Sodena y si la cuantificación, soporte documental, características financieras y requisitos co</w:t>
      </w:r>
      <w:r>
        <w:rPr>
          <w:szCs w:val="26"/>
        </w:rPr>
        <w:t>n</w:t>
      </w:r>
      <w:r>
        <w:rPr>
          <w:szCs w:val="26"/>
        </w:rPr>
        <w:t xml:space="preserve">templados en las operaciones con Davalor Salud se ajustan a tal marco. </w:t>
      </w:r>
    </w:p>
    <w:p w:rsidR="00B63BF3" w:rsidRDefault="00B63BF3" w:rsidP="00B63BF3">
      <w:pPr>
        <w:pStyle w:val="texto"/>
        <w:tabs>
          <w:tab w:val="clear" w:pos="2835"/>
          <w:tab w:val="clear" w:pos="3969"/>
          <w:tab w:val="clear" w:pos="5103"/>
          <w:tab w:val="clear" w:pos="6237"/>
          <w:tab w:val="clear" w:pos="7371"/>
        </w:tabs>
        <w:rPr>
          <w:szCs w:val="26"/>
        </w:rPr>
      </w:pPr>
      <w:r>
        <w:rPr>
          <w:szCs w:val="26"/>
        </w:rPr>
        <w:t xml:space="preserve">Conviene precisar que nuestra actuación se ha centrado fundamentalmente en la revisión de la documentación obrante en la sociedad pública Sodena </w:t>
      </w:r>
      <w:r w:rsidRPr="00CE4DEB">
        <w:rPr>
          <w:szCs w:val="26"/>
        </w:rPr>
        <w:t>y en el Gobierno de Navarra</w:t>
      </w:r>
      <w:r>
        <w:rPr>
          <w:szCs w:val="26"/>
        </w:rPr>
        <w:t xml:space="preserve"> dado que la empresa Davalor Salud SL es una entidad privada.</w:t>
      </w:r>
    </w:p>
    <w:p w:rsidR="00176BC5" w:rsidRDefault="00176BC5" w:rsidP="00B63BF3">
      <w:pPr>
        <w:pStyle w:val="texto"/>
        <w:tabs>
          <w:tab w:val="clear" w:pos="2835"/>
          <w:tab w:val="clear" w:pos="3969"/>
          <w:tab w:val="clear" w:pos="5103"/>
          <w:tab w:val="clear" w:pos="6237"/>
          <w:tab w:val="clear" w:pos="7371"/>
        </w:tabs>
        <w:rPr>
          <w:szCs w:val="26"/>
        </w:rPr>
      </w:pPr>
    </w:p>
    <w:p w:rsidR="00B63BF3" w:rsidRDefault="00B63BF3" w:rsidP="00B63BF3">
      <w:pPr>
        <w:pStyle w:val="texto"/>
        <w:tabs>
          <w:tab w:val="clear" w:pos="2835"/>
          <w:tab w:val="clear" w:pos="3969"/>
          <w:tab w:val="clear" w:pos="5103"/>
          <w:tab w:val="clear" w:pos="6237"/>
          <w:tab w:val="clear" w:pos="7371"/>
        </w:tabs>
        <w:rPr>
          <w:szCs w:val="26"/>
        </w:rPr>
      </w:pPr>
      <w:r w:rsidRPr="00A522C1">
        <w:rPr>
          <w:szCs w:val="26"/>
        </w:rPr>
        <w:lastRenderedPageBreak/>
        <w:t xml:space="preserve">El informe se estructura en </w:t>
      </w:r>
      <w:r w:rsidRPr="00786D18">
        <w:rPr>
          <w:szCs w:val="26"/>
        </w:rPr>
        <w:t>cuatro epígrafes</w:t>
      </w:r>
      <w:r w:rsidRPr="00A522C1">
        <w:rPr>
          <w:szCs w:val="26"/>
        </w:rPr>
        <w:t>, incluyendo esta introducción. En el segundo</w:t>
      </w:r>
      <w:r>
        <w:rPr>
          <w:szCs w:val="26"/>
        </w:rPr>
        <w:t>, se presentan una descripción general de las sociedades Sodena, SL y Davalor Salud, SL. En el tercero, se exponen las conclusiones obtenidas del trabajo realizado. Finalmente en el cuarto, reflejamos una serie de observ</w:t>
      </w:r>
      <w:r>
        <w:rPr>
          <w:szCs w:val="26"/>
        </w:rPr>
        <w:t>a</w:t>
      </w:r>
      <w:r>
        <w:rPr>
          <w:szCs w:val="26"/>
        </w:rPr>
        <w:t xml:space="preserve">ciones y comentarios sobre las operaciones analizadas. </w:t>
      </w:r>
    </w:p>
    <w:p w:rsidR="00B63BF3" w:rsidRDefault="00B63BF3" w:rsidP="00B63BF3">
      <w:pPr>
        <w:pStyle w:val="texto"/>
        <w:tabs>
          <w:tab w:val="clear" w:pos="2835"/>
          <w:tab w:val="clear" w:pos="3969"/>
          <w:tab w:val="clear" w:pos="5103"/>
          <w:tab w:val="clear" w:pos="6237"/>
          <w:tab w:val="clear" w:pos="7371"/>
        </w:tabs>
        <w:rPr>
          <w:szCs w:val="26"/>
        </w:rPr>
      </w:pPr>
      <w:r>
        <w:rPr>
          <w:szCs w:val="26"/>
        </w:rPr>
        <w:t>El trabajo de campo lo realizó del 20 de febrero hasta el 31 de marzo de 2017 un equipo integrado por una técnica de auditoría y un auditor, con la c</w:t>
      </w:r>
      <w:r>
        <w:rPr>
          <w:szCs w:val="26"/>
        </w:rPr>
        <w:t>o</w:t>
      </w:r>
      <w:r>
        <w:rPr>
          <w:szCs w:val="26"/>
        </w:rPr>
        <w:t>laboración de los servicios jurídicos, informáticos y administrativos de la C</w:t>
      </w:r>
      <w:r>
        <w:rPr>
          <w:szCs w:val="26"/>
        </w:rPr>
        <w:t>á</w:t>
      </w:r>
      <w:r>
        <w:rPr>
          <w:szCs w:val="26"/>
        </w:rPr>
        <w:t xml:space="preserve">mara de Comptos. </w:t>
      </w:r>
    </w:p>
    <w:p w:rsidR="00B63BF3" w:rsidRPr="00FC0B00" w:rsidRDefault="00B63BF3" w:rsidP="00B63BF3">
      <w:pPr>
        <w:pStyle w:val="texto"/>
        <w:tabs>
          <w:tab w:val="clear" w:pos="2835"/>
          <w:tab w:val="clear" w:pos="3969"/>
          <w:tab w:val="clear" w:pos="5103"/>
          <w:tab w:val="clear" w:pos="6237"/>
          <w:tab w:val="clear" w:pos="7371"/>
        </w:tabs>
        <w:rPr>
          <w:rFonts w:ascii="Times New (W1)" w:hAnsi="Times New (W1)"/>
          <w:szCs w:val="26"/>
        </w:rPr>
      </w:pPr>
      <w:r w:rsidRPr="00646EE3">
        <w:rPr>
          <w:rFonts w:ascii="Times New (W1)" w:hAnsi="Times New (W1)"/>
          <w:szCs w:val="26"/>
        </w:rPr>
        <w:t>Los resultados de esta actuación se pusieron de manifiesto al</w:t>
      </w:r>
      <w:r>
        <w:rPr>
          <w:rFonts w:ascii="Times New (W1)" w:hAnsi="Times New (W1)"/>
          <w:szCs w:val="26"/>
        </w:rPr>
        <w:t xml:space="preserve"> </w:t>
      </w:r>
      <w:r w:rsidRPr="00646EE3">
        <w:rPr>
          <w:rFonts w:ascii="Times New (W1)" w:hAnsi="Times New (W1)"/>
          <w:szCs w:val="26"/>
        </w:rPr>
        <w:t>presidente de</w:t>
      </w:r>
      <w:r>
        <w:rPr>
          <w:rFonts w:ascii="Times New (W1)" w:hAnsi="Times New (W1)"/>
          <w:szCs w:val="26"/>
        </w:rPr>
        <w:t>l Consejo de Administración</w:t>
      </w:r>
      <w:r w:rsidR="00FC0B00">
        <w:rPr>
          <w:rFonts w:ascii="Times New (W1)" w:hAnsi="Times New (W1)"/>
          <w:szCs w:val="26"/>
        </w:rPr>
        <w:t xml:space="preserve"> y a la directora gerente</w:t>
      </w:r>
      <w:r>
        <w:rPr>
          <w:rFonts w:ascii="Times New (W1)" w:hAnsi="Times New (W1)"/>
          <w:szCs w:val="26"/>
        </w:rPr>
        <w:t xml:space="preserve"> de Sodena SL</w:t>
      </w:r>
      <w:r w:rsidR="00FC0B00">
        <w:rPr>
          <w:rFonts w:ascii="Times New (W1)" w:hAnsi="Times New (W1)"/>
          <w:szCs w:val="26"/>
        </w:rPr>
        <w:t>, así como</w:t>
      </w:r>
      <w:r>
        <w:rPr>
          <w:rFonts w:ascii="Times New (W1)" w:hAnsi="Times New (W1)"/>
          <w:szCs w:val="26"/>
        </w:rPr>
        <w:t xml:space="preserve"> al administrador único de Davalor Salud SL </w:t>
      </w:r>
      <w:r w:rsidRPr="00E557CF">
        <w:rPr>
          <w:rFonts w:ascii="Times New (W1)" w:hAnsi="Times New (W1)"/>
          <w:szCs w:val="26"/>
        </w:rPr>
        <w:t>para que formulase</w:t>
      </w:r>
      <w:r>
        <w:rPr>
          <w:rFonts w:ascii="Times New (W1)" w:hAnsi="Times New (W1)"/>
          <w:szCs w:val="26"/>
        </w:rPr>
        <w:t>n</w:t>
      </w:r>
      <w:r w:rsidRPr="00E557CF">
        <w:rPr>
          <w:rFonts w:ascii="Times New (W1)" w:hAnsi="Times New (W1)"/>
          <w:szCs w:val="26"/>
        </w:rPr>
        <w:t>, en su caso, las alegaciones que estimase</w:t>
      </w:r>
      <w:r w:rsidR="00A51D18">
        <w:rPr>
          <w:rFonts w:ascii="Times New (W1)" w:hAnsi="Times New (W1)"/>
          <w:szCs w:val="26"/>
        </w:rPr>
        <w:t>n</w:t>
      </w:r>
      <w:r w:rsidRPr="00E557CF">
        <w:rPr>
          <w:rFonts w:ascii="Times New (W1)" w:hAnsi="Times New (W1)"/>
          <w:szCs w:val="26"/>
        </w:rPr>
        <w:t xml:space="preserve"> oportunas, de conformidad con lo previsto en el art. 11.2 de la Ley Foral 19/1984, reguladora de la Cámara de Comptos de Navarra.</w:t>
      </w:r>
      <w:r w:rsidRPr="00487284">
        <w:rPr>
          <w:rFonts w:ascii="Times New (W1)" w:hAnsi="Times New (W1)"/>
          <w:szCs w:val="26"/>
        </w:rPr>
        <w:t xml:space="preserve"> </w:t>
      </w:r>
      <w:r w:rsidR="00176BC5" w:rsidRPr="00FC0B00">
        <w:rPr>
          <w:rFonts w:ascii="Times New (W1)" w:hAnsi="Times New (W1)"/>
          <w:szCs w:val="26"/>
        </w:rPr>
        <w:t xml:space="preserve">Transcurrido el plazo </w:t>
      </w:r>
      <w:r w:rsidR="00FC0B00" w:rsidRPr="00FC0B00">
        <w:rPr>
          <w:rFonts w:ascii="Times New (W1)" w:hAnsi="Times New (W1)"/>
          <w:szCs w:val="26"/>
        </w:rPr>
        <w:t xml:space="preserve">sólo </w:t>
      </w:r>
      <w:r w:rsidR="00AD2A39" w:rsidRPr="00FC0B00">
        <w:rPr>
          <w:rFonts w:ascii="Times New (W1)" w:hAnsi="Times New (W1)"/>
          <w:szCs w:val="26"/>
        </w:rPr>
        <w:t>la empresa Davalor Salud ha presentado alegaciones al informe provisional que, parcialmente, se incluyen en el informe definitivo.</w:t>
      </w:r>
    </w:p>
    <w:p w:rsidR="00B63BF3" w:rsidRDefault="00B63BF3" w:rsidP="00B63BF3">
      <w:pPr>
        <w:pStyle w:val="texto"/>
        <w:tabs>
          <w:tab w:val="clear" w:pos="2835"/>
          <w:tab w:val="clear" w:pos="3969"/>
          <w:tab w:val="clear" w:pos="5103"/>
          <w:tab w:val="clear" w:pos="6237"/>
          <w:tab w:val="clear" w:pos="7371"/>
        </w:tabs>
        <w:rPr>
          <w:szCs w:val="26"/>
        </w:rPr>
      </w:pPr>
      <w:r>
        <w:rPr>
          <w:szCs w:val="26"/>
        </w:rPr>
        <w:t>Agradecemos al personal de la sociedad pública Sodena, SL la colaboración prestada en la realización del presente trabajo. Asimismo, agradecemos al d</w:t>
      </w:r>
      <w:r>
        <w:rPr>
          <w:szCs w:val="26"/>
        </w:rPr>
        <w:t>i</w:t>
      </w:r>
      <w:r>
        <w:rPr>
          <w:szCs w:val="26"/>
        </w:rPr>
        <w:t>rector de calidad de la empresa Davalor Salud y a la óptica Pascual (Tudela) la presentación</w:t>
      </w:r>
      <w:r w:rsidRPr="00ED51A1">
        <w:rPr>
          <w:szCs w:val="26"/>
        </w:rPr>
        <w:t xml:space="preserve"> </w:t>
      </w:r>
      <w:r>
        <w:rPr>
          <w:szCs w:val="26"/>
        </w:rPr>
        <w:t>y demostración de la máquina EVA instalada en la citada óptica.</w:t>
      </w:r>
    </w:p>
    <w:p w:rsidR="00621A26" w:rsidRDefault="00621A26" w:rsidP="00621A26">
      <w:pPr>
        <w:pStyle w:val="texto"/>
        <w:tabs>
          <w:tab w:val="clear" w:pos="2835"/>
          <w:tab w:val="clear" w:pos="3969"/>
          <w:tab w:val="clear" w:pos="5103"/>
          <w:tab w:val="clear" w:pos="6237"/>
          <w:tab w:val="clear" w:pos="7371"/>
        </w:tabs>
        <w:rPr>
          <w:szCs w:val="26"/>
        </w:rPr>
      </w:pPr>
    </w:p>
    <w:p w:rsidR="00621A26" w:rsidRDefault="00621A26">
      <w:pPr>
        <w:spacing w:after="0"/>
        <w:ind w:firstLine="0"/>
        <w:jc w:val="left"/>
        <w:rPr>
          <w:rFonts w:ascii="Arial" w:hAnsi="Arial"/>
          <w:b/>
          <w:color w:val="000000"/>
          <w:kern w:val="28"/>
          <w:sz w:val="25"/>
          <w:szCs w:val="26"/>
        </w:rPr>
      </w:pPr>
      <w:bookmarkStart w:id="6" w:name="_Toc463611382"/>
      <w:r>
        <w:br w:type="page"/>
      </w:r>
    </w:p>
    <w:p w:rsidR="00621A26" w:rsidRDefault="00621A26" w:rsidP="00621A26">
      <w:pPr>
        <w:pStyle w:val="atitulo1"/>
      </w:pPr>
      <w:bookmarkStart w:id="7" w:name="_Toc480357318"/>
      <w:bookmarkStart w:id="8" w:name="_Toc483307000"/>
      <w:bookmarkStart w:id="9" w:name="_Toc423419507"/>
      <w:bookmarkEnd w:id="6"/>
      <w:r>
        <w:lastRenderedPageBreak/>
        <w:t xml:space="preserve">II. Descripción general de Sodena, </w:t>
      </w:r>
      <w:r w:rsidR="00DA2388">
        <w:t>SL</w:t>
      </w:r>
      <w:r>
        <w:t xml:space="preserve"> y Davalor Salud, </w:t>
      </w:r>
      <w:r w:rsidR="00DA2388">
        <w:t>SL</w:t>
      </w:r>
      <w:bookmarkEnd w:id="7"/>
      <w:bookmarkEnd w:id="8"/>
    </w:p>
    <w:p w:rsidR="00621A26" w:rsidRDefault="00621A26" w:rsidP="00621A26">
      <w:pPr>
        <w:pStyle w:val="atitulo2"/>
        <w:spacing w:before="240"/>
      </w:pPr>
      <w:bookmarkStart w:id="10" w:name="_Toc414360531"/>
      <w:bookmarkStart w:id="11" w:name="_Toc480357319"/>
      <w:bookmarkStart w:id="12" w:name="_Toc483307001"/>
      <w:r w:rsidRPr="00806F00">
        <w:t xml:space="preserve">II.1. </w:t>
      </w:r>
      <w:bookmarkEnd w:id="10"/>
      <w:r>
        <w:t xml:space="preserve">Sociedad de Desarrollo de Navarra, </w:t>
      </w:r>
      <w:r w:rsidR="00DA2388">
        <w:t>SL</w:t>
      </w:r>
      <w:bookmarkEnd w:id="11"/>
      <w:bookmarkEnd w:id="12"/>
      <w:r>
        <w:t xml:space="preserve"> </w:t>
      </w:r>
    </w:p>
    <w:p w:rsidR="00B63BF3" w:rsidRDefault="00B63BF3" w:rsidP="00B63BF3">
      <w:pPr>
        <w:pStyle w:val="texto"/>
        <w:tabs>
          <w:tab w:val="clear" w:pos="2835"/>
          <w:tab w:val="clear" w:pos="3969"/>
          <w:tab w:val="clear" w:pos="5103"/>
          <w:tab w:val="clear" w:pos="6237"/>
          <w:tab w:val="clear" w:pos="7371"/>
        </w:tabs>
        <w:spacing w:after="120"/>
        <w:rPr>
          <w:rFonts w:eastAsia="Calibri"/>
          <w:lang w:eastAsia="es-ES"/>
        </w:rPr>
      </w:pPr>
      <w:bookmarkStart w:id="13" w:name="_Toc480357320"/>
      <w:r>
        <w:rPr>
          <w:rFonts w:eastAsia="Calibri"/>
          <w:lang w:eastAsia="es-ES"/>
        </w:rPr>
        <w:t>La Sociedad de Desarrollo de Navarra SL (en adelante Sodena, SL) es el in</w:t>
      </w:r>
      <w:r>
        <w:rPr>
          <w:rFonts w:eastAsia="Calibri"/>
          <w:lang w:eastAsia="es-ES"/>
        </w:rPr>
        <w:t>s</w:t>
      </w:r>
      <w:r>
        <w:rPr>
          <w:rFonts w:eastAsia="Calibri"/>
          <w:lang w:eastAsia="es-ES"/>
        </w:rPr>
        <w:t>trumento financiero del Gobierno de Navarra para el impulso de proyectos e</w:t>
      </w:r>
      <w:r>
        <w:rPr>
          <w:rFonts w:eastAsia="Calibri"/>
          <w:lang w:eastAsia="es-ES"/>
        </w:rPr>
        <w:t>m</w:t>
      </w:r>
      <w:r>
        <w:rPr>
          <w:rFonts w:eastAsia="Calibri"/>
          <w:lang w:eastAsia="es-ES"/>
        </w:rPr>
        <w:t xml:space="preserve">presariales en la Comunidad Foral, cuya misión se centra en: </w:t>
      </w:r>
    </w:p>
    <w:p w:rsidR="00B63BF3" w:rsidRPr="00E206A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E206AC">
        <w:rPr>
          <w:rFonts w:cs="Arial"/>
        </w:rPr>
        <w:t>Coordinar el diseño e implementación de la Estrategia de Especialización inteligente (S3) que impulse la transformación y el desarrollo económico r</w:t>
      </w:r>
      <w:r w:rsidRPr="00E206AC">
        <w:rPr>
          <w:rFonts w:cs="Arial"/>
        </w:rPr>
        <w:t>e</w:t>
      </w:r>
      <w:r w:rsidRPr="00E206AC">
        <w:rPr>
          <w:rFonts w:cs="Arial"/>
        </w:rPr>
        <w:t>gional.</w:t>
      </w:r>
    </w:p>
    <w:p w:rsidR="00B63BF3" w:rsidRPr="00E206A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E206AC">
        <w:rPr>
          <w:rFonts w:cs="Arial"/>
        </w:rPr>
        <w:t>Captar, identificar e impulsar la generación y desarrollo de proyectos e</w:t>
      </w:r>
      <w:r w:rsidRPr="00E206AC">
        <w:rPr>
          <w:rFonts w:cs="Arial"/>
        </w:rPr>
        <w:t>m</w:t>
      </w:r>
      <w:r w:rsidRPr="00E206AC">
        <w:rPr>
          <w:rFonts w:cs="Arial"/>
        </w:rPr>
        <w:t>presariales para Navarra, tanto de origen local como atraídos del exterior, m</w:t>
      </w:r>
      <w:r w:rsidRPr="00E206AC">
        <w:rPr>
          <w:rFonts w:cs="Arial"/>
        </w:rPr>
        <w:t>e</w:t>
      </w:r>
      <w:r w:rsidRPr="00E206AC">
        <w:rPr>
          <w:rFonts w:cs="Arial"/>
        </w:rPr>
        <w:t>diante el empleo de herramientas financieras, principalmente de capital riesgo y facilitando la implantación en la región de inversión exterior, ofreciendo serv</w:t>
      </w:r>
      <w:r w:rsidRPr="00E206AC">
        <w:rPr>
          <w:rFonts w:cs="Arial"/>
        </w:rPr>
        <w:t>i</w:t>
      </w:r>
      <w:r w:rsidRPr="00E206AC">
        <w:rPr>
          <w:rFonts w:cs="Arial"/>
        </w:rPr>
        <w:t>cios de asesoramiento y acompañamiento.</w:t>
      </w:r>
    </w:p>
    <w:p w:rsidR="00B63BF3" w:rsidRPr="00E206A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E206AC">
        <w:rPr>
          <w:rFonts w:cs="Arial"/>
        </w:rPr>
        <w:t>Impulsar la competitividad empresarial mediante la aportación de valor, el fomento de la colaboración y el crecimiento empresarial.</w:t>
      </w:r>
    </w:p>
    <w:p w:rsidR="00B63BF3" w:rsidRDefault="00B63BF3" w:rsidP="00B63BF3">
      <w:pPr>
        <w:pStyle w:val="texto"/>
        <w:tabs>
          <w:tab w:val="clear" w:pos="2835"/>
          <w:tab w:val="clear" w:pos="3969"/>
          <w:tab w:val="clear" w:pos="5103"/>
          <w:tab w:val="clear" w:pos="6237"/>
          <w:tab w:val="clear" w:pos="7371"/>
        </w:tabs>
        <w:spacing w:after="120"/>
        <w:rPr>
          <w:rFonts w:eastAsia="Calibri"/>
          <w:lang w:eastAsia="es-ES"/>
        </w:rPr>
      </w:pPr>
      <w:r>
        <w:rPr>
          <w:rFonts w:eastAsia="Calibri"/>
          <w:lang w:eastAsia="es-ES"/>
        </w:rPr>
        <w:t xml:space="preserve">En 2011, y en aplicación del proceso </w:t>
      </w:r>
      <w:r w:rsidRPr="00CB03F9">
        <w:rPr>
          <w:rFonts w:eastAsia="Calibri"/>
          <w:lang w:eastAsia="es-ES"/>
        </w:rPr>
        <w:t>de re</w:t>
      </w:r>
      <w:r w:rsidR="00C167B4" w:rsidRPr="00CB03F9">
        <w:rPr>
          <w:rFonts w:eastAsia="Calibri"/>
          <w:lang w:eastAsia="es-ES"/>
        </w:rPr>
        <w:t>e</w:t>
      </w:r>
      <w:r w:rsidRPr="00CB03F9">
        <w:rPr>
          <w:rFonts w:eastAsia="Calibri"/>
          <w:lang w:eastAsia="es-ES"/>
        </w:rPr>
        <w:t>structuración de las empresas p</w:t>
      </w:r>
      <w:r w:rsidRPr="00CB03F9">
        <w:rPr>
          <w:rFonts w:eastAsia="Calibri"/>
          <w:lang w:eastAsia="es-ES"/>
        </w:rPr>
        <w:t>ú</w:t>
      </w:r>
      <w:r w:rsidRPr="00CB03F9">
        <w:rPr>
          <w:rFonts w:eastAsia="Calibri"/>
          <w:lang w:eastAsia="es-ES"/>
        </w:rPr>
        <w:t xml:space="preserve">blicas de Navarra, se constituye la actual sociedad Sodena SL como resultado de la fusión de Nafinco SAU, Sodena SA, Fondo Jóvenes Empresarios </w:t>
      </w:r>
      <w:r>
        <w:rPr>
          <w:rFonts w:eastAsia="Calibri"/>
          <w:lang w:eastAsia="es-ES"/>
        </w:rPr>
        <w:t>de N</w:t>
      </w:r>
      <w:r>
        <w:rPr>
          <w:rFonts w:eastAsia="Calibri"/>
          <w:lang w:eastAsia="es-ES"/>
        </w:rPr>
        <w:t>a</w:t>
      </w:r>
      <w:r>
        <w:rPr>
          <w:rFonts w:eastAsia="Calibri"/>
          <w:lang w:eastAsia="es-ES"/>
        </w:rPr>
        <w:t xml:space="preserve">varra SAU y Navarra de Gestión para la Administración SAU, siendo su capital propiedad íntegramente de la Corporación Pública Empresarial de Navarra (CPEN). </w:t>
      </w:r>
    </w:p>
    <w:p w:rsidR="00B63BF3" w:rsidRDefault="00B63BF3" w:rsidP="00B63BF3">
      <w:pPr>
        <w:pStyle w:val="texto"/>
        <w:tabs>
          <w:tab w:val="clear" w:pos="2835"/>
          <w:tab w:val="clear" w:pos="3969"/>
          <w:tab w:val="clear" w:pos="5103"/>
          <w:tab w:val="clear" w:pos="6237"/>
          <w:tab w:val="clear" w:pos="7371"/>
        </w:tabs>
        <w:spacing w:after="120"/>
        <w:rPr>
          <w:rFonts w:eastAsia="Calibri"/>
        </w:rPr>
      </w:pPr>
      <w:r>
        <w:rPr>
          <w:rFonts w:eastAsia="Calibri"/>
        </w:rPr>
        <w:t>Como áreas de su actividad se establecen las siguientes:</w:t>
      </w:r>
    </w:p>
    <w:p w:rsidR="00B63BF3" w:rsidRPr="00E206A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E206AC">
        <w:rPr>
          <w:rFonts w:cs="Arial"/>
        </w:rPr>
        <w:t xml:space="preserve">Capital Riesgo y </w:t>
      </w:r>
      <w:r>
        <w:rPr>
          <w:rFonts w:cs="Arial"/>
        </w:rPr>
        <w:t>C</w:t>
      </w:r>
      <w:r w:rsidRPr="00E206AC">
        <w:rPr>
          <w:rFonts w:cs="Arial"/>
        </w:rPr>
        <w:t xml:space="preserve">reación de </w:t>
      </w:r>
      <w:r>
        <w:rPr>
          <w:rFonts w:cs="Arial"/>
        </w:rPr>
        <w:t>V</w:t>
      </w:r>
      <w:r w:rsidRPr="00E206AC">
        <w:rPr>
          <w:rFonts w:cs="Arial"/>
        </w:rPr>
        <w:t>alor: Tiene como objetivo el apoyo, a tr</w:t>
      </w:r>
      <w:r w:rsidRPr="00E206AC">
        <w:rPr>
          <w:rFonts w:cs="Arial"/>
        </w:rPr>
        <w:t>a</w:t>
      </w:r>
      <w:r w:rsidRPr="00E206AC">
        <w:rPr>
          <w:rFonts w:cs="Arial"/>
        </w:rPr>
        <w:t>vés del capital riesgo, de proyectos empresariales relacionados con el lanz</w:t>
      </w:r>
      <w:r w:rsidRPr="00E206AC">
        <w:rPr>
          <w:rFonts w:cs="Arial"/>
        </w:rPr>
        <w:t>a</w:t>
      </w:r>
      <w:r w:rsidRPr="00E206AC">
        <w:rPr>
          <w:rFonts w:cs="Arial"/>
        </w:rPr>
        <w:t>miento, consolidación y crecimiento de las P</w:t>
      </w:r>
      <w:r>
        <w:rPr>
          <w:rFonts w:cs="Arial"/>
        </w:rPr>
        <w:t>ymes</w:t>
      </w:r>
      <w:r w:rsidRPr="00E206AC">
        <w:rPr>
          <w:rFonts w:cs="Arial"/>
        </w:rPr>
        <w:t xml:space="preserve"> navarras</w:t>
      </w:r>
      <w:r w:rsidRPr="00CB03F9">
        <w:rPr>
          <w:rFonts w:cs="Arial"/>
        </w:rPr>
        <w:t>. Est</w:t>
      </w:r>
      <w:r w:rsidR="00CB03F9" w:rsidRPr="00CB03F9">
        <w:rPr>
          <w:rFonts w:cs="Arial"/>
        </w:rPr>
        <w:t>a</w:t>
      </w:r>
      <w:r w:rsidRPr="00CB03F9">
        <w:rPr>
          <w:rFonts w:cs="Arial"/>
        </w:rPr>
        <w:t xml:space="preserve"> área de a</w:t>
      </w:r>
      <w:r w:rsidRPr="00E206AC">
        <w:rPr>
          <w:rFonts w:cs="Arial"/>
        </w:rPr>
        <w:t>ctiv</w:t>
      </w:r>
      <w:r w:rsidRPr="00E206AC">
        <w:rPr>
          <w:rFonts w:cs="Arial"/>
        </w:rPr>
        <w:t>i</w:t>
      </w:r>
      <w:r w:rsidRPr="00E206AC">
        <w:rPr>
          <w:rFonts w:cs="Arial"/>
        </w:rPr>
        <w:t>dad es en la que se enmarca la petición parlamentaria sobre Davalor Salud.</w:t>
      </w:r>
      <w:r>
        <w:rPr>
          <w:rFonts w:cs="Arial"/>
        </w:rPr>
        <w:t xml:space="preserve"> Los</w:t>
      </w:r>
      <w:r w:rsidRPr="00E206AC">
        <w:rPr>
          <w:rFonts w:cs="Arial"/>
        </w:rPr>
        <w:t xml:space="preserve"> criterios generales de apoyo financiero en proyectos y los procedimientos</w:t>
      </w:r>
      <w:r>
        <w:rPr>
          <w:rFonts w:cs="Arial"/>
        </w:rPr>
        <w:t xml:space="preserve"> apl</w:t>
      </w:r>
      <w:r>
        <w:rPr>
          <w:rFonts w:cs="Arial"/>
        </w:rPr>
        <w:t>i</w:t>
      </w:r>
      <w:r>
        <w:rPr>
          <w:rFonts w:cs="Arial"/>
        </w:rPr>
        <w:t xml:space="preserve">cados, se recogen </w:t>
      </w:r>
      <w:r w:rsidRPr="00E206AC">
        <w:rPr>
          <w:rFonts w:cs="Arial"/>
        </w:rPr>
        <w:t xml:space="preserve">en el </w:t>
      </w:r>
      <w:r>
        <w:rPr>
          <w:rFonts w:cs="Arial"/>
        </w:rPr>
        <w:t>siguiente</w:t>
      </w:r>
      <w:r w:rsidRPr="00E206AC">
        <w:rPr>
          <w:rFonts w:cs="Arial"/>
        </w:rPr>
        <w:t xml:space="preserve"> apartado de este</w:t>
      </w:r>
      <w:r>
        <w:rPr>
          <w:rFonts w:cs="Arial"/>
        </w:rPr>
        <w:t xml:space="preserve"> epígrafe</w:t>
      </w:r>
      <w:r w:rsidRPr="00E206AC">
        <w:rPr>
          <w:rFonts w:cs="Arial"/>
        </w:rPr>
        <w:t>.</w:t>
      </w:r>
    </w:p>
    <w:p w:rsidR="00114CA2" w:rsidRDefault="00B63BF3" w:rsidP="00B63BF3">
      <w:pPr>
        <w:pStyle w:val="texto"/>
        <w:numPr>
          <w:ilvl w:val="0"/>
          <w:numId w:val="1"/>
        </w:numPr>
        <w:tabs>
          <w:tab w:val="clear" w:pos="928"/>
          <w:tab w:val="left" w:pos="480"/>
          <w:tab w:val="num" w:pos="644"/>
          <w:tab w:val="num" w:pos="1130"/>
          <w:tab w:val="num" w:pos="1180"/>
          <w:tab w:val="num" w:pos="1300"/>
        </w:tabs>
        <w:ind w:left="0" w:firstLine="289"/>
        <w:rPr>
          <w:rFonts w:cs="Arial"/>
        </w:rPr>
      </w:pPr>
      <w:r w:rsidRPr="00E206AC">
        <w:rPr>
          <w:rFonts w:cs="Arial"/>
        </w:rPr>
        <w:t xml:space="preserve"> </w:t>
      </w:r>
      <w:r>
        <w:rPr>
          <w:rFonts w:cs="Arial"/>
        </w:rPr>
        <w:t xml:space="preserve">Área de Semilla y </w:t>
      </w:r>
      <w:proofErr w:type="spellStart"/>
      <w:r>
        <w:rPr>
          <w:rFonts w:cs="Arial"/>
        </w:rPr>
        <w:t>Start</w:t>
      </w:r>
      <w:proofErr w:type="spellEnd"/>
      <w:r>
        <w:rPr>
          <w:rFonts w:cs="Arial"/>
        </w:rPr>
        <w:t xml:space="preserve"> Up.</w:t>
      </w:r>
      <w:r w:rsidRPr="00E206AC">
        <w:rPr>
          <w:szCs w:val="26"/>
        </w:rPr>
        <w:t xml:space="preserve"> </w:t>
      </w:r>
      <w:r w:rsidRPr="00E206AC">
        <w:rPr>
          <w:rFonts w:cs="Arial"/>
        </w:rPr>
        <w:t>El objetivo de</w:t>
      </w:r>
      <w:r>
        <w:rPr>
          <w:rFonts w:cs="Arial"/>
        </w:rPr>
        <w:t xml:space="preserve"> est</w:t>
      </w:r>
      <w:r w:rsidR="00CB03F9">
        <w:rPr>
          <w:rFonts w:cs="Arial"/>
        </w:rPr>
        <w:t>a</w:t>
      </w:r>
      <w:r>
        <w:rPr>
          <w:rFonts w:cs="Arial"/>
        </w:rPr>
        <w:t xml:space="preserve"> área</w:t>
      </w:r>
      <w:r w:rsidRPr="00E206AC">
        <w:rPr>
          <w:rFonts w:cs="Arial"/>
        </w:rPr>
        <w:t xml:space="preserve"> es financiar, utiliza</w:t>
      </w:r>
      <w:r w:rsidRPr="00E206AC">
        <w:rPr>
          <w:rFonts w:cs="Arial"/>
        </w:rPr>
        <w:t>n</w:t>
      </w:r>
      <w:r w:rsidRPr="00E206AC">
        <w:rPr>
          <w:rFonts w:cs="Arial"/>
        </w:rPr>
        <w:t>do el instrumento de capital riesgo, los proyectos empresariales que inician su andadura, fomentando el emprend</w:t>
      </w:r>
      <w:r>
        <w:rPr>
          <w:rFonts w:cs="Arial"/>
        </w:rPr>
        <w:t xml:space="preserve">imiento </w:t>
      </w:r>
      <w:r w:rsidRPr="00E206AC">
        <w:rPr>
          <w:rFonts w:cs="Arial"/>
        </w:rPr>
        <w:t>innovador de la Comunidad.</w:t>
      </w:r>
      <w:r>
        <w:rPr>
          <w:rFonts w:cs="Arial"/>
        </w:rPr>
        <w:t xml:space="preserve"> </w:t>
      </w:r>
      <w:r w:rsidRPr="00566242">
        <w:rPr>
          <w:rFonts w:cs="Arial"/>
        </w:rPr>
        <w:t>El ap</w:t>
      </w:r>
      <w:r w:rsidRPr="00566242">
        <w:rPr>
          <w:rFonts w:cs="Arial"/>
        </w:rPr>
        <w:t>o</w:t>
      </w:r>
      <w:r w:rsidRPr="00566242">
        <w:rPr>
          <w:rFonts w:cs="Arial"/>
        </w:rPr>
        <w:t>yo financiero se realiza a través de préstamos participativos o toma de partic</w:t>
      </w:r>
      <w:r w:rsidRPr="00566242">
        <w:rPr>
          <w:rFonts w:cs="Arial"/>
        </w:rPr>
        <w:t>i</w:t>
      </w:r>
      <w:r w:rsidRPr="00566242">
        <w:rPr>
          <w:rFonts w:cs="Arial"/>
        </w:rPr>
        <w:t>pación, desde 100.000</w:t>
      </w:r>
      <w:r>
        <w:rPr>
          <w:rFonts w:cs="Arial"/>
        </w:rPr>
        <w:t xml:space="preserve"> euros</w:t>
      </w:r>
      <w:r w:rsidRPr="00566242">
        <w:rPr>
          <w:rFonts w:cs="Arial"/>
        </w:rPr>
        <w:t xml:space="preserve"> máximo en el primer caso, hasta 400.000</w:t>
      </w:r>
      <w:r>
        <w:rPr>
          <w:rFonts w:cs="Arial"/>
        </w:rPr>
        <w:t xml:space="preserve"> euros</w:t>
      </w:r>
      <w:r w:rsidRPr="00566242">
        <w:rPr>
          <w:rFonts w:cs="Arial"/>
        </w:rPr>
        <w:t xml:space="preserve"> en el segundo. La toma de participación es minoritaria y transitoria en el capital a través de </w:t>
      </w:r>
      <w:proofErr w:type="spellStart"/>
      <w:r w:rsidRPr="00566242">
        <w:rPr>
          <w:rFonts w:cs="Arial"/>
        </w:rPr>
        <w:t>Sodena</w:t>
      </w:r>
      <w:proofErr w:type="spellEnd"/>
      <w:r w:rsidRPr="00566242">
        <w:rPr>
          <w:rFonts w:cs="Arial"/>
        </w:rPr>
        <w:t xml:space="preserve"> o </w:t>
      </w:r>
      <w:proofErr w:type="spellStart"/>
      <w:r w:rsidRPr="00566242">
        <w:rPr>
          <w:rFonts w:cs="Arial"/>
        </w:rPr>
        <w:t>Start</w:t>
      </w:r>
      <w:proofErr w:type="spellEnd"/>
      <w:r w:rsidRPr="00566242">
        <w:rPr>
          <w:rFonts w:cs="Arial"/>
        </w:rPr>
        <w:t xml:space="preserve"> Up Capital Navarra, S.L</w:t>
      </w:r>
      <w:r>
        <w:rPr>
          <w:rStyle w:val="Refdenotaalpie"/>
          <w:rFonts w:cs="Arial"/>
        </w:rPr>
        <w:footnoteReference w:id="1"/>
      </w:r>
      <w:r w:rsidRPr="00566242">
        <w:rPr>
          <w:rFonts w:cs="Arial"/>
        </w:rPr>
        <w:t xml:space="preserve">. </w:t>
      </w:r>
    </w:p>
    <w:p w:rsidR="0029449C" w:rsidRDefault="0029449C" w:rsidP="00114CA2">
      <w:pPr>
        <w:pStyle w:val="texto"/>
        <w:tabs>
          <w:tab w:val="left" w:pos="480"/>
          <w:tab w:val="num" w:pos="1130"/>
          <w:tab w:val="num" w:pos="1180"/>
          <w:tab w:val="num" w:pos="1300"/>
        </w:tabs>
        <w:ind w:left="289" w:firstLine="0"/>
        <w:rPr>
          <w:rFonts w:cs="Arial"/>
          <w:spacing w:val="2"/>
        </w:rPr>
      </w:pPr>
    </w:p>
    <w:p w:rsidR="00B63BF3" w:rsidRPr="00114CA2" w:rsidRDefault="00B63BF3" w:rsidP="00114CA2">
      <w:pPr>
        <w:pStyle w:val="texto"/>
        <w:tabs>
          <w:tab w:val="left" w:pos="480"/>
          <w:tab w:val="num" w:pos="1130"/>
          <w:tab w:val="num" w:pos="1180"/>
          <w:tab w:val="num" w:pos="1300"/>
        </w:tabs>
        <w:ind w:left="289" w:firstLine="0"/>
        <w:rPr>
          <w:rFonts w:cs="Arial"/>
          <w:spacing w:val="2"/>
        </w:rPr>
      </w:pPr>
      <w:r w:rsidRPr="00114CA2">
        <w:rPr>
          <w:rFonts w:cs="Arial"/>
          <w:spacing w:val="2"/>
        </w:rPr>
        <w:lastRenderedPageBreak/>
        <w:t>Las empresas o proyectos apoyados deben de reunir las siguientes condiciones:</w:t>
      </w:r>
    </w:p>
    <w:p w:rsidR="00B63BF3" w:rsidRPr="00566242" w:rsidRDefault="00B63BF3" w:rsidP="00114CA2">
      <w:pPr>
        <w:pStyle w:val="texto"/>
        <w:tabs>
          <w:tab w:val="clear" w:pos="2835"/>
          <w:tab w:val="clear" w:pos="3969"/>
          <w:tab w:val="clear" w:pos="5103"/>
          <w:tab w:val="clear" w:pos="6237"/>
          <w:tab w:val="clear" w:pos="7371"/>
        </w:tabs>
        <w:rPr>
          <w:rFonts w:eastAsia="Calibri"/>
          <w:lang w:eastAsia="es-ES"/>
        </w:rPr>
      </w:pPr>
      <w:r>
        <w:rPr>
          <w:rFonts w:eastAsia="Calibri"/>
          <w:lang w:eastAsia="es-ES"/>
        </w:rPr>
        <w:t>a)</w:t>
      </w:r>
      <w:r w:rsidRPr="00566242">
        <w:rPr>
          <w:rFonts w:eastAsia="Calibri"/>
          <w:lang w:eastAsia="es-ES"/>
        </w:rPr>
        <w:t xml:space="preserve"> </w:t>
      </w:r>
      <w:r>
        <w:rPr>
          <w:rFonts w:eastAsia="Calibri"/>
          <w:lang w:eastAsia="es-ES"/>
        </w:rPr>
        <w:t>Estar e</w:t>
      </w:r>
      <w:r w:rsidRPr="00566242">
        <w:rPr>
          <w:rFonts w:eastAsia="Calibri"/>
          <w:lang w:eastAsia="es-ES"/>
        </w:rPr>
        <w:t>n etapas tempranas de desarrollo (fase semilla y fase arranque) y con domicilio y actividad principal en Navarra.</w:t>
      </w:r>
    </w:p>
    <w:p w:rsidR="00B63BF3" w:rsidRPr="00566242" w:rsidRDefault="00B63BF3" w:rsidP="00114CA2">
      <w:pPr>
        <w:pStyle w:val="texto"/>
        <w:tabs>
          <w:tab w:val="clear" w:pos="2835"/>
          <w:tab w:val="clear" w:pos="3969"/>
          <w:tab w:val="clear" w:pos="5103"/>
          <w:tab w:val="clear" w:pos="6237"/>
          <w:tab w:val="clear" w:pos="7371"/>
        </w:tabs>
        <w:rPr>
          <w:rFonts w:eastAsia="Calibri"/>
          <w:lang w:eastAsia="es-ES"/>
        </w:rPr>
      </w:pPr>
      <w:r>
        <w:rPr>
          <w:rFonts w:eastAsia="Calibri"/>
          <w:lang w:eastAsia="es-ES"/>
        </w:rPr>
        <w:t>b) Disponer de</w:t>
      </w:r>
      <w:r w:rsidRPr="00566242">
        <w:rPr>
          <w:rFonts w:eastAsia="Calibri"/>
          <w:lang w:eastAsia="es-ES"/>
        </w:rPr>
        <w:t xml:space="preserve"> un equipo promotor comprometido (dedicación y aportación </w:t>
      </w:r>
      <w:r>
        <w:rPr>
          <w:rFonts w:eastAsia="Calibri"/>
          <w:lang w:eastAsia="es-ES"/>
        </w:rPr>
        <w:t xml:space="preserve">de </w:t>
      </w:r>
      <w:r w:rsidRPr="00566242">
        <w:rPr>
          <w:rFonts w:eastAsia="Calibri"/>
          <w:lang w:eastAsia="es-ES"/>
        </w:rPr>
        <w:t xml:space="preserve">recursos) </w:t>
      </w:r>
      <w:r>
        <w:rPr>
          <w:rFonts w:eastAsia="Calibri"/>
          <w:lang w:eastAsia="es-ES"/>
        </w:rPr>
        <w:t xml:space="preserve">con el proyecto </w:t>
      </w:r>
      <w:r w:rsidRPr="00566242">
        <w:rPr>
          <w:rFonts w:eastAsia="Calibri"/>
          <w:lang w:eastAsia="es-ES"/>
        </w:rPr>
        <w:t>y con conocimiento de su actividad.</w:t>
      </w:r>
    </w:p>
    <w:p w:rsidR="00B63BF3" w:rsidRPr="00566242" w:rsidRDefault="00B63BF3" w:rsidP="00114CA2">
      <w:pPr>
        <w:pStyle w:val="texto"/>
        <w:tabs>
          <w:tab w:val="clear" w:pos="2835"/>
          <w:tab w:val="clear" w:pos="3969"/>
          <w:tab w:val="clear" w:pos="5103"/>
          <w:tab w:val="clear" w:pos="6237"/>
          <w:tab w:val="clear" w:pos="7371"/>
        </w:tabs>
        <w:rPr>
          <w:rFonts w:eastAsia="Calibri"/>
          <w:lang w:eastAsia="es-ES"/>
        </w:rPr>
      </w:pPr>
      <w:r>
        <w:rPr>
          <w:rFonts w:eastAsia="Calibri"/>
          <w:lang w:eastAsia="es-ES"/>
        </w:rPr>
        <w:t>c) Presentar un</w:t>
      </w:r>
      <w:r w:rsidRPr="00566242">
        <w:rPr>
          <w:rFonts w:eastAsia="Calibri"/>
          <w:lang w:eastAsia="es-ES"/>
        </w:rPr>
        <w:t xml:space="preserve"> carácter innovador y con capacidad de crecimiento.</w:t>
      </w:r>
    </w:p>
    <w:p w:rsidR="00B63BF3" w:rsidRPr="00566242" w:rsidRDefault="00B63BF3" w:rsidP="00114CA2">
      <w:pPr>
        <w:pStyle w:val="texto"/>
        <w:tabs>
          <w:tab w:val="clear" w:pos="2835"/>
          <w:tab w:val="clear" w:pos="3969"/>
          <w:tab w:val="clear" w:pos="5103"/>
          <w:tab w:val="clear" w:pos="6237"/>
          <w:tab w:val="clear" w:pos="7371"/>
        </w:tabs>
        <w:rPr>
          <w:rFonts w:eastAsia="Calibri"/>
          <w:lang w:eastAsia="es-ES"/>
        </w:rPr>
      </w:pPr>
      <w:r>
        <w:rPr>
          <w:rFonts w:eastAsia="Calibri"/>
          <w:lang w:eastAsia="es-ES"/>
        </w:rPr>
        <w:t>d) Observarse</w:t>
      </w:r>
      <w:r w:rsidRPr="00566242">
        <w:rPr>
          <w:rFonts w:eastAsia="Calibri"/>
          <w:lang w:eastAsia="es-ES"/>
        </w:rPr>
        <w:t xml:space="preserve"> posibilidades ciertas de obtención de una rentabilidad global (financiera, fiscal, creación </w:t>
      </w:r>
      <w:r w:rsidR="00C167B4">
        <w:rPr>
          <w:rFonts w:eastAsia="Calibri"/>
          <w:lang w:eastAsia="es-ES"/>
        </w:rPr>
        <w:t xml:space="preserve">de </w:t>
      </w:r>
      <w:r w:rsidRPr="00566242">
        <w:rPr>
          <w:rFonts w:eastAsia="Calibri"/>
          <w:lang w:eastAsia="es-ES"/>
        </w:rPr>
        <w:t>empleo directo e indirecto</w:t>
      </w:r>
      <w:r w:rsidR="00C167B4">
        <w:rPr>
          <w:rFonts w:eastAsia="Calibri"/>
          <w:lang w:eastAsia="es-ES"/>
        </w:rPr>
        <w:t>…</w:t>
      </w:r>
      <w:r w:rsidRPr="00566242">
        <w:rPr>
          <w:rFonts w:eastAsia="Calibri"/>
          <w:lang w:eastAsia="es-ES"/>
        </w:rPr>
        <w:t>).</w:t>
      </w:r>
    </w:p>
    <w:p w:rsidR="00B63BF3" w:rsidRPr="00566242" w:rsidRDefault="00B63BF3" w:rsidP="00114CA2">
      <w:pPr>
        <w:pStyle w:val="texto"/>
        <w:numPr>
          <w:ilvl w:val="0"/>
          <w:numId w:val="1"/>
        </w:numPr>
        <w:tabs>
          <w:tab w:val="clear" w:pos="928"/>
          <w:tab w:val="left" w:pos="480"/>
          <w:tab w:val="num" w:pos="644"/>
          <w:tab w:val="num" w:pos="1130"/>
          <w:tab w:val="num" w:pos="1180"/>
          <w:tab w:val="num" w:pos="1300"/>
        </w:tabs>
        <w:ind w:left="0" w:firstLine="289"/>
        <w:rPr>
          <w:rFonts w:cs="Arial"/>
        </w:rPr>
      </w:pPr>
      <w:r>
        <w:rPr>
          <w:rFonts w:cs="Arial"/>
        </w:rPr>
        <w:t>Otros apoyos financieros.</w:t>
      </w:r>
      <w:r w:rsidRPr="00566242">
        <w:rPr>
          <w:rFonts w:cs="Arial"/>
        </w:rPr>
        <w:t xml:space="preserve"> Est</w:t>
      </w:r>
      <w:r w:rsidR="00CB03F9">
        <w:rPr>
          <w:rFonts w:cs="Arial"/>
        </w:rPr>
        <w:t>a</w:t>
      </w:r>
      <w:r w:rsidRPr="00566242">
        <w:rPr>
          <w:rFonts w:cs="Arial"/>
        </w:rPr>
        <w:t xml:space="preserve"> área tiene como objetivo prestar apoyo a las empresas navarras, mediante instrumentos financieros de caráct</w:t>
      </w:r>
      <w:r w:rsidRPr="00CB03F9">
        <w:rPr>
          <w:rFonts w:cs="Arial"/>
        </w:rPr>
        <w:t xml:space="preserve">er ordinario, </w:t>
      </w:r>
      <w:r w:rsidRPr="00566242">
        <w:rPr>
          <w:rFonts w:cs="Arial"/>
        </w:rPr>
        <w:t>tanto directo como a través de acuerdos con entidades financieras y de garantía recíproca.</w:t>
      </w:r>
      <w:r>
        <w:rPr>
          <w:rFonts w:cs="Arial"/>
        </w:rPr>
        <w:t xml:space="preserve"> </w:t>
      </w:r>
      <w:r w:rsidRPr="00566242">
        <w:rPr>
          <w:rFonts w:cs="Arial"/>
        </w:rPr>
        <w:t xml:space="preserve">Se distinguen </w:t>
      </w:r>
      <w:r>
        <w:rPr>
          <w:rFonts w:cs="Arial"/>
        </w:rPr>
        <w:t>los siguientes</w:t>
      </w:r>
      <w:r w:rsidRPr="00566242">
        <w:rPr>
          <w:rFonts w:cs="Arial"/>
        </w:rPr>
        <w:t xml:space="preserve"> instrumentos de apoyo:</w:t>
      </w:r>
    </w:p>
    <w:p w:rsidR="00B63BF3" w:rsidRPr="00566242" w:rsidRDefault="00B63BF3" w:rsidP="00114CA2">
      <w:pPr>
        <w:pStyle w:val="texto"/>
        <w:tabs>
          <w:tab w:val="clear" w:pos="2835"/>
          <w:tab w:val="clear" w:pos="3969"/>
          <w:tab w:val="clear" w:pos="5103"/>
          <w:tab w:val="clear" w:pos="6237"/>
          <w:tab w:val="clear" w:pos="7371"/>
        </w:tabs>
        <w:rPr>
          <w:rFonts w:eastAsia="Calibri"/>
          <w:lang w:eastAsia="es-ES"/>
        </w:rPr>
      </w:pPr>
      <w:r>
        <w:rPr>
          <w:rFonts w:eastAsia="Calibri"/>
          <w:lang w:eastAsia="es-ES"/>
        </w:rPr>
        <w:t xml:space="preserve">a) Financiación BEI. </w:t>
      </w:r>
      <w:r w:rsidRPr="00566242">
        <w:rPr>
          <w:rFonts w:eastAsia="Calibri"/>
          <w:lang w:eastAsia="es-ES"/>
        </w:rPr>
        <w:t xml:space="preserve">El Banco Europeo de </w:t>
      </w:r>
      <w:r>
        <w:rPr>
          <w:rFonts w:eastAsia="Calibri"/>
          <w:lang w:eastAsia="es-ES"/>
        </w:rPr>
        <w:t>I</w:t>
      </w:r>
      <w:r w:rsidRPr="00566242">
        <w:rPr>
          <w:rFonts w:eastAsia="Calibri"/>
          <w:lang w:eastAsia="es-ES"/>
        </w:rPr>
        <w:t>nversiones (BEI) concedió al Gobierno de Navarra, a través de Sodena, un préstamo de 100 millones de e</w:t>
      </w:r>
      <w:r w:rsidRPr="00566242">
        <w:rPr>
          <w:rFonts w:eastAsia="Calibri"/>
          <w:lang w:eastAsia="es-ES"/>
        </w:rPr>
        <w:t>u</w:t>
      </w:r>
      <w:r w:rsidRPr="00566242">
        <w:rPr>
          <w:rFonts w:eastAsia="Calibri"/>
          <w:lang w:eastAsia="es-ES"/>
        </w:rPr>
        <w:t xml:space="preserve">ros para financiar, proyectos de inversión de </w:t>
      </w:r>
      <w:r>
        <w:rPr>
          <w:rFonts w:eastAsia="Calibri"/>
          <w:lang w:eastAsia="es-ES"/>
        </w:rPr>
        <w:t>P</w:t>
      </w:r>
      <w:r w:rsidRPr="00566242">
        <w:rPr>
          <w:rFonts w:eastAsia="Calibri"/>
          <w:lang w:eastAsia="es-ES"/>
        </w:rPr>
        <w:t>ymes y "</w:t>
      </w:r>
      <w:proofErr w:type="spellStart"/>
      <w:r w:rsidRPr="00566242">
        <w:rPr>
          <w:rFonts w:eastAsia="Calibri"/>
          <w:lang w:eastAsia="es-ES"/>
        </w:rPr>
        <w:t>Midcaps</w:t>
      </w:r>
      <w:proofErr w:type="spellEnd"/>
      <w:r w:rsidRPr="00566242">
        <w:rPr>
          <w:rFonts w:eastAsia="Calibri"/>
          <w:lang w:eastAsia="es-ES"/>
        </w:rPr>
        <w:t>"</w:t>
      </w:r>
      <w:r>
        <w:rPr>
          <w:rStyle w:val="Refdenotaalpie"/>
          <w:rFonts w:eastAsia="Calibri"/>
          <w:lang w:eastAsia="es-ES"/>
        </w:rPr>
        <w:footnoteReference w:id="2"/>
      </w:r>
      <w:r w:rsidRPr="00566242">
        <w:rPr>
          <w:rFonts w:eastAsia="Calibri"/>
          <w:lang w:eastAsia="es-ES"/>
        </w:rPr>
        <w:t xml:space="preserve"> navarras. En todos los casos</w:t>
      </w:r>
      <w:r>
        <w:rPr>
          <w:rFonts w:eastAsia="Calibri"/>
          <w:lang w:eastAsia="es-ES"/>
        </w:rPr>
        <w:t>,</w:t>
      </w:r>
      <w:r w:rsidRPr="00566242">
        <w:rPr>
          <w:rFonts w:eastAsia="Calibri"/>
          <w:lang w:eastAsia="es-ES"/>
        </w:rPr>
        <w:t xml:space="preserve"> el plazo máximo de concesión es hasta febrero de 2024. Exi</w:t>
      </w:r>
      <w:r w:rsidRPr="00566242">
        <w:rPr>
          <w:rFonts w:eastAsia="Calibri"/>
          <w:lang w:eastAsia="es-ES"/>
        </w:rPr>
        <w:t>s</w:t>
      </w:r>
      <w:r w:rsidRPr="00566242">
        <w:rPr>
          <w:rFonts w:eastAsia="Calibri"/>
          <w:lang w:eastAsia="es-ES"/>
        </w:rPr>
        <w:t>ten tres tipologías de apoyo con estos fondos:</w:t>
      </w:r>
    </w:p>
    <w:p w:rsidR="00B63BF3" w:rsidRDefault="00114CA2" w:rsidP="00114CA2">
      <w:pPr>
        <w:pStyle w:val="texto"/>
        <w:tabs>
          <w:tab w:val="clear" w:pos="2835"/>
          <w:tab w:val="clear" w:pos="3969"/>
          <w:tab w:val="clear" w:pos="5103"/>
          <w:tab w:val="clear" w:pos="6237"/>
          <w:tab w:val="clear" w:pos="7371"/>
        </w:tabs>
        <w:rPr>
          <w:rFonts w:eastAsia="Calibri"/>
          <w:lang w:eastAsia="es-ES"/>
        </w:rPr>
      </w:pPr>
      <w:proofErr w:type="gramStart"/>
      <w:r>
        <w:rPr>
          <w:rFonts w:eastAsia="Calibri"/>
          <w:lang w:eastAsia="es-ES"/>
        </w:rPr>
        <w:t>1.º</w:t>
      </w:r>
      <w:proofErr w:type="gramEnd"/>
      <w:r>
        <w:rPr>
          <w:rFonts w:eastAsia="Calibri"/>
          <w:lang w:eastAsia="es-ES"/>
        </w:rPr>
        <w:t>)</w:t>
      </w:r>
      <w:r w:rsidR="00B63BF3" w:rsidRPr="00751DE4">
        <w:rPr>
          <w:rFonts w:eastAsia="Calibri"/>
          <w:lang w:eastAsia="es-ES"/>
        </w:rPr>
        <w:t xml:space="preserve"> </w:t>
      </w:r>
      <w:r w:rsidR="00B63BF3">
        <w:rPr>
          <w:rFonts w:eastAsia="Calibri"/>
          <w:lang w:eastAsia="es-ES"/>
        </w:rPr>
        <w:t>P</w:t>
      </w:r>
      <w:r w:rsidR="00B63BF3" w:rsidRPr="00751DE4">
        <w:rPr>
          <w:rFonts w:eastAsia="Calibri"/>
          <w:lang w:eastAsia="es-ES"/>
        </w:rPr>
        <w:t>réstamos directos de Sodena. El préstamo</w:t>
      </w:r>
      <w:r w:rsidR="00B63BF3">
        <w:rPr>
          <w:rFonts w:eastAsia="Calibri"/>
          <w:lang w:eastAsia="es-ES"/>
        </w:rPr>
        <w:t xml:space="preserve"> concedido a través de Sodena</w:t>
      </w:r>
      <w:r w:rsidR="00B63BF3" w:rsidRPr="00751DE4">
        <w:rPr>
          <w:rFonts w:eastAsia="Calibri"/>
          <w:lang w:eastAsia="es-ES"/>
        </w:rPr>
        <w:t xml:space="preserve"> </w:t>
      </w:r>
      <w:r w:rsidR="00B63BF3">
        <w:rPr>
          <w:rFonts w:eastAsia="Calibri"/>
          <w:lang w:eastAsia="es-ES"/>
        </w:rPr>
        <w:t>será aplicado</w:t>
      </w:r>
      <w:r w:rsidR="00B63BF3" w:rsidRPr="00751DE4">
        <w:rPr>
          <w:rFonts w:eastAsia="Calibri"/>
          <w:lang w:eastAsia="es-ES"/>
        </w:rPr>
        <w:t xml:space="preserve"> a inversiones o gastos activos tangibles (excepto terrenos), inta</w:t>
      </w:r>
      <w:r w:rsidR="00B63BF3" w:rsidRPr="00751DE4">
        <w:rPr>
          <w:rFonts w:eastAsia="Calibri"/>
          <w:lang w:eastAsia="es-ES"/>
        </w:rPr>
        <w:t>n</w:t>
      </w:r>
      <w:r w:rsidR="00B63BF3" w:rsidRPr="00751DE4">
        <w:rPr>
          <w:rFonts w:eastAsia="Calibri"/>
          <w:lang w:eastAsia="es-ES"/>
        </w:rPr>
        <w:t xml:space="preserve">gibles (costes de desarrollo, planificación y financiación; I+D; y creación de redes de distribución) o destinados a la sucesión empresarial. El </w:t>
      </w:r>
      <w:r w:rsidR="00B63BF3">
        <w:rPr>
          <w:rFonts w:eastAsia="Calibri"/>
          <w:lang w:eastAsia="es-ES"/>
        </w:rPr>
        <w:t>i</w:t>
      </w:r>
      <w:r w:rsidR="00B63BF3" w:rsidRPr="00751DE4">
        <w:rPr>
          <w:rFonts w:eastAsia="Calibri"/>
          <w:lang w:eastAsia="es-ES"/>
        </w:rPr>
        <w:t>mporte del préstamo podrá ser desde 100.000 euros hasta 5</w:t>
      </w:r>
      <w:r w:rsidR="00B63BF3">
        <w:rPr>
          <w:rFonts w:eastAsia="Calibri"/>
          <w:lang w:eastAsia="es-ES"/>
        </w:rPr>
        <w:t xml:space="preserve"> millones de euros y </w:t>
      </w:r>
      <w:r w:rsidR="00B63BF3" w:rsidRPr="00751DE4">
        <w:rPr>
          <w:rFonts w:eastAsia="Calibri"/>
          <w:lang w:eastAsia="es-ES"/>
        </w:rPr>
        <w:t>podrá f</w:t>
      </w:r>
      <w:r w:rsidR="00B63BF3" w:rsidRPr="00751DE4">
        <w:rPr>
          <w:rFonts w:eastAsia="Calibri"/>
          <w:lang w:eastAsia="es-ES"/>
        </w:rPr>
        <w:t>i</w:t>
      </w:r>
      <w:r w:rsidR="00B63BF3" w:rsidRPr="00751DE4">
        <w:rPr>
          <w:rFonts w:eastAsia="Calibri"/>
          <w:lang w:eastAsia="es-ES"/>
        </w:rPr>
        <w:t>nanciar hasta el 50</w:t>
      </w:r>
      <w:r w:rsidR="00B63BF3">
        <w:rPr>
          <w:rFonts w:eastAsia="Calibri"/>
          <w:lang w:eastAsia="es-ES"/>
        </w:rPr>
        <w:t xml:space="preserve"> por ciento </w:t>
      </w:r>
      <w:r w:rsidR="00B63BF3" w:rsidRPr="00751DE4">
        <w:rPr>
          <w:rFonts w:eastAsia="Calibri"/>
          <w:lang w:eastAsia="es-ES"/>
        </w:rPr>
        <w:t>del coste del proyecto. El tipo de interés será de mercado, con comisión de apertura del 0,5</w:t>
      </w:r>
      <w:r w:rsidR="00B63BF3">
        <w:rPr>
          <w:rFonts w:eastAsia="Calibri"/>
          <w:lang w:eastAsia="es-ES"/>
        </w:rPr>
        <w:t xml:space="preserve"> por ciento </w:t>
      </w:r>
      <w:r w:rsidR="00B63BF3" w:rsidRPr="00751DE4">
        <w:rPr>
          <w:rFonts w:eastAsia="Calibri"/>
          <w:lang w:eastAsia="es-ES"/>
        </w:rPr>
        <w:t>y garantías a determinar en cada caso.</w:t>
      </w:r>
    </w:p>
    <w:p w:rsidR="00B63BF3" w:rsidRPr="00CF38D9" w:rsidRDefault="00114CA2" w:rsidP="00114CA2">
      <w:pPr>
        <w:pStyle w:val="texto"/>
        <w:tabs>
          <w:tab w:val="clear" w:pos="2835"/>
          <w:tab w:val="clear" w:pos="3969"/>
          <w:tab w:val="clear" w:pos="5103"/>
          <w:tab w:val="clear" w:pos="6237"/>
          <w:tab w:val="clear" w:pos="7371"/>
        </w:tabs>
        <w:rPr>
          <w:rFonts w:eastAsia="Calibri"/>
          <w:lang w:eastAsia="es-ES"/>
        </w:rPr>
      </w:pPr>
      <w:proofErr w:type="gramStart"/>
      <w:r>
        <w:rPr>
          <w:rFonts w:eastAsia="Calibri"/>
          <w:lang w:eastAsia="es-ES"/>
        </w:rPr>
        <w:t>2.º</w:t>
      </w:r>
      <w:proofErr w:type="gramEnd"/>
      <w:r>
        <w:rPr>
          <w:rFonts w:eastAsia="Calibri"/>
          <w:lang w:eastAsia="es-ES"/>
        </w:rPr>
        <w:t>)</w:t>
      </w:r>
      <w:r w:rsidR="00B63BF3" w:rsidRPr="00CF38D9">
        <w:rPr>
          <w:rFonts w:eastAsia="Calibri"/>
          <w:lang w:eastAsia="es-ES"/>
        </w:rPr>
        <w:t xml:space="preserve"> A través de entidades financieras que conceden los préstamos destinados a financiar cualquier proyecto empresarial dentro de los sectores estratégicos de la Estrategia de Especialización Inteligente de Navarra (S3). El importe máx</w:t>
      </w:r>
      <w:r w:rsidR="00B63BF3" w:rsidRPr="00CF38D9">
        <w:rPr>
          <w:rFonts w:eastAsia="Calibri"/>
          <w:lang w:eastAsia="es-ES"/>
        </w:rPr>
        <w:t>i</w:t>
      </w:r>
      <w:r w:rsidR="00B63BF3" w:rsidRPr="00CF38D9">
        <w:rPr>
          <w:rFonts w:eastAsia="Calibri"/>
          <w:lang w:eastAsia="es-ES"/>
        </w:rPr>
        <w:t>mo por proyecto es de 25 millones de euros y se podrá financiar hasta un 50</w:t>
      </w:r>
      <w:r w:rsidR="00B63BF3">
        <w:rPr>
          <w:rFonts w:eastAsia="Calibri"/>
          <w:lang w:eastAsia="es-ES"/>
        </w:rPr>
        <w:t xml:space="preserve"> por ciento</w:t>
      </w:r>
      <w:r w:rsidR="00B63BF3" w:rsidRPr="00CF38D9">
        <w:rPr>
          <w:rFonts w:eastAsia="Calibri"/>
          <w:lang w:eastAsia="es-ES"/>
        </w:rPr>
        <w:t xml:space="preserve"> y el tipo de interés</w:t>
      </w:r>
      <w:r w:rsidR="00B63BF3">
        <w:rPr>
          <w:rFonts w:eastAsia="Calibri"/>
          <w:lang w:eastAsia="es-ES"/>
        </w:rPr>
        <w:t xml:space="preserve"> </w:t>
      </w:r>
      <w:r w:rsidR="00B63BF3" w:rsidRPr="00CF38D9">
        <w:rPr>
          <w:rFonts w:eastAsia="Calibri"/>
          <w:lang w:eastAsia="es-ES"/>
        </w:rPr>
        <w:t>máximo</w:t>
      </w:r>
      <w:r w:rsidR="00B63BF3">
        <w:rPr>
          <w:rFonts w:eastAsia="Calibri"/>
          <w:lang w:eastAsia="es-ES"/>
        </w:rPr>
        <w:t xml:space="preserve"> es</w:t>
      </w:r>
      <w:r w:rsidR="00B63BF3" w:rsidRPr="00CF38D9">
        <w:rPr>
          <w:rFonts w:eastAsia="Calibri"/>
          <w:lang w:eastAsia="es-ES"/>
        </w:rPr>
        <w:t xml:space="preserve"> del 5,787</w:t>
      </w:r>
      <w:r w:rsidR="00B63BF3">
        <w:rPr>
          <w:rFonts w:eastAsia="Calibri"/>
          <w:lang w:eastAsia="es-ES"/>
        </w:rPr>
        <w:t xml:space="preserve"> por ciento. Estos préstamos pueden contar con aval parcial de Sodena.</w:t>
      </w:r>
    </w:p>
    <w:p w:rsidR="00B63BF3" w:rsidRPr="00595BFB" w:rsidRDefault="00114CA2" w:rsidP="00114CA2">
      <w:pPr>
        <w:pStyle w:val="texto"/>
        <w:tabs>
          <w:tab w:val="clear" w:pos="2835"/>
          <w:tab w:val="clear" w:pos="3969"/>
          <w:tab w:val="clear" w:pos="5103"/>
          <w:tab w:val="clear" w:pos="6237"/>
          <w:tab w:val="clear" w:pos="7371"/>
        </w:tabs>
        <w:rPr>
          <w:rFonts w:eastAsia="Calibri"/>
          <w:lang w:eastAsia="es-ES"/>
        </w:rPr>
      </w:pPr>
      <w:proofErr w:type="gramStart"/>
      <w:r>
        <w:rPr>
          <w:rFonts w:eastAsia="Calibri"/>
          <w:lang w:eastAsia="es-ES"/>
        </w:rPr>
        <w:t>3.º</w:t>
      </w:r>
      <w:proofErr w:type="gramEnd"/>
      <w:r>
        <w:rPr>
          <w:rFonts w:eastAsia="Calibri"/>
          <w:lang w:eastAsia="es-ES"/>
        </w:rPr>
        <w:t>)</w:t>
      </w:r>
      <w:r w:rsidR="00B63BF3" w:rsidRPr="00595BFB">
        <w:rPr>
          <w:rFonts w:eastAsia="Calibri"/>
          <w:lang w:eastAsia="es-ES"/>
        </w:rPr>
        <w:t xml:space="preserve"> Con sociedades de garantía recíproca (SGR). Sodena concede préstamos destinado a inversiones o gastos en activos tangibles (excepto terrenos), inta</w:t>
      </w:r>
      <w:r w:rsidR="00B63BF3" w:rsidRPr="00595BFB">
        <w:rPr>
          <w:rFonts w:eastAsia="Calibri"/>
          <w:lang w:eastAsia="es-ES"/>
        </w:rPr>
        <w:t>n</w:t>
      </w:r>
      <w:r w:rsidR="00B63BF3" w:rsidRPr="00595BFB">
        <w:rPr>
          <w:rFonts w:eastAsia="Calibri"/>
          <w:lang w:eastAsia="es-ES"/>
        </w:rPr>
        <w:t xml:space="preserve">gibles o destinados a la sucesión empresarial. Los importes van desde 20.000 euros hasta 600.000 euros y se podrá financiar hasta el 100 </w:t>
      </w:r>
      <w:r w:rsidR="00B63BF3">
        <w:rPr>
          <w:rFonts w:eastAsia="Calibri"/>
          <w:lang w:eastAsia="es-ES"/>
        </w:rPr>
        <w:t>por cien</w:t>
      </w:r>
      <w:r w:rsidR="00B63BF3" w:rsidRPr="00595BFB">
        <w:rPr>
          <w:rFonts w:eastAsia="Calibri"/>
          <w:lang w:eastAsia="es-ES"/>
        </w:rPr>
        <w:t xml:space="preserve">. El tipo de interés será </w:t>
      </w:r>
      <w:r w:rsidR="00B63BF3">
        <w:rPr>
          <w:rFonts w:eastAsia="Calibri"/>
          <w:lang w:eastAsia="es-ES"/>
        </w:rPr>
        <w:t xml:space="preserve">el </w:t>
      </w:r>
      <w:r w:rsidR="00B63BF3" w:rsidRPr="00595BFB">
        <w:rPr>
          <w:rFonts w:eastAsia="Calibri"/>
          <w:lang w:eastAsia="es-ES"/>
        </w:rPr>
        <w:t>de mercado.</w:t>
      </w:r>
    </w:p>
    <w:p w:rsidR="00B63BF3" w:rsidRDefault="00B63BF3" w:rsidP="00B63BF3">
      <w:pPr>
        <w:pStyle w:val="texto"/>
        <w:tabs>
          <w:tab w:val="clear" w:pos="2835"/>
          <w:tab w:val="clear" w:pos="3969"/>
          <w:tab w:val="clear" w:pos="5103"/>
          <w:tab w:val="clear" w:pos="6237"/>
          <w:tab w:val="clear" w:pos="7371"/>
        </w:tabs>
        <w:spacing w:after="120"/>
        <w:rPr>
          <w:rFonts w:eastAsia="Calibri"/>
          <w:lang w:eastAsia="es-ES"/>
        </w:rPr>
      </w:pPr>
      <w:r>
        <w:rPr>
          <w:rFonts w:eastAsia="Calibri"/>
          <w:lang w:eastAsia="es-ES"/>
        </w:rPr>
        <w:lastRenderedPageBreak/>
        <w:t xml:space="preserve">b) </w:t>
      </w:r>
      <w:r w:rsidRPr="00566242">
        <w:rPr>
          <w:rFonts w:eastAsia="Calibri"/>
          <w:lang w:eastAsia="es-ES"/>
        </w:rPr>
        <w:t>Convenios con Sociedades de Garantía Recíproca (</w:t>
      </w:r>
      <w:proofErr w:type="spellStart"/>
      <w:r w:rsidRPr="00566242">
        <w:rPr>
          <w:rFonts w:eastAsia="Calibri"/>
          <w:lang w:eastAsia="es-ES"/>
        </w:rPr>
        <w:t>SGRs</w:t>
      </w:r>
      <w:proofErr w:type="spellEnd"/>
      <w:r w:rsidRPr="00566242">
        <w:rPr>
          <w:rFonts w:eastAsia="Calibri"/>
          <w:lang w:eastAsia="es-ES"/>
        </w:rPr>
        <w:t>)</w:t>
      </w:r>
      <w:r>
        <w:rPr>
          <w:rFonts w:eastAsia="Calibri"/>
          <w:lang w:eastAsia="es-ES"/>
        </w:rPr>
        <w:t xml:space="preserve"> firmados por </w:t>
      </w:r>
      <w:proofErr w:type="spellStart"/>
      <w:r>
        <w:rPr>
          <w:rFonts w:eastAsia="Calibri"/>
          <w:lang w:eastAsia="es-ES"/>
        </w:rPr>
        <w:t>Sodena</w:t>
      </w:r>
      <w:proofErr w:type="spellEnd"/>
      <w:r>
        <w:rPr>
          <w:rFonts w:eastAsia="Calibri"/>
          <w:lang w:eastAsia="es-ES"/>
        </w:rPr>
        <w:t xml:space="preserve"> con el objetivo de potenciar el acceso a la financiación por Pymes y a</w:t>
      </w:r>
      <w:r>
        <w:rPr>
          <w:rFonts w:eastAsia="Calibri"/>
          <w:lang w:eastAsia="es-ES"/>
        </w:rPr>
        <w:t>u</w:t>
      </w:r>
      <w:r>
        <w:rPr>
          <w:rFonts w:eastAsia="Calibri"/>
          <w:lang w:eastAsia="es-ES"/>
        </w:rPr>
        <w:t>tónomos de Navarra.</w:t>
      </w:r>
      <w:r w:rsidRPr="00595BFB">
        <w:rPr>
          <w:rFonts w:eastAsia="Calibri"/>
          <w:lang w:eastAsia="es-ES"/>
        </w:rPr>
        <w:t xml:space="preserve"> </w:t>
      </w:r>
      <w:r>
        <w:rPr>
          <w:rFonts w:eastAsia="Calibri"/>
          <w:lang w:eastAsia="es-ES"/>
        </w:rPr>
        <w:t>Se ha</w:t>
      </w:r>
      <w:r w:rsidRPr="00595BFB">
        <w:rPr>
          <w:rFonts w:eastAsia="Calibri"/>
          <w:lang w:eastAsia="es-ES"/>
        </w:rPr>
        <w:t xml:space="preserve"> firmado un convenio de colaboración con las soci</w:t>
      </w:r>
      <w:r w:rsidRPr="00595BFB">
        <w:rPr>
          <w:rFonts w:eastAsia="Calibri"/>
          <w:lang w:eastAsia="es-ES"/>
        </w:rPr>
        <w:t>e</w:t>
      </w:r>
      <w:r w:rsidRPr="00595BFB">
        <w:rPr>
          <w:rFonts w:eastAsia="Calibri"/>
          <w:lang w:eastAsia="es-ES"/>
        </w:rPr>
        <w:t>dades de garantía recíproca ELKARGI y SONAGAR, entidades que pueden avalar una cobertura</w:t>
      </w:r>
      <w:r>
        <w:rPr>
          <w:rFonts w:eastAsia="Calibri"/>
          <w:lang w:eastAsia="es-ES"/>
        </w:rPr>
        <w:t xml:space="preserve"> de</w:t>
      </w:r>
      <w:r w:rsidRPr="00595BFB">
        <w:rPr>
          <w:rFonts w:eastAsia="Calibri"/>
          <w:lang w:eastAsia="es-ES"/>
        </w:rPr>
        <w:t xml:space="preserve"> hasta del 100</w:t>
      </w:r>
      <w:r>
        <w:rPr>
          <w:rFonts w:eastAsia="Calibri"/>
          <w:lang w:eastAsia="es-ES"/>
        </w:rPr>
        <w:t xml:space="preserve"> por cien</w:t>
      </w:r>
      <w:r w:rsidRPr="00595BFB">
        <w:rPr>
          <w:rFonts w:eastAsia="Calibri"/>
          <w:lang w:eastAsia="es-ES"/>
        </w:rPr>
        <w:t xml:space="preserve"> de</w:t>
      </w:r>
      <w:r>
        <w:rPr>
          <w:rFonts w:eastAsia="Calibri"/>
          <w:lang w:eastAsia="es-ES"/>
        </w:rPr>
        <w:t>l</w:t>
      </w:r>
      <w:r w:rsidRPr="00595BFB">
        <w:rPr>
          <w:rFonts w:eastAsia="Calibri"/>
          <w:lang w:eastAsia="es-ES"/>
        </w:rPr>
        <w:t xml:space="preserve"> préstamo</w:t>
      </w:r>
      <w:r>
        <w:rPr>
          <w:rFonts w:eastAsia="Calibri"/>
          <w:lang w:eastAsia="es-ES"/>
        </w:rPr>
        <w:t xml:space="preserve"> y </w:t>
      </w:r>
      <w:r w:rsidRPr="00595BFB">
        <w:rPr>
          <w:rFonts w:eastAsia="Calibri"/>
          <w:lang w:eastAsia="es-ES"/>
        </w:rPr>
        <w:t>cuyo destino sea la inver</w:t>
      </w:r>
      <w:r>
        <w:rPr>
          <w:rFonts w:eastAsia="Calibri"/>
          <w:lang w:eastAsia="es-ES"/>
        </w:rPr>
        <w:t>sión en activos fijos</w:t>
      </w:r>
      <w:r w:rsidRPr="00595BFB">
        <w:rPr>
          <w:rFonts w:eastAsia="Calibri"/>
          <w:lang w:eastAsia="es-ES"/>
        </w:rPr>
        <w:t>; circulante estructural para la puesta en marcha; crecimiento; procesos de internacionalización y consolidación.</w:t>
      </w:r>
    </w:p>
    <w:p w:rsidR="00B63BF3" w:rsidRPr="002B18E3" w:rsidRDefault="00B63BF3" w:rsidP="00B63BF3">
      <w:pPr>
        <w:pStyle w:val="texto"/>
        <w:numPr>
          <w:ilvl w:val="0"/>
          <w:numId w:val="1"/>
        </w:numPr>
        <w:tabs>
          <w:tab w:val="clear" w:pos="928"/>
          <w:tab w:val="left" w:pos="480"/>
          <w:tab w:val="num" w:pos="644"/>
          <w:tab w:val="num" w:pos="1130"/>
          <w:tab w:val="num" w:pos="1180"/>
          <w:tab w:val="num" w:pos="1300"/>
        </w:tabs>
        <w:ind w:left="0" w:firstLine="289"/>
        <w:rPr>
          <w:rFonts w:cs="Arial"/>
        </w:rPr>
      </w:pPr>
      <w:r>
        <w:rPr>
          <w:rFonts w:cs="Arial"/>
        </w:rPr>
        <w:t>C</w:t>
      </w:r>
      <w:r w:rsidRPr="00915460">
        <w:rPr>
          <w:rFonts w:cs="Arial"/>
        </w:rPr>
        <w:t>aptación de inversiones procedentes del exterior.</w:t>
      </w:r>
      <w:r>
        <w:rPr>
          <w:rFonts w:cs="Arial"/>
        </w:rPr>
        <w:t xml:space="preserve"> </w:t>
      </w:r>
      <w:r w:rsidRPr="002B18E3">
        <w:rPr>
          <w:szCs w:val="26"/>
        </w:rPr>
        <w:t xml:space="preserve">El Gobierno de Navarra, comprometido con la internacionalización de la </w:t>
      </w:r>
      <w:r>
        <w:rPr>
          <w:szCs w:val="26"/>
        </w:rPr>
        <w:t>Comunidad</w:t>
      </w:r>
      <w:r w:rsidRPr="002B18E3">
        <w:rPr>
          <w:szCs w:val="26"/>
        </w:rPr>
        <w:t>, tiene encomend</w:t>
      </w:r>
      <w:r w:rsidRPr="002B18E3">
        <w:rPr>
          <w:szCs w:val="26"/>
        </w:rPr>
        <w:t>a</w:t>
      </w:r>
      <w:r w:rsidRPr="002B18E3">
        <w:rPr>
          <w:szCs w:val="26"/>
        </w:rPr>
        <w:t xml:space="preserve">do a Sodena la misión de atraer y consolidar inversión exterior en Navarra. </w:t>
      </w:r>
      <w:r w:rsidRPr="000138E5">
        <w:rPr>
          <w:szCs w:val="26"/>
        </w:rPr>
        <w:t>S</w:t>
      </w:r>
      <w:r w:rsidRPr="000138E5">
        <w:rPr>
          <w:szCs w:val="26"/>
        </w:rPr>
        <w:t>o</w:t>
      </w:r>
      <w:r w:rsidRPr="000138E5">
        <w:rPr>
          <w:szCs w:val="26"/>
        </w:rPr>
        <w:t>dena ofrece al inversor interesado en la región una amplia gama de servicios de asesoramiento y acompañamiento, que cubren todas sus necesidades durante el proceso de toma de decisión de implantación en la región</w:t>
      </w:r>
      <w:r>
        <w:rPr>
          <w:szCs w:val="26"/>
        </w:rPr>
        <w:t>.</w:t>
      </w:r>
    </w:p>
    <w:p w:rsidR="00B63BF3" w:rsidRPr="00915460" w:rsidRDefault="00B63BF3" w:rsidP="00B63BF3">
      <w:pPr>
        <w:pStyle w:val="texto"/>
        <w:numPr>
          <w:ilvl w:val="0"/>
          <w:numId w:val="1"/>
        </w:numPr>
        <w:tabs>
          <w:tab w:val="clear" w:pos="928"/>
          <w:tab w:val="left" w:pos="480"/>
          <w:tab w:val="num" w:pos="644"/>
          <w:tab w:val="num" w:pos="1130"/>
          <w:tab w:val="num" w:pos="1180"/>
          <w:tab w:val="num" w:pos="1300"/>
        </w:tabs>
        <w:ind w:left="0" w:firstLine="289"/>
        <w:rPr>
          <w:szCs w:val="26"/>
        </w:rPr>
      </w:pPr>
      <w:r>
        <w:rPr>
          <w:szCs w:val="26"/>
        </w:rPr>
        <w:t>E</w:t>
      </w:r>
      <w:r w:rsidRPr="00915460">
        <w:rPr>
          <w:szCs w:val="26"/>
        </w:rPr>
        <w:t xml:space="preserve">strategia </w:t>
      </w:r>
      <w:r>
        <w:rPr>
          <w:szCs w:val="26"/>
        </w:rPr>
        <w:t>R</w:t>
      </w:r>
      <w:r w:rsidRPr="00915460">
        <w:rPr>
          <w:szCs w:val="26"/>
        </w:rPr>
        <w:t>egional</w:t>
      </w:r>
      <w:r>
        <w:rPr>
          <w:szCs w:val="26"/>
        </w:rPr>
        <w:t xml:space="preserve">. </w:t>
      </w:r>
      <w:r w:rsidRPr="00915460">
        <w:rPr>
          <w:szCs w:val="26"/>
        </w:rPr>
        <w:t>Sodena es la entidad encargada de coordinar la i</w:t>
      </w:r>
      <w:r w:rsidRPr="00915460">
        <w:rPr>
          <w:szCs w:val="26"/>
        </w:rPr>
        <w:t>m</w:t>
      </w:r>
      <w:r w:rsidRPr="00915460">
        <w:rPr>
          <w:szCs w:val="26"/>
        </w:rPr>
        <w:t>pl</w:t>
      </w:r>
      <w:r w:rsidRPr="002B18E3">
        <w:rPr>
          <w:szCs w:val="26"/>
        </w:rPr>
        <w:t>antación</w:t>
      </w:r>
      <w:r w:rsidRPr="00915460">
        <w:rPr>
          <w:szCs w:val="26"/>
        </w:rPr>
        <w:t>, después de su diseño, de la Estrategia de Especialización Inteligente de Navarra (S3)</w:t>
      </w:r>
      <w:r>
        <w:rPr>
          <w:szCs w:val="26"/>
        </w:rPr>
        <w:t>; a</w:t>
      </w:r>
      <w:r w:rsidRPr="00915460">
        <w:rPr>
          <w:szCs w:val="26"/>
        </w:rPr>
        <w:t>simismo, Sodena da apoyo a la política de clústeres de</w:t>
      </w:r>
      <w:r w:rsidRPr="002B18E3">
        <w:rPr>
          <w:szCs w:val="26"/>
        </w:rPr>
        <w:t>l</w:t>
      </w:r>
      <w:r w:rsidRPr="00915460">
        <w:rPr>
          <w:szCs w:val="26"/>
        </w:rPr>
        <w:t xml:space="preserve"> G</w:t>
      </w:r>
      <w:r w:rsidRPr="00915460">
        <w:rPr>
          <w:szCs w:val="26"/>
        </w:rPr>
        <w:t>o</w:t>
      </w:r>
      <w:r w:rsidRPr="00915460">
        <w:rPr>
          <w:szCs w:val="26"/>
        </w:rPr>
        <w:t>bierno de Navarra</w:t>
      </w:r>
      <w:r w:rsidRPr="002B18E3">
        <w:rPr>
          <w:szCs w:val="26"/>
        </w:rPr>
        <w:t>.</w:t>
      </w:r>
      <w:r>
        <w:rPr>
          <w:szCs w:val="26"/>
        </w:rPr>
        <w:t xml:space="preserve"> </w:t>
      </w:r>
      <w:r w:rsidRPr="00915460">
        <w:rPr>
          <w:szCs w:val="26"/>
        </w:rPr>
        <w:t>Las áreas económicas definidas como prioritarias por ente</w:t>
      </w:r>
      <w:r w:rsidRPr="00915460">
        <w:rPr>
          <w:szCs w:val="26"/>
        </w:rPr>
        <w:t>n</w:t>
      </w:r>
      <w:r w:rsidRPr="00915460">
        <w:rPr>
          <w:szCs w:val="26"/>
        </w:rPr>
        <w:t>der que Navarra cuenta con mayores perspectivas de futuro son las siguientes:</w:t>
      </w:r>
    </w:p>
    <w:p w:rsidR="00B63BF3" w:rsidRPr="00915460" w:rsidRDefault="001121D8" w:rsidP="001121D8">
      <w:pPr>
        <w:pStyle w:val="texto"/>
        <w:tabs>
          <w:tab w:val="clear" w:pos="2835"/>
          <w:tab w:val="clear" w:pos="3969"/>
          <w:tab w:val="clear" w:pos="5103"/>
          <w:tab w:val="clear" w:pos="6237"/>
          <w:tab w:val="clear" w:pos="7371"/>
        </w:tabs>
        <w:spacing w:after="80"/>
        <w:rPr>
          <w:rFonts w:eastAsia="Calibri"/>
          <w:lang w:eastAsia="es-ES"/>
        </w:rPr>
      </w:pPr>
      <w:r>
        <w:rPr>
          <w:rFonts w:eastAsia="Calibri"/>
          <w:lang w:eastAsia="es-ES"/>
        </w:rPr>
        <w:t xml:space="preserve">* </w:t>
      </w:r>
      <w:r w:rsidR="00B63BF3" w:rsidRPr="00915460">
        <w:rPr>
          <w:rFonts w:eastAsia="Calibri"/>
          <w:lang w:eastAsia="es-ES"/>
        </w:rPr>
        <w:t>Automoción y mecatrónica</w:t>
      </w:r>
    </w:p>
    <w:p w:rsidR="00B63BF3" w:rsidRPr="00915460" w:rsidRDefault="001121D8" w:rsidP="001121D8">
      <w:pPr>
        <w:pStyle w:val="texto"/>
        <w:tabs>
          <w:tab w:val="clear" w:pos="2835"/>
          <w:tab w:val="clear" w:pos="3969"/>
          <w:tab w:val="clear" w:pos="5103"/>
          <w:tab w:val="clear" w:pos="6237"/>
          <w:tab w:val="clear" w:pos="7371"/>
        </w:tabs>
        <w:spacing w:after="80"/>
        <w:rPr>
          <w:rFonts w:eastAsia="Calibri"/>
          <w:lang w:eastAsia="es-ES"/>
        </w:rPr>
      </w:pPr>
      <w:r>
        <w:rPr>
          <w:rFonts w:eastAsia="Calibri"/>
          <w:lang w:eastAsia="es-ES"/>
        </w:rPr>
        <w:t xml:space="preserve">* </w:t>
      </w:r>
      <w:r w:rsidR="00B63BF3" w:rsidRPr="00915460">
        <w:rPr>
          <w:rFonts w:eastAsia="Calibri"/>
          <w:lang w:eastAsia="es-ES"/>
        </w:rPr>
        <w:t>Cadena alimentaria</w:t>
      </w:r>
    </w:p>
    <w:p w:rsidR="00B63BF3" w:rsidRPr="00915460" w:rsidRDefault="001121D8" w:rsidP="001121D8">
      <w:pPr>
        <w:pStyle w:val="texto"/>
        <w:tabs>
          <w:tab w:val="clear" w:pos="2835"/>
          <w:tab w:val="clear" w:pos="3969"/>
          <w:tab w:val="clear" w:pos="5103"/>
          <w:tab w:val="clear" w:pos="6237"/>
          <w:tab w:val="clear" w:pos="7371"/>
        </w:tabs>
        <w:spacing w:after="80"/>
        <w:rPr>
          <w:rFonts w:eastAsia="Calibri"/>
          <w:lang w:eastAsia="es-ES"/>
        </w:rPr>
      </w:pPr>
      <w:r>
        <w:rPr>
          <w:rFonts w:eastAsia="Calibri"/>
          <w:lang w:eastAsia="es-ES"/>
        </w:rPr>
        <w:t xml:space="preserve">* </w:t>
      </w:r>
      <w:r w:rsidR="00B63BF3" w:rsidRPr="00915460">
        <w:rPr>
          <w:rFonts w:eastAsia="Calibri"/>
          <w:lang w:eastAsia="es-ES"/>
        </w:rPr>
        <w:t>Energías renovables y recursos</w:t>
      </w:r>
    </w:p>
    <w:p w:rsidR="00B63BF3" w:rsidRPr="00915460" w:rsidRDefault="001121D8" w:rsidP="001121D8">
      <w:pPr>
        <w:pStyle w:val="texto"/>
        <w:tabs>
          <w:tab w:val="clear" w:pos="2835"/>
          <w:tab w:val="clear" w:pos="3969"/>
          <w:tab w:val="clear" w:pos="5103"/>
          <w:tab w:val="clear" w:pos="6237"/>
          <w:tab w:val="clear" w:pos="7371"/>
        </w:tabs>
        <w:spacing w:after="80"/>
        <w:rPr>
          <w:rFonts w:eastAsia="Calibri"/>
          <w:lang w:eastAsia="es-ES"/>
        </w:rPr>
      </w:pPr>
      <w:r>
        <w:rPr>
          <w:rFonts w:eastAsia="Calibri"/>
          <w:lang w:eastAsia="es-ES"/>
        </w:rPr>
        <w:t xml:space="preserve">* </w:t>
      </w:r>
      <w:r w:rsidR="00B63BF3" w:rsidRPr="00915460">
        <w:rPr>
          <w:rFonts w:eastAsia="Calibri"/>
          <w:lang w:eastAsia="es-ES"/>
        </w:rPr>
        <w:t>Salud</w:t>
      </w:r>
    </w:p>
    <w:p w:rsidR="00B63BF3" w:rsidRPr="00915460" w:rsidRDefault="001121D8" w:rsidP="001121D8">
      <w:pPr>
        <w:pStyle w:val="texto"/>
        <w:tabs>
          <w:tab w:val="clear" w:pos="2835"/>
          <w:tab w:val="clear" w:pos="3969"/>
          <w:tab w:val="clear" w:pos="5103"/>
          <w:tab w:val="clear" w:pos="6237"/>
          <w:tab w:val="clear" w:pos="7371"/>
        </w:tabs>
        <w:spacing w:after="80"/>
        <w:rPr>
          <w:rFonts w:eastAsia="Calibri"/>
          <w:lang w:eastAsia="es-ES"/>
        </w:rPr>
      </w:pPr>
      <w:r>
        <w:rPr>
          <w:rFonts w:eastAsia="Calibri"/>
          <w:lang w:eastAsia="es-ES"/>
        </w:rPr>
        <w:t xml:space="preserve">* </w:t>
      </w:r>
      <w:r w:rsidR="00B63BF3" w:rsidRPr="00915460">
        <w:rPr>
          <w:rFonts w:eastAsia="Calibri"/>
          <w:lang w:eastAsia="es-ES"/>
        </w:rPr>
        <w:t>Turismo integral</w:t>
      </w:r>
    </w:p>
    <w:p w:rsidR="00B63BF3" w:rsidRDefault="001121D8" w:rsidP="00B63BF3">
      <w:pPr>
        <w:pStyle w:val="texto"/>
        <w:tabs>
          <w:tab w:val="clear" w:pos="2835"/>
          <w:tab w:val="clear" w:pos="3969"/>
          <w:tab w:val="clear" w:pos="5103"/>
          <w:tab w:val="clear" w:pos="6237"/>
          <w:tab w:val="clear" w:pos="7371"/>
        </w:tabs>
        <w:spacing w:after="120"/>
        <w:rPr>
          <w:rFonts w:eastAsia="Calibri"/>
          <w:lang w:eastAsia="es-ES"/>
        </w:rPr>
      </w:pPr>
      <w:r>
        <w:rPr>
          <w:rFonts w:eastAsia="Calibri"/>
          <w:lang w:eastAsia="es-ES"/>
        </w:rPr>
        <w:t xml:space="preserve">* </w:t>
      </w:r>
      <w:r w:rsidR="00B63BF3" w:rsidRPr="00915460">
        <w:rPr>
          <w:rFonts w:eastAsia="Calibri"/>
          <w:lang w:eastAsia="es-ES"/>
        </w:rPr>
        <w:t xml:space="preserve">Industrias creativas y digitales  </w:t>
      </w:r>
    </w:p>
    <w:p w:rsidR="00B63BF3" w:rsidRPr="006332A5" w:rsidRDefault="00B63BF3" w:rsidP="001121D8">
      <w:pPr>
        <w:pStyle w:val="texto"/>
        <w:tabs>
          <w:tab w:val="clear" w:pos="2835"/>
          <w:tab w:val="clear" w:pos="3969"/>
          <w:tab w:val="clear" w:pos="5103"/>
          <w:tab w:val="clear" w:pos="6237"/>
          <w:tab w:val="clear" w:pos="7371"/>
        </w:tabs>
        <w:spacing w:after="200"/>
        <w:rPr>
          <w:rFonts w:eastAsia="Calibri"/>
          <w:lang w:eastAsia="es-ES"/>
        </w:rPr>
      </w:pPr>
      <w:r>
        <w:rPr>
          <w:rFonts w:eastAsia="Calibri"/>
          <w:lang w:eastAsia="es-ES"/>
        </w:rPr>
        <w:t>En el cuadro siguiente, se muestran los proyectos financiados por Sodena en su área de capital riesgo durante el ejercicio de 2016 así como el importe total de recursos aportados.</w:t>
      </w:r>
    </w:p>
    <w:tbl>
      <w:tblPr>
        <w:tblW w:w="8886" w:type="dxa"/>
        <w:jc w:val="center"/>
        <w:tblLayout w:type="fixed"/>
        <w:tblCellMar>
          <w:left w:w="70" w:type="dxa"/>
          <w:right w:w="70" w:type="dxa"/>
        </w:tblCellMar>
        <w:tblLook w:val="04A0" w:firstRow="1" w:lastRow="0" w:firstColumn="1" w:lastColumn="0" w:noHBand="0" w:noVBand="1"/>
      </w:tblPr>
      <w:tblGrid>
        <w:gridCol w:w="2020"/>
        <w:gridCol w:w="2761"/>
        <w:gridCol w:w="2116"/>
        <w:gridCol w:w="1989"/>
      </w:tblGrid>
      <w:tr w:rsidR="00B63BF3" w:rsidRPr="00E94B1E" w:rsidTr="001121D8">
        <w:trPr>
          <w:trHeight w:val="255"/>
          <w:jc w:val="center"/>
        </w:trPr>
        <w:tc>
          <w:tcPr>
            <w:tcW w:w="2020" w:type="dxa"/>
            <w:tcBorders>
              <w:top w:val="single" w:sz="4" w:space="0" w:color="auto"/>
              <w:bottom w:val="single" w:sz="4" w:space="0" w:color="auto"/>
            </w:tcBorders>
            <w:shd w:val="clear" w:color="auto" w:fill="A0C3E3" w:themeFill="accent1" w:themeFillTint="99"/>
            <w:noWrap/>
            <w:vAlign w:val="center"/>
          </w:tcPr>
          <w:p w:rsidR="00B63BF3" w:rsidRPr="00E94B1E" w:rsidRDefault="00B63BF3" w:rsidP="001121D8">
            <w:pPr>
              <w:pStyle w:val="cuadroCabe"/>
              <w:rPr>
                <w:lang w:val="es-ES" w:eastAsia="es-ES"/>
              </w:rPr>
            </w:pPr>
            <w:r>
              <w:rPr>
                <w:lang w:val="es-ES" w:eastAsia="es-ES"/>
              </w:rPr>
              <w:t>Área</w:t>
            </w:r>
          </w:p>
        </w:tc>
        <w:tc>
          <w:tcPr>
            <w:tcW w:w="2761" w:type="dxa"/>
            <w:tcBorders>
              <w:top w:val="single" w:sz="4" w:space="0" w:color="auto"/>
              <w:bottom w:val="single" w:sz="4" w:space="0" w:color="auto"/>
            </w:tcBorders>
            <w:shd w:val="clear" w:color="auto" w:fill="A0C3E3" w:themeFill="accent1" w:themeFillTint="99"/>
            <w:vAlign w:val="center"/>
          </w:tcPr>
          <w:p w:rsidR="00B63BF3" w:rsidRDefault="00B63BF3" w:rsidP="001121D8">
            <w:pPr>
              <w:pStyle w:val="cuadroCabe"/>
              <w:jc w:val="right"/>
              <w:rPr>
                <w:lang w:val="es-ES" w:eastAsia="es-ES"/>
              </w:rPr>
            </w:pPr>
            <w:r>
              <w:rPr>
                <w:lang w:val="es-ES" w:eastAsia="es-ES"/>
              </w:rPr>
              <w:t>Nº entidades</w:t>
            </w:r>
          </w:p>
        </w:tc>
        <w:tc>
          <w:tcPr>
            <w:tcW w:w="2116" w:type="dxa"/>
            <w:tcBorders>
              <w:top w:val="single" w:sz="4" w:space="0" w:color="auto"/>
              <w:bottom w:val="single" w:sz="4" w:space="0" w:color="auto"/>
            </w:tcBorders>
            <w:shd w:val="clear" w:color="auto" w:fill="A0C3E3" w:themeFill="accent1" w:themeFillTint="99"/>
            <w:noWrap/>
            <w:vAlign w:val="center"/>
          </w:tcPr>
          <w:p w:rsidR="00B63BF3" w:rsidRPr="006332A5" w:rsidRDefault="00B63BF3" w:rsidP="001121D8">
            <w:pPr>
              <w:pStyle w:val="cuadroCabe"/>
              <w:jc w:val="right"/>
              <w:rPr>
                <w:lang w:val="es-ES" w:eastAsia="es-ES"/>
              </w:rPr>
            </w:pPr>
            <w:r w:rsidRPr="006332A5">
              <w:rPr>
                <w:lang w:val="es-ES" w:eastAsia="es-ES"/>
              </w:rPr>
              <w:t>Importe desembolsado</w:t>
            </w:r>
          </w:p>
        </w:tc>
        <w:tc>
          <w:tcPr>
            <w:tcW w:w="1989" w:type="dxa"/>
            <w:tcBorders>
              <w:top w:val="single" w:sz="4" w:space="0" w:color="auto"/>
              <w:bottom w:val="single" w:sz="4" w:space="0" w:color="auto"/>
            </w:tcBorders>
            <w:shd w:val="clear" w:color="auto" w:fill="A0C3E3" w:themeFill="accent1" w:themeFillTint="99"/>
            <w:noWrap/>
            <w:vAlign w:val="center"/>
          </w:tcPr>
          <w:p w:rsidR="00B63BF3" w:rsidRPr="00E94B1E" w:rsidRDefault="00B63BF3" w:rsidP="001121D8">
            <w:pPr>
              <w:pStyle w:val="cuadroCabe"/>
              <w:jc w:val="right"/>
              <w:rPr>
                <w:lang w:val="es-ES" w:eastAsia="es-ES"/>
              </w:rPr>
            </w:pPr>
            <w:r>
              <w:rPr>
                <w:lang w:val="es-ES" w:eastAsia="es-ES"/>
              </w:rPr>
              <w:t>Importes adicionales comprometidos</w:t>
            </w:r>
          </w:p>
        </w:tc>
      </w:tr>
      <w:tr w:rsidR="00B63BF3" w:rsidRPr="002B46AD" w:rsidTr="001121D8">
        <w:trPr>
          <w:trHeight w:val="255"/>
          <w:jc w:val="center"/>
        </w:trPr>
        <w:tc>
          <w:tcPr>
            <w:tcW w:w="2020"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rPr>
                <w:szCs w:val="20"/>
              </w:rPr>
            </w:pPr>
            <w:r w:rsidRPr="002B46AD">
              <w:rPr>
                <w:szCs w:val="20"/>
              </w:rPr>
              <w:t>Nuevos proyectos</w:t>
            </w:r>
          </w:p>
        </w:tc>
        <w:tc>
          <w:tcPr>
            <w:tcW w:w="2761" w:type="dxa"/>
            <w:tcBorders>
              <w:top w:val="single" w:sz="4" w:space="0" w:color="auto"/>
              <w:bottom w:val="single" w:sz="2" w:space="0" w:color="auto"/>
            </w:tcBorders>
            <w:shd w:val="clear" w:color="000000" w:fill="FFFFFF"/>
            <w:vAlign w:val="center"/>
          </w:tcPr>
          <w:p w:rsidR="00B63BF3" w:rsidRPr="002B46AD" w:rsidRDefault="00B63BF3" w:rsidP="001121D8">
            <w:pPr>
              <w:pStyle w:val="cuatexto"/>
              <w:ind w:right="30"/>
              <w:jc w:val="right"/>
              <w:rPr>
                <w:szCs w:val="20"/>
              </w:rPr>
            </w:pPr>
            <w:r w:rsidRPr="002B46AD">
              <w:rPr>
                <w:szCs w:val="20"/>
              </w:rPr>
              <w:t>5</w:t>
            </w:r>
          </w:p>
        </w:tc>
        <w:tc>
          <w:tcPr>
            <w:tcW w:w="2116"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ind w:right="30"/>
              <w:jc w:val="right"/>
              <w:rPr>
                <w:szCs w:val="20"/>
              </w:rPr>
            </w:pPr>
            <w:r w:rsidRPr="002B46AD">
              <w:rPr>
                <w:szCs w:val="20"/>
              </w:rPr>
              <w:t>4.240.000</w:t>
            </w:r>
          </w:p>
        </w:tc>
        <w:tc>
          <w:tcPr>
            <w:tcW w:w="1989"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ind w:right="30"/>
              <w:jc w:val="right"/>
              <w:rPr>
                <w:szCs w:val="20"/>
              </w:rPr>
            </w:pPr>
            <w:r w:rsidRPr="002B46AD">
              <w:rPr>
                <w:szCs w:val="20"/>
              </w:rPr>
              <w:t>4.367.000</w:t>
            </w:r>
          </w:p>
        </w:tc>
      </w:tr>
      <w:tr w:rsidR="00B63BF3" w:rsidRPr="002B46AD" w:rsidTr="001121D8">
        <w:trPr>
          <w:trHeight w:val="255"/>
          <w:jc w:val="center"/>
        </w:trPr>
        <w:tc>
          <w:tcPr>
            <w:tcW w:w="2020"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rPr>
                <w:szCs w:val="20"/>
              </w:rPr>
            </w:pPr>
            <w:r w:rsidRPr="002B46AD">
              <w:rPr>
                <w:szCs w:val="20"/>
              </w:rPr>
              <w:t>Proyectos en cartera</w:t>
            </w:r>
          </w:p>
        </w:tc>
        <w:tc>
          <w:tcPr>
            <w:tcW w:w="2761" w:type="dxa"/>
            <w:tcBorders>
              <w:top w:val="single" w:sz="4" w:space="0" w:color="auto"/>
              <w:bottom w:val="single" w:sz="2" w:space="0" w:color="auto"/>
            </w:tcBorders>
            <w:shd w:val="clear" w:color="000000" w:fill="FFFFFF"/>
            <w:vAlign w:val="center"/>
          </w:tcPr>
          <w:p w:rsidR="00B63BF3" w:rsidRPr="002B46AD" w:rsidRDefault="00B63BF3" w:rsidP="001121D8">
            <w:pPr>
              <w:pStyle w:val="cuatexto"/>
              <w:ind w:right="30"/>
              <w:jc w:val="right"/>
              <w:rPr>
                <w:szCs w:val="20"/>
              </w:rPr>
            </w:pPr>
            <w:r w:rsidRPr="002B46AD">
              <w:rPr>
                <w:szCs w:val="20"/>
              </w:rPr>
              <w:t>10</w:t>
            </w:r>
            <w:r w:rsidRPr="00DA2388">
              <w:rPr>
                <w:szCs w:val="20"/>
                <w:vertAlign w:val="superscript"/>
              </w:rPr>
              <w:t>(*)</w:t>
            </w:r>
          </w:p>
        </w:tc>
        <w:tc>
          <w:tcPr>
            <w:tcW w:w="2116"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ind w:right="30"/>
              <w:jc w:val="right"/>
              <w:rPr>
                <w:szCs w:val="20"/>
              </w:rPr>
            </w:pPr>
            <w:r w:rsidRPr="002B46AD">
              <w:rPr>
                <w:szCs w:val="20"/>
              </w:rPr>
              <w:t>7.072.196</w:t>
            </w:r>
          </w:p>
        </w:tc>
        <w:tc>
          <w:tcPr>
            <w:tcW w:w="1989"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ind w:right="30"/>
              <w:jc w:val="right"/>
              <w:rPr>
                <w:szCs w:val="20"/>
              </w:rPr>
            </w:pPr>
            <w:r w:rsidRPr="002B46AD">
              <w:rPr>
                <w:szCs w:val="20"/>
              </w:rPr>
              <w:t>3.828.646</w:t>
            </w:r>
          </w:p>
        </w:tc>
      </w:tr>
      <w:tr w:rsidR="00B63BF3" w:rsidRPr="001121D8" w:rsidTr="001121D8">
        <w:trPr>
          <w:trHeight w:val="255"/>
          <w:jc w:val="center"/>
        </w:trPr>
        <w:tc>
          <w:tcPr>
            <w:tcW w:w="2020" w:type="dxa"/>
            <w:tcBorders>
              <w:top w:val="single" w:sz="4" w:space="0" w:color="auto"/>
              <w:bottom w:val="single" w:sz="2" w:space="0" w:color="auto"/>
            </w:tcBorders>
            <w:shd w:val="clear" w:color="000000" w:fill="FFFFFF"/>
            <w:noWrap/>
            <w:vAlign w:val="center"/>
          </w:tcPr>
          <w:p w:rsidR="00B63BF3" w:rsidRPr="001121D8" w:rsidRDefault="00B63BF3" w:rsidP="001121D8">
            <w:pPr>
              <w:pStyle w:val="cuatexto"/>
              <w:rPr>
                <w:b/>
                <w:sz w:val="18"/>
                <w:szCs w:val="18"/>
              </w:rPr>
            </w:pPr>
            <w:r w:rsidRPr="001121D8">
              <w:rPr>
                <w:b/>
                <w:sz w:val="18"/>
                <w:szCs w:val="18"/>
              </w:rPr>
              <w:t>Total Creación de valor</w:t>
            </w:r>
          </w:p>
        </w:tc>
        <w:tc>
          <w:tcPr>
            <w:tcW w:w="2761" w:type="dxa"/>
            <w:tcBorders>
              <w:top w:val="single" w:sz="4" w:space="0" w:color="auto"/>
              <w:bottom w:val="single" w:sz="2" w:space="0" w:color="auto"/>
            </w:tcBorders>
            <w:shd w:val="clear" w:color="000000" w:fill="FFFFFF"/>
            <w:vAlign w:val="center"/>
          </w:tcPr>
          <w:p w:rsidR="00B63BF3" w:rsidRPr="001121D8" w:rsidRDefault="00B63BF3" w:rsidP="001121D8">
            <w:pPr>
              <w:pStyle w:val="cuatexto"/>
              <w:ind w:right="30"/>
              <w:jc w:val="right"/>
              <w:rPr>
                <w:b/>
                <w:sz w:val="18"/>
                <w:szCs w:val="18"/>
              </w:rPr>
            </w:pPr>
            <w:r w:rsidRPr="001121D8">
              <w:rPr>
                <w:b/>
                <w:sz w:val="18"/>
                <w:szCs w:val="18"/>
              </w:rPr>
              <w:t>15</w:t>
            </w:r>
          </w:p>
        </w:tc>
        <w:tc>
          <w:tcPr>
            <w:tcW w:w="2116" w:type="dxa"/>
            <w:tcBorders>
              <w:top w:val="single" w:sz="4" w:space="0" w:color="auto"/>
              <w:bottom w:val="single" w:sz="2" w:space="0" w:color="auto"/>
            </w:tcBorders>
            <w:shd w:val="clear" w:color="000000" w:fill="FFFFFF"/>
            <w:noWrap/>
            <w:vAlign w:val="center"/>
          </w:tcPr>
          <w:p w:rsidR="00B63BF3" w:rsidRPr="001121D8" w:rsidRDefault="00B63BF3" w:rsidP="001121D8">
            <w:pPr>
              <w:pStyle w:val="cuatexto"/>
              <w:ind w:right="30"/>
              <w:jc w:val="right"/>
              <w:rPr>
                <w:b/>
                <w:sz w:val="18"/>
                <w:szCs w:val="18"/>
              </w:rPr>
            </w:pPr>
            <w:r w:rsidRPr="001121D8">
              <w:rPr>
                <w:b/>
                <w:sz w:val="18"/>
                <w:szCs w:val="18"/>
              </w:rPr>
              <w:t>11.312.196</w:t>
            </w:r>
          </w:p>
        </w:tc>
        <w:tc>
          <w:tcPr>
            <w:tcW w:w="1989" w:type="dxa"/>
            <w:tcBorders>
              <w:top w:val="single" w:sz="4" w:space="0" w:color="auto"/>
              <w:bottom w:val="single" w:sz="2" w:space="0" w:color="auto"/>
            </w:tcBorders>
            <w:shd w:val="clear" w:color="000000" w:fill="FFFFFF"/>
            <w:noWrap/>
            <w:vAlign w:val="center"/>
          </w:tcPr>
          <w:p w:rsidR="00B63BF3" w:rsidRPr="001121D8" w:rsidRDefault="00B63BF3" w:rsidP="001121D8">
            <w:pPr>
              <w:pStyle w:val="cuatexto"/>
              <w:ind w:right="30"/>
              <w:jc w:val="right"/>
              <w:rPr>
                <w:b/>
                <w:sz w:val="18"/>
                <w:szCs w:val="18"/>
              </w:rPr>
            </w:pPr>
            <w:r w:rsidRPr="001121D8">
              <w:rPr>
                <w:b/>
                <w:sz w:val="18"/>
                <w:szCs w:val="18"/>
              </w:rPr>
              <w:t>8.195.646</w:t>
            </w:r>
          </w:p>
        </w:tc>
      </w:tr>
      <w:tr w:rsidR="00B63BF3" w:rsidTr="001121D8">
        <w:trPr>
          <w:trHeight w:val="255"/>
          <w:jc w:val="center"/>
        </w:trPr>
        <w:tc>
          <w:tcPr>
            <w:tcW w:w="2020" w:type="dxa"/>
            <w:tcBorders>
              <w:top w:val="single" w:sz="4" w:space="0" w:color="auto"/>
              <w:bottom w:val="single" w:sz="4" w:space="0" w:color="auto"/>
            </w:tcBorders>
            <w:shd w:val="clear" w:color="000000" w:fill="FFFFFF"/>
            <w:noWrap/>
            <w:vAlign w:val="center"/>
          </w:tcPr>
          <w:p w:rsidR="00B63BF3" w:rsidRDefault="00B63BF3" w:rsidP="001121D8">
            <w:pPr>
              <w:pStyle w:val="cuatexto"/>
            </w:pPr>
          </w:p>
        </w:tc>
        <w:tc>
          <w:tcPr>
            <w:tcW w:w="2761" w:type="dxa"/>
            <w:tcBorders>
              <w:top w:val="single" w:sz="4" w:space="0" w:color="auto"/>
              <w:bottom w:val="single" w:sz="4" w:space="0" w:color="auto"/>
            </w:tcBorders>
            <w:shd w:val="clear" w:color="000000" w:fill="FFFFFF"/>
            <w:vAlign w:val="center"/>
          </w:tcPr>
          <w:p w:rsidR="00B63BF3" w:rsidRDefault="00B63BF3" w:rsidP="001121D8">
            <w:pPr>
              <w:pStyle w:val="cuatexto"/>
              <w:ind w:right="30"/>
              <w:jc w:val="right"/>
            </w:pPr>
          </w:p>
        </w:tc>
        <w:tc>
          <w:tcPr>
            <w:tcW w:w="2116" w:type="dxa"/>
            <w:tcBorders>
              <w:top w:val="single" w:sz="4" w:space="0" w:color="auto"/>
              <w:bottom w:val="single" w:sz="4" w:space="0" w:color="auto"/>
            </w:tcBorders>
            <w:shd w:val="clear" w:color="000000" w:fill="FFFFFF"/>
            <w:noWrap/>
            <w:vAlign w:val="center"/>
          </w:tcPr>
          <w:p w:rsidR="00B63BF3" w:rsidRPr="00EA49E6" w:rsidRDefault="00B63BF3" w:rsidP="001121D8">
            <w:pPr>
              <w:pStyle w:val="cuatexto"/>
              <w:ind w:right="30"/>
              <w:jc w:val="right"/>
            </w:pPr>
          </w:p>
        </w:tc>
        <w:tc>
          <w:tcPr>
            <w:tcW w:w="1989" w:type="dxa"/>
            <w:tcBorders>
              <w:top w:val="single" w:sz="4" w:space="0" w:color="auto"/>
              <w:bottom w:val="single" w:sz="4" w:space="0" w:color="auto"/>
            </w:tcBorders>
            <w:shd w:val="clear" w:color="000000" w:fill="FFFFFF"/>
            <w:noWrap/>
            <w:vAlign w:val="center"/>
          </w:tcPr>
          <w:p w:rsidR="00B63BF3" w:rsidRDefault="00B63BF3" w:rsidP="001121D8">
            <w:pPr>
              <w:pStyle w:val="cuatexto"/>
              <w:ind w:right="30"/>
              <w:jc w:val="right"/>
            </w:pPr>
          </w:p>
        </w:tc>
      </w:tr>
      <w:tr w:rsidR="00B63BF3" w:rsidTr="001121D8">
        <w:trPr>
          <w:trHeight w:val="255"/>
          <w:jc w:val="center"/>
        </w:trPr>
        <w:tc>
          <w:tcPr>
            <w:tcW w:w="2020" w:type="dxa"/>
            <w:tcBorders>
              <w:top w:val="single" w:sz="4" w:space="0" w:color="auto"/>
              <w:bottom w:val="single" w:sz="4" w:space="0" w:color="auto"/>
            </w:tcBorders>
            <w:shd w:val="clear" w:color="000000" w:fill="FFFFFF"/>
            <w:noWrap/>
            <w:vAlign w:val="center"/>
          </w:tcPr>
          <w:p w:rsidR="00B63BF3" w:rsidRPr="00E94B1E" w:rsidRDefault="00B63BF3" w:rsidP="001121D8">
            <w:pPr>
              <w:pStyle w:val="cuatexto"/>
            </w:pPr>
            <w:r>
              <w:t>Nuevos proyectos</w:t>
            </w:r>
          </w:p>
        </w:tc>
        <w:tc>
          <w:tcPr>
            <w:tcW w:w="2761" w:type="dxa"/>
            <w:tcBorders>
              <w:top w:val="single" w:sz="4" w:space="0" w:color="auto"/>
              <w:bottom w:val="single" w:sz="4" w:space="0" w:color="auto"/>
            </w:tcBorders>
            <w:shd w:val="clear" w:color="000000" w:fill="FFFFFF"/>
            <w:vAlign w:val="center"/>
          </w:tcPr>
          <w:p w:rsidR="00B63BF3" w:rsidRDefault="00B63BF3" w:rsidP="001121D8">
            <w:pPr>
              <w:pStyle w:val="cuatexto"/>
              <w:ind w:right="30"/>
              <w:jc w:val="right"/>
            </w:pPr>
            <w:r>
              <w:t>11</w:t>
            </w:r>
          </w:p>
        </w:tc>
        <w:tc>
          <w:tcPr>
            <w:tcW w:w="2116" w:type="dxa"/>
            <w:tcBorders>
              <w:top w:val="single" w:sz="4" w:space="0" w:color="auto"/>
              <w:bottom w:val="single" w:sz="4" w:space="0" w:color="auto"/>
            </w:tcBorders>
            <w:shd w:val="clear" w:color="000000" w:fill="FFFFFF"/>
            <w:noWrap/>
            <w:vAlign w:val="center"/>
          </w:tcPr>
          <w:p w:rsidR="00B63BF3" w:rsidRPr="00EA49E6" w:rsidRDefault="00B63BF3" w:rsidP="001121D8">
            <w:pPr>
              <w:pStyle w:val="cuatexto"/>
              <w:ind w:right="30"/>
              <w:jc w:val="right"/>
            </w:pPr>
            <w:r>
              <w:t>635.000</w:t>
            </w:r>
          </w:p>
        </w:tc>
        <w:tc>
          <w:tcPr>
            <w:tcW w:w="1989" w:type="dxa"/>
            <w:tcBorders>
              <w:top w:val="single" w:sz="4" w:space="0" w:color="auto"/>
              <w:bottom w:val="single" w:sz="4" w:space="0" w:color="auto"/>
            </w:tcBorders>
            <w:shd w:val="clear" w:color="000000" w:fill="FFFFFF"/>
            <w:noWrap/>
            <w:vAlign w:val="center"/>
          </w:tcPr>
          <w:p w:rsidR="00B63BF3" w:rsidRDefault="00B63BF3" w:rsidP="001121D8">
            <w:pPr>
              <w:pStyle w:val="cuatexto"/>
              <w:ind w:right="30"/>
              <w:jc w:val="right"/>
            </w:pPr>
            <w:r>
              <w:t>425.000</w:t>
            </w:r>
          </w:p>
        </w:tc>
      </w:tr>
      <w:tr w:rsidR="00B63BF3" w:rsidTr="001121D8">
        <w:trPr>
          <w:trHeight w:val="255"/>
          <w:jc w:val="center"/>
        </w:trPr>
        <w:tc>
          <w:tcPr>
            <w:tcW w:w="2020" w:type="dxa"/>
            <w:tcBorders>
              <w:top w:val="single" w:sz="4" w:space="0" w:color="auto"/>
              <w:bottom w:val="single" w:sz="4" w:space="0" w:color="auto"/>
            </w:tcBorders>
            <w:shd w:val="clear" w:color="000000" w:fill="FFFFFF"/>
            <w:noWrap/>
            <w:vAlign w:val="center"/>
          </w:tcPr>
          <w:p w:rsidR="00B63BF3" w:rsidRPr="00E94B1E" w:rsidRDefault="00B63BF3" w:rsidP="001121D8">
            <w:pPr>
              <w:pStyle w:val="cuatexto"/>
            </w:pPr>
            <w:r>
              <w:t>Proyectos en cartera</w:t>
            </w:r>
          </w:p>
        </w:tc>
        <w:tc>
          <w:tcPr>
            <w:tcW w:w="2761" w:type="dxa"/>
            <w:tcBorders>
              <w:top w:val="single" w:sz="4" w:space="0" w:color="auto"/>
              <w:bottom w:val="single" w:sz="4" w:space="0" w:color="auto"/>
            </w:tcBorders>
            <w:shd w:val="clear" w:color="000000" w:fill="FFFFFF"/>
            <w:vAlign w:val="center"/>
          </w:tcPr>
          <w:p w:rsidR="00B63BF3" w:rsidRDefault="00B63BF3" w:rsidP="001121D8">
            <w:pPr>
              <w:pStyle w:val="cuatexto"/>
              <w:ind w:right="30"/>
              <w:jc w:val="right"/>
            </w:pPr>
            <w:r>
              <w:t>10</w:t>
            </w:r>
          </w:p>
        </w:tc>
        <w:tc>
          <w:tcPr>
            <w:tcW w:w="2116" w:type="dxa"/>
            <w:tcBorders>
              <w:top w:val="single" w:sz="4" w:space="0" w:color="auto"/>
              <w:bottom w:val="single" w:sz="4" w:space="0" w:color="auto"/>
            </w:tcBorders>
            <w:shd w:val="clear" w:color="000000" w:fill="FFFFFF"/>
            <w:noWrap/>
            <w:vAlign w:val="center"/>
          </w:tcPr>
          <w:p w:rsidR="00B63BF3" w:rsidRPr="00EA49E6" w:rsidRDefault="00B63BF3" w:rsidP="001121D8">
            <w:pPr>
              <w:pStyle w:val="cuatexto"/>
              <w:ind w:right="30"/>
              <w:jc w:val="right"/>
            </w:pPr>
            <w:r>
              <w:t>482.500</w:t>
            </w:r>
          </w:p>
        </w:tc>
        <w:tc>
          <w:tcPr>
            <w:tcW w:w="1989" w:type="dxa"/>
            <w:tcBorders>
              <w:top w:val="single" w:sz="4" w:space="0" w:color="auto"/>
              <w:bottom w:val="single" w:sz="4" w:space="0" w:color="auto"/>
            </w:tcBorders>
            <w:shd w:val="clear" w:color="000000" w:fill="FFFFFF"/>
            <w:noWrap/>
            <w:vAlign w:val="center"/>
          </w:tcPr>
          <w:p w:rsidR="00B63BF3" w:rsidRDefault="00B63BF3" w:rsidP="001121D8">
            <w:pPr>
              <w:pStyle w:val="cuatexto"/>
              <w:ind w:right="30"/>
              <w:jc w:val="right"/>
            </w:pPr>
            <w:r>
              <w:t>120.000</w:t>
            </w:r>
          </w:p>
        </w:tc>
      </w:tr>
      <w:tr w:rsidR="00B63BF3" w:rsidRPr="001121D8" w:rsidTr="001121D8">
        <w:trPr>
          <w:trHeight w:val="255"/>
          <w:jc w:val="center"/>
        </w:trPr>
        <w:tc>
          <w:tcPr>
            <w:tcW w:w="2020" w:type="dxa"/>
            <w:tcBorders>
              <w:top w:val="single" w:sz="4" w:space="0" w:color="auto"/>
              <w:bottom w:val="single" w:sz="4" w:space="0" w:color="auto"/>
            </w:tcBorders>
            <w:shd w:val="clear" w:color="000000" w:fill="FFFFFF"/>
            <w:noWrap/>
            <w:vAlign w:val="center"/>
          </w:tcPr>
          <w:p w:rsidR="00B63BF3" w:rsidRPr="001121D8" w:rsidRDefault="00B63BF3" w:rsidP="001121D8">
            <w:pPr>
              <w:pStyle w:val="cuatexto"/>
              <w:rPr>
                <w:b/>
                <w:sz w:val="18"/>
                <w:szCs w:val="18"/>
                <w:lang w:val="en-US"/>
              </w:rPr>
            </w:pPr>
            <w:r w:rsidRPr="001121D8">
              <w:rPr>
                <w:b/>
                <w:sz w:val="18"/>
                <w:szCs w:val="18"/>
                <w:lang w:val="en-US"/>
              </w:rPr>
              <w:t xml:space="preserve">Total </w:t>
            </w:r>
            <w:proofErr w:type="spellStart"/>
            <w:r w:rsidRPr="001121D8">
              <w:rPr>
                <w:b/>
                <w:sz w:val="18"/>
                <w:szCs w:val="18"/>
                <w:lang w:val="en-US"/>
              </w:rPr>
              <w:t>Semilla</w:t>
            </w:r>
            <w:proofErr w:type="spellEnd"/>
            <w:r w:rsidRPr="001121D8">
              <w:rPr>
                <w:b/>
                <w:sz w:val="18"/>
                <w:szCs w:val="18"/>
                <w:lang w:val="en-US"/>
              </w:rPr>
              <w:t xml:space="preserve"> y Start Up</w:t>
            </w:r>
          </w:p>
        </w:tc>
        <w:tc>
          <w:tcPr>
            <w:tcW w:w="2761" w:type="dxa"/>
            <w:tcBorders>
              <w:top w:val="single" w:sz="4" w:space="0" w:color="auto"/>
              <w:bottom w:val="single" w:sz="4" w:space="0" w:color="auto"/>
            </w:tcBorders>
            <w:shd w:val="clear" w:color="000000" w:fill="FFFFFF"/>
            <w:vAlign w:val="center"/>
          </w:tcPr>
          <w:p w:rsidR="00B63BF3" w:rsidRPr="001121D8" w:rsidRDefault="00B63BF3" w:rsidP="001121D8">
            <w:pPr>
              <w:pStyle w:val="cuatexto"/>
              <w:ind w:right="30"/>
              <w:jc w:val="right"/>
              <w:rPr>
                <w:b/>
                <w:sz w:val="18"/>
                <w:szCs w:val="18"/>
                <w:lang w:val="en-US"/>
              </w:rPr>
            </w:pPr>
            <w:r w:rsidRPr="001121D8">
              <w:rPr>
                <w:b/>
                <w:sz w:val="18"/>
                <w:szCs w:val="18"/>
                <w:lang w:val="en-US"/>
              </w:rPr>
              <w:t>21</w:t>
            </w:r>
          </w:p>
        </w:tc>
        <w:tc>
          <w:tcPr>
            <w:tcW w:w="2116" w:type="dxa"/>
            <w:tcBorders>
              <w:top w:val="single" w:sz="4" w:space="0" w:color="auto"/>
              <w:bottom w:val="single" w:sz="4" w:space="0" w:color="auto"/>
            </w:tcBorders>
            <w:shd w:val="clear" w:color="000000" w:fill="FFFFFF"/>
            <w:noWrap/>
            <w:vAlign w:val="center"/>
          </w:tcPr>
          <w:p w:rsidR="00B63BF3" w:rsidRPr="001121D8" w:rsidRDefault="00B63BF3" w:rsidP="001121D8">
            <w:pPr>
              <w:pStyle w:val="cuatexto"/>
              <w:ind w:right="30"/>
              <w:jc w:val="right"/>
              <w:rPr>
                <w:b/>
                <w:sz w:val="18"/>
                <w:szCs w:val="18"/>
                <w:lang w:val="en-US"/>
              </w:rPr>
            </w:pPr>
            <w:r w:rsidRPr="001121D8">
              <w:rPr>
                <w:b/>
                <w:sz w:val="18"/>
                <w:szCs w:val="18"/>
                <w:lang w:val="en-US"/>
              </w:rPr>
              <w:t>1.117.500</w:t>
            </w:r>
          </w:p>
        </w:tc>
        <w:tc>
          <w:tcPr>
            <w:tcW w:w="1989" w:type="dxa"/>
            <w:tcBorders>
              <w:top w:val="single" w:sz="4" w:space="0" w:color="auto"/>
              <w:bottom w:val="single" w:sz="4" w:space="0" w:color="auto"/>
            </w:tcBorders>
            <w:shd w:val="clear" w:color="000000" w:fill="FFFFFF"/>
            <w:noWrap/>
            <w:vAlign w:val="center"/>
          </w:tcPr>
          <w:p w:rsidR="00B63BF3" w:rsidRPr="001121D8" w:rsidRDefault="00B63BF3" w:rsidP="001121D8">
            <w:pPr>
              <w:pStyle w:val="cuatexto"/>
              <w:ind w:right="30"/>
              <w:jc w:val="right"/>
              <w:rPr>
                <w:b/>
                <w:sz w:val="18"/>
                <w:szCs w:val="18"/>
                <w:lang w:val="en-US"/>
              </w:rPr>
            </w:pPr>
            <w:r w:rsidRPr="001121D8">
              <w:rPr>
                <w:b/>
                <w:sz w:val="18"/>
                <w:szCs w:val="18"/>
                <w:lang w:val="en-US"/>
              </w:rPr>
              <w:t>545.000</w:t>
            </w:r>
          </w:p>
        </w:tc>
      </w:tr>
    </w:tbl>
    <w:p w:rsidR="00B63BF3" w:rsidRPr="002B46AD" w:rsidRDefault="00B63BF3" w:rsidP="00B63BF3">
      <w:pPr>
        <w:pStyle w:val="cuatexto"/>
        <w:spacing w:before="80"/>
        <w:ind w:right="-142"/>
        <w:rPr>
          <w:sz w:val="17"/>
          <w:szCs w:val="17"/>
        </w:rPr>
      </w:pPr>
      <w:r w:rsidRPr="002B46AD">
        <w:rPr>
          <w:sz w:val="17"/>
          <w:szCs w:val="17"/>
        </w:rPr>
        <w:t>(*) Incluye a la empresa Davalor Salud, con el préstamo concedido en 2016 de 400.000 euros y el comprometido de 600.000 euros.</w:t>
      </w:r>
    </w:p>
    <w:p w:rsidR="00B63BF3" w:rsidRPr="002B18E3" w:rsidRDefault="00B63BF3" w:rsidP="001121D8">
      <w:pPr>
        <w:pStyle w:val="texto"/>
        <w:tabs>
          <w:tab w:val="clear" w:pos="2835"/>
          <w:tab w:val="clear" w:pos="3969"/>
          <w:tab w:val="clear" w:pos="5103"/>
          <w:tab w:val="clear" w:pos="6237"/>
          <w:tab w:val="clear" w:pos="7371"/>
        </w:tabs>
        <w:spacing w:before="200" w:after="120"/>
        <w:rPr>
          <w:rFonts w:eastAsia="Calibri"/>
          <w:lang w:eastAsia="es-ES"/>
        </w:rPr>
      </w:pPr>
      <w:r w:rsidRPr="002B18E3">
        <w:rPr>
          <w:rFonts w:eastAsia="Calibri"/>
          <w:lang w:eastAsia="es-ES"/>
        </w:rPr>
        <w:t>Del total de</w:t>
      </w:r>
      <w:r>
        <w:rPr>
          <w:rFonts w:eastAsia="Calibri"/>
          <w:lang w:eastAsia="es-ES"/>
        </w:rPr>
        <w:t xml:space="preserve"> los 15</w:t>
      </w:r>
      <w:r w:rsidRPr="002B18E3">
        <w:rPr>
          <w:rFonts w:eastAsia="Calibri"/>
          <w:lang w:eastAsia="es-ES"/>
        </w:rPr>
        <w:t xml:space="preserve"> proyectos financiados</w:t>
      </w:r>
      <w:r>
        <w:rPr>
          <w:rFonts w:eastAsia="Calibri"/>
          <w:lang w:eastAsia="es-ES"/>
        </w:rPr>
        <w:t xml:space="preserve"> </w:t>
      </w:r>
      <w:r w:rsidRPr="002B18E3">
        <w:rPr>
          <w:rFonts w:eastAsia="Calibri"/>
          <w:lang w:eastAsia="es-ES"/>
        </w:rPr>
        <w:t xml:space="preserve">por </w:t>
      </w:r>
      <w:r>
        <w:rPr>
          <w:rFonts w:eastAsia="Calibri"/>
          <w:lang w:eastAsia="es-ES"/>
        </w:rPr>
        <w:t>c</w:t>
      </w:r>
      <w:r w:rsidRPr="002B18E3">
        <w:rPr>
          <w:rFonts w:eastAsia="Calibri"/>
          <w:lang w:eastAsia="es-ES"/>
        </w:rPr>
        <w:t xml:space="preserve">reación de </w:t>
      </w:r>
      <w:r>
        <w:rPr>
          <w:rFonts w:eastAsia="Calibri"/>
          <w:lang w:eastAsia="es-ES"/>
        </w:rPr>
        <w:t>v</w:t>
      </w:r>
      <w:r w:rsidRPr="002B18E3">
        <w:rPr>
          <w:rFonts w:eastAsia="Calibri"/>
          <w:lang w:eastAsia="es-ES"/>
        </w:rPr>
        <w:t xml:space="preserve">alor en 2016, </w:t>
      </w:r>
      <w:r>
        <w:rPr>
          <w:rFonts w:eastAsia="Calibri"/>
          <w:lang w:eastAsia="es-ES"/>
        </w:rPr>
        <w:t>diez</w:t>
      </w:r>
      <w:r w:rsidRPr="002B18E3">
        <w:rPr>
          <w:rFonts w:eastAsia="Calibri"/>
          <w:lang w:eastAsia="es-ES"/>
        </w:rPr>
        <w:t xml:space="preserve"> han sido aportaciones al capital (</w:t>
      </w:r>
      <w:r>
        <w:rPr>
          <w:rFonts w:eastAsia="Calibri"/>
          <w:lang w:eastAsia="es-ES"/>
        </w:rPr>
        <w:t>tres</w:t>
      </w:r>
      <w:r w:rsidRPr="002B18E3">
        <w:rPr>
          <w:rFonts w:eastAsia="Calibri"/>
          <w:lang w:eastAsia="es-ES"/>
        </w:rPr>
        <w:t xml:space="preserve"> nuevos y </w:t>
      </w:r>
      <w:r>
        <w:rPr>
          <w:rFonts w:eastAsia="Calibri"/>
          <w:lang w:eastAsia="es-ES"/>
        </w:rPr>
        <w:t>siete</w:t>
      </w:r>
      <w:r w:rsidRPr="002B18E3">
        <w:rPr>
          <w:rFonts w:eastAsia="Calibri"/>
          <w:lang w:eastAsia="es-ES"/>
        </w:rPr>
        <w:t xml:space="preserve"> en cartera) y </w:t>
      </w:r>
      <w:r>
        <w:rPr>
          <w:rFonts w:eastAsia="Calibri"/>
          <w:lang w:eastAsia="es-ES"/>
        </w:rPr>
        <w:t>cinco</w:t>
      </w:r>
      <w:r w:rsidRPr="002B18E3">
        <w:rPr>
          <w:rFonts w:eastAsia="Calibri"/>
          <w:lang w:eastAsia="es-ES"/>
        </w:rPr>
        <w:t xml:space="preserve"> prést</w:t>
      </w:r>
      <w:r w:rsidRPr="002B18E3">
        <w:rPr>
          <w:rFonts w:eastAsia="Calibri"/>
          <w:lang w:eastAsia="es-ES"/>
        </w:rPr>
        <w:t>a</w:t>
      </w:r>
      <w:r w:rsidRPr="002B18E3">
        <w:rPr>
          <w:rFonts w:eastAsia="Calibri"/>
          <w:lang w:eastAsia="es-ES"/>
        </w:rPr>
        <w:t>mos (</w:t>
      </w:r>
      <w:r>
        <w:rPr>
          <w:rFonts w:eastAsia="Calibri"/>
          <w:lang w:eastAsia="es-ES"/>
        </w:rPr>
        <w:t>dos</w:t>
      </w:r>
      <w:r w:rsidRPr="002B18E3">
        <w:rPr>
          <w:rFonts w:eastAsia="Calibri"/>
          <w:lang w:eastAsia="es-ES"/>
        </w:rPr>
        <w:t xml:space="preserve"> nuevos y </w:t>
      </w:r>
      <w:r>
        <w:rPr>
          <w:rFonts w:eastAsia="Calibri"/>
          <w:lang w:eastAsia="es-ES"/>
        </w:rPr>
        <w:t>tres</w:t>
      </w:r>
      <w:r w:rsidRPr="002B18E3">
        <w:rPr>
          <w:rFonts w:eastAsia="Calibri"/>
          <w:lang w:eastAsia="es-ES"/>
        </w:rPr>
        <w:t xml:space="preserve"> en cartera)</w:t>
      </w:r>
      <w:r>
        <w:rPr>
          <w:rFonts w:eastAsia="Calibri"/>
          <w:lang w:eastAsia="es-ES"/>
        </w:rPr>
        <w:t>.</w:t>
      </w:r>
    </w:p>
    <w:p w:rsidR="00B63BF3" w:rsidRPr="00610E52" w:rsidRDefault="00B63BF3" w:rsidP="00B63BF3">
      <w:pPr>
        <w:pStyle w:val="atitulo3"/>
      </w:pPr>
      <w:r w:rsidRPr="00610E52">
        <w:lastRenderedPageBreak/>
        <w:t>Criterios</w:t>
      </w:r>
      <w:r>
        <w:t xml:space="preserve"> generales</w:t>
      </w:r>
      <w:r w:rsidRPr="00610E52">
        <w:t xml:space="preserve"> de </w:t>
      </w:r>
      <w:r>
        <w:t>apoyo financiero</w:t>
      </w:r>
      <w:r w:rsidRPr="00610E52">
        <w:t xml:space="preserve"> en proyectos</w:t>
      </w:r>
      <w:r>
        <w:t xml:space="preserve"> y procedimientos de análisis en el área de Capital Riesgo-Creación de Valor </w:t>
      </w:r>
    </w:p>
    <w:p w:rsidR="00B63BF3" w:rsidRPr="002B18E3" w:rsidRDefault="00B63BF3" w:rsidP="00D55223">
      <w:pPr>
        <w:pStyle w:val="texto"/>
        <w:tabs>
          <w:tab w:val="clear" w:pos="2835"/>
          <w:tab w:val="clear" w:pos="3969"/>
          <w:tab w:val="clear" w:pos="5103"/>
          <w:tab w:val="clear" w:pos="6237"/>
          <w:tab w:val="clear" w:pos="7371"/>
        </w:tabs>
        <w:rPr>
          <w:rFonts w:eastAsia="Calibri"/>
          <w:lang w:eastAsia="es-ES"/>
        </w:rPr>
      </w:pPr>
      <w:r>
        <w:rPr>
          <w:rFonts w:eastAsia="Calibri"/>
          <w:lang w:eastAsia="es-ES"/>
        </w:rPr>
        <w:t>E</w:t>
      </w:r>
      <w:r w:rsidRPr="002B18E3">
        <w:rPr>
          <w:rFonts w:eastAsia="Calibri"/>
          <w:lang w:eastAsia="es-ES"/>
        </w:rPr>
        <w:t>sta área realiza tanto el análisis de los proyectos susceptibles de apoyo c</w:t>
      </w:r>
      <w:r w:rsidRPr="002B18E3">
        <w:rPr>
          <w:rFonts w:eastAsia="Calibri"/>
          <w:lang w:eastAsia="es-ES"/>
        </w:rPr>
        <w:t>o</w:t>
      </w:r>
      <w:r w:rsidRPr="002B18E3">
        <w:rPr>
          <w:rFonts w:eastAsia="Calibri"/>
          <w:lang w:eastAsia="es-ES"/>
        </w:rPr>
        <w:t>mo el seguimiento posterior de las empresas que forman parte de la cartera de Sodena y su actividad está centrada en la creación de valor y en la minimiz</w:t>
      </w:r>
      <w:r w:rsidRPr="002B18E3">
        <w:rPr>
          <w:rFonts w:eastAsia="Calibri"/>
          <w:lang w:eastAsia="es-ES"/>
        </w:rPr>
        <w:t>a</w:t>
      </w:r>
      <w:r w:rsidRPr="002B18E3">
        <w:rPr>
          <w:rFonts w:eastAsia="Calibri"/>
          <w:lang w:eastAsia="es-ES"/>
        </w:rPr>
        <w:t>ción del riesgo. Sodena busca apoyar a las empresas en sus procesos de lanz</w:t>
      </w:r>
      <w:r w:rsidRPr="002B18E3">
        <w:rPr>
          <w:rFonts w:eastAsia="Calibri"/>
          <w:lang w:eastAsia="es-ES"/>
        </w:rPr>
        <w:t>a</w:t>
      </w:r>
      <w:r w:rsidRPr="002B18E3">
        <w:rPr>
          <w:rFonts w:eastAsia="Calibri"/>
          <w:lang w:eastAsia="es-ES"/>
        </w:rPr>
        <w:t>miento, crecimiento o consolidación con proyectos de la siguiente tipología:</w:t>
      </w:r>
    </w:p>
    <w:p w:rsidR="00B63BF3" w:rsidRPr="00D5522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spacing w:val="-2"/>
          <w:position w:val="-2"/>
        </w:rPr>
      </w:pPr>
      <w:r w:rsidRPr="00D55223">
        <w:rPr>
          <w:rFonts w:cs="Arial"/>
          <w:spacing w:val="-2"/>
          <w:position w:val="-2"/>
        </w:rPr>
        <w:t>Avances en las etapas de desarrollo de sus productos hasta su llegada a mercado.</w:t>
      </w:r>
    </w:p>
    <w:p w:rsidR="00B63BF3" w:rsidRPr="002B18E3" w:rsidRDefault="00B63BF3" w:rsidP="00D5522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2B18E3">
        <w:rPr>
          <w:rFonts w:cs="Arial"/>
        </w:rPr>
        <w:t>Inversiones necesarias para incrementar actividad.</w:t>
      </w:r>
    </w:p>
    <w:p w:rsidR="00B63BF3" w:rsidRPr="002B18E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2B18E3">
        <w:rPr>
          <w:rFonts w:cs="Arial"/>
        </w:rPr>
        <w:t>Crecimiento de forma orgánica e incluso inorgánica que conlleve adquis</w:t>
      </w:r>
      <w:r w:rsidRPr="002B18E3">
        <w:rPr>
          <w:rFonts w:cs="Arial"/>
        </w:rPr>
        <w:t>i</w:t>
      </w:r>
      <w:r w:rsidRPr="002B18E3">
        <w:rPr>
          <w:rFonts w:cs="Arial"/>
        </w:rPr>
        <w:t>ciones de otras empresas.</w:t>
      </w:r>
    </w:p>
    <w:p w:rsidR="00B63BF3" w:rsidRPr="002B18E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2B18E3">
        <w:rPr>
          <w:rFonts w:cs="Arial"/>
        </w:rPr>
        <w:t>Proyectos de integración con otras empresas o negocios.</w:t>
      </w:r>
    </w:p>
    <w:p w:rsidR="00B63BF3" w:rsidRPr="002B18E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2B18E3">
        <w:rPr>
          <w:rFonts w:cs="Arial"/>
        </w:rPr>
        <w:t>Relevo accionarial.</w:t>
      </w:r>
    </w:p>
    <w:p w:rsidR="00B63BF3" w:rsidRPr="002B18E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2B18E3">
        <w:rPr>
          <w:rFonts w:cs="Arial"/>
        </w:rPr>
        <w:t>Implantaciones de compañías extranjeras que precisen de un socio local.</w:t>
      </w:r>
    </w:p>
    <w:p w:rsidR="00B63BF3" w:rsidRPr="00D5522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spacing w:val="0"/>
        </w:rPr>
      </w:pPr>
      <w:r w:rsidRPr="00D55223">
        <w:rPr>
          <w:rFonts w:cs="Arial"/>
          <w:spacing w:val="0"/>
        </w:rPr>
        <w:t xml:space="preserve">Adquisición de la empresa por equipos directivos </w:t>
      </w:r>
      <w:r w:rsidRPr="00D55223">
        <w:rPr>
          <w:rFonts w:cs="Arial"/>
          <w:spacing w:val="0"/>
          <w:sz w:val="24"/>
        </w:rPr>
        <w:t>(MBO)</w:t>
      </w:r>
      <w:r w:rsidRPr="00D55223">
        <w:rPr>
          <w:rFonts w:cs="Arial"/>
          <w:spacing w:val="0"/>
        </w:rPr>
        <w:t xml:space="preserve"> u otra empresa </w:t>
      </w:r>
      <w:r w:rsidRPr="00D55223">
        <w:rPr>
          <w:rFonts w:cs="Arial"/>
          <w:spacing w:val="0"/>
          <w:sz w:val="24"/>
        </w:rPr>
        <w:t>(MBI)</w:t>
      </w:r>
      <w:r w:rsidRPr="00D55223">
        <w:rPr>
          <w:rFonts w:cs="Arial"/>
          <w:spacing w:val="0"/>
        </w:rPr>
        <w:t>.</w:t>
      </w:r>
    </w:p>
    <w:p w:rsidR="00B63BF3" w:rsidRPr="002B18E3" w:rsidRDefault="00B63BF3" w:rsidP="00D55223">
      <w:pPr>
        <w:pStyle w:val="texto"/>
        <w:tabs>
          <w:tab w:val="clear" w:pos="2835"/>
          <w:tab w:val="clear" w:pos="3969"/>
          <w:tab w:val="clear" w:pos="5103"/>
          <w:tab w:val="clear" w:pos="6237"/>
          <w:tab w:val="clear" w:pos="7371"/>
        </w:tabs>
        <w:rPr>
          <w:rFonts w:eastAsia="Calibri"/>
          <w:lang w:eastAsia="es-ES"/>
        </w:rPr>
      </w:pPr>
      <w:r w:rsidRPr="002B18E3">
        <w:rPr>
          <w:rFonts w:eastAsia="Calibri"/>
          <w:lang w:eastAsia="es-ES"/>
        </w:rPr>
        <w:t>Además, los proyectos deberán tener el domicilio y actividad principal ub</w:t>
      </w:r>
      <w:r w:rsidRPr="002B18E3">
        <w:rPr>
          <w:rFonts w:eastAsia="Calibri"/>
          <w:lang w:eastAsia="es-ES"/>
        </w:rPr>
        <w:t>i</w:t>
      </w:r>
      <w:r w:rsidRPr="002B18E3">
        <w:rPr>
          <w:rFonts w:eastAsia="Calibri"/>
          <w:lang w:eastAsia="es-ES"/>
        </w:rPr>
        <w:t>cados en Navarra o con compromiso de traslado y estarán liderados por un promotor y equipo directivo complementario en sus competencias y comprom</w:t>
      </w:r>
      <w:r w:rsidRPr="002B18E3">
        <w:rPr>
          <w:rFonts w:eastAsia="Calibri"/>
          <w:lang w:eastAsia="es-ES"/>
        </w:rPr>
        <w:t>e</w:t>
      </w:r>
      <w:r w:rsidRPr="002B18E3">
        <w:rPr>
          <w:rFonts w:eastAsia="Calibri"/>
          <w:lang w:eastAsia="es-ES"/>
        </w:rPr>
        <w:t>tido con el proyecto, tanto en lo económico como en lo profesional</w:t>
      </w:r>
      <w:r>
        <w:rPr>
          <w:rFonts w:eastAsia="Calibri"/>
          <w:lang w:eastAsia="es-ES"/>
        </w:rPr>
        <w:t>.</w:t>
      </w:r>
    </w:p>
    <w:p w:rsidR="00B63BF3" w:rsidRPr="002B18E3" w:rsidRDefault="00B63BF3" w:rsidP="00D55223">
      <w:pPr>
        <w:pStyle w:val="texto"/>
        <w:tabs>
          <w:tab w:val="clear" w:pos="2835"/>
          <w:tab w:val="clear" w:pos="3969"/>
          <w:tab w:val="clear" w:pos="5103"/>
          <w:tab w:val="clear" w:pos="6237"/>
          <w:tab w:val="clear" w:pos="7371"/>
        </w:tabs>
        <w:rPr>
          <w:rFonts w:eastAsia="Calibri"/>
          <w:lang w:eastAsia="es-ES"/>
        </w:rPr>
      </w:pPr>
      <w:r w:rsidRPr="002B18E3">
        <w:rPr>
          <w:rFonts w:eastAsia="Calibri"/>
          <w:lang w:eastAsia="es-ES"/>
        </w:rPr>
        <w:t>Los proyectos deben reunir determinadas características relacionadas además de con la creación de valor desde un punto de vista financiero, con el impacto socioeconómico y capacidad de crecimiento del mismo.</w:t>
      </w:r>
    </w:p>
    <w:p w:rsidR="00D55223" w:rsidRDefault="00B63BF3" w:rsidP="00D55223">
      <w:pPr>
        <w:pStyle w:val="texto"/>
        <w:tabs>
          <w:tab w:val="clear" w:pos="2835"/>
          <w:tab w:val="clear" w:pos="3969"/>
          <w:tab w:val="clear" w:pos="5103"/>
          <w:tab w:val="clear" w:pos="6237"/>
          <w:tab w:val="clear" w:pos="7371"/>
        </w:tabs>
        <w:rPr>
          <w:rFonts w:eastAsia="Calibri"/>
          <w:lang w:eastAsia="es-ES"/>
        </w:rPr>
      </w:pPr>
      <w:r w:rsidRPr="002B18E3">
        <w:rPr>
          <w:rFonts w:eastAsia="Calibri"/>
          <w:lang w:eastAsia="es-ES"/>
        </w:rPr>
        <w:t xml:space="preserve">Para ello se cuantifican y miden para su evaluación los siguientes factores: </w:t>
      </w:r>
    </w:p>
    <w:p w:rsidR="00B63BF3" w:rsidRDefault="00B63BF3" w:rsidP="00D55223">
      <w:pPr>
        <w:pStyle w:val="texto"/>
        <w:tabs>
          <w:tab w:val="clear" w:pos="2835"/>
          <w:tab w:val="clear" w:pos="3969"/>
          <w:tab w:val="clear" w:pos="5103"/>
          <w:tab w:val="clear" w:pos="6237"/>
          <w:tab w:val="clear" w:pos="7371"/>
        </w:tabs>
        <w:ind w:firstLine="426"/>
        <w:rPr>
          <w:rFonts w:eastAsia="Calibri"/>
          <w:lang w:eastAsia="es-ES"/>
        </w:rPr>
      </w:pPr>
      <w:r w:rsidRPr="002B18E3">
        <w:rPr>
          <w:noProof/>
          <w:spacing w:val="0"/>
          <w:szCs w:val="26"/>
          <w:lang w:val="es-ES" w:eastAsia="es-ES"/>
        </w:rPr>
        <w:drawing>
          <wp:inline distT="0" distB="0" distL="0" distR="0" wp14:anchorId="24C73054" wp14:editId="0895C4DC">
            <wp:extent cx="4941277" cy="275199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3579" cy="2764413"/>
                    </a:xfrm>
                    <a:prstGeom prst="rect">
                      <a:avLst/>
                    </a:prstGeom>
                    <a:noFill/>
                    <a:ln>
                      <a:noFill/>
                    </a:ln>
                  </pic:spPr>
                </pic:pic>
              </a:graphicData>
            </a:graphic>
          </wp:inline>
        </w:drawing>
      </w:r>
    </w:p>
    <w:p w:rsidR="00B63BF3" w:rsidRDefault="00B63BF3" w:rsidP="00B63BF3">
      <w:pPr>
        <w:pStyle w:val="texto"/>
        <w:tabs>
          <w:tab w:val="clear" w:pos="2835"/>
          <w:tab w:val="clear" w:pos="3969"/>
          <w:tab w:val="clear" w:pos="5103"/>
          <w:tab w:val="clear" w:pos="6237"/>
          <w:tab w:val="clear" w:pos="7371"/>
        </w:tabs>
        <w:rPr>
          <w:rFonts w:eastAsia="Calibri"/>
          <w:spacing w:val="2"/>
          <w:szCs w:val="26"/>
          <w:lang w:eastAsia="es-ES"/>
        </w:rPr>
      </w:pPr>
      <w:r w:rsidRPr="002B18E3">
        <w:rPr>
          <w:rFonts w:eastAsia="Calibri"/>
          <w:spacing w:val="2"/>
          <w:szCs w:val="26"/>
          <w:lang w:eastAsia="es-ES"/>
        </w:rPr>
        <w:lastRenderedPageBreak/>
        <w:t>Los instrumentos de apoyo financiero a utilizar en esta área son los siguientes, atendiendo a las necesidades y tipología del proyecto:</w:t>
      </w:r>
    </w:p>
    <w:p w:rsidR="00B63BF3" w:rsidRPr="00014064" w:rsidRDefault="00B63BF3" w:rsidP="003E68EF">
      <w:pPr>
        <w:pStyle w:val="texto"/>
        <w:tabs>
          <w:tab w:val="clear" w:pos="2835"/>
          <w:tab w:val="clear" w:pos="3969"/>
          <w:tab w:val="clear" w:pos="5103"/>
          <w:tab w:val="clear" w:pos="6237"/>
          <w:tab w:val="clear" w:pos="7371"/>
        </w:tabs>
        <w:spacing w:after="0"/>
        <w:ind w:firstLine="0"/>
        <w:rPr>
          <w:rFonts w:eastAsia="Calibri"/>
          <w:spacing w:val="2"/>
          <w:szCs w:val="26"/>
          <w:lang w:eastAsia="es-ES"/>
        </w:rPr>
      </w:pPr>
      <w:r w:rsidRPr="000138E5">
        <w:rPr>
          <w:noProof/>
          <w:szCs w:val="26"/>
          <w:lang w:val="es-ES" w:eastAsia="es-ES"/>
        </w:rPr>
        <w:drawing>
          <wp:anchor distT="0" distB="0" distL="114300" distR="114300" simplePos="0" relativeHeight="251659776" behindDoc="0" locked="0" layoutInCell="1" allowOverlap="1" wp14:anchorId="74ADE431" wp14:editId="4E181573">
            <wp:simplePos x="0" y="0"/>
            <wp:positionH relativeFrom="column">
              <wp:posOffset>3175</wp:posOffset>
            </wp:positionH>
            <wp:positionV relativeFrom="paragraph">
              <wp:posOffset>81915</wp:posOffset>
            </wp:positionV>
            <wp:extent cx="5530215" cy="3138805"/>
            <wp:effectExtent l="0" t="0" r="0" b="4445"/>
            <wp:wrapThrough wrapText="bothSides">
              <wp:wrapPolygon edited="0">
                <wp:start x="0" y="0"/>
                <wp:lineTo x="0" y="21499"/>
                <wp:lineTo x="21503" y="21499"/>
                <wp:lineTo x="21503"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30215" cy="3138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3BF3" w:rsidRPr="00014064" w:rsidRDefault="00B63BF3" w:rsidP="00D55223">
      <w:pPr>
        <w:pStyle w:val="texto"/>
        <w:tabs>
          <w:tab w:val="clear" w:pos="2835"/>
          <w:tab w:val="clear" w:pos="3969"/>
          <w:tab w:val="clear" w:pos="5103"/>
          <w:tab w:val="clear" w:pos="6237"/>
          <w:tab w:val="clear" w:pos="7371"/>
        </w:tabs>
        <w:rPr>
          <w:rFonts w:eastAsia="Calibri"/>
          <w:lang w:eastAsia="es-ES"/>
        </w:rPr>
      </w:pPr>
      <w:r w:rsidRPr="00014064">
        <w:rPr>
          <w:rFonts w:eastAsia="Calibri"/>
          <w:lang w:eastAsia="es-ES"/>
        </w:rPr>
        <w:t>El análisis de apoyo financiero en esta área se realiza bajo criterios de conf</w:t>
      </w:r>
      <w:r w:rsidRPr="00014064">
        <w:rPr>
          <w:rFonts w:eastAsia="Calibri"/>
          <w:lang w:eastAsia="es-ES"/>
        </w:rPr>
        <w:t>i</w:t>
      </w:r>
      <w:r w:rsidRPr="00014064">
        <w:rPr>
          <w:rFonts w:eastAsia="Calibri"/>
          <w:lang w:eastAsia="es-ES"/>
        </w:rPr>
        <w:t>dencialidad y si el promotor así lo demanda, se formalizan dichos criterios m</w:t>
      </w:r>
      <w:r w:rsidRPr="00014064">
        <w:rPr>
          <w:rFonts w:eastAsia="Calibri"/>
          <w:lang w:eastAsia="es-ES"/>
        </w:rPr>
        <w:t>e</w:t>
      </w:r>
      <w:r w:rsidRPr="00014064">
        <w:rPr>
          <w:rFonts w:eastAsia="Calibri"/>
          <w:lang w:eastAsia="es-ES"/>
        </w:rPr>
        <w:t>diante documento firmado por las partes.</w:t>
      </w:r>
    </w:p>
    <w:p w:rsidR="00B63BF3" w:rsidRPr="00014064" w:rsidRDefault="00B63BF3" w:rsidP="00D55223">
      <w:pPr>
        <w:pStyle w:val="texto"/>
        <w:tabs>
          <w:tab w:val="clear" w:pos="2835"/>
          <w:tab w:val="clear" w:pos="3969"/>
          <w:tab w:val="clear" w:pos="5103"/>
          <w:tab w:val="clear" w:pos="6237"/>
          <w:tab w:val="clear" w:pos="7371"/>
        </w:tabs>
        <w:rPr>
          <w:rFonts w:eastAsia="Calibri"/>
          <w:lang w:eastAsia="es-ES"/>
        </w:rPr>
      </w:pPr>
      <w:r w:rsidRPr="00014064">
        <w:rPr>
          <w:rFonts w:eastAsia="Calibri"/>
          <w:lang w:eastAsia="es-ES"/>
        </w:rPr>
        <w:t>Se establece un primer contacto basado en reuniones, conversaciones, info</w:t>
      </w:r>
      <w:r w:rsidRPr="00014064">
        <w:rPr>
          <w:rFonts w:eastAsia="Calibri"/>
          <w:lang w:eastAsia="es-ES"/>
        </w:rPr>
        <w:t>r</w:t>
      </w:r>
      <w:r w:rsidRPr="00014064">
        <w:rPr>
          <w:rFonts w:eastAsia="Calibri"/>
          <w:lang w:eastAsia="es-ES"/>
        </w:rPr>
        <w:t>mación disponible o recibida y en función de las características del proyecto, se decide junto con la Gerencia de Sodena, si se procede al análisis y el equipo que lo realizará. Durante el proceso de análisis, se van compartiendo concl</w:t>
      </w:r>
      <w:r w:rsidRPr="00014064">
        <w:rPr>
          <w:rFonts w:eastAsia="Calibri"/>
          <w:lang w:eastAsia="es-ES"/>
        </w:rPr>
        <w:t>u</w:t>
      </w:r>
      <w:r w:rsidRPr="00014064">
        <w:rPr>
          <w:rFonts w:eastAsia="Calibri"/>
          <w:lang w:eastAsia="es-ES"/>
        </w:rPr>
        <w:t>siones o puntos críticos que puedan ir surgiendo, tanto con la Gerencia de S</w:t>
      </w:r>
      <w:r w:rsidRPr="00014064">
        <w:rPr>
          <w:rFonts w:eastAsia="Calibri"/>
          <w:lang w:eastAsia="es-ES"/>
        </w:rPr>
        <w:t>o</w:t>
      </w:r>
      <w:r w:rsidRPr="00014064">
        <w:rPr>
          <w:rFonts w:eastAsia="Calibri"/>
          <w:lang w:eastAsia="es-ES"/>
        </w:rPr>
        <w:t>dena, como en ocasiones con miembros de Sodena pertenecientes a otras áreas.</w:t>
      </w:r>
    </w:p>
    <w:p w:rsidR="00B63BF3" w:rsidRPr="00014064" w:rsidRDefault="00B63BF3" w:rsidP="00D55223">
      <w:pPr>
        <w:pStyle w:val="texto"/>
        <w:tabs>
          <w:tab w:val="clear" w:pos="2835"/>
          <w:tab w:val="clear" w:pos="3969"/>
          <w:tab w:val="clear" w:pos="5103"/>
          <w:tab w:val="clear" w:pos="6237"/>
          <w:tab w:val="clear" w:pos="7371"/>
        </w:tabs>
        <w:rPr>
          <w:rFonts w:eastAsia="Calibri"/>
          <w:lang w:eastAsia="es-ES"/>
        </w:rPr>
      </w:pPr>
      <w:r w:rsidRPr="00014064">
        <w:rPr>
          <w:rFonts w:eastAsia="Calibri"/>
          <w:lang w:eastAsia="es-ES"/>
        </w:rPr>
        <w:t>El objetivo del análisis es profundizar en el conocimiento del proyecto para la propuesta o informe de apoyo financiero, identificando los riesgos, cuantif</w:t>
      </w:r>
      <w:r w:rsidRPr="00014064">
        <w:rPr>
          <w:rFonts w:eastAsia="Calibri"/>
          <w:lang w:eastAsia="es-ES"/>
        </w:rPr>
        <w:t>i</w:t>
      </w:r>
      <w:r w:rsidRPr="00014064">
        <w:rPr>
          <w:rFonts w:eastAsia="Calibri"/>
          <w:lang w:eastAsia="es-ES"/>
        </w:rPr>
        <w:t>cando la creación de valor y utilizando como una de las herramientas de apoyo el Plan de Negocio. A modo indicativo se realizan las siguientes actuaciones:</w:t>
      </w:r>
    </w:p>
    <w:p w:rsidR="00B63BF3" w:rsidRPr="00014064" w:rsidRDefault="00B63BF3" w:rsidP="00D5522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014064">
        <w:rPr>
          <w:rFonts w:cs="Arial"/>
        </w:rPr>
        <w:t>Información más detallada sobre el promotor y sobre la situación corpor</w:t>
      </w:r>
      <w:r w:rsidRPr="00014064">
        <w:rPr>
          <w:rFonts w:cs="Arial"/>
        </w:rPr>
        <w:t>a</w:t>
      </w:r>
      <w:r w:rsidRPr="00014064">
        <w:rPr>
          <w:rFonts w:cs="Arial"/>
        </w:rPr>
        <w:t>tiva o societaria de la empresa, incluyendo análisis del equipo directivo.</w:t>
      </w:r>
    </w:p>
    <w:p w:rsidR="00B63BF3" w:rsidRPr="00014064" w:rsidRDefault="00B63BF3" w:rsidP="00D5522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Pr>
          <w:rFonts w:cs="Arial"/>
        </w:rPr>
        <w:t xml:space="preserve">Profundizar </w:t>
      </w:r>
      <w:r w:rsidRPr="00014064">
        <w:rPr>
          <w:rFonts w:cs="Arial"/>
        </w:rPr>
        <w:t>en la actividad de la empresa</w:t>
      </w:r>
      <w:r>
        <w:rPr>
          <w:rFonts w:cs="Arial"/>
        </w:rPr>
        <w:t xml:space="preserve"> y en</w:t>
      </w:r>
      <w:r w:rsidRPr="00014064">
        <w:rPr>
          <w:rFonts w:cs="Arial"/>
        </w:rPr>
        <w:t xml:space="preserve"> el análisis del modelo de negocio, en lo que respecta a producto o servicio, tecnología, propiedad intele</w:t>
      </w:r>
      <w:r w:rsidRPr="00014064">
        <w:rPr>
          <w:rFonts w:cs="Arial"/>
        </w:rPr>
        <w:t>c</w:t>
      </w:r>
      <w:r w:rsidRPr="00014064">
        <w:rPr>
          <w:rFonts w:cs="Arial"/>
        </w:rPr>
        <w:t>tual, en su caso, competidores, mercado y clientes actuales o potenciales, ve</w:t>
      </w:r>
      <w:r w:rsidRPr="00014064">
        <w:rPr>
          <w:rFonts w:cs="Arial"/>
        </w:rPr>
        <w:t>n</w:t>
      </w:r>
      <w:r w:rsidRPr="00014064">
        <w:rPr>
          <w:rFonts w:cs="Arial"/>
        </w:rPr>
        <w:t>tas y comercialización, política de precios, de aprovisionamientos, recursos humanos, modelo de financiación, históricos, proyecciones, hipótesis, etc.</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014064">
        <w:rPr>
          <w:rFonts w:cs="Arial"/>
        </w:rPr>
        <w:lastRenderedPageBreak/>
        <w:t>Contraste rápido con terceros que puedan ser conocedores del modelo de negocio, o con clientes o proveedores actuales o potenciales, etc.</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014064">
        <w:rPr>
          <w:rFonts w:cs="Arial"/>
        </w:rPr>
        <w:t>Analizar</w:t>
      </w:r>
      <w:r>
        <w:rPr>
          <w:rFonts w:cs="Arial"/>
        </w:rPr>
        <w:t xml:space="preserve"> la</w:t>
      </w:r>
      <w:r w:rsidRPr="00014064">
        <w:rPr>
          <w:rFonts w:cs="Arial"/>
        </w:rPr>
        <w:t xml:space="preserve"> necesidad de informes específicos de expertos, consultas ad</w:t>
      </w:r>
      <w:r w:rsidRPr="00014064">
        <w:rPr>
          <w:rFonts w:cs="Arial"/>
        </w:rPr>
        <w:t>i</w:t>
      </w:r>
      <w:r w:rsidRPr="00014064">
        <w:rPr>
          <w:rFonts w:cs="Arial"/>
        </w:rPr>
        <w:t>cionales, etc.</w:t>
      </w:r>
    </w:p>
    <w:p w:rsidR="00B63BF3" w:rsidRPr="003E68EF"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spacing w:val="2"/>
        </w:rPr>
      </w:pPr>
      <w:r w:rsidRPr="00014064">
        <w:rPr>
          <w:rFonts w:cs="Arial"/>
        </w:rPr>
        <w:t>Análisis más exhaustivo de la competencia en Navarra, valorando si su crecimiento resta cuota de mercado a competidores,</w:t>
      </w:r>
      <w:r w:rsidRPr="003E68EF">
        <w:rPr>
          <w:rFonts w:cs="Arial"/>
          <w:spacing w:val="2"/>
        </w:rPr>
        <w:t xml:space="preserve"> si el producto es diferencial, si el nicho del mercado y los clientes actuales y potenciales son los mismos.</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014064">
        <w:rPr>
          <w:rFonts w:cs="Arial"/>
        </w:rPr>
        <w:t>Realizar diferentes escenarios de cumplimiento del Plan de Negocio para analizar riesgos y análisis de rentabilidades financieras esperadas para Sodena.</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014064">
        <w:rPr>
          <w:rFonts w:cs="Arial"/>
        </w:rPr>
        <w:t>Valoración, en su caso, de la empresa mediante métodos generalmente aceptados.</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014064">
        <w:rPr>
          <w:rFonts w:cs="Arial"/>
        </w:rPr>
        <w:t>Análisis y cuantificación final de los factores de creación de valor soci</w:t>
      </w:r>
      <w:r w:rsidRPr="00014064">
        <w:rPr>
          <w:rFonts w:cs="Arial"/>
        </w:rPr>
        <w:t>o</w:t>
      </w:r>
      <w:r w:rsidRPr="00014064">
        <w:rPr>
          <w:rFonts w:cs="Arial"/>
        </w:rPr>
        <w:t>económica.</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rsidRPr="00014064">
        <w:rPr>
          <w:rFonts w:cs="Arial"/>
        </w:rPr>
        <w:t>Posibilidades de desinversión.</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eastAsia="Calibri"/>
          <w:lang w:eastAsia="es-ES"/>
        </w:rPr>
      </w:pPr>
      <w:r w:rsidRPr="00014064">
        <w:rPr>
          <w:rFonts w:eastAsia="Calibri"/>
          <w:lang w:eastAsia="es-ES"/>
        </w:rPr>
        <w:t>Negociación con los promotores de principales condiciones de apoyo f</w:t>
      </w:r>
      <w:r w:rsidRPr="00014064">
        <w:rPr>
          <w:rFonts w:eastAsia="Calibri"/>
          <w:lang w:eastAsia="es-ES"/>
        </w:rPr>
        <w:t>i</w:t>
      </w:r>
      <w:r w:rsidRPr="00014064">
        <w:rPr>
          <w:rFonts w:eastAsia="Calibri"/>
          <w:lang w:eastAsia="es-ES"/>
        </w:rPr>
        <w:t>nanciero, pactos de socios y desinversión, etc.</w:t>
      </w:r>
    </w:p>
    <w:p w:rsidR="00B63BF3" w:rsidRPr="00014064" w:rsidRDefault="00B63BF3" w:rsidP="003E68EF">
      <w:pPr>
        <w:pStyle w:val="texto"/>
        <w:tabs>
          <w:tab w:val="clear" w:pos="2835"/>
          <w:tab w:val="clear" w:pos="3969"/>
          <w:tab w:val="clear" w:pos="5103"/>
          <w:tab w:val="clear" w:pos="6237"/>
          <w:tab w:val="clear" w:pos="7371"/>
        </w:tabs>
        <w:spacing w:after="300"/>
        <w:rPr>
          <w:rFonts w:eastAsia="Calibri"/>
          <w:lang w:eastAsia="es-ES"/>
        </w:rPr>
      </w:pPr>
      <w:r w:rsidRPr="00014064">
        <w:rPr>
          <w:rFonts w:eastAsia="Calibri"/>
          <w:lang w:eastAsia="es-ES"/>
        </w:rPr>
        <w:t xml:space="preserve">Como procedimiento final del análisis y como paso previo para someterlo a decisión del </w:t>
      </w:r>
      <w:r>
        <w:rPr>
          <w:rFonts w:eastAsia="Calibri"/>
          <w:lang w:eastAsia="es-ES"/>
        </w:rPr>
        <w:t>c</w:t>
      </w:r>
      <w:r w:rsidRPr="00014064">
        <w:rPr>
          <w:rFonts w:eastAsia="Calibri"/>
          <w:lang w:eastAsia="es-ES"/>
        </w:rPr>
        <w:t>onsejo</w:t>
      </w:r>
      <w:r>
        <w:rPr>
          <w:rFonts w:eastAsia="Calibri"/>
          <w:lang w:eastAsia="es-ES"/>
        </w:rPr>
        <w:t xml:space="preserve"> de administración</w:t>
      </w:r>
      <w:r w:rsidRPr="00014064">
        <w:rPr>
          <w:rFonts w:eastAsia="Calibri"/>
          <w:lang w:eastAsia="es-ES"/>
        </w:rPr>
        <w:t>, el proyecto, habitualmente es contra</w:t>
      </w:r>
      <w:r w:rsidRPr="00014064">
        <w:rPr>
          <w:rFonts w:eastAsia="Calibri"/>
          <w:lang w:eastAsia="es-ES"/>
        </w:rPr>
        <w:t>s</w:t>
      </w:r>
      <w:r w:rsidRPr="00014064">
        <w:rPr>
          <w:rFonts w:eastAsia="Calibri"/>
          <w:lang w:eastAsia="es-ES"/>
        </w:rPr>
        <w:t xml:space="preserve">tado una vez más con responsables del resto de áreas de apoyo financiero y con la Gerencia, que es quien decide en última instancia su elevación al </w:t>
      </w:r>
      <w:r>
        <w:rPr>
          <w:rFonts w:eastAsia="Calibri"/>
          <w:lang w:eastAsia="es-ES"/>
        </w:rPr>
        <w:t>c</w:t>
      </w:r>
      <w:r w:rsidRPr="00014064">
        <w:rPr>
          <w:rFonts w:eastAsia="Calibri"/>
          <w:lang w:eastAsia="es-ES"/>
        </w:rPr>
        <w:t>onsejo</w:t>
      </w:r>
      <w:r>
        <w:rPr>
          <w:rFonts w:eastAsia="Calibri"/>
          <w:lang w:eastAsia="es-ES"/>
        </w:rPr>
        <w:t>.</w:t>
      </w:r>
    </w:p>
    <w:p w:rsidR="00B63BF3" w:rsidRPr="0037252A" w:rsidRDefault="00B63BF3" w:rsidP="00B63BF3">
      <w:pPr>
        <w:pStyle w:val="atitulo3"/>
      </w:pPr>
      <w:r w:rsidRPr="0037252A">
        <w:t>Composición del consejo de administración de Sodena</w:t>
      </w:r>
    </w:p>
    <w:p w:rsidR="00B63BF3" w:rsidRPr="0037252A" w:rsidRDefault="00B63BF3" w:rsidP="00B63BF3">
      <w:pPr>
        <w:pStyle w:val="texto"/>
        <w:tabs>
          <w:tab w:val="num" w:pos="284"/>
          <w:tab w:val="num" w:pos="720"/>
        </w:tabs>
        <w:rPr>
          <w:szCs w:val="26"/>
          <w:lang w:val="es-ES" w:eastAsia="es-ES"/>
        </w:rPr>
      </w:pPr>
      <w:r w:rsidRPr="0037252A">
        <w:rPr>
          <w:szCs w:val="26"/>
          <w:lang w:val="es-ES" w:eastAsia="es-ES"/>
        </w:rPr>
        <w:t>El consejo de administración de Sodena, desde septiembre de 2015, está pr</w:t>
      </w:r>
      <w:r w:rsidRPr="0037252A">
        <w:rPr>
          <w:szCs w:val="26"/>
          <w:lang w:val="es-ES" w:eastAsia="es-ES"/>
        </w:rPr>
        <w:t>e</w:t>
      </w:r>
      <w:r w:rsidRPr="0037252A">
        <w:rPr>
          <w:szCs w:val="26"/>
          <w:lang w:val="es-ES" w:eastAsia="es-ES"/>
        </w:rPr>
        <w:t xml:space="preserve">sidido por el vicepresidente y consejero de Desarrollo Económico e integrado por </w:t>
      </w:r>
      <w:r w:rsidR="00BF06DB">
        <w:rPr>
          <w:szCs w:val="26"/>
          <w:lang w:val="es-ES" w:eastAsia="es-ES"/>
        </w:rPr>
        <w:t>dos</w:t>
      </w:r>
      <w:r w:rsidRPr="0037252A">
        <w:rPr>
          <w:szCs w:val="26"/>
          <w:lang w:val="es-ES" w:eastAsia="es-ES"/>
        </w:rPr>
        <w:t xml:space="preserve"> consejeros más</w:t>
      </w:r>
      <w:r w:rsidR="00BF06DB">
        <w:rPr>
          <w:szCs w:val="26"/>
          <w:lang w:val="es-ES" w:eastAsia="es-ES"/>
        </w:rPr>
        <w:t>,</w:t>
      </w:r>
      <w:r w:rsidRPr="0037252A">
        <w:rPr>
          <w:szCs w:val="26"/>
          <w:lang w:val="es-ES" w:eastAsia="es-ES"/>
        </w:rPr>
        <w:t xml:space="preserve"> cargos que recaen en </w:t>
      </w:r>
      <w:r w:rsidR="00BF06DB">
        <w:rPr>
          <w:szCs w:val="26"/>
          <w:lang w:val="es-ES" w:eastAsia="es-ES"/>
        </w:rPr>
        <w:t>dos</w:t>
      </w:r>
      <w:r w:rsidRPr="0037252A">
        <w:rPr>
          <w:szCs w:val="26"/>
          <w:lang w:val="es-ES" w:eastAsia="es-ES"/>
        </w:rPr>
        <w:t xml:space="preserve"> directoras generales del d</w:t>
      </w:r>
      <w:r w:rsidRPr="0037252A">
        <w:rPr>
          <w:szCs w:val="26"/>
          <w:lang w:val="es-ES" w:eastAsia="es-ES"/>
        </w:rPr>
        <w:t>e</w:t>
      </w:r>
      <w:r w:rsidRPr="0037252A">
        <w:rPr>
          <w:szCs w:val="26"/>
          <w:lang w:val="es-ES" w:eastAsia="es-ES"/>
        </w:rPr>
        <w:t>partamento del vicepresidente. Asisten, con voz pero sin voto, un secretario y el coordinador de la CPEN. No consta retribución de ninguno de los consejeros.</w:t>
      </w:r>
    </w:p>
    <w:p w:rsidR="00B63BF3" w:rsidRPr="0037252A" w:rsidRDefault="00B63BF3" w:rsidP="00B63BF3">
      <w:pPr>
        <w:pStyle w:val="texto"/>
        <w:tabs>
          <w:tab w:val="num" w:pos="284"/>
          <w:tab w:val="num" w:pos="720"/>
        </w:tabs>
        <w:rPr>
          <w:szCs w:val="26"/>
          <w:lang w:val="es-ES" w:eastAsia="es-ES"/>
        </w:rPr>
      </w:pPr>
      <w:r>
        <w:rPr>
          <w:szCs w:val="26"/>
          <w:lang w:val="es-ES" w:eastAsia="es-ES"/>
        </w:rPr>
        <w:t>H</w:t>
      </w:r>
      <w:r w:rsidRPr="0037252A">
        <w:rPr>
          <w:szCs w:val="26"/>
          <w:lang w:val="es-ES" w:eastAsia="es-ES"/>
        </w:rPr>
        <w:t>asta septiembre de 2015, el Consejo de Sodena estaba integrado entre 11 y 12 consejeros; en general, la mitad de ellos eran altos cargos de la Administr</w:t>
      </w:r>
      <w:r w:rsidRPr="0037252A">
        <w:rPr>
          <w:szCs w:val="26"/>
          <w:lang w:val="es-ES" w:eastAsia="es-ES"/>
        </w:rPr>
        <w:t>a</w:t>
      </w:r>
      <w:r w:rsidRPr="0037252A">
        <w:rPr>
          <w:szCs w:val="26"/>
          <w:lang w:val="es-ES" w:eastAsia="es-ES"/>
        </w:rPr>
        <w:t>ción Foral y el resto, profesionales y empresarios.</w:t>
      </w:r>
    </w:p>
    <w:p w:rsidR="00B63BF3" w:rsidRPr="0037252A" w:rsidRDefault="00B63BF3" w:rsidP="00B63BF3">
      <w:pPr>
        <w:pStyle w:val="texto"/>
        <w:tabs>
          <w:tab w:val="num" w:pos="284"/>
          <w:tab w:val="num" w:pos="720"/>
        </w:tabs>
        <w:rPr>
          <w:szCs w:val="26"/>
          <w:lang w:val="es-ES" w:eastAsia="es-ES"/>
        </w:rPr>
      </w:pPr>
      <w:r w:rsidRPr="0037252A">
        <w:rPr>
          <w:szCs w:val="26"/>
          <w:lang w:val="es-ES" w:eastAsia="es-ES"/>
        </w:rPr>
        <w:t>Sobre la composición de los consejos, no existen en el ámbito público no</w:t>
      </w:r>
      <w:r w:rsidRPr="0037252A">
        <w:rPr>
          <w:szCs w:val="26"/>
          <w:lang w:val="es-ES" w:eastAsia="es-ES"/>
        </w:rPr>
        <w:t>r</w:t>
      </w:r>
      <w:r w:rsidRPr="0037252A">
        <w:rPr>
          <w:szCs w:val="26"/>
          <w:lang w:val="es-ES" w:eastAsia="es-ES"/>
        </w:rPr>
        <w:t>mas específicas que lo regule. En los estatutos de Sode</w:t>
      </w:r>
      <w:r>
        <w:rPr>
          <w:szCs w:val="26"/>
          <w:lang w:val="es-ES" w:eastAsia="es-ES"/>
        </w:rPr>
        <w:t xml:space="preserve">na se indica básicamente que </w:t>
      </w:r>
      <w:r w:rsidRPr="0037252A">
        <w:rPr>
          <w:szCs w:val="26"/>
          <w:lang w:val="es-ES" w:eastAsia="es-ES"/>
        </w:rPr>
        <w:t>estará</w:t>
      </w:r>
      <w:r>
        <w:rPr>
          <w:szCs w:val="26"/>
          <w:lang w:val="es-ES" w:eastAsia="es-ES"/>
        </w:rPr>
        <w:t xml:space="preserve"> compuesto</w:t>
      </w:r>
      <w:r w:rsidRPr="0037252A">
        <w:rPr>
          <w:szCs w:val="26"/>
          <w:lang w:val="es-ES" w:eastAsia="es-ES"/>
        </w:rPr>
        <w:t xml:space="preserve"> entre tres y doce consejeros, que su presidente será el t</w:t>
      </w:r>
      <w:r w:rsidRPr="0037252A">
        <w:rPr>
          <w:szCs w:val="26"/>
          <w:lang w:val="es-ES" w:eastAsia="es-ES"/>
        </w:rPr>
        <w:t>i</w:t>
      </w:r>
      <w:r w:rsidRPr="0037252A">
        <w:rPr>
          <w:szCs w:val="26"/>
          <w:lang w:val="es-ES" w:eastAsia="es-ES"/>
        </w:rPr>
        <w:t>tular del departamento del Gobierno de Navarra al que se adscriba la sociedad, que puede ser nombrado consejero tanto una persona física como jurídica y que su mandato será de cuatro años.</w:t>
      </w:r>
    </w:p>
    <w:p w:rsidR="00B63BF3" w:rsidRPr="0037252A" w:rsidRDefault="00B63BF3" w:rsidP="003E68EF">
      <w:pPr>
        <w:pStyle w:val="texto"/>
        <w:tabs>
          <w:tab w:val="num" w:pos="284"/>
          <w:tab w:val="num" w:pos="720"/>
        </w:tabs>
        <w:spacing w:after="240"/>
        <w:rPr>
          <w:szCs w:val="26"/>
          <w:lang w:val="es-ES" w:eastAsia="es-ES"/>
        </w:rPr>
      </w:pPr>
      <w:r w:rsidRPr="00455E55">
        <w:rPr>
          <w:szCs w:val="26"/>
          <w:lang w:val="es-ES" w:eastAsia="es-ES"/>
        </w:rPr>
        <w:lastRenderedPageBreak/>
        <w:t>Partiendo de la misión que tiene encomendada Sodena como instrumento de capital riesgo del Gobierno de Navarra para el impulso de proyectos empres</w:t>
      </w:r>
      <w:r w:rsidRPr="00455E55">
        <w:rPr>
          <w:szCs w:val="26"/>
          <w:lang w:val="es-ES" w:eastAsia="es-ES"/>
        </w:rPr>
        <w:t>a</w:t>
      </w:r>
      <w:r w:rsidRPr="00455E55">
        <w:rPr>
          <w:szCs w:val="26"/>
          <w:lang w:val="es-ES" w:eastAsia="es-ES"/>
        </w:rPr>
        <w:t>riales en la Comunidad Foral, consideramos conveniente reflexionar sobre si la actual composición de su consejo de administración es suficiente para cons</w:t>
      </w:r>
      <w:r w:rsidRPr="00455E55">
        <w:rPr>
          <w:szCs w:val="26"/>
          <w:lang w:val="es-ES" w:eastAsia="es-ES"/>
        </w:rPr>
        <w:t>e</w:t>
      </w:r>
      <w:r w:rsidRPr="00455E55">
        <w:rPr>
          <w:szCs w:val="26"/>
          <w:lang w:val="es-ES" w:eastAsia="es-ES"/>
        </w:rPr>
        <w:t>guir una visión más amplia sobre el sector empresarial, de sus perspectivas y necesidades financieras, así como de nuevos proyectos empresariales estratég</w:t>
      </w:r>
      <w:r w:rsidRPr="00455E55">
        <w:rPr>
          <w:szCs w:val="26"/>
          <w:lang w:val="es-ES" w:eastAsia="es-ES"/>
        </w:rPr>
        <w:t>i</w:t>
      </w:r>
      <w:r w:rsidRPr="00455E55">
        <w:rPr>
          <w:szCs w:val="26"/>
          <w:lang w:val="es-ES" w:eastAsia="es-ES"/>
        </w:rPr>
        <w:t xml:space="preserve">cos que pudieran desarrollarse en Navarra. </w:t>
      </w:r>
    </w:p>
    <w:p w:rsidR="00B63BF3" w:rsidRPr="00481B96" w:rsidRDefault="00B63BF3" w:rsidP="00B63BF3">
      <w:pPr>
        <w:pStyle w:val="atitulo3"/>
      </w:pPr>
      <w:bookmarkStart w:id="14" w:name="_Toc400951998"/>
      <w:r>
        <w:t>N</w:t>
      </w:r>
      <w:r w:rsidRPr="00481B96">
        <w:t>ormativa</w:t>
      </w:r>
      <w:bookmarkEnd w:id="14"/>
    </w:p>
    <w:p w:rsidR="00B63BF3" w:rsidRPr="00083AA6" w:rsidRDefault="00B63BF3" w:rsidP="00B63BF3">
      <w:pPr>
        <w:pStyle w:val="texto"/>
        <w:tabs>
          <w:tab w:val="clear" w:pos="2835"/>
          <w:tab w:val="clear" w:pos="3969"/>
          <w:tab w:val="clear" w:pos="5103"/>
          <w:tab w:val="clear" w:pos="6237"/>
          <w:tab w:val="clear" w:pos="7371"/>
        </w:tabs>
        <w:rPr>
          <w:rFonts w:eastAsia="Calibri"/>
          <w:lang w:eastAsia="es-ES"/>
        </w:rPr>
      </w:pPr>
      <w:r w:rsidRPr="00083AA6">
        <w:rPr>
          <w:rFonts w:eastAsia="Calibri"/>
          <w:lang w:eastAsia="es-ES"/>
        </w:rPr>
        <w:t xml:space="preserve">La normativa aplicable a las operaciones que </w:t>
      </w:r>
      <w:r>
        <w:rPr>
          <w:rFonts w:eastAsia="Calibri"/>
          <w:lang w:eastAsia="es-ES"/>
        </w:rPr>
        <w:t>Sodena, SL</w:t>
      </w:r>
      <w:r w:rsidRPr="00083AA6">
        <w:rPr>
          <w:rFonts w:eastAsia="Calibri"/>
          <w:lang w:eastAsia="es-ES"/>
        </w:rPr>
        <w:t xml:space="preserve"> realiz</w:t>
      </w:r>
      <w:r>
        <w:rPr>
          <w:rFonts w:eastAsia="Calibri"/>
          <w:lang w:eastAsia="es-ES"/>
        </w:rPr>
        <w:t>a</w:t>
      </w:r>
      <w:r w:rsidRPr="00083AA6">
        <w:rPr>
          <w:rFonts w:eastAsia="Calibri"/>
          <w:lang w:eastAsia="es-ES"/>
        </w:rPr>
        <w:t xml:space="preserve"> durante el periodo 20</w:t>
      </w:r>
      <w:r>
        <w:rPr>
          <w:rFonts w:eastAsia="Calibri"/>
          <w:lang w:eastAsia="es-ES"/>
        </w:rPr>
        <w:t>15 a 2017</w:t>
      </w:r>
      <w:r w:rsidRPr="00083AA6">
        <w:rPr>
          <w:rFonts w:eastAsia="Calibri"/>
          <w:lang w:eastAsia="es-ES"/>
        </w:rPr>
        <w:t xml:space="preserve"> es</w:t>
      </w:r>
      <w:r>
        <w:rPr>
          <w:rFonts w:eastAsia="Calibri"/>
          <w:lang w:eastAsia="es-ES"/>
        </w:rPr>
        <w:t>, básicamente</w:t>
      </w:r>
      <w:r w:rsidRPr="00083AA6">
        <w:rPr>
          <w:rFonts w:eastAsia="Calibri"/>
          <w:lang w:eastAsia="es-ES"/>
        </w:rPr>
        <w:t>, la siguiente:</w:t>
      </w:r>
    </w:p>
    <w:p w:rsidR="00B63BF3" w:rsidRPr="00610E52" w:rsidRDefault="00B63BF3" w:rsidP="0029449C">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160"/>
        <w:ind w:left="0" w:firstLine="289"/>
        <w:rPr>
          <w:rFonts w:cs="Arial"/>
        </w:rPr>
      </w:pPr>
      <w:r w:rsidRPr="00610E52">
        <w:rPr>
          <w:rFonts w:cs="Arial"/>
        </w:rPr>
        <w:t xml:space="preserve">Estatutos sociales </w:t>
      </w:r>
      <w:r>
        <w:rPr>
          <w:rFonts w:cs="Arial"/>
        </w:rPr>
        <w:t>y normativa interna de</w:t>
      </w:r>
      <w:r w:rsidRPr="00610E52">
        <w:rPr>
          <w:rFonts w:cs="Arial"/>
        </w:rPr>
        <w:t xml:space="preserve"> la sociedad pública.</w:t>
      </w:r>
    </w:p>
    <w:p w:rsidR="00B63BF3" w:rsidRPr="00610E52" w:rsidRDefault="00B63BF3" w:rsidP="0029449C">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160"/>
        <w:ind w:left="0" w:firstLine="289"/>
        <w:rPr>
          <w:rFonts w:cs="Arial"/>
        </w:rPr>
      </w:pPr>
      <w:r w:rsidRPr="00610E52">
        <w:rPr>
          <w:rFonts w:cs="Arial"/>
        </w:rPr>
        <w:t>Ley Foral 1/1984, de 2 de enero, sobre creación de la Sociedad de Desarr</w:t>
      </w:r>
      <w:r w:rsidRPr="00610E52">
        <w:rPr>
          <w:rFonts w:cs="Arial"/>
        </w:rPr>
        <w:t>o</w:t>
      </w:r>
      <w:r w:rsidRPr="00610E52">
        <w:rPr>
          <w:rFonts w:cs="Arial"/>
        </w:rPr>
        <w:t>llo de Navarra, SA.</w:t>
      </w:r>
    </w:p>
    <w:p w:rsidR="00B63BF3" w:rsidRPr="00610E52" w:rsidRDefault="00B63BF3" w:rsidP="0029449C">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160"/>
        <w:ind w:left="0" w:firstLine="289"/>
        <w:rPr>
          <w:rFonts w:cs="Arial"/>
        </w:rPr>
      </w:pPr>
      <w:r w:rsidRPr="00610E52">
        <w:rPr>
          <w:rFonts w:cs="Arial"/>
        </w:rPr>
        <w:t xml:space="preserve">Decreto Foral 68/1984 de constitución de </w:t>
      </w:r>
      <w:r>
        <w:rPr>
          <w:rFonts w:cs="Arial"/>
        </w:rPr>
        <w:t>Sodena</w:t>
      </w:r>
      <w:r w:rsidRPr="00610E52">
        <w:rPr>
          <w:rFonts w:cs="Arial"/>
        </w:rPr>
        <w:t>, SA, modificado por D</w:t>
      </w:r>
      <w:r w:rsidRPr="00610E52">
        <w:rPr>
          <w:rFonts w:cs="Arial"/>
        </w:rPr>
        <w:t>e</w:t>
      </w:r>
      <w:r w:rsidRPr="00610E52">
        <w:rPr>
          <w:rFonts w:cs="Arial"/>
        </w:rPr>
        <w:t>creto Foral 109/1984.</w:t>
      </w:r>
    </w:p>
    <w:p w:rsidR="00B63BF3" w:rsidRDefault="00B63BF3" w:rsidP="0029449C">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160"/>
        <w:ind w:left="0" w:firstLine="289"/>
        <w:rPr>
          <w:rFonts w:cs="Arial"/>
        </w:rPr>
      </w:pPr>
      <w:r>
        <w:rPr>
          <w:rFonts w:cs="Arial"/>
        </w:rPr>
        <w:t>Ley Foral 13/2007, de 4 de abril, de la Hacienda Pública de Navarra.</w:t>
      </w:r>
    </w:p>
    <w:p w:rsidR="00B63BF3" w:rsidRPr="00610E52" w:rsidRDefault="00B63BF3" w:rsidP="0029449C">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160"/>
        <w:ind w:left="0" w:firstLine="289"/>
        <w:rPr>
          <w:rFonts w:cs="Arial"/>
        </w:rPr>
      </w:pPr>
      <w:r w:rsidRPr="00610E52">
        <w:rPr>
          <w:rFonts w:cs="Arial"/>
        </w:rPr>
        <w:t>Real Decreto Legislativo 1/2010, de 2 de julio, por el que se aprueba el texto refundido de la Ley de Sociedades de Capital.</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240"/>
        <w:ind w:left="0" w:firstLine="289"/>
        <w:rPr>
          <w:rFonts w:cs="Arial"/>
        </w:rPr>
      </w:pPr>
      <w:r w:rsidRPr="00610E52">
        <w:rPr>
          <w:rFonts w:cs="Arial"/>
        </w:rPr>
        <w:t xml:space="preserve">Ley Foral 8/2009, de 18 de junio, de creación de la sociedad Corporación Pública Empresarial de Navarra, </w:t>
      </w:r>
      <w:r>
        <w:rPr>
          <w:rFonts w:cs="Arial"/>
        </w:rPr>
        <w:t>SL</w:t>
      </w:r>
      <w:r w:rsidRPr="00610E52">
        <w:rPr>
          <w:rFonts w:cs="Arial"/>
        </w:rPr>
        <w:t>U.</w:t>
      </w:r>
    </w:p>
    <w:p w:rsidR="00621A26" w:rsidRPr="00E72935" w:rsidRDefault="00621A26" w:rsidP="00621A26">
      <w:pPr>
        <w:pStyle w:val="atitulo2"/>
        <w:spacing w:before="240"/>
      </w:pPr>
      <w:bookmarkStart w:id="15" w:name="_Toc483307002"/>
      <w:r w:rsidRPr="00806F00">
        <w:t>II.</w:t>
      </w:r>
      <w:r>
        <w:t>2</w:t>
      </w:r>
      <w:r w:rsidRPr="00806F00">
        <w:t xml:space="preserve">. </w:t>
      </w:r>
      <w:r>
        <w:t xml:space="preserve">Sociedad Davalor Salud, </w:t>
      </w:r>
      <w:r w:rsidR="00DA2388">
        <w:t>SL</w:t>
      </w:r>
      <w:bookmarkEnd w:id="13"/>
      <w:bookmarkEnd w:id="15"/>
    </w:p>
    <w:p w:rsidR="00B63BF3" w:rsidRPr="003E68EF" w:rsidRDefault="00B63BF3" w:rsidP="00B63BF3">
      <w:pPr>
        <w:pStyle w:val="texto"/>
        <w:tabs>
          <w:tab w:val="num" w:pos="284"/>
          <w:tab w:val="num" w:pos="720"/>
        </w:tabs>
        <w:rPr>
          <w:spacing w:val="4"/>
          <w:szCs w:val="26"/>
          <w:lang w:val="es-ES" w:eastAsia="es-ES"/>
        </w:rPr>
      </w:pPr>
      <w:bookmarkStart w:id="16" w:name="_Toc480357321"/>
      <w:r w:rsidRPr="0029449C">
        <w:rPr>
          <w:szCs w:val="26"/>
          <w:lang w:val="es-ES" w:eastAsia="es-ES"/>
        </w:rPr>
        <w:t>Con carácter previo, conviene precisar que la información que se transcribe a continuación está extraída fundamentalmente de la página web de la sociedad Davalor Salud, de la documentación aportada por la sociedad Sodena y el G</w:t>
      </w:r>
      <w:r w:rsidRPr="0029449C">
        <w:rPr>
          <w:szCs w:val="26"/>
          <w:lang w:val="es-ES" w:eastAsia="es-ES"/>
        </w:rPr>
        <w:t>o</w:t>
      </w:r>
      <w:r w:rsidRPr="0029449C">
        <w:rPr>
          <w:szCs w:val="26"/>
          <w:lang w:val="es-ES" w:eastAsia="es-ES"/>
        </w:rPr>
        <w:t>bierno de Navarra y de las comparecencias parlamentarias de los responsables de Sodena. Parte de esta información ha sido previamente difundida y/o publ</w:t>
      </w:r>
      <w:r w:rsidRPr="0029449C">
        <w:rPr>
          <w:szCs w:val="26"/>
          <w:lang w:val="es-ES" w:eastAsia="es-ES"/>
        </w:rPr>
        <w:t>i</w:t>
      </w:r>
      <w:r w:rsidRPr="0029449C">
        <w:rPr>
          <w:szCs w:val="26"/>
          <w:lang w:val="es-ES" w:eastAsia="es-ES"/>
        </w:rPr>
        <w:t>cada</w:t>
      </w:r>
      <w:r w:rsidRPr="003E68EF">
        <w:rPr>
          <w:spacing w:val="4"/>
          <w:szCs w:val="26"/>
          <w:lang w:val="es-ES" w:eastAsia="es-ES"/>
        </w:rPr>
        <w:t>.</w:t>
      </w:r>
    </w:p>
    <w:p w:rsidR="00B63BF3" w:rsidRPr="003E68EF" w:rsidRDefault="00B63BF3" w:rsidP="00B63BF3">
      <w:pPr>
        <w:pStyle w:val="texto"/>
        <w:tabs>
          <w:tab w:val="num" w:pos="284"/>
          <w:tab w:val="num" w:pos="720"/>
        </w:tabs>
        <w:rPr>
          <w:spacing w:val="0"/>
          <w:szCs w:val="26"/>
          <w:lang w:val="es-ES" w:eastAsia="es-ES"/>
        </w:rPr>
      </w:pPr>
      <w:r w:rsidRPr="003E68EF">
        <w:rPr>
          <w:spacing w:val="0"/>
          <w:szCs w:val="26"/>
          <w:lang w:val="es-ES" w:eastAsia="es-ES"/>
        </w:rPr>
        <w:t>La sociedad Davalor Salud SL se constituye en enero de 2011 con un capital s</w:t>
      </w:r>
      <w:r w:rsidRPr="003E68EF">
        <w:rPr>
          <w:spacing w:val="0"/>
          <w:szCs w:val="26"/>
          <w:lang w:val="es-ES" w:eastAsia="es-ES"/>
        </w:rPr>
        <w:t>o</w:t>
      </w:r>
      <w:r w:rsidRPr="003E68EF">
        <w:rPr>
          <w:spacing w:val="0"/>
          <w:szCs w:val="26"/>
          <w:lang w:val="es-ES" w:eastAsia="es-ES"/>
        </w:rPr>
        <w:t xml:space="preserve">cial de 3.000 euros, con domicilio social actual en </w:t>
      </w:r>
      <w:proofErr w:type="spellStart"/>
      <w:r w:rsidRPr="003E68EF">
        <w:rPr>
          <w:spacing w:val="0"/>
          <w:szCs w:val="26"/>
          <w:lang w:val="es-ES" w:eastAsia="es-ES"/>
        </w:rPr>
        <w:t>Tajonar</w:t>
      </w:r>
      <w:proofErr w:type="spellEnd"/>
      <w:r w:rsidRPr="003E68EF">
        <w:rPr>
          <w:spacing w:val="0"/>
          <w:szCs w:val="26"/>
          <w:lang w:val="es-ES" w:eastAsia="es-ES"/>
        </w:rPr>
        <w:t>-Aranguren (Navarra).</w:t>
      </w:r>
    </w:p>
    <w:p w:rsidR="00B63BF3" w:rsidRDefault="00B63BF3" w:rsidP="00B63BF3">
      <w:pPr>
        <w:pStyle w:val="texto"/>
        <w:tabs>
          <w:tab w:val="num" w:pos="284"/>
          <w:tab w:val="num" w:pos="720"/>
        </w:tabs>
        <w:rPr>
          <w:szCs w:val="26"/>
          <w:lang w:val="es-ES" w:eastAsia="es-ES"/>
        </w:rPr>
      </w:pPr>
      <w:r>
        <w:rPr>
          <w:szCs w:val="26"/>
          <w:lang w:val="es-ES" w:eastAsia="es-ES"/>
        </w:rPr>
        <w:t>Su objeto social lo constituye:</w:t>
      </w:r>
    </w:p>
    <w:p w:rsidR="00B63BF3" w:rsidRPr="003410EB" w:rsidRDefault="00B63BF3" w:rsidP="00B63BF3">
      <w:pPr>
        <w:pStyle w:val="texto"/>
        <w:tabs>
          <w:tab w:val="num" w:pos="284"/>
          <w:tab w:val="num" w:pos="720"/>
        </w:tabs>
        <w:rPr>
          <w:sz w:val="22"/>
          <w:szCs w:val="22"/>
          <w:lang w:val="es-ES" w:eastAsia="es-ES"/>
        </w:rPr>
      </w:pPr>
      <w:r>
        <w:rPr>
          <w:szCs w:val="26"/>
          <w:lang w:val="es-ES" w:eastAsia="es-ES"/>
        </w:rPr>
        <w:t xml:space="preserve"> </w:t>
      </w:r>
      <w:r w:rsidRPr="003410EB">
        <w:rPr>
          <w:sz w:val="22"/>
          <w:szCs w:val="22"/>
          <w:lang w:val="es-ES" w:eastAsia="es-ES"/>
        </w:rPr>
        <w:t>“</w:t>
      </w:r>
      <w:r w:rsidRPr="003410EB">
        <w:rPr>
          <w:i/>
          <w:sz w:val="22"/>
          <w:szCs w:val="22"/>
          <w:lang w:val="es-ES" w:eastAsia="es-ES"/>
        </w:rPr>
        <w:t>el desarrollo, fabricación y/o comercialización de equipos y programas informáticos para la exploración, diagnóstico automático o ayuda al diagnóstico y/o tratamiento en pr</w:t>
      </w:r>
      <w:r w:rsidRPr="003410EB">
        <w:rPr>
          <w:i/>
          <w:sz w:val="22"/>
          <w:szCs w:val="22"/>
          <w:lang w:val="es-ES" w:eastAsia="es-ES"/>
        </w:rPr>
        <w:t>o</w:t>
      </w:r>
      <w:r w:rsidRPr="003410EB">
        <w:rPr>
          <w:i/>
          <w:sz w:val="22"/>
          <w:szCs w:val="22"/>
          <w:lang w:val="es-ES" w:eastAsia="es-ES"/>
        </w:rPr>
        <w:t>blemas de salud humana. Compra, alquiler y venta, incluyendo el uso de franquicias, de equipos para la exploración, diagnóstico AU</w:t>
      </w:r>
      <w:r w:rsidRPr="003410EB">
        <w:rPr>
          <w:sz w:val="22"/>
          <w:szCs w:val="22"/>
          <w:lang w:val="es-ES" w:eastAsia="es-ES"/>
        </w:rPr>
        <w:t>”.</w:t>
      </w:r>
    </w:p>
    <w:p w:rsidR="00B63BF3" w:rsidRPr="0029449C" w:rsidRDefault="00B63BF3" w:rsidP="00B63BF3">
      <w:pPr>
        <w:pStyle w:val="texto"/>
        <w:tabs>
          <w:tab w:val="num" w:pos="284"/>
          <w:tab w:val="num" w:pos="720"/>
        </w:tabs>
        <w:rPr>
          <w:spacing w:val="2"/>
          <w:szCs w:val="26"/>
          <w:lang w:val="es-ES" w:eastAsia="es-ES"/>
        </w:rPr>
      </w:pPr>
      <w:r w:rsidRPr="0029449C">
        <w:rPr>
          <w:spacing w:val="2"/>
          <w:szCs w:val="26"/>
          <w:lang w:val="es-ES" w:eastAsia="es-ES"/>
        </w:rPr>
        <w:lastRenderedPageBreak/>
        <w:t>Concretando, es una sociedad de desarrollo de programas y sistemas informát</w:t>
      </w:r>
      <w:r w:rsidRPr="0029449C">
        <w:rPr>
          <w:spacing w:val="2"/>
          <w:szCs w:val="26"/>
          <w:lang w:val="es-ES" w:eastAsia="es-ES"/>
        </w:rPr>
        <w:t>i</w:t>
      </w:r>
      <w:r w:rsidRPr="0029449C">
        <w:rPr>
          <w:spacing w:val="2"/>
          <w:szCs w:val="26"/>
          <w:lang w:val="es-ES" w:eastAsia="es-ES"/>
        </w:rPr>
        <w:t>cos, en especial para la exploración, diagnóstico y tratamiento de la función v</w:t>
      </w:r>
      <w:r w:rsidRPr="0029449C">
        <w:rPr>
          <w:spacing w:val="2"/>
          <w:szCs w:val="26"/>
          <w:lang w:val="es-ES" w:eastAsia="es-ES"/>
        </w:rPr>
        <w:t>i</w:t>
      </w:r>
      <w:r w:rsidRPr="0029449C">
        <w:rPr>
          <w:spacing w:val="2"/>
          <w:szCs w:val="26"/>
          <w:lang w:val="es-ES" w:eastAsia="es-ES"/>
        </w:rPr>
        <w:t>sual.</w:t>
      </w:r>
      <w:r w:rsidR="00483647" w:rsidRPr="0029449C">
        <w:rPr>
          <w:spacing w:val="2"/>
          <w:szCs w:val="26"/>
          <w:lang w:val="es-ES" w:eastAsia="es-ES"/>
        </w:rPr>
        <w:t xml:space="preserve"> Asimismo, desarrolla productos </w:t>
      </w:r>
      <w:proofErr w:type="spellStart"/>
      <w:r w:rsidR="00483647" w:rsidRPr="0029449C">
        <w:rPr>
          <w:spacing w:val="2"/>
          <w:szCs w:val="26"/>
          <w:lang w:val="es-ES" w:eastAsia="es-ES"/>
        </w:rPr>
        <w:t>optomecatrónicos</w:t>
      </w:r>
      <w:proofErr w:type="spellEnd"/>
      <w:r w:rsidR="00483647" w:rsidRPr="0029449C">
        <w:rPr>
          <w:spacing w:val="2"/>
          <w:szCs w:val="26"/>
          <w:lang w:val="es-ES" w:eastAsia="es-ES"/>
        </w:rPr>
        <w:t xml:space="preserve"> de alta tecnología</w:t>
      </w:r>
      <w:r w:rsidR="00483647" w:rsidRPr="0029449C">
        <w:rPr>
          <w:rStyle w:val="Refdenotaalpie"/>
          <w:spacing w:val="2"/>
          <w:szCs w:val="26"/>
          <w:lang w:val="es-ES" w:eastAsia="es-ES"/>
        </w:rPr>
        <w:footnoteReference w:id="3"/>
      </w:r>
      <w:r w:rsidR="00483647" w:rsidRPr="0029449C">
        <w:rPr>
          <w:spacing w:val="2"/>
          <w:szCs w:val="26"/>
          <w:lang w:val="es-ES" w:eastAsia="es-ES"/>
        </w:rPr>
        <w:t>.</w:t>
      </w:r>
    </w:p>
    <w:p w:rsidR="00B63BF3" w:rsidRDefault="00B63BF3" w:rsidP="00B63BF3">
      <w:pPr>
        <w:pStyle w:val="texto"/>
        <w:tabs>
          <w:tab w:val="num" w:pos="284"/>
          <w:tab w:val="num" w:pos="720"/>
        </w:tabs>
        <w:rPr>
          <w:szCs w:val="26"/>
          <w:lang w:val="es-ES" w:eastAsia="es-ES"/>
        </w:rPr>
      </w:pPr>
      <w:r w:rsidRPr="009A1324">
        <w:rPr>
          <w:szCs w:val="26"/>
          <w:lang w:val="es-ES" w:eastAsia="es-ES"/>
        </w:rPr>
        <w:t xml:space="preserve">La </w:t>
      </w:r>
      <w:r>
        <w:rPr>
          <w:szCs w:val="26"/>
          <w:lang w:val="es-ES" w:eastAsia="es-ES"/>
        </w:rPr>
        <w:t>f</w:t>
      </w:r>
      <w:r w:rsidRPr="009A1324">
        <w:rPr>
          <w:szCs w:val="26"/>
          <w:lang w:val="es-ES" w:eastAsia="es-ES"/>
        </w:rPr>
        <w:t xml:space="preserve">unción </w:t>
      </w:r>
      <w:r>
        <w:rPr>
          <w:szCs w:val="26"/>
          <w:lang w:val="es-ES" w:eastAsia="es-ES"/>
        </w:rPr>
        <w:t>v</w:t>
      </w:r>
      <w:r w:rsidRPr="009A1324">
        <w:rPr>
          <w:szCs w:val="26"/>
          <w:lang w:val="es-ES" w:eastAsia="es-ES"/>
        </w:rPr>
        <w:t>isual permite al cerebro interpretar la informa</w:t>
      </w:r>
      <w:r>
        <w:rPr>
          <w:szCs w:val="26"/>
          <w:lang w:val="es-ES" w:eastAsia="es-ES"/>
        </w:rPr>
        <w:t>ción que llega de los ojos</w:t>
      </w:r>
      <w:r w:rsidRPr="009A1324">
        <w:rPr>
          <w:szCs w:val="26"/>
          <w:lang w:val="es-ES" w:eastAsia="es-ES"/>
        </w:rPr>
        <w:t>, comprender su significado y tomar decisiones, incluyendo las decisi</w:t>
      </w:r>
      <w:r w:rsidRPr="009A1324">
        <w:rPr>
          <w:szCs w:val="26"/>
          <w:lang w:val="es-ES" w:eastAsia="es-ES"/>
        </w:rPr>
        <w:t>o</w:t>
      </w:r>
      <w:r w:rsidRPr="009A1324">
        <w:rPr>
          <w:szCs w:val="26"/>
          <w:lang w:val="es-ES" w:eastAsia="es-ES"/>
        </w:rPr>
        <w:t xml:space="preserve">nes motoras que optimizan el funcionamiento del sistema ocular. La mayoría del aprendizaje a cualquier edad, tanto mediante lectura, como por emulación, depende de la función visual o la visión. </w:t>
      </w:r>
    </w:p>
    <w:p w:rsidR="00B63BF3" w:rsidRPr="009A1324" w:rsidRDefault="00B63BF3" w:rsidP="00B63BF3">
      <w:pPr>
        <w:pStyle w:val="texto"/>
        <w:tabs>
          <w:tab w:val="num" w:pos="284"/>
          <w:tab w:val="num" w:pos="720"/>
        </w:tabs>
        <w:rPr>
          <w:szCs w:val="26"/>
          <w:lang w:val="es-ES" w:eastAsia="es-ES"/>
        </w:rPr>
      </w:pPr>
      <w:r w:rsidRPr="009A1324">
        <w:rPr>
          <w:szCs w:val="26"/>
          <w:lang w:val="es-ES" w:eastAsia="es-ES"/>
        </w:rPr>
        <w:t>La función visual se refiere no solo a las deficiencias de visión –refracción, es decir problemas en el ojo: como miopía, hipermetropía, astigmatismo, que son habitualmente tratados con lentes o procedimientos quirúrgicos</w:t>
      </w:r>
      <w:r>
        <w:rPr>
          <w:szCs w:val="26"/>
          <w:lang w:val="es-ES" w:eastAsia="es-ES"/>
        </w:rPr>
        <w:t>–</w:t>
      </w:r>
      <w:r w:rsidRPr="009A1324">
        <w:rPr>
          <w:szCs w:val="26"/>
          <w:lang w:val="es-ES" w:eastAsia="es-ES"/>
        </w:rPr>
        <w:t>, sino</w:t>
      </w:r>
      <w:r>
        <w:rPr>
          <w:szCs w:val="26"/>
          <w:lang w:val="es-ES" w:eastAsia="es-ES"/>
        </w:rPr>
        <w:t xml:space="preserve"> ta</w:t>
      </w:r>
      <w:r>
        <w:rPr>
          <w:szCs w:val="26"/>
          <w:lang w:val="es-ES" w:eastAsia="es-ES"/>
        </w:rPr>
        <w:t>m</w:t>
      </w:r>
      <w:r>
        <w:rPr>
          <w:szCs w:val="26"/>
          <w:lang w:val="es-ES" w:eastAsia="es-ES"/>
        </w:rPr>
        <w:t>bién</w:t>
      </w:r>
      <w:r w:rsidRPr="009A1324">
        <w:rPr>
          <w:szCs w:val="26"/>
          <w:lang w:val="es-ES" w:eastAsia="es-ES"/>
        </w:rPr>
        <w:t xml:space="preserve"> a problemas tales como: </w:t>
      </w:r>
    </w:p>
    <w:p w:rsidR="00B63BF3" w:rsidRPr="009A132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9A1324">
        <w:rPr>
          <w:rFonts w:cs="Arial"/>
        </w:rPr>
        <w:t xml:space="preserve">Agudeza visual </w:t>
      </w:r>
    </w:p>
    <w:p w:rsidR="00B63BF3" w:rsidRPr="009A132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9A1324">
        <w:rPr>
          <w:rFonts w:cs="Arial"/>
        </w:rPr>
        <w:t xml:space="preserve">Acomodación y enfoque </w:t>
      </w:r>
    </w:p>
    <w:p w:rsidR="00B63BF3" w:rsidRPr="009A132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proofErr w:type="spellStart"/>
      <w:r w:rsidRPr="009A1324">
        <w:rPr>
          <w:rFonts w:cs="Arial"/>
        </w:rPr>
        <w:t>Binocularidad</w:t>
      </w:r>
      <w:proofErr w:type="spellEnd"/>
      <w:r w:rsidRPr="009A1324">
        <w:rPr>
          <w:rFonts w:cs="Arial"/>
        </w:rPr>
        <w:t>, profundidad</w:t>
      </w:r>
      <w:r>
        <w:rPr>
          <w:rFonts w:cs="Arial"/>
        </w:rPr>
        <w:t xml:space="preserve"> y</w:t>
      </w:r>
      <w:r w:rsidRPr="009A1324">
        <w:rPr>
          <w:rFonts w:cs="Arial"/>
        </w:rPr>
        <w:t xml:space="preserve"> relieve </w:t>
      </w:r>
    </w:p>
    <w:p w:rsidR="00B63BF3" w:rsidRPr="009A132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9A1324">
        <w:rPr>
          <w:rFonts w:cs="Arial"/>
        </w:rPr>
        <w:t xml:space="preserve">Lateralidad </w:t>
      </w:r>
    </w:p>
    <w:p w:rsidR="00B63BF3" w:rsidRPr="009A132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9A1324">
        <w:rPr>
          <w:rFonts w:cs="Arial"/>
        </w:rPr>
        <w:t xml:space="preserve">Campo de visión, </w:t>
      </w:r>
      <w:r>
        <w:rPr>
          <w:rFonts w:cs="Arial"/>
        </w:rPr>
        <w:t>e</w:t>
      </w:r>
      <w:r w:rsidRPr="009A1324">
        <w:rPr>
          <w:rFonts w:cs="Arial"/>
        </w:rPr>
        <w:t>tc</w:t>
      </w:r>
      <w:r>
        <w:rPr>
          <w:rFonts w:cs="Arial"/>
        </w:rPr>
        <w:t>.</w:t>
      </w:r>
      <w:r w:rsidRPr="009A1324">
        <w:rPr>
          <w:rFonts w:cs="Arial"/>
        </w:rPr>
        <w:t xml:space="preserve"> </w:t>
      </w:r>
    </w:p>
    <w:p w:rsidR="00B63BF3" w:rsidRDefault="00B63BF3" w:rsidP="00B63BF3">
      <w:pPr>
        <w:pStyle w:val="texto"/>
        <w:tabs>
          <w:tab w:val="num" w:pos="284"/>
          <w:tab w:val="num" w:pos="720"/>
        </w:tabs>
        <w:rPr>
          <w:szCs w:val="26"/>
          <w:lang w:val="es-ES" w:eastAsia="es-ES"/>
        </w:rPr>
      </w:pPr>
      <w:r>
        <w:rPr>
          <w:szCs w:val="26"/>
          <w:lang w:val="es-ES" w:eastAsia="es-ES"/>
        </w:rPr>
        <w:t>Se parte del hecho de:</w:t>
      </w:r>
    </w:p>
    <w:p w:rsidR="00B63BF3" w:rsidRDefault="00B63BF3" w:rsidP="00B63BF3">
      <w:pPr>
        <w:pStyle w:val="texto"/>
        <w:tabs>
          <w:tab w:val="num" w:pos="284"/>
          <w:tab w:val="num" w:pos="720"/>
        </w:tabs>
        <w:rPr>
          <w:szCs w:val="26"/>
          <w:lang w:val="es-ES" w:eastAsia="es-ES"/>
        </w:rPr>
      </w:pPr>
      <w:r w:rsidRPr="003410EB">
        <w:rPr>
          <w:sz w:val="22"/>
          <w:szCs w:val="22"/>
          <w:lang w:val="es-ES" w:eastAsia="es-ES"/>
        </w:rPr>
        <w:t>“</w:t>
      </w:r>
      <w:r w:rsidRPr="003410EB">
        <w:rPr>
          <w:i/>
          <w:sz w:val="22"/>
          <w:szCs w:val="22"/>
          <w:lang w:val="es-ES" w:eastAsia="es-ES"/>
        </w:rPr>
        <w:t>que el 50 por ciento de la población sufre algún tipo de disfunción visual, siendo lim</w:t>
      </w:r>
      <w:r w:rsidRPr="003410EB">
        <w:rPr>
          <w:i/>
          <w:sz w:val="22"/>
          <w:szCs w:val="22"/>
          <w:lang w:val="es-ES" w:eastAsia="es-ES"/>
        </w:rPr>
        <w:t>i</w:t>
      </w:r>
      <w:r w:rsidRPr="003410EB">
        <w:rPr>
          <w:i/>
          <w:sz w:val="22"/>
          <w:szCs w:val="22"/>
          <w:lang w:val="es-ES" w:eastAsia="es-ES"/>
        </w:rPr>
        <w:t>tante de su desarrollo personal y profesional para el 10 por ciento de la misma y que los servicios actualmente ofrecidos en el mercado no alcanzan el dos por ciento de la demanda potencial”</w:t>
      </w:r>
      <w:r w:rsidRPr="003410EB">
        <w:rPr>
          <w:sz w:val="22"/>
          <w:szCs w:val="22"/>
          <w:lang w:val="es-ES" w:eastAsia="es-ES"/>
        </w:rPr>
        <w:t>.</w:t>
      </w:r>
    </w:p>
    <w:p w:rsidR="00B63BF3" w:rsidRDefault="00B63BF3" w:rsidP="00B63BF3">
      <w:pPr>
        <w:pStyle w:val="texto"/>
        <w:tabs>
          <w:tab w:val="num" w:pos="284"/>
          <w:tab w:val="num" w:pos="720"/>
        </w:tabs>
        <w:rPr>
          <w:szCs w:val="26"/>
          <w:lang w:val="es-ES" w:eastAsia="es-ES"/>
        </w:rPr>
      </w:pPr>
      <w:r>
        <w:rPr>
          <w:szCs w:val="26"/>
          <w:lang w:val="es-ES" w:eastAsia="es-ES"/>
        </w:rPr>
        <w:t>Para tal actividad, desarrolla el proyecto VISIÓN:</w:t>
      </w:r>
    </w:p>
    <w:p w:rsidR="00B63BF3" w:rsidRDefault="00B63BF3" w:rsidP="00B63BF3">
      <w:pPr>
        <w:pStyle w:val="texto"/>
        <w:tabs>
          <w:tab w:val="num" w:pos="284"/>
          <w:tab w:val="num" w:pos="720"/>
        </w:tabs>
        <w:rPr>
          <w:szCs w:val="26"/>
          <w:lang w:val="es-ES" w:eastAsia="es-ES"/>
        </w:rPr>
      </w:pPr>
      <w:r w:rsidRPr="003410EB">
        <w:rPr>
          <w:sz w:val="22"/>
          <w:szCs w:val="22"/>
          <w:lang w:val="es-ES" w:eastAsia="es-ES"/>
        </w:rPr>
        <w:t>“</w:t>
      </w:r>
      <w:r w:rsidRPr="003410EB">
        <w:rPr>
          <w:i/>
          <w:sz w:val="22"/>
          <w:szCs w:val="22"/>
          <w:lang w:val="es-ES" w:eastAsia="es-ES"/>
        </w:rPr>
        <w:t>Un servicio que se dirige al 100 por cien de la población, con unas características abs</w:t>
      </w:r>
      <w:r w:rsidRPr="003410EB">
        <w:rPr>
          <w:i/>
          <w:sz w:val="22"/>
          <w:szCs w:val="22"/>
          <w:lang w:val="es-ES" w:eastAsia="es-ES"/>
        </w:rPr>
        <w:t>o</w:t>
      </w:r>
      <w:r w:rsidRPr="003410EB">
        <w:rPr>
          <w:i/>
          <w:sz w:val="22"/>
          <w:szCs w:val="22"/>
          <w:lang w:val="es-ES" w:eastAsia="es-ES"/>
        </w:rPr>
        <w:t>lutamente innovadoras respecto a los servicios de optometría que se ofrecían hasta ahora; una tecnología avanzada y única, avalada por sus patentes; el soporte clínico remoto y el seguimiento del paciente, y la oferta de servicios recurrentes, así como el innovador modelo de negocio hacen del proyecto Visión una buena oportunidad para cualquier inversor</w:t>
      </w:r>
      <w:r w:rsidRPr="003410EB">
        <w:rPr>
          <w:sz w:val="22"/>
          <w:szCs w:val="22"/>
          <w:lang w:val="es-ES" w:eastAsia="es-ES"/>
        </w:rPr>
        <w:t>”.</w:t>
      </w:r>
      <w:r>
        <w:rPr>
          <w:szCs w:val="26"/>
          <w:lang w:val="es-ES" w:eastAsia="es-ES"/>
        </w:rPr>
        <w:t xml:space="preserve"> </w:t>
      </w:r>
    </w:p>
    <w:p w:rsidR="00B63BF3" w:rsidRDefault="00B63BF3" w:rsidP="00B63BF3">
      <w:pPr>
        <w:pStyle w:val="texto"/>
        <w:tabs>
          <w:tab w:val="num" w:pos="284"/>
          <w:tab w:val="num" w:pos="720"/>
        </w:tabs>
        <w:rPr>
          <w:szCs w:val="26"/>
          <w:lang w:val="es-ES" w:eastAsia="es-ES"/>
        </w:rPr>
      </w:pPr>
      <w:r>
        <w:rPr>
          <w:szCs w:val="26"/>
          <w:lang w:val="es-ES" w:eastAsia="es-ES"/>
        </w:rPr>
        <w:t>En definitiva, este proyecto propone facilitar y mejorar la salud visual entre la población, a un precio asequible y mediante la colaboración de las ópticas.</w:t>
      </w:r>
    </w:p>
    <w:p w:rsidR="00B63BF3" w:rsidRDefault="00B63BF3" w:rsidP="00B63BF3">
      <w:pPr>
        <w:pStyle w:val="texto"/>
        <w:tabs>
          <w:tab w:val="num" w:pos="284"/>
          <w:tab w:val="num" w:pos="720"/>
        </w:tabs>
        <w:rPr>
          <w:szCs w:val="26"/>
          <w:lang w:val="es-ES" w:eastAsia="es-ES"/>
        </w:rPr>
      </w:pPr>
      <w:r>
        <w:rPr>
          <w:szCs w:val="26"/>
          <w:lang w:val="es-ES" w:eastAsia="es-ES"/>
        </w:rPr>
        <w:t>Para la implantación de este proyecto, Davalor ha creado un sistema aut</w:t>
      </w:r>
      <w:r>
        <w:rPr>
          <w:szCs w:val="26"/>
          <w:lang w:val="es-ES" w:eastAsia="es-ES"/>
        </w:rPr>
        <w:t>ó</w:t>
      </w:r>
      <w:r>
        <w:rPr>
          <w:szCs w:val="26"/>
          <w:lang w:val="es-ES" w:eastAsia="es-ES"/>
        </w:rPr>
        <w:t xml:space="preserve">nomo y automático para la medición precisa y objetiva de la mayor parte de los parámetros visuales mientras el paciente juega un videojuego en 3D real. Es la denominada “Evaluador de la Visión Automatizado” </w:t>
      </w:r>
      <w:r w:rsidRPr="00601F54">
        <w:rPr>
          <w:szCs w:val="26"/>
          <w:lang w:val="es-ES" w:eastAsia="es-ES"/>
        </w:rPr>
        <w:t>(EVA),</w:t>
      </w:r>
      <w:r>
        <w:rPr>
          <w:szCs w:val="26"/>
          <w:lang w:val="es-ES" w:eastAsia="es-ES"/>
        </w:rPr>
        <w:t xml:space="preserve"> máquina que</w:t>
      </w:r>
      <w:r w:rsidRPr="0093687B">
        <w:rPr>
          <w:szCs w:val="26"/>
          <w:lang w:val="es-ES" w:eastAsia="es-ES"/>
        </w:rPr>
        <w:t xml:space="preserve"> </w:t>
      </w:r>
      <w:r>
        <w:rPr>
          <w:szCs w:val="26"/>
          <w:lang w:val="es-ES" w:eastAsia="es-ES"/>
        </w:rPr>
        <w:t xml:space="preserve">mide 2,1 metros de largo y pesa 1.200 kg. </w:t>
      </w:r>
      <w:proofErr w:type="gramStart"/>
      <w:r>
        <w:rPr>
          <w:szCs w:val="26"/>
          <w:lang w:val="es-ES" w:eastAsia="es-ES"/>
        </w:rPr>
        <w:t>y</w:t>
      </w:r>
      <w:proofErr w:type="gramEnd"/>
      <w:r>
        <w:rPr>
          <w:szCs w:val="26"/>
          <w:lang w:val="es-ES" w:eastAsia="es-ES"/>
        </w:rPr>
        <w:t xml:space="preserve"> que incluye en torno a 3.000 compone</w:t>
      </w:r>
      <w:r>
        <w:rPr>
          <w:szCs w:val="26"/>
          <w:lang w:val="es-ES" w:eastAsia="es-ES"/>
        </w:rPr>
        <w:t>n</w:t>
      </w:r>
      <w:r>
        <w:rPr>
          <w:szCs w:val="26"/>
          <w:lang w:val="es-ES" w:eastAsia="es-ES"/>
        </w:rPr>
        <w:t xml:space="preserve">tes (cuatro ordenadores, 24 motores, 100 sensores, etc.). Cada Eva incorpora: </w:t>
      </w:r>
      <w:r>
        <w:rPr>
          <w:szCs w:val="26"/>
          <w:lang w:val="es-ES" w:eastAsia="es-ES"/>
        </w:rPr>
        <w:lastRenderedPageBreak/>
        <w:t>un asiento, un ca</w:t>
      </w:r>
      <w:r w:rsidR="00695DB2">
        <w:rPr>
          <w:szCs w:val="26"/>
          <w:lang w:val="es-ES" w:eastAsia="es-ES"/>
        </w:rPr>
        <w:t>bezal</w:t>
      </w:r>
      <w:r w:rsidR="00A527FD">
        <w:rPr>
          <w:rStyle w:val="Refdenotaalpie"/>
          <w:szCs w:val="26"/>
          <w:lang w:val="es-ES" w:eastAsia="es-ES"/>
        </w:rPr>
        <w:footnoteReference w:id="4"/>
      </w:r>
      <w:r w:rsidR="00695DB2">
        <w:rPr>
          <w:szCs w:val="26"/>
          <w:lang w:val="es-ES" w:eastAsia="es-ES"/>
        </w:rPr>
        <w:t xml:space="preserve"> </w:t>
      </w:r>
      <w:r>
        <w:rPr>
          <w:szCs w:val="26"/>
          <w:lang w:val="es-ES" w:eastAsia="es-ES"/>
        </w:rPr>
        <w:t>y el resto de elementos internos y los módulos ópticos</w:t>
      </w:r>
      <w:r w:rsidR="00CA2049">
        <w:rPr>
          <w:szCs w:val="26"/>
          <w:lang w:val="es-ES" w:eastAsia="es-ES"/>
        </w:rPr>
        <w:t>.</w:t>
      </w:r>
      <w:r>
        <w:rPr>
          <w:szCs w:val="26"/>
          <w:lang w:val="es-ES" w:eastAsia="es-ES"/>
        </w:rPr>
        <w:t xml:space="preserve"> (Ver foto)</w:t>
      </w:r>
    </w:p>
    <w:p w:rsidR="00B63BF3" w:rsidRDefault="00B63BF3" w:rsidP="003E68EF">
      <w:pPr>
        <w:pStyle w:val="texto"/>
        <w:tabs>
          <w:tab w:val="num" w:pos="284"/>
          <w:tab w:val="num" w:pos="720"/>
        </w:tabs>
        <w:spacing w:after="0"/>
        <w:rPr>
          <w:szCs w:val="26"/>
          <w:lang w:val="es-ES" w:eastAsia="es-ES"/>
        </w:rPr>
      </w:pPr>
      <w:r>
        <w:rPr>
          <w:noProof/>
          <w:szCs w:val="26"/>
          <w:lang w:val="es-ES" w:eastAsia="es-ES"/>
        </w:rPr>
        <w:drawing>
          <wp:inline distT="0" distB="0" distL="0" distR="0" wp14:anchorId="0CFBBAF7" wp14:editId="30405592">
            <wp:extent cx="5579010" cy="4246684"/>
            <wp:effectExtent l="0" t="0" r="3175"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015" cy="4248210"/>
                    </a:xfrm>
                    <a:prstGeom prst="rect">
                      <a:avLst/>
                    </a:prstGeom>
                    <a:noFill/>
                    <a:ln>
                      <a:noFill/>
                    </a:ln>
                  </pic:spPr>
                </pic:pic>
              </a:graphicData>
            </a:graphic>
          </wp:inline>
        </w:drawing>
      </w:r>
    </w:p>
    <w:p w:rsidR="003E68EF" w:rsidRDefault="003E68EF" w:rsidP="003E68EF">
      <w:pPr>
        <w:pStyle w:val="texto"/>
        <w:tabs>
          <w:tab w:val="num" w:pos="284"/>
          <w:tab w:val="num" w:pos="720"/>
        </w:tabs>
        <w:spacing w:after="0"/>
        <w:rPr>
          <w:szCs w:val="26"/>
          <w:lang w:val="es-ES" w:eastAsia="es-ES"/>
        </w:rPr>
      </w:pPr>
    </w:p>
    <w:p w:rsidR="00B63BF3" w:rsidRDefault="00B63BF3" w:rsidP="003E68EF">
      <w:pPr>
        <w:pStyle w:val="texto"/>
        <w:tabs>
          <w:tab w:val="num" w:pos="284"/>
          <w:tab w:val="num" w:pos="720"/>
        </w:tabs>
        <w:spacing w:before="120"/>
        <w:rPr>
          <w:szCs w:val="26"/>
          <w:lang w:val="es-ES" w:eastAsia="es-ES"/>
        </w:rPr>
      </w:pPr>
      <w:r>
        <w:rPr>
          <w:szCs w:val="26"/>
          <w:lang w:val="es-ES" w:eastAsia="es-ES"/>
        </w:rPr>
        <w:t>Esas máquinas se fabrican, en subcontratación, en JOFEMAR (Peralta, N</w:t>
      </w:r>
      <w:r>
        <w:rPr>
          <w:szCs w:val="26"/>
          <w:lang w:val="es-ES" w:eastAsia="es-ES"/>
        </w:rPr>
        <w:t>a</w:t>
      </w:r>
      <w:r>
        <w:rPr>
          <w:szCs w:val="26"/>
          <w:lang w:val="es-ES" w:eastAsia="es-ES"/>
        </w:rPr>
        <w:t xml:space="preserve">varra) con módulos ópticos fabricados en </w:t>
      </w:r>
      <w:proofErr w:type="spellStart"/>
      <w:r>
        <w:rPr>
          <w:szCs w:val="26"/>
          <w:lang w:val="es-ES" w:eastAsia="es-ES"/>
        </w:rPr>
        <w:t>QIOPTIQ</w:t>
      </w:r>
      <w:proofErr w:type="spellEnd"/>
      <w:r>
        <w:rPr>
          <w:szCs w:val="26"/>
          <w:lang w:val="es-ES" w:eastAsia="es-ES"/>
        </w:rPr>
        <w:t xml:space="preserve"> (</w:t>
      </w:r>
      <w:proofErr w:type="spellStart"/>
      <w:r>
        <w:rPr>
          <w:szCs w:val="26"/>
          <w:lang w:val="es-ES" w:eastAsia="es-ES"/>
        </w:rPr>
        <w:t>Munich</w:t>
      </w:r>
      <w:proofErr w:type="spellEnd"/>
      <w:r>
        <w:rPr>
          <w:szCs w:val="26"/>
          <w:lang w:val="es-ES" w:eastAsia="es-ES"/>
        </w:rPr>
        <w:t xml:space="preserve">, Alemania). Cuenta como proveedores tecnológicos tales como la Universidad Politécnica de Catalunya, </w:t>
      </w:r>
      <w:proofErr w:type="spellStart"/>
      <w:r>
        <w:rPr>
          <w:szCs w:val="26"/>
          <w:lang w:val="es-ES" w:eastAsia="es-ES"/>
        </w:rPr>
        <w:t>Tekniker</w:t>
      </w:r>
      <w:proofErr w:type="spellEnd"/>
      <w:r>
        <w:rPr>
          <w:szCs w:val="26"/>
          <w:lang w:val="es-ES" w:eastAsia="es-ES"/>
        </w:rPr>
        <w:t>, Telefónica, Microsoft,… que han apostado por el pr</w:t>
      </w:r>
      <w:r>
        <w:rPr>
          <w:szCs w:val="26"/>
          <w:lang w:val="es-ES" w:eastAsia="es-ES"/>
        </w:rPr>
        <w:t>o</w:t>
      </w:r>
      <w:r>
        <w:rPr>
          <w:szCs w:val="26"/>
          <w:lang w:val="es-ES" w:eastAsia="es-ES"/>
        </w:rPr>
        <w:t xml:space="preserve">yecto. Están implicadas en el mismo más de 60 empresas navarras. </w:t>
      </w:r>
    </w:p>
    <w:p w:rsidR="00B63BF3" w:rsidRDefault="00B63BF3" w:rsidP="00B63BF3">
      <w:pPr>
        <w:pStyle w:val="texto"/>
        <w:tabs>
          <w:tab w:val="num" w:pos="284"/>
          <w:tab w:val="num" w:pos="720"/>
        </w:tabs>
        <w:rPr>
          <w:szCs w:val="26"/>
          <w:lang w:val="es-ES" w:eastAsia="es-ES"/>
        </w:rPr>
      </w:pPr>
      <w:r>
        <w:rPr>
          <w:szCs w:val="26"/>
          <w:lang w:val="es-ES" w:eastAsia="es-ES"/>
        </w:rPr>
        <w:t>Davalor Salud</w:t>
      </w:r>
      <w:r w:rsidRPr="00B47BC3">
        <w:rPr>
          <w:szCs w:val="26"/>
          <w:lang w:val="es-ES" w:eastAsia="es-ES"/>
        </w:rPr>
        <w:t xml:space="preserve"> ha captado en torno a </w:t>
      </w:r>
      <w:r w:rsidRPr="00652901">
        <w:rPr>
          <w:szCs w:val="26"/>
          <w:lang w:val="es-ES" w:eastAsia="es-ES"/>
        </w:rPr>
        <w:t>1</w:t>
      </w:r>
      <w:r w:rsidR="00695DB2">
        <w:rPr>
          <w:szCs w:val="26"/>
          <w:lang w:val="es-ES" w:eastAsia="es-ES"/>
        </w:rPr>
        <w:t>7,7</w:t>
      </w:r>
      <w:r w:rsidRPr="00652901">
        <w:rPr>
          <w:szCs w:val="26"/>
          <w:lang w:val="es-ES" w:eastAsia="es-ES"/>
        </w:rPr>
        <w:t xml:space="preserve"> millones </w:t>
      </w:r>
      <w:r w:rsidRPr="00B47BC3">
        <w:rPr>
          <w:szCs w:val="26"/>
          <w:lang w:val="es-ES" w:eastAsia="es-ES"/>
        </w:rPr>
        <w:t>en modo de inversión c</w:t>
      </w:r>
      <w:r w:rsidRPr="00B47BC3">
        <w:rPr>
          <w:szCs w:val="26"/>
          <w:lang w:val="es-ES" w:eastAsia="es-ES"/>
        </w:rPr>
        <w:t>o</w:t>
      </w:r>
      <w:r w:rsidRPr="00B47BC3">
        <w:rPr>
          <w:szCs w:val="26"/>
          <w:lang w:val="es-ES" w:eastAsia="es-ES"/>
        </w:rPr>
        <w:t>lectiva o “</w:t>
      </w:r>
      <w:proofErr w:type="spellStart"/>
      <w:r w:rsidRPr="00B47BC3">
        <w:rPr>
          <w:szCs w:val="26"/>
          <w:lang w:val="es-ES" w:eastAsia="es-ES"/>
        </w:rPr>
        <w:t>crowdfunding</w:t>
      </w:r>
      <w:proofErr w:type="spellEnd"/>
      <w:r w:rsidRPr="00B47BC3">
        <w:rPr>
          <w:szCs w:val="26"/>
          <w:lang w:val="es-ES" w:eastAsia="es-ES"/>
        </w:rPr>
        <w:t>”</w:t>
      </w:r>
      <w:r w:rsidR="00695DB2">
        <w:rPr>
          <w:rStyle w:val="Refdenotaalpie"/>
          <w:szCs w:val="26"/>
          <w:lang w:val="es-ES" w:eastAsia="es-ES"/>
        </w:rPr>
        <w:footnoteReference w:id="5"/>
      </w:r>
      <w:r w:rsidRPr="00B47BC3">
        <w:rPr>
          <w:szCs w:val="26"/>
          <w:lang w:val="es-ES" w:eastAsia="es-ES"/>
        </w:rPr>
        <w:t xml:space="preserve">, utilizando una plataforma creada para tal función </w:t>
      </w:r>
      <w:r>
        <w:rPr>
          <w:szCs w:val="26"/>
          <w:lang w:val="es-ES" w:eastAsia="es-ES"/>
        </w:rPr>
        <w:t xml:space="preserve">y a través de cuatro </w:t>
      </w:r>
      <w:r w:rsidRPr="00B47BC3">
        <w:rPr>
          <w:szCs w:val="26"/>
          <w:lang w:val="es-ES" w:eastAsia="es-ES"/>
        </w:rPr>
        <w:t>sociedades de tipo patrimonial constituidas al respecto.</w:t>
      </w:r>
      <w:r>
        <w:rPr>
          <w:szCs w:val="26"/>
          <w:lang w:val="es-ES" w:eastAsia="es-ES"/>
        </w:rPr>
        <w:t xml:space="preserve"> H</w:t>
      </w:r>
      <w:r w:rsidRPr="00A375E7">
        <w:rPr>
          <w:szCs w:val="26"/>
          <w:lang w:val="es-ES" w:eastAsia="es-ES"/>
        </w:rPr>
        <w:t xml:space="preserve">a invertido en </w:t>
      </w:r>
      <w:proofErr w:type="spellStart"/>
      <w:r w:rsidRPr="00A375E7">
        <w:rPr>
          <w:szCs w:val="26"/>
          <w:lang w:val="es-ES" w:eastAsia="es-ES"/>
        </w:rPr>
        <w:t>I+D+i</w:t>
      </w:r>
      <w:proofErr w:type="spellEnd"/>
      <w:r w:rsidRPr="00A375E7">
        <w:rPr>
          <w:szCs w:val="26"/>
          <w:lang w:val="es-ES" w:eastAsia="es-ES"/>
        </w:rPr>
        <w:t xml:space="preserve"> </w:t>
      </w:r>
      <w:r>
        <w:rPr>
          <w:szCs w:val="26"/>
          <w:lang w:val="es-ES" w:eastAsia="es-ES"/>
        </w:rPr>
        <w:t>sobre</w:t>
      </w:r>
      <w:r w:rsidRPr="00A375E7">
        <w:rPr>
          <w:szCs w:val="26"/>
          <w:lang w:val="es-ES" w:eastAsia="es-ES"/>
        </w:rPr>
        <w:t xml:space="preserve"> </w:t>
      </w:r>
      <w:r>
        <w:rPr>
          <w:szCs w:val="26"/>
          <w:lang w:val="es-ES" w:eastAsia="es-ES"/>
        </w:rPr>
        <w:t>30</w:t>
      </w:r>
      <w:r w:rsidRPr="00A375E7">
        <w:rPr>
          <w:szCs w:val="26"/>
          <w:lang w:val="es-ES" w:eastAsia="es-ES"/>
        </w:rPr>
        <w:t xml:space="preserve"> millones</w:t>
      </w:r>
      <w:r w:rsidRPr="00A375E7">
        <w:rPr>
          <w:color w:val="FF0000"/>
          <w:szCs w:val="26"/>
          <w:lang w:val="es-ES" w:eastAsia="es-ES"/>
        </w:rPr>
        <w:t xml:space="preserve"> </w:t>
      </w:r>
      <w:r w:rsidRPr="00A375E7">
        <w:rPr>
          <w:szCs w:val="26"/>
          <w:lang w:val="es-ES" w:eastAsia="es-ES"/>
        </w:rPr>
        <w:t>de euros</w:t>
      </w:r>
      <w:r>
        <w:rPr>
          <w:szCs w:val="26"/>
          <w:lang w:val="es-ES" w:eastAsia="es-ES"/>
        </w:rPr>
        <w:t>, de los cuales se han capitalizado en balance un total de 23 millones.</w:t>
      </w:r>
    </w:p>
    <w:p w:rsidR="003E68EF" w:rsidRDefault="003E68EF" w:rsidP="00B63BF3">
      <w:pPr>
        <w:pStyle w:val="texto"/>
        <w:tabs>
          <w:tab w:val="num" w:pos="284"/>
          <w:tab w:val="num" w:pos="720"/>
        </w:tabs>
        <w:rPr>
          <w:szCs w:val="26"/>
          <w:lang w:val="es-ES" w:eastAsia="es-ES"/>
        </w:rPr>
      </w:pPr>
    </w:p>
    <w:p w:rsidR="003E68EF" w:rsidRDefault="003E68EF" w:rsidP="00B63BF3">
      <w:pPr>
        <w:pStyle w:val="texto"/>
        <w:tabs>
          <w:tab w:val="num" w:pos="284"/>
          <w:tab w:val="num" w:pos="720"/>
        </w:tabs>
        <w:rPr>
          <w:szCs w:val="26"/>
          <w:lang w:val="es-ES" w:eastAsia="es-ES"/>
        </w:rPr>
      </w:pPr>
    </w:p>
    <w:p w:rsidR="00B63BF3" w:rsidRPr="00012D8F" w:rsidRDefault="00B63BF3" w:rsidP="003E68EF">
      <w:pPr>
        <w:pStyle w:val="texto"/>
        <w:tabs>
          <w:tab w:val="num" w:pos="284"/>
          <w:tab w:val="num" w:pos="720"/>
        </w:tabs>
        <w:spacing w:after="240"/>
        <w:rPr>
          <w:szCs w:val="26"/>
          <w:lang w:val="es-ES" w:eastAsia="es-ES"/>
        </w:rPr>
      </w:pPr>
      <w:r>
        <w:rPr>
          <w:szCs w:val="26"/>
          <w:lang w:val="es-ES" w:eastAsia="es-ES"/>
        </w:rPr>
        <w:lastRenderedPageBreak/>
        <w:t>El desarrollo del negocio previsto se muestra en el siguiente gráfico:</w:t>
      </w:r>
    </w:p>
    <w:p w:rsidR="00B63BF3" w:rsidRPr="003E68EF" w:rsidRDefault="00B63BF3" w:rsidP="003E68EF">
      <w:pPr>
        <w:pStyle w:val="texto"/>
        <w:tabs>
          <w:tab w:val="num" w:pos="284"/>
          <w:tab w:val="num" w:pos="720"/>
        </w:tabs>
        <w:spacing w:after="0"/>
        <w:jc w:val="left"/>
        <w:rPr>
          <w:szCs w:val="26"/>
          <w:lang w:val="es-ES" w:eastAsia="es-ES"/>
        </w:rPr>
      </w:pPr>
      <w:r>
        <w:rPr>
          <w:noProof/>
          <w:szCs w:val="26"/>
          <w:lang w:val="es-ES" w:eastAsia="es-ES"/>
        </w:rPr>
        <w:drawing>
          <wp:inline distT="0" distB="0" distL="0" distR="0" wp14:anchorId="2F1F9297" wp14:editId="69476872">
            <wp:extent cx="6076950" cy="4597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4597400"/>
                    </a:xfrm>
                    <a:prstGeom prst="rect">
                      <a:avLst/>
                    </a:prstGeom>
                    <a:noFill/>
                    <a:ln>
                      <a:noFill/>
                    </a:ln>
                  </pic:spPr>
                </pic:pic>
              </a:graphicData>
            </a:graphic>
          </wp:inline>
        </w:drawing>
      </w:r>
    </w:p>
    <w:p w:rsidR="00B63BF3" w:rsidRPr="003E68EF" w:rsidRDefault="00B63BF3" w:rsidP="003E68EF">
      <w:pPr>
        <w:pStyle w:val="texto"/>
        <w:tabs>
          <w:tab w:val="num" w:pos="284"/>
          <w:tab w:val="num" w:pos="720"/>
        </w:tabs>
        <w:spacing w:after="0"/>
        <w:rPr>
          <w:szCs w:val="26"/>
          <w:lang w:val="es-ES" w:eastAsia="es-ES"/>
        </w:rPr>
      </w:pPr>
    </w:p>
    <w:p w:rsidR="00B63BF3" w:rsidRPr="00AA1005" w:rsidRDefault="00B63BF3" w:rsidP="00B63BF3">
      <w:pPr>
        <w:pStyle w:val="texto"/>
        <w:tabs>
          <w:tab w:val="num" w:pos="284"/>
          <w:tab w:val="num" w:pos="720"/>
        </w:tabs>
        <w:rPr>
          <w:szCs w:val="26"/>
          <w:lang w:val="es-ES" w:eastAsia="es-ES"/>
        </w:rPr>
      </w:pPr>
      <w:r w:rsidRPr="00AA1005">
        <w:rPr>
          <w:szCs w:val="26"/>
          <w:lang w:val="es-ES" w:eastAsia="es-ES"/>
        </w:rPr>
        <w:t>La empresa Davalor</w:t>
      </w:r>
      <w:r>
        <w:rPr>
          <w:szCs w:val="26"/>
          <w:lang w:val="es-ES" w:eastAsia="es-ES"/>
        </w:rPr>
        <w:t xml:space="preserve"> Salud</w:t>
      </w:r>
      <w:r w:rsidRPr="00AA1005">
        <w:rPr>
          <w:szCs w:val="26"/>
          <w:lang w:val="es-ES" w:eastAsia="es-ES"/>
        </w:rPr>
        <w:t xml:space="preserve"> tiene actualmente las siguientes sedes:</w:t>
      </w:r>
    </w:p>
    <w:p w:rsidR="00B63BF3" w:rsidRPr="00601F5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proofErr w:type="spellStart"/>
      <w:r>
        <w:rPr>
          <w:rFonts w:cs="Arial"/>
        </w:rPr>
        <w:t>Tajonar</w:t>
      </w:r>
      <w:proofErr w:type="spellEnd"/>
      <w:r>
        <w:rPr>
          <w:rFonts w:cs="Arial"/>
        </w:rPr>
        <w:t>-</w:t>
      </w:r>
      <w:r w:rsidRPr="00601F54">
        <w:rPr>
          <w:rFonts w:cs="Arial"/>
        </w:rPr>
        <w:t>Aranguren: sede central, domicilio social, servicios de ingeniería, calidad y administración.</w:t>
      </w:r>
    </w:p>
    <w:p w:rsidR="00B63BF3" w:rsidRPr="00601F5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proofErr w:type="spellStart"/>
      <w:r w:rsidRPr="00601F54">
        <w:rPr>
          <w:rFonts w:cs="Arial"/>
        </w:rPr>
        <w:t>Davalor</w:t>
      </w:r>
      <w:proofErr w:type="spellEnd"/>
      <w:r w:rsidRPr="00601F54">
        <w:rPr>
          <w:rFonts w:cs="Arial"/>
        </w:rPr>
        <w:t xml:space="preserve"> </w:t>
      </w:r>
      <w:proofErr w:type="spellStart"/>
      <w:r w:rsidRPr="00601F54">
        <w:rPr>
          <w:rFonts w:cs="Arial"/>
        </w:rPr>
        <w:t>Research</w:t>
      </w:r>
      <w:proofErr w:type="spellEnd"/>
      <w:r w:rsidRPr="00601F54">
        <w:rPr>
          <w:rFonts w:cs="Arial"/>
        </w:rPr>
        <w:t xml:space="preserve"> Center, en </w:t>
      </w:r>
      <w:proofErr w:type="spellStart"/>
      <w:r w:rsidRPr="00601F54">
        <w:rPr>
          <w:rFonts w:cs="Arial"/>
        </w:rPr>
        <w:t>Terrasa</w:t>
      </w:r>
      <w:proofErr w:type="spellEnd"/>
      <w:r w:rsidRPr="00601F54">
        <w:rPr>
          <w:rFonts w:cs="Arial"/>
        </w:rPr>
        <w:t>, dentro de la Universidad Politécnica de Catalunya, que incluye básicamente la clínica de investigación y el centro de diagnóstico remoto; asimismo se desarrollan y analizan los prototipos existe</w:t>
      </w:r>
      <w:r w:rsidRPr="00601F54">
        <w:rPr>
          <w:rFonts w:cs="Arial"/>
        </w:rPr>
        <w:t>n</w:t>
      </w:r>
      <w:r w:rsidRPr="00601F54">
        <w:rPr>
          <w:rFonts w:cs="Arial"/>
        </w:rPr>
        <w:t>tes de las máquinas. Es el centro de referencia para posibles clientes (ópticas) e inversores.</w:t>
      </w:r>
    </w:p>
    <w:p w:rsidR="00B63BF3" w:rsidRPr="00601F5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601F54">
        <w:rPr>
          <w:rFonts w:cs="Arial"/>
        </w:rPr>
        <w:t>Centro de Proceso de Datos, en Alcalá</w:t>
      </w:r>
      <w:r>
        <w:rPr>
          <w:rFonts w:cs="Arial"/>
        </w:rPr>
        <w:t>,</w:t>
      </w:r>
      <w:r w:rsidRPr="00601F54">
        <w:rPr>
          <w:rFonts w:cs="Arial"/>
        </w:rPr>
        <w:t xml:space="preserve"> en un centro de Telefónica.</w:t>
      </w:r>
    </w:p>
    <w:p w:rsidR="00B63BF3" w:rsidRDefault="00B63BF3" w:rsidP="00B63BF3">
      <w:pPr>
        <w:pStyle w:val="texto"/>
        <w:tabs>
          <w:tab w:val="num" w:pos="284"/>
          <w:tab w:val="num" w:pos="720"/>
        </w:tabs>
        <w:rPr>
          <w:szCs w:val="26"/>
          <w:lang w:val="es-ES" w:eastAsia="es-ES"/>
        </w:rPr>
      </w:pPr>
      <w:r w:rsidRPr="002E60F2">
        <w:rPr>
          <w:szCs w:val="26"/>
          <w:lang w:val="es-ES" w:eastAsia="es-ES"/>
        </w:rPr>
        <w:t>En octubre de 2016</w:t>
      </w:r>
      <w:r>
        <w:rPr>
          <w:szCs w:val="26"/>
          <w:lang w:val="es-ES" w:eastAsia="es-ES"/>
        </w:rPr>
        <w:t xml:space="preserve">, trabajan en la empresa un total de 42 personas: 33 en Aranguren, ocho en </w:t>
      </w:r>
      <w:proofErr w:type="spellStart"/>
      <w:r>
        <w:rPr>
          <w:szCs w:val="26"/>
          <w:lang w:val="es-ES" w:eastAsia="es-ES"/>
        </w:rPr>
        <w:t>Terrasa</w:t>
      </w:r>
      <w:proofErr w:type="spellEnd"/>
      <w:r>
        <w:rPr>
          <w:szCs w:val="26"/>
          <w:lang w:val="es-ES" w:eastAsia="es-ES"/>
        </w:rPr>
        <w:t xml:space="preserve"> y una en Alcalá.</w:t>
      </w:r>
    </w:p>
    <w:p w:rsidR="00B63BF3" w:rsidRDefault="00B63BF3" w:rsidP="00B63BF3">
      <w:pPr>
        <w:pStyle w:val="texto"/>
        <w:tabs>
          <w:tab w:val="num" w:pos="284"/>
          <w:tab w:val="num" w:pos="720"/>
        </w:tabs>
        <w:rPr>
          <w:szCs w:val="26"/>
          <w:lang w:val="es-ES" w:eastAsia="es-ES"/>
        </w:rPr>
      </w:pPr>
      <w:r>
        <w:rPr>
          <w:szCs w:val="26"/>
          <w:lang w:val="es-ES" w:eastAsia="es-ES"/>
        </w:rPr>
        <w:t xml:space="preserve">La empresa Davalor ha superado las auditorías ISO 9001 e ISO 13845 y las máquinas </w:t>
      </w:r>
      <w:proofErr w:type="spellStart"/>
      <w:r>
        <w:rPr>
          <w:szCs w:val="26"/>
          <w:lang w:val="es-ES" w:eastAsia="es-ES"/>
        </w:rPr>
        <w:t>EVAs</w:t>
      </w:r>
      <w:proofErr w:type="spellEnd"/>
      <w:r>
        <w:rPr>
          <w:szCs w:val="26"/>
          <w:lang w:val="es-ES" w:eastAsia="es-ES"/>
        </w:rPr>
        <w:t xml:space="preserve"> han </w:t>
      </w:r>
      <w:r w:rsidR="00695DB2">
        <w:rPr>
          <w:szCs w:val="26"/>
          <w:lang w:val="es-ES" w:eastAsia="es-ES"/>
        </w:rPr>
        <w:t xml:space="preserve">conseguido </w:t>
      </w:r>
      <w:r>
        <w:rPr>
          <w:szCs w:val="26"/>
          <w:lang w:val="es-ES" w:eastAsia="es-ES"/>
        </w:rPr>
        <w:t xml:space="preserve">el marcado CE </w:t>
      </w:r>
      <w:proofErr w:type="spellStart"/>
      <w:r>
        <w:rPr>
          <w:szCs w:val="26"/>
          <w:lang w:val="es-ES" w:eastAsia="es-ES"/>
        </w:rPr>
        <w:t>Technical</w:t>
      </w:r>
      <w:proofErr w:type="spellEnd"/>
      <w:r>
        <w:rPr>
          <w:szCs w:val="26"/>
          <w:lang w:val="es-ES" w:eastAsia="es-ES"/>
        </w:rPr>
        <w:t xml:space="preserve"> File, desde el 11 de </w:t>
      </w:r>
      <w:r>
        <w:rPr>
          <w:szCs w:val="26"/>
          <w:lang w:val="es-ES" w:eastAsia="es-ES"/>
        </w:rPr>
        <w:lastRenderedPageBreak/>
        <w:t>noviembre de 2016, imprescindible para la comercialización de los productos de salud en la Unión Europea</w:t>
      </w:r>
      <w:r w:rsidR="00695DB2">
        <w:rPr>
          <w:rStyle w:val="Refdenotaalpie"/>
          <w:szCs w:val="26"/>
          <w:lang w:val="es-ES" w:eastAsia="es-ES"/>
        </w:rPr>
        <w:footnoteReference w:id="6"/>
      </w:r>
      <w:r>
        <w:rPr>
          <w:szCs w:val="26"/>
          <w:lang w:val="es-ES" w:eastAsia="es-ES"/>
        </w:rPr>
        <w:t>.</w:t>
      </w:r>
    </w:p>
    <w:p w:rsidR="00B63BF3" w:rsidRPr="00AE1A26" w:rsidRDefault="00B63BF3" w:rsidP="00B63BF3">
      <w:pPr>
        <w:pStyle w:val="texto"/>
        <w:tabs>
          <w:tab w:val="num" w:pos="284"/>
          <w:tab w:val="num" w:pos="720"/>
        </w:tabs>
        <w:spacing w:after="240"/>
        <w:rPr>
          <w:szCs w:val="26"/>
          <w:lang w:val="es-ES" w:eastAsia="es-ES"/>
        </w:rPr>
      </w:pPr>
      <w:r>
        <w:rPr>
          <w:szCs w:val="26"/>
          <w:lang w:val="es-ES" w:eastAsia="es-ES"/>
        </w:rPr>
        <w:t>Por otra parte, el proyecto empresarial de Davalor ha sido calificado por el Gobierno de Navarra –en sesión del 9 de septiembre de 2015– como de “interés foral”, de acuerdo con el artículo 4 de la</w:t>
      </w:r>
      <w:r w:rsidRPr="00FF1D7F">
        <w:rPr>
          <w:szCs w:val="26"/>
          <w:lang w:val="es-ES" w:eastAsia="es-ES"/>
        </w:rPr>
        <w:t xml:space="preserve"> </w:t>
      </w:r>
      <w:r>
        <w:rPr>
          <w:szCs w:val="26"/>
          <w:lang w:val="es-ES" w:eastAsia="es-ES"/>
        </w:rPr>
        <w:t>L</w:t>
      </w:r>
      <w:r w:rsidRPr="00FF1D7F">
        <w:rPr>
          <w:szCs w:val="26"/>
          <w:lang w:val="es-ES" w:eastAsia="es-ES"/>
        </w:rPr>
        <w:t xml:space="preserve">ey </w:t>
      </w:r>
      <w:r>
        <w:rPr>
          <w:szCs w:val="26"/>
          <w:lang w:val="es-ES" w:eastAsia="es-ES"/>
        </w:rPr>
        <w:t>F</w:t>
      </w:r>
      <w:r w:rsidRPr="00FF1D7F">
        <w:rPr>
          <w:szCs w:val="26"/>
          <w:lang w:val="es-ES" w:eastAsia="es-ES"/>
        </w:rPr>
        <w:t>oral 15/2009, de 9 de diciembre, de medidas de simplificación administrativa para la puesta en marcha de activ</w:t>
      </w:r>
      <w:r w:rsidRPr="00FF1D7F">
        <w:rPr>
          <w:szCs w:val="26"/>
          <w:lang w:val="es-ES" w:eastAsia="es-ES"/>
        </w:rPr>
        <w:t>i</w:t>
      </w:r>
      <w:r w:rsidRPr="00FF1D7F">
        <w:rPr>
          <w:szCs w:val="26"/>
          <w:lang w:val="es-ES" w:eastAsia="es-ES"/>
        </w:rPr>
        <w:t>dades empresariales o profesionales</w:t>
      </w:r>
      <w:r>
        <w:rPr>
          <w:szCs w:val="26"/>
          <w:lang w:val="es-ES" w:eastAsia="es-ES"/>
        </w:rPr>
        <w:t>. Esta calificación no conlleva ventajas económicas sino exclusivamente de simplificación de los plazos de trámites administrativos.</w:t>
      </w:r>
    </w:p>
    <w:p w:rsidR="00B63BF3" w:rsidRDefault="00B63BF3" w:rsidP="00B63BF3">
      <w:pPr>
        <w:pStyle w:val="atitulo3"/>
        <w:rPr>
          <w:lang w:val="es-ES" w:eastAsia="es-ES"/>
        </w:rPr>
      </w:pPr>
      <w:r w:rsidRPr="000E4877">
        <w:rPr>
          <w:lang w:val="es-ES" w:eastAsia="es-ES"/>
        </w:rPr>
        <w:t>Plan de Negocio y Plan de Viabilidad</w:t>
      </w:r>
    </w:p>
    <w:p w:rsidR="00B63BF3" w:rsidRDefault="00B63BF3" w:rsidP="00B63BF3">
      <w:pPr>
        <w:pStyle w:val="texto"/>
        <w:tabs>
          <w:tab w:val="num" w:pos="284"/>
          <w:tab w:val="num" w:pos="720"/>
        </w:tabs>
        <w:rPr>
          <w:szCs w:val="26"/>
          <w:lang w:val="es-ES" w:eastAsia="es-ES"/>
        </w:rPr>
      </w:pPr>
      <w:r>
        <w:rPr>
          <w:szCs w:val="26"/>
          <w:lang w:val="es-ES" w:eastAsia="es-ES"/>
        </w:rPr>
        <w:t>A lo largo de la documentación analizada, se observan diversas actualizaci</w:t>
      </w:r>
      <w:r>
        <w:rPr>
          <w:szCs w:val="26"/>
          <w:lang w:val="es-ES" w:eastAsia="es-ES"/>
        </w:rPr>
        <w:t>o</w:t>
      </w:r>
      <w:r>
        <w:rPr>
          <w:szCs w:val="26"/>
          <w:lang w:val="es-ES" w:eastAsia="es-ES"/>
        </w:rPr>
        <w:t>nes del plan de negocio inicial presentado por Davalor. Estas actualizaciones derivan d</w:t>
      </w:r>
      <w:r w:rsidRPr="00006CFE">
        <w:rPr>
          <w:szCs w:val="26"/>
          <w:lang w:val="es-ES" w:eastAsia="es-ES"/>
        </w:rPr>
        <w:t xml:space="preserve">el retraso en el desarrollo del producto </w:t>
      </w:r>
      <w:proofErr w:type="spellStart"/>
      <w:r w:rsidRPr="00006CFE">
        <w:rPr>
          <w:szCs w:val="26"/>
          <w:lang w:val="es-ES" w:eastAsia="es-ES"/>
        </w:rPr>
        <w:t>EVAs</w:t>
      </w:r>
      <w:proofErr w:type="spellEnd"/>
      <w:r w:rsidRPr="00006CFE">
        <w:rPr>
          <w:szCs w:val="26"/>
          <w:lang w:val="es-ES" w:eastAsia="es-ES"/>
        </w:rPr>
        <w:t>, lo que está implicando un</w:t>
      </w:r>
      <w:r>
        <w:rPr>
          <w:szCs w:val="26"/>
          <w:lang w:val="es-ES" w:eastAsia="es-ES"/>
        </w:rPr>
        <w:t>a demora</w:t>
      </w:r>
      <w:r w:rsidRPr="00006CFE">
        <w:rPr>
          <w:szCs w:val="26"/>
          <w:lang w:val="es-ES" w:eastAsia="es-ES"/>
        </w:rPr>
        <w:t xml:space="preserve"> relevante en la generación de ingresos y un incremento en los co</w:t>
      </w:r>
      <w:r w:rsidRPr="00006CFE">
        <w:rPr>
          <w:szCs w:val="26"/>
          <w:lang w:val="es-ES" w:eastAsia="es-ES"/>
        </w:rPr>
        <w:t>s</w:t>
      </w:r>
      <w:r w:rsidRPr="00006CFE">
        <w:rPr>
          <w:szCs w:val="26"/>
          <w:lang w:val="es-ES" w:eastAsia="es-ES"/>
        </w:rPr>
        <w:t>tes del mismo. En opinión de Sodena, las previsiones del citado plan se apoy</w:t>
      </w:r>
      <w:r w:rsidRPr="00006CFE">
        <w:rPr>
          <w:szCs w:val="26"/>
          <w:lang w:val="es-ES" w:eastAsia="es-ES"/>
        </w:rPr>
        <w:t>a</w:t>
      </w:r>
      <w:r>
        <w:rPr>
          <w:szCs w:val="26"/>
          <w:lang w:val="es-ES" w:eastAsia="es-ES"/>
        </w:rPr>
        <w:t>ban</w:t>
      </w:r>
      <w:r w:rsidRPr="00006CFE">
        <w:rPr>
          <w:szCs w:val="26"/>
          <w:lang w:val="es-ES" w:eastAsia="es-ES"/>
        </w:rPr>
        <w:t xml:space="preserve"> en hipótesis comerciales difíciles de alcanzar, al menos a corto plazo. Esta situación ha conducido a la empresa a una situación financiera crítica.</w:t>
      </w:r>
    </w:p>
    <w:p w:rsidR="00B63BF3" w:rsidRDefault="00B63BF3" w:rsidP="00B63BF3">
      <w:pPr>
        <w:pStyle w:val="texto"/>
        <w:tabs>
          <w:tab w:val="num" w:pos="284"/>
          <w:tab w:val="num" w:pos="720"/>
        </w:tabs>
        <w:rPr>
          <w:szCs w:val="26"/>
          <w:lang w:val="es-ES" w:eastAsia="es-ES"/>
        </w:rPr>
      </w:pPr>
      <w:r>
        <w:rPr>
          <w:szCs w:val="26"/>
          <w:lang w:val="es-ES" w:eastAsia="es-ES"/>
        </w:rPr>
        <w:t>En septiembre de 2015 y a instancias del Gobierno de Navarra, el consejo de administración de Sodena concede a Davalor un préstamo participativo de un millón de euros. El destino de este préstamo es financiar necesidades inmedi</w:t>
      </w:r>
      <w:r>
        <w:rPr>
          <w:szCs w:val="26"/>
          <w:lang w:val="es-ES" w:eastAsia="es-ES"/>
        </w:rPr>
        <w:t>a</w:t>
      </w:r>
      <w:r>
        <w:rPr>
          <w:szCs w:val="26"/>
          <w:lang w:val="es-ES" w:eastAsia="es-ES"/>
        </w:rPr>
        <w:t xml:space="preserve">tas derivadas de gastos de personal, cuotas de seguridad social y deudas con proveedores comerciales y acreedores financieros </w:t>
      </w:r>
      <w:r w:rsidRPr="00DF74CD">
        <w:rPr>
          <w:szCs w:val="26"/>
          <w:lang w:val="es-ES" w:eastAsia="es-ES"/>
        </w:rPr>
        <w:t>y poder</w:t>
      </w:r>
      <w:r>
        <w:rPr>
          <w:szCs w:val="26"/>
          <w:lang w:val="es-ES" w:eastAsia="es-ES"/>
        </w:rPr>
        <w:t>,</w:t>
      </w:r>
      <w:r w:rsidRPr="00DF74CD">
        <w:rPr>
          <w:szCs w:val="26"/>
          <w:lang w:val="es-ES" w:eastAsia="es-ES"/>
        </w:rPr>
        <w:t xml:space="preserve"> además de continuar con el desarrollo</w:t>
      </w:r>
      <w:r>
        <w:rPr>
          <w:szCs w:val="26"/>
          <w:lang w:val="es-ES" w:eastAsia="es-ES"/>
        </w:rPr>
        <w:t xml:space="preserve"> del proyecto</w:t>
      </w:r>
      <w:r w:rsidRPr="00DF74CD">
        <w:rPr>
          <w:szCs w:val="26"/>
          <w:lang w:val="es-ES" w:eastAsia="es-ES"/>
        </w:rPr>
        <w:t>, abordar a continuación</w:t>
      </w:r>
      <w:r>
        <w:rPr>
          <w:szCs w:val="26"/>
          <w:lang w:val="es-ES" w:eastAsia="es-ES"/>
        </w:rPr>
        <w:t xml:space="preserve"> el</w:t>
      </w:r>
      <w:r w:rsidRPr="00DF74CD">
        <w:rPr>
          <w:szCs w:val="26"/>
          <w:lang w:val="es-ES" w:eastAsia="es-ES"/>
        </w:rPr>
        <w:t xml:space="preserve"> proceso de captación de la financiación adicional necesaria</w:t>
      </w:r>
      <w:r>
        <w:rPr>
          <w:szCs w:val="26"/>
          <w:lang w:val="es-ES" w:eastAsia="es-ES"/>
        </w:rPr>
        <w:t>. Este préstamo se acompaña de una nu</w:t>
      </w:r>
      <w:r>
        <w:rPr>
          <w:szCs w:val="26"/>
          <w:lang w:val="es-ES" w:eastAsia="es-ES"/>
        </w:rPr>
        <w:t>e</w:t>
      </w:r>
      <w:r>
        <w:rPr>
          <w:szCs w:val="26"/>
          <w:lang w:val="es-ES" w:eastAsia="es-ES"/>
        </w:rPr>
        <w:t>va actualización del plan de negocio.</w:t>
      </w:r>
    </w:p>
    <w:p w:rsidR="00B63BF3" w:rsidRDefault="00B63BF3" w:rsidP="00B63BF3">
      <w:pPr>
        <w:pStyle w:val="texto"/>
        <w:tabs>
          <w:tab w:val="num" w:pos="284"/>
          <w:tab w:val="num" w:pos="720"/>
        </w:tabs>
        <w:rPr>
          <w:szCs w:val="26"/>
          <w:lang w:val="es-ES" w:eastAsia="es-ES"/>
        </w:rPr>
      </w:pPr>
      <w:r>
        <w:rPr>
          <w:szCs w:val="26"/>
          <w:lang w:val="es-ES" w:eastAsia="es-ES"/>
        </w:rPr>
        <w:t>Finalmente Davalor encomendó, en octubre de 2016, a una firma de consu</w:t>
      </w:r>
      <w:r>
        <w:rPr>
          <w:szCs w:val="26"/>
          <w:lang w:val="es-ES" w:eastAsia="es-ES"/>
        </w:rPr>
        <w:t>l</w:t>
      </w:r>
      <w:r>
        <w:rPr>
          <w:szCs w:val="26"/>
          <w:lang w:val="es-ES" w:eastAsia="es-ES"/>
        </w:rPr>
        <w:t>toría, entre otros, los siguientes servicios profesionales:</w:t>
      </w:r>
    </w:p>
    <w:p w:rsidR="00B63BF3" w:rsidRPr="00C74D4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C74D4C">
        <w:rPr>
          <w:rFonts w:cs="Arial"/>
        </w:rPr>
        <w:t>Elaboración de un plan de viabilidad</w:t>
      </w:r>
      <w:r>
        <w:rPr>
          <w:rFonts w:cs="Arial"/>
        </w:rP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C74D4C">
        <w:rPr>
          <w:rFonts w:cs="Arial"/>
        </w:rPr>
        <w:t>Concentrar los esfuerzos en un plan a muy corto plazo</w:t>
      </w:r>
      <w:r>
        <w:rPr>
          <w:rFonts w:cs="Arial"/>
        </w:rPr>
        <w:t>,</w:t>
      </w:r>
      <w:r w:rsidRPr="00C74D4C">
        <w:rPr>
          <w:rFonts w:cs="Arial"/>
        </w:rPr>
        <w:t xml:space="preserve"> fabricando un n</w:t>
      </w:r>
      <w:r w:rsidRPr="00C74D4C">
        <w:rPr>
          <w:rFonts w:cs="Arial"/>
        </w:rPr>
        <w:t>ú</w:t>
      </w:r>
      <w:r w:rsidRPr="00C74D4C">
        <w:rPr>
          <w:rFonts w:cs="Arial"/>
        </w:rPr>
        <w:t xml:space="preserve">mero reducido de </w:t>
      </w:r>
      <w:proofErr w:type="spellStart"/>
      <w:r w:rsidRPr="00C74D4C">
        <w:rPr>
          <w:rFonts w:cs="Arial"/>
        </w:rPr>
        <w:t>EVAs</w:t>
      </w:r>
      <w:proofErr w:type="spellEnd"/>
      <w:r w:rsidRPr="00C74D4C">
        <w:rPr>
          <w:rFonts w:cs="Arial"/>
        </w:rPr>
        <w:t xml:space="preserve"> para testearlas en el mercado y observar su viabilidad comercial</w:t>
      </w:r>
      <w:r>
        <w:rPr>
          <w:rFonts w:cs="Arial"/>
        </w:rPr>
        <w:t>; todo ello</w:t>
      </w:r>
      <w:r w:rsidRPr="00C74D4C">
        <w:rPr>
          <w:rFonts w:cs="Arial"/>
        </w:rPr>
        <w:t xml:space="preserve"> antes de dar entrada a los grandes inversores.</w:t>
      </w:r>
    </w:p>
    <w:p w:rsidR="00B63BF3" w:rsidRPr="00C74D4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C74D4C">
        <w:rPr>
          <w:rFonts w:cs="Arial"/>
        </w:rPr>
        <w:t>Lograr acuerdos de refinanciación con los acreedores</w:t>
      </w:r>
      <w:r>
        <w:rPr>
          <w:rFonts w:cs="Arial"/>
        </w:rPr>
        <w:t xml:space="preserve"> y búsqueda de nu</w:t>
      </w:r>
      <w:r>
        <w:rPr>
          <w:rFonts w:cs="Arial"/>
        </w:rPr>
        <w:t>e</w:t>
      </w:r>
      <w:r>
        <w:rPr>
          <w:rFonts w:cs="Arial"/>
        </w:rPr>
        <w:t>vos inversores profesionales que aporten los capitales precisos para el desarr</w:t>
      </w:r>
      <w:r>
        <w:rPr>
          <w:rFonts w:cs="Arial"/>
        </w:rPr>
        <w:t>o</w:t>
      </w:r>
      <w:r>
        <w:rPr>
          <w:rFonts w:cs="Arial"/>
        </w:rPr>
        <w:t>llo del negocio.</w:t>
      </w:r>
    </w:p>
    <w:p w:rsidR="00B63BF3" w:rsidRPr="008B2AC8"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C74D4C">
        <w:rPr>
          <w:rFonts w:cs="Arial"/>
        </w:rPr>
        <w:t xml:space="preserve">Control de gestión y de </w:t>
      </w:r>
      <w:r>
        <w:rPr>
          <w:rFonts w:cs="Arial"/>
        </w:rPr>
        <w:t xml:space="preserve">su </w:t>
      </w:r>
      <w:r w:rsidRPr="00C74D4C">
        <w:rPr>
          <w:rFonts w:cs="Arial"/>
        </w:rPr>
        <w:t>tesorería para aplicar los recursos de forma ef</w:t>
      </w:r>
      <w:r w:rsidRPr="00C74D4C">
        <w:rPr>
          <w:rFonts w:cs="Arial"/>
        </w:rPr>
        <w:t>i</w:t>
      </w:r>
      <w:r w:rsidRPr="00C74D4C">
        <w:rPr>
          <w:rFonts w:cs="Arial"/>
        </w:rPr>
        <w:t>ciente</w:t>
      </w:r>
      <w:r>
        <w:rPr>
          <w:rFonts w:cs="Arial"/>
        </w:rPr>
        <w:t>.</w:t>
      </w:r>
    </w:p>
    <w:p w:rsidR="00B63BF3" w:rsidRDefault="00B63BF3" w:rsidP="00B63BF3">
      <w:pPr>
        <w:pStyle w:val="texto"/>
        <w:tabs>
          <w:tab w:val="num" w:pos="284"/>
          <w:tab w:val="num" w:pos="720"/>
        </w:tabs>
        <w:rPr>
          <w:szCs w:val="26"/>
          <w:lang w:val="es-ES" w:eastAsia="es-ES"/>
        </w:rPr>
      </w:pPr>
      <w:r>
        <w:rPr>
          <w:szCs w:val="26"/>
          <w:lang w:val="es-ES" w:eastAsia="es-ES"/>
        </w:rPr>
        <w:lastRenderedPageBreak/>
        <w:t>El objetivo final es cambiar el rumbo o enfoque de gestión del proyecto para hacerlo más realista, adaptado a la situación actual de la empresa. Este cambio en la gestión y de limitación de riesgos ha sido decisivo para acordar las nuevas aportaciones realizadas por Sodena.</w:t>
      </w:r>
    </w:p>
    <w:p w:rsidR="00B63BF3" w:rsidRPr="00D179D6" w:rsidRDefault="00B63BF3" w:rsidP="00B63BF3">
      <w:pPr>
        <w:pStyle w:val="texto"/>
        <w:tabs>
          <w:tab w:val="num" w:pos="284"/>
          <w:tab w:val="num" w:pos="720"/>
        </w:tabs>
        <w:rPr>
          <w:szCs w:val="26"/>
          <w:lang w:val="es-ES" w:eastAsia="es-ES"/>
        </w:rPr>
      </w:pPr>
      <w:r>
        <w:rPr>
          <w:szCs w:val="26"/>
          <w:lang w:val="es-ES" w:eastAsia="es-ES"/>
        </w:rPr>
        <w:t xml:space="preserve">En noviembre de 2016, la consultora presenta un plan de viabilidad con dos </w:t>
      </w:r>
      <w:r w:rsidRPr="00D179D6">
        <w:rPr>
          <w:szCs w:val="26"/>
          <w:lang w:val="es-ES" w:eastAsia="es-ES"/>
        </w:rPr>
        <w:t>fases diferenciadas:</w:t>
      </w:r>
    </w:p>
    <w:p w:rsidR="00B63BF3" w:rsidRPr="00C35ABA" w:rsidRDefault="00B63BF3" w:rsidP="003E68EF">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89"/>
        <w:rPr>
          <w:szCs w:val="26"/>
          <w:lang w:val="es-ES" w:eastAsia="es-ES"/>
        </w:rPr>
      </w:pPr>
      <w:r w:rsidRPr="00601F54">
        <w:rPr>
          <w:rFonts w:cs="Arial"/>
        </w:rPr>
        <w:t>Fase</w:t>
      </w:r>
      <w:r>
        <w:rPr>
          <w:rFonts w:cs="Arial"/>
        </w:rPr>
        <w:t xml:space="preserve"> I</w:t>
      </w:r>
      <w:r>
        <w:rPr>
          <w:szCs w:val="26"/>
          <w:lang w:val="es-ES" w:eastAsia="es-ES"/>
        </w:rPr>
        <w:t xml:space="preserve">. </w:t>
      </w:r>
      <w:r w:rsidRPr="00C35ABA">
        <w:rPr>
          <w:szCs w:val="26"/>
          <w:lang w:val="es-ES" w:eastAsia="es-ES"/>
        </w:rPr>
        <w:t xml:space="preserve">De diciembre de 2016 a junio de 2017. Su objetivo es colocar siete </w:t>
      </w:r>
      <w:proofErr w:type="spellStart"/>
      <w:r w:rsidRPr="00C35ABA">
        <w:rPr>
          <w:szCs w:val="26"/>
          <w:lang w:val="es-ES" w:eastAsia="es-ES"/>
        </w:rPr>
        <w:t>EVAs</w:t>
      </w:r>
      <w:proofErr w:type="spellEnd"/>
      <w:r w:rsidRPr="00C35ABA">
        <w:rPr>
          <w:szCs w:val="26"/>
          <w:lang w:val="es-ES" w:eastAsia="es-ES"/>
        </w:rPr>
        <w:t xml:space="preserve"> en ópticas en régimen de cesión temporal, en el periodo de abril a junio de 2017, y evaluar la respuesta del mercado. Esta fase, atendiendo a las neces</w:t>
      </w:r>
      <w:r w:rsidRPr="00C35ABA">
        <w:rPr>
          <w:szCs w:val="26"/>
          <w:lang w:val="es-ES" w:eastAsia="es-ES"/>
        </w:rPr>
        <w:t>i</w:t>
      </w:r>
      <w:r w:rsidRPr="00C35ABA">
        <w:rPr>
          <w:szCs w:val="26"/>
          <w:lang w:val="es-ES" w:eastAsia="es-ES"/>
        </w:rPr>
        <w:t xml:space="preserve">dades de financiación y a la formalización de los acuerdos para la instalación de las siete </w:t>
      </w:r>
      <w:proofErr w:type="spellStart"/>
      <w:r w:rsidRPr="00C35ABA">
        <w:rPr>
          <w:szCs w:val="26"/>
          <w:lang w:val="es-ES" w:eastAsia="es-ES"/>
        </w:rPr>
        <w:t>EVAs</w:t>
      </w:r>
      <w:proofErr w:type="spellEnd"/>
      <w:r w:rsidRPr="00C35ABA">
        <w:rPr>
          <w:szCs w:val="26"/>
          <w:lang w:val="es-ES" w:eastAsia="es-ES"/>
        </w:rPr>
        <w:t xml:space="preserve">, se divide en dos </w:t>
      </w:r>
      <w:proofErr w:type="spellStart"/>
      <w:r w:rsidRPr="00C35ABA">
        <w:rPr>
          <w:szCs w:val="26"/>
          <w:lang w:val="es-ES" w:eastAsia="es-ES"/>
        </w:rPr>
        <w:t>subfases</w:t>
      </w:r>
      <w:proofErr w:type="spellEnd"/>
      <w:r w:rsidRPr="00C35ABA">
        <w:rPr>
          <w:szCs w:val="26"/>
          <w:lang w:val="es-ES" w:eastAsia="es-ES"/>
        </w:rPr>
        <w:t xml:space="preserve"> temporales: hasta diciembre de 2016 y hasta junio de 2017.</w:t>
      </w:r>
    </w:p>
    <w:p w:rsidR="00B63BF3" w:rsidRPr="003E68EF"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spacing w:val="2"/>
          <w:szCs w:val="26"/>
          <w:lang w:val="es-ES" w:eastAsia="es-ES"/>
        </w:rPr>
      </w:pPr>
      <w:r>
        <w:rPr>
          <w:szCs w:val="26"/>
          <w:lang w:val="es-ES" w:eastAsia="es-ES"/>
        </w:rPr>
        <w:t xml:space="preserve">Fase II. </w:t>
      </w:r>
      <w:r w:rsidRPr="00C35ABA">
        <w:rPr>
          <w:szCs w:val="26"/>
          <w:lang w:val="es-ES" w:eastAsia="es-ES"/>
        </w:rPr>
        <w:t xml:space="preserve">Si la fase I concluye con éxito, esta fase presenta como objetivo alcanzar el punto de equilibrio </w:t>
      </w:r>
      <w:r w:rsidRPr="003E68EF">
        <w:rPr>
          <w:spacing w:val="2"/>
          <w:szCs w:val="26"/>
          <w:lang w:val="es-ES" w:eastAsia="es-ES"/>
        </w:rPr>
        <w:t>en diciembre de 2017, instalando, además de las siete máquinas anteriores, otras adicionales para llegar a dicho punto de equilibrio.</w:t>
      </w:r>
    </w:p>
    <w:p w:rsidR="00B63BF3" w:rsidRDefault="00B63BF3" w:rsidP="00B63BF3">
      <w:pPr>
        <w:pStyle w:val="texto"/>
        <w:tabs>
          <w:tab w:val="num" w:pos="284"/>
          <w:tab w:val="num" w:pos="720"/>
        </w:tabs>
        <w:rPr>
          <w:szCs w:val="26"/>
          <w:lang w:val="es-ES" w:eastAsia="es-ES"/>
        </w:rPr>
      </w:pPr>
      <w:r>
        <w:rPr>
          <w:szCs w:val="26"/>
          <w:lang w:val="es-ES" w:eastAsia="es-ES"/>
        </w:rPr>
        <w:t>Por otra parte, el 1 de diciembre de 2016, se firma el contrato de cogestión entre Davalor Salud y la firma consultora en el que se desarrollan los servicios de control de gestión y financiero; así, se contempla: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szCs w:val="26"/>
          <w:lang w:val="es-ES" w:eastAsia="es-ES"/>
        </w:rPr>
      </w:pPr>
      <w:r>
        <w:rPr>
          <w:szCs w:val="26"/>
          <w:lang w:val="es-ES" w:eastAsia="es-ES"/>
        </w:rPr>
        <w:t>Control de gestión. La firma consultora revisará los costes y gastos sujetos a financiación en la fase I. El plan de viabilidad exige a Davalor, entre otras cuestiones, una contención salarial de su personal directivo.</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szCs w:val="26"/>
          <w:lang w:val="es-ES" w:eastAsia="es-ES"/>
        </w:rPr>
      </w:pPr>
      <w:r>
        <w:rPr>
          <w:szCs w:val="26"/>
          <w:lang w:val="es-ES" w:eastAsia="es-ES"/>
        </w:rPr>
        <w:t>Intervención en la fase I de la tesorería de Davalor Salud por parte de la consultora, mediante la apertura de una cuenta corriente mancomunada entre ambas sociedades y el control de pagos de los gastos de la citada fase.</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szCs w:val="26"/>
          <w:lang w:val="es-ES" w:eastAsia="es-ES"/>
        </w:rPr>
      </w:pPr>
      <w:r>
        <w:rPr>
          <w:szCs w:val="26"/>
          <w:lang w:val="es-ES" w:eastAsia="es-ES"/>
        </w:rPr>
        <w:t>Negociación con los proveedores y acreedores estratégicos.</w:t>
      </w:r>
      <w:r w:rsidRPr="00153A84">
        <w:rPr>
          <w:szCs w:val="26"/>
          <w:lang w:val="es-ES" w:eastAsia="es-ES"/>
        </w:rPr>
        <w:t xml:space="preserve"> </w:t>
      </w:r>
      <w:r>
        <w:rPr>
          <w:szCs w:val="26"/>
          <w:lang w:val="es-ES" w:eastAsia="es-ES"/>
        </w:rPr>
        <w:t xml:space="preserve">Así, a finales de 2016, se </w:t>
      </w:r>
      <w:r w:rsidRPr="00D51F5A">
        <w:rPr>
          <w:szCs w:val="26"/>
          <w:lang w:val="es-ES" w:eastAsia="es-ES"/>
        </w:rPr>
        <w:t>alcanza</w:t>
      </w:r>
      <w:r>
        <w:rPr>
          <w:szCs w:val="26"/>
          <w:lang w:val="es-ES" w:eastAsia="es-ES"/>
        </w:rPr>
        <w:t xml:space="preserve"> un</w:t>
      </w:r>
      <w:r w:rsidRPr="00D51F5A">
        <w:rPr>
          <w:szCs w:val="26"/>
          <w:lang w:val="es-ES" w:eastAsia="es-ES"/>
        </w:rPr>
        <w:t xml:space="preserve"> acuerdo con proveedores </w:t>
      </w:r>
      <w:r>
        <w:rPr>
          <w:szCs w:val="26"/>
          <w:lang w:val="es-ES" w:eastAsia="es-ES"/>
        </w:rPr>
        <w:t xml:space="preserve">de Davalor que representan </w:t>
      </w:r>
      <w:r w:rsidRPr="00D51F5A">
        <w:rPr>
          <w:szCs w:val="26"/>
          <w:lang w:val="es-ES" w:eastAsia="es-ES"/>
        </w:rPr>
        <w:t>el 78 por ciento de la deuda total.</w:t>
      </w:r>
      <w:r>
        <w:rPr>
          <w:szCs w:val="26"/>
          <w:lang w:val="es-ES" w:eastAsia="es-ES"/>
        </w:rPr>
        <w:t xml:space="preserve"> No se </w:t>
      </w:r>
      <w:r w:rsidRPr="00D51F5A">
        <w:rPr>
          <w:szCs w:val="26"/>
          <w:lang w:val="es-ES" w:eastAsia="es-ES"/>
        </w:rPr>
        <w:t>ac</w:t>
      </w:r>
      <w:r>
        <w:rPr>
          <w:szCs w:val="26"/>
          <w:lang w:val="es-ES" w:eastAsia="es-ES"/>
        </w:rPr>
        <w:t>uerda</w:t>
      </w:r>
      <w:r w:rsidRPr="00D51F5A">
        <w:rPr>
          <w:szCs w:val="26"/>
          <w:lang w:val="es-ES" w:eastAsia="es-ES"/>
        </w:rPr>
        <w:t xml:space="preserve"> una qui</w:t>
      </w:r>
      <w:r>
        <w:rPr>
          <w:szCs w:val="26"/>
          <w:lang w:val="es-ES" w:eastAsia="es-ES"/>
        </w:rPr>
        <w:t xml:space="preserve">ta, sino </w:t>
      </w:r>
      <w:r w:rsidRPr="00D51F5A">
        <w:rPr>
          <w:szCs w:val="26"/>
          <w:lang w:val="es-ES" w:eastAsia="es-ES"/>
        </w:rPr>
        <w:t>una espera o r</w:t>
      </w:r>
      <w:r w:rsidRPr="00D51F5A">
        <w:rPr>
          <w:szCs w:val="26"/>
          <w:lang w:val="es-ES" w:eastAsia="es-ES"/>
        </w:rPr>
        <w:t>e</w:t>
      </w:r>
      <w:r w:rsidRPr="00D51F5A">
        <w:rPr>
          <w:szCs w:val="26"/>
          <w:lang w:val="es-ES" w:eastAsia="es-ES"/>
        </w:rPr>
        <w:t>tra</w:t>
      </w:r>
      <w:r>
        <w:rPr>
          <w:szCs w:val="26"/>
          <w:lang w:val="es-ES" w:eastAsia="es-ES"/>
        </w:rPr>
        <w:t xml:space="preserve">so </w:t>
      </w:r>
      <w:r w:rsidRPr="00D51F5A">
        <w:rPr>
          <w:szCs w:val="26"/>
          <w:lang w:val="es-ES" w:eastAsia="es-ES"/>
        </w:rPr>
        <w:t>de pago</w:t>
      </w:r>
      <w:r w:rsidR="00AD2A39">
        <w:rPr>
          <w:szCs w:val="26"/>
          <w:lang w:val="es-ES" w:eastAsia="es-ES"/>
        </w:rPr>
        <w:t>s</w:t>
      </w:r>
      <w:r>
        <w:rPr>
          <w:szCs w:val="26"/>
          <w:lang w:val="es-ES" w:eastAsia="es-ES"/>
        </w:rPr>
        <w:t xml:space="preserve"> </w:t>
      </w:r>
      <w:r w:rsidR="00AD2A39">
        <w:rPr>
          <w:szCs w:val="26"/>
          <w:lang w:val="es-ES" w:eastAsia="es-ES"/>
        </w:rPr>
        <w:t>con</w:t>
      </w:r>
      <w:r>
        <w:rPr>
          <w:szCs w:val="26"/>
          <w:lang w:val="es-ES" w:eastAsia="es-ES"/>
        </w:rPr>
        <w:t xml:space="preserve"> intereses</w:t>
      </w:r>
      <w:r w:rsidR="00A527FD">
        <w:rPr>
          <w:rStyle w:val="Refdenotaalpie"/>
          <w:szCs w:val="26"/>
          <w:lang w:val="es-ES" w:eastAsia="es-ES"/>
        </w:rPr>
        <w:footnoteReference w:id="7"/>
      </w:r>
      <w:r>
        <w:rPr>
          <w:szCs w:val="26"/>
          <w:lang w:val="es-ES" w:eastAsia="es-ES"/>
        </w:rPr>
        <w:t>.</w:t>
      </w:r>
    </w:p>
    <w:p w:rsidR="00B63BF3" w:rsidRDefault="00B63BF3" w:rsidP="00B63BF3">
      <w:pPr>
        <w:pStyle w:val="texto"/>
        <w:tabs>
          <w:tab w:val="num" w:pos="284"/>
          <w:tab w:val="num" w:pos="720"/>
        </w:tabs>
        <w:rPr>
          <w:szCs w:val="26"/>
          <w:lang w:val="es-ES" w:eastAsia="es-ES"/>
        </w:rPr>
      </w:pPr>
      <w:r>
        <w:rPr>
          <w:szCs w:val="26"/>
          <w:lang w:val="es-ES" w:eastAsia="es-ES"/>
        </w:rPr>
        <w:t>Este contrato de cogestión debe mantenerse en vigor, exigencia demanda por Sodena, hasta finalizar la fase I prevista en el plan de viabilidad de Davalor.</w:t>
      </w:r>
    </w:p>
    <w:p w:rsidR="00B63BF3" w:rsidRPr="003E68EF" w:rsidRDefault="00B63BF3" w:rsidP="00B63BF3">
      <w:pPr>
        <w:pStyle w:val="texto"/>
        <w:tabs>
          <w:tab w:val="num" w:pos="284"/>
          <w:tab w:val="num" w:pos="720"/>
        </w:tabs>
        <w:rPr>
          <w:spacing w:val="4"/>
          <w:szCs w:val="26"/>
          <w:lang w:val="es-ES" w:eastAsia="es-ES"/>
        </w:rPr>
      </w:pPr>
      <w:r w:rsidRPr="00AD1A4D">
        <w:rPr>
          <w:szCs w:val="26"/>
          <w:lang w:val="es-ES" w:eastAsia="es-ES"/>
        </w:rPr>
        <w:t xml:space="preserve">Davalor Salud, junto con </w:t>
      </w:r>
      <w:r w:rsidRPr="003E68EF">
        <w:rPr>
          <w:spacing w:val="4"/>
          <w:szCs w:val="26"/>
          <w:lang w:val="es-ES" w:eastAsia="es-ES"/>
        </w:rPr>
        <w:t>la consultora informó del contenido y conclusiones del citado Plan a determinados inversores y entidades que previamente ya habían apoyado a la Sociedad en etapas anteriores, entre los que se encuentra Sodena.</w:t>
      </w:r>
    </w:p>
    <w:p w:rsidR="00B63BF3" w:rsidRPr="00A6554D" w:rsidRDefault="00B63BF3" w:rsidP="0029449C">
      <w:pPr>
        <w:pStyle w:val="texto"/>
        <w:tabs>
          <w:tab w:val="num" w:pos="284"/>
          <w:tab w:val="num" w:pos="720"/>
        </w:tabs>
        <w:spacing w:after="240"/>
        <w:rPr>
          <w:szCs w:val="26"/>
          <w:lang w:val="es-ES" w:eastAsia="es-ES"/>
        </w:rPr>
      </w:pPr>
      <w:r>
        <w:rPr>
          <w:szCs w:val="26"/>
          <w:lang w:val="es-ES" w:eastAsia="es-ES"/>
        </w:rPr>
        <w:t xml:space="preserve">A primeros de diciembre de 2016, se firma el acuerdo marco de financiación entre Sodena y Davalor, en el que se fija, entre otros compromisos, el apoyo financiero de Sodena para la fase I vinculado, entre otras condiciones, al apoyo </w:t>
      </w:r>
      <w:r>
        <w:rPr>
          <w:szCs w:val="26"/>
          <w:lang w:val="es-ES" w:eastAsia="es-ES"/>
        </w:rPr>
        <w:lastRenderedPageBreak/>
        <w:t xml:space="preserve">de inversores privados. </w:t>
      </w:r>
      <w:r w:rsidRPr="00C35ABA">
        <w:rPr>
          <w:szCs w:val="26"/>
          <w:lang w:val="es-ES" w:eastAsia="es-ES"/>
        </w:rPr>
        <w:t>Es decir, Sodena materializará tal apoyo siempre que los inversores privados debidamente identificados aporten hasta el 50 por cie</w:t>
      </w:r>
      <w:r w:rsidRPr="00C35ABA">
        <w:rPr>
          <w:szCs w:val="26"/>
          <w:lang w:val="es-ES" w:eastAsia="es-ES"/>
        </w:rPr>
        <w:t>n</w:t>
      </w:r>
      <w:r w:rsidRPr="00C35ABA">
        <w:rPr>
          <w:szCs w:val="26"/>
          <w:lang w:val="es-ES" w:eastAsia="es-ES"/>
        </w:rPr>
        <w:t>to de las necesidades de financiación de la primera fase del plan de viabilidad, de acuerdo con el siguiente esquema, cuyos importes se ofrecen en millones de euros.</w:t>
      </w:r>
    </w:p>
    <w:tbl>
      <w:tblPr>
        <w:tblW w:w="8801" w:type="dxa"/>
        <w:jc w:val="center"/>
        <w:tblInd w:w="-186" w:type="dxa"/>
        <w:tblCellMar>
          <w:left w:w="70" w:type="dxa"/>
          <w:right w:w="70" w:type="dxa"/>
        </w:tblCellMar>
        <w:tblLook w:val="04A0" w:firstRow="1" w:lastRow="0" w:firstColumn="1" w:lastColumn="0" w:noHBand="0" w:noVBand="1"/>
      </w:tblPr>
      <w:tblGrid>
        <w:gridCol w:w="3473"/>
        <w:gridCol w:w="1886"/>
        <w:gridCol w:w="1418"/>
        <w:gridCol w:w="2024"/>
      </w:tblGrid>
      <w:tr w:rsidR="00B63BF3" w:rsidRPr="00E94B1E" w:rsidTr="001121D8">
        <w:trPr>
          <w:trHeight w:val="255"/>
          <w:jc w:val="center"/>
        </w:trPr>
        <w:tc>
          <w:tcPr>
            <w:tcW w:w="3473" w:type="dxa"/>
            <w:tcBorders>
              <w:top w:val="single" w:sz="4" w:space="0" w:color="auto"/>
              <w:bottom w:val="single" w:sz="4" w:space="0" w:color="auto"/>
            </w:tcBorders>
            <w:shd w:val="clear" w:color="auto" w:fill="A0C3E3" w:themeFill="accent1" w:themeFillTint="99"/>
            <w:noWrap/>
            <w:vAlign w:val="center"/>
            <w:hideMark/>
          </w:tcPr>
          <w:p w:rsidR="00B63BF3" w:rsidRPr="00E94B1E" w:rsidRDefault="00B63BF3" w:rsidP="001121D8">
            <w:pPr>
              <w:pStyle w:val="cuadroCabe"/>
              <w:rPr>
                <w:lang w:val="es-ES" w:eastAsia="es-ES"/>
              </w:rPr>
            </w:pPr>
            <w:r>
              <w:rPr>
                <w:lang w:val="es-ES" w:eastAsia="es-ES"/>
              </w:rPr>
              <w:t>Fase</w:t>
            </w:r>
          </w:p>
        </w:tc>
        <w:tc>
          <w:tcPr>
            <w:tcW w:w="1886" w:type="dxa"/>
            <w:tcBorders>
              <w:top w:val="single" w:sz="4" w:space="0" w:color="auto"/>
              <w:bottom w:val="single" w:sz="4" w:space="0" w:color="auto"/>
            </w:tcBorders>
            <w:shd w:val="clear" w:color="auto" w:fill="A0C3E3" w:themeFill="accent1" w:themeFillTint="99"/>
            <w:vAlign w:val="center"/>
          </w:tcPr>
          <w:p w:rsidR="00B63BF3" w:rsidRDefault="00B63BF3" w:rsidP="001121D8">
            <w:pPr>
              <w:pStyle w:val="cuadroCabe"/>
              <w:jc w:val="right"/>
              <w:rPr>
                <w:lang w:val="es-ES" w:eastAsia="es-ES"/>
              </w:rPr>
            </w:pPr>
            <w:r>
              <w:rPr>
                <w:lang w:val="es-ES" w:eastAsia="es-ES"/>
              </w:rPr>
              <w:t>Total necesidades financiación Davalor</w:t>
            </w:r>
          </w:p>
        </w:tc>
        <w:tc>
          <w:tcPr>
            <w:tcW w:w="1418" w:type="dxa"/>
            <w:tcBorders>
              <w:top w:val="single" w:sz="4" w:space="0" w:color="auto"/>
              <w:bottom w:val="single" w:sz="4" w:space="0" w:color="auto"/>
            </w:tcBorders>
            <w:shd w:val="clear" w:color="auto" w:fill="A0C3E3" w:themeFill="accent1" w:themeFillTint="99"/>
            <w:noWrap/>
            <w:vAlign w:val="center"/>
          </w:tcPr>
          <w:p w:rsidR="00B63BF3" w:rsidRPr="00BB7FEE" w:rsidRDefault="00B63BF3" w:rsidP="001121D8">
            <w:pPr>
              <w:pStyle w:val="cuadroCabe"/>
              <w:jc w:val="right"/>
              <w:rPr>
                <w:lang w:val="es-ES" w:eastAsia="es-ES"/>
              </w:rPr>
            </w:pPr>
            <w:r w:rsidRPr="00BB7FEE">
              <w:rPr>
                <w:lang w:val="es-ES" w:eastAsia="es-ES"/>
              </w:rPr>
              <w:t>A aportar por Sodena</w:t>
            </w:r>
          </w:p>
        </w:tc>
        <w:tc>
          <w:tcPr>
            <w:tcW w:w="2024" w:type="dxa"/>
            <w:tcBorders>
              <w:top w:val="single" w:sz="4" w:space="0" w:color="auto"/>
              <w:bottom w:val="single" w:sz="4" w:space="0" w:color="auto"/>
            </w:tcBorders>
            <w:shd w:val="clear" w:color="auto" w:fill="A0C3E3" w:themeFill="accent1" w:themeFillTint="99"/>
            <w:noWrap/>
            <w:vAlign w:val="center"/>
          </w:tcPr>
          <w:p w:rsidR="00B63BF3" w:rsidRDefault="00B63BF3" w:rsidP="001121D8">
            <w:pPr>
              <w:pStyle w:val="cuadroCabe"/>
              <w:jc w:val="right"/>
              <w:rPr>
                <w:lang w:val="es-ES" w:eastAsia="es-ES"/>
              </w:rPr>
            </w:pPr>
            <w:r>
              <w:rPr>
                <w:lang w:val="es-ES" w:eastAsia="es-ES"/>
              </w:rPr>
              <w:t>A aportar por</w:t>
            </w:r>
          </w:p>
          <w:p w:rsidR="00B63BF3" w:rsidRPr="00E94B1E" w:rsidRDefault="00B63BF3" w:rsidP="001121D8">
            <w:pPr>
              <w:pStyle w:val="cuadroCabe"/>
              <w:jc w:val="right"/>
              <w:rPr>
                <w:lang w:val="es-ES" w:eastAsia="es-ES"/>
              </w:rPr>
            </w:pPr>
            <w:r>
              <w:rPr>
                <w:lang w:val="es-ES" w:eastAsia="es-ES"/>
              </w:rPr>
              <w:t>inversores privados</w:t>
            </w:r>
          </w:p>
        </w:tc>
      </w:tr>
      <w:tr w:rsidR="00B63BF3" w:rsidRPr="00E94B1E" w:rsidTr="001121D8">
        <w:trPr>
          <w:trHeight w:val="255"/>
          <w:jc w:val="center"/>
        </w:trPr>
        <w:tc>
          <w:tcPr>
            <w:tcW w:w="3473" w:type="dxa"/>
            <w:tcBorders>
              <w:top w:val="single" w:sz="4" w:space="0" w:color="auto"/>
              <w:bottom w:val="single" w:sz="2" w:space="0" w:color="auto"/>
            </w:tcBorders>
            <w:shd w:val="clear" w:color="000000" w:fill="FFFFFF"/>
            <w:noWrap/>
            <w:vAlign w:val="center"/>
          </w:tcPr>
          <w:p w:rsidR="00B63BF3" w:rsidRPr="00E94B1E" w:rsidRDefault="00B63BF3" w:rsidP="001121D8">
            <w:pPr>
              <w:pStyle w:val="cuatexto"/>
            </w:pPr>
            <w:r>
              <w:t>I. 1ª.</w:t>
            </w:r>
          </w:p>
        </w:tc>
        <w:tc>
          <w:tcPr>
            <w:tcW w:w="1886" w:type="dxa"/>
            <w:tcBorders>
              <w:top w:val="single" w:sz="4" w:space="0" w:color="auto"/>
              <w:bottom w:val="single" w:sz="2" w:space="0" w:color="auto"/>
            </w:tcBorders>
            <w:shd w:val="clear" w:color="000000" w:fill="FFFFFF"/>
            <w:vAlign w:val="center"/>
          </w:tcPr>
          <w:p w:rsidR="00B63BF3" w:rsidRPr="00E94B1E" w:rsidRDefault="00B63BF3" w:rsidP="001121D8">
            <w:pPr>
              <w:pStyle w:val="cuatexto"/>
              <w:ind w:right="30"/>
              <w:jc w:val="right"/>
            </w:pPr>
          </w:p>
        </w:tc>
        <w:tc>
          <w:tcPr>
            <w:tcW w:w="1418" w:type="dxa"/>
            <w:tcBorders>
              <w:top w:val="single" w:sz="4" w:space="0" w:color="auto"/>
              <w:bottom w:val="single" w:sz="2" w:space="0" w:color="auto"/>
            </w:tcBorders>
            <w:shd w:val="clear" w:color="000000" w:fill="FFFFFF"/>
            <w:noWrap/>
            <w:vAlign w:val="center"/>
          </w:tcPr>
          <w:p w:rsidR="00B63BF3" w:rsidRPr="00BB7FEE" w:rsidRDefault="00B63BF3" w:rsidP="001121D8">
            <w:pPr>
              <w:pStyle w:val="cuatexto"/>
              <w:ind w:right="30"/>
              <w:jc w:val="right"/>
            </w:pPr>
          </w:p>
        </w:tc>
        <w:tc>
          <w:tcPr>
            <w:tcW w:w="2024" w:type="dxa"/>
            <w:tcBorders>
              <w:top w:val="single" w:sz="4" w:space="0" w:color="auto"/>
              <w:bottom w:val="single" w:sz="2" w:space="0" w:color="auto"/>
            </w:tcBorders>
            <w:shd w:val="clear" w:color="000000" w:fill="FFFFFF"/>
            <w:noWrap/>
            <w:vAlign w:val="center"/>
          </w:tcPr>
          <w:p w:rsidR="00B63BF3" w:rsidRPr="00E94B1E" w:rsidRDefault="00B63BF3" w:rsidP="001121D8">
            <w:pPr>
              <w:pStyle w:val="cuatexto"/>
              <w:ind w:right="30"/>
              <w:jc w:val="right"/>
            </w:pPr>
          </w:p>
        </w:tc>
      </w:tr>
      <w:tr w:rsidR="00B63BF3" w:rsidRPr="00E94B1E" w:rsidTr="001121D8">
        <w:trPr>
          <w:trHeight w:val="255"/>
          <w:jc w:val="center"/>
        </w:trPr>
        <w:tc>
          <w:tcPr>
            <w:tcW w:w="3473" w:type="dxa"/>
            <w:tcBorders>
              <w:top w:val="single" w:sz="2" w:space="0" w:color="auto"/>
              <w:bottom w:val="single" w:sz="2" w:space="0" w:color="auto"/>
            </w:tcBorders>
            <w:shd w:val="clear" w:color="000000" w:fill="FFFFFF"/>
            <w:noWrap/>
            <w:vAlign w:val="center"/>
          </w:tcPr>
          <w:p w:rsidR="00B63BF3" w:rsidRDefault="00B63BF3" w:rsidP="001121D8">
            <w:pPr>
              <w:pStyle w:val="cuatexto"/>
            </w:pPr>
            <w:r>
              <w:t>Hasta el 5 de diciembre de 2016</w:t>
            </w:r>
          </w:p>
        </w:tc>
        <w:tc>
          <w:tcPr>
            <w:tcW w:w="1886" w:type="dxa"/>
            <w:tcBorders>
              <w:top w:val="single" w:sz="2" w:space="0" w:color="auto"/>
              <w:bottom w:val="single" w:sz="2" w:space="0" w:color="auto"/>
            </w:tcBorders>
            <w:shd w:val="clear" w:color="000000" w:fill="FFFFFF"/>
            <w:vAlign w:val="center"/>
          </w:tcPr>
          <w:p w:rsidR="00B63BF3" w:rsidRDefault="00B63BF3" w:rsidP="001121D8">
            <w:pPr>
              <w:pStyle w:val="cuatexto"/>
              <w:ind w:right="30"/>
              <w:jc w:val="right"/>
            </w:pPr>
            <w:r>
              <w:t>0,60</w:t>
            </w:r>
          </w:p>
        </w:tc>
        <w:tc>
          <w:tcPr>
            <w:tcW w:w="1418" w:type="dxa"/>
            <w:tcBorders>
              <w:top w:val="single" w:sz="2" w:space="0" w:color="auto"/>
              <w:bottom w:val="single" w:sz="2" w:space="0" w:color="auto"/>
            </w:tcBorders>
            <w:shd w:val="clear" w:color="000000" w:fill="FFFFFF"/>
            <w:noWrap/>
            <w:vAlign w:val="center"/>
          </w:tcPr>
          <w:p w:rsidR="00B63BF3" w:rsidRPr="00BB7FEE" w:rsidRDefault="00B63BF3" w:rsidP="001121D8">
            <w:pPr>
              <w:pStyle w:val="cuatexto"/>
              <w:ind w:right="30"/>
              <w:jc w:val="right"/>
            </w:pPr>
            <w:r>
              <w:t>0,40</w:t>
            </w:r>
          </w:p>
        </w:tc>
        <w:tc>
          <w:tcPr>
            <w:tcW w:w="2024" w:type="dxa"/>
            <w:tcBorders>
              <w:top w:val="single" w:sz="2" w:space="0" w:color="auto"/>
              <w:bottom w:val="single" w:sz="2" w:space="0" w:color="auto"/>
            </w:tcBorders>
            <w:shd w:val="clear" w:color="000000" w:fill="FFFFFF"/>
            <w:noWrap/>
            <w:vAlign w:val="center"/>
          </w:tcPr>
          <w:p w:rsidR="00B63BF3" w:rsidRDefault="00B63BF3" w:rsidP="001121D8">
            <w:pPr>
              <w:pStyle w:val="cuatexto"/>
              <w:ind w:right="30"/>
              <w:jc w:val="right"/>
            </w:pPr>
            <w:r>
              <w:t>0,20</w:t>
            </w:r>
          </w:p>
        </w:tc>
      </w:tr>
      <w:tr w:rsidR="00B63BF3" w:rsidRPr="00E94B1E" w:rsidTr="001121D8">
        <w:trPr>
          <w:trHeight w:val="255"/>
          <w:jc w:val="center"/>
        </w:trPr>
        <w:tc>
          <w:tcPr>
            <w:tcW w:w="3473" w:type="dxa"/>
            <w:tcBorders>
              <w:top w:val="single" w:sz="2" w:space="0" w:color="auto"/>
              <w:bottom w:val="single" w:sz="2" w:space="0" w:color="auto"/>
            </w:tcBorders>
            <w:shd w:val="clear" w:color="000000" w:fill="FFFFFF"/>
            <w:noWrap/>
            <w:vAlign w:val="center"/>
          </w:tcPr>
          <w:p w:rsidR="00B63BF3" w:rsidRDefault="00B63BF3" w:rsidP="001121D8">
            <w:pPr>
              <w:pStyle w:val="cuatexto"/>
            </w:pPr>
            <w:r>
              <w:t>Hasta el 31 de diciembre de 2016</w:t>
            </w:r>
          </w:p>
        </w:tc>
        <w:tc>
          <w:tcPr>
            <w:tcW w:w="1886" w:type="dxa"/>
            <w:tcBorders>
              <w:top w:val="single" w:sz="2" w:space="0" w:color="auto"/>
              <w:bottom w:val="single" w:sz="2" w:space="0" w:color="auto"/>
            </w:tcBorders>
            <w:shd w:val="clear" w:color="000000" w:fill="FFFFFF"/>
            <w:vAlign w:val="center"/>
          </w:tcPr>
          <w:p w:rsidR="00B63BF3" w:rsidRDefault="00B63BF3" w:rsidP="001121D8">
            <w:pPr>
              <w:pStyle w:val="cuatexto"/>
              <w:ind w:right="30"/>
              <w:jc w:val="right"/>
            </w:pPr>
            <w:r>
              <w:t>0,90</w:t>
            </w:r>
          </w:p>
        </w:tc>
        <w:tc>
          <w:tcPr>
            <w:tcW w:w="1418" w:type="dxa"/>
            <w:tcBorders>
              <w:top w:val="single" w:sz="2" w:space="0" w:color="auto"/>
              <w:bottom w:val="single" w:sz="2" w:space="0" w:color="auto"/>
            </w:tcBorders>
            <w:shd w:val="clear" w:color="000000" w:fill="FFFFFF"/>
            <w:noWrap/>
            <w:vAlign w:val="center"/>
          </w:tcPr>
          <w:p w:rsidR="00B63BF3" w:rsidRPr="00BB7FEE" w:rsidRDefault="00B63BF3" w:rsidP="001121D8">
            <w:pPr>
              <w:pStyle w:val="cuatexto"/>
              <w:ind w:right="30"/>
              <w:jc w:val="right"/>
            </w:pPr>
            <w:r>
              <w:t>0,60</w:t>
            </w:r>
          </w:p>
        </w:tc>
        <w:tc>
          <w:tcPr>
            <w:tcW w:w="2024" w:type="dxa"/>
            <w:tcBorders>
              <w:top w:val="single" w:sz="2" w:space="0" w:color="auto"/>
              <w:bottom w:val="single" w:sz="2" w:space="0" w:color="auto"/>
            </w:tcBorders>
            <w:shd w:val="clear" w:color="000000" w:fill="FFFFFF"/>
            <w:noWrap/>
            <w:vAlign w:val="center"/>
          </w:tcPr>
          <w:p w:rsidR="00B63BF3" w:rsidRDefault="00B63BF3" w:rsidP="001121D8">
            <w:pPr>
              <w:pStyle w:val="cuatexto"/>
              <w:ind w:right="30"/>
              <w:jc w:val="right"/>
            </w:pPr>
            <w:r>
              <w:t>0,30</w:t>
            </w:r>
          </w:p>
        </w:tc>
      </w:tr>
      <w:tr w:rsidR="00B63BF3" w:rsidRPr="00D66EED" w:rsidTr="001121D8">
        <w:trPr>
          <w:trHeight w:val="255"/>
          <w:jc w:val="center"/>
        </w:trPr>
        <w:tc>
          <w:tcPr>
            <w:tcW w:w="3473" w:type="dxa"/>
            <w:tcBorders>
              <w:top w:val="single" w:sz="2" w:space="0" w:color="auto"/>
              <w:bottom w:val="single" w:sz="2" w:space="0" w:color="auto"/>
            </w:tcBorders>
            <w:shd w:val="clear" w:color="000000" w:fill="FFFFFF"/>
            <w:noWrap/>
            <w:vAlign w:val="center"/>
          </w:tcPr>
          <w:p w:rsidR="00B63BF3" w:rsidRPr="00D66EED" w:rsidRDefault="00B63BF3" w:rsidP="001121D8">
            <w:pPr>
              <w:pStyle w:val="cuatexto"/>
              <w:rPr>
                <w:b/>
              </w:rPr>
            </w:pPr>
            <w:r w:rsidRPr="00D66EED">
              <w:rPr>
                <w:b/>
              </w:rPr>
              <w:t>Total fase I. 1ª</w:t>
            </w:r>
          </w:p>
        </w:tc>
        <w:tc>
          <w:tcPr>
            <w:tcW w:w="1886" w:type="dxa"/>
            <w:tcBorders>
              <w:top w:val="single" w:sz="2" w:space="0" w:color="auto"/>
              <w:bottom w:val="single" w:sz="2" w:space="0" w:color="auto"/>
            </w:tcBorders>
            <w:shd w:val="clear" w:color="000000" w:fill="FFFFFF"/>
            <w:vAlign w:val="center"/>
          </w:tcPr>
          <w:p w:rsidR="00B63BF3" w:rsidRPr="00D66EED" w:rsidRDefault="00B63BF3" w:rsidP="001121D8">
            <w:pPr>
              <w:pStyle w:val="cuatexto"/>
              <w:ind w:right="30"/>
              <w:jc w:val="right"/>
              <w:rPr>
                <w:b/>
              </w:rPr>
            </w:pPr>
            <w:r w:rsidRPr="00D66EED">
              <w:rPr>
                <w:b/>
              </w:rPr>
              <w:t>1,50</w:t>
            </w:r>
          </w:p>
        </w:tc>
        <w:tc>
          <w:tcPr>
            <w:tcW w:w="1418" w:type="dxa"/>
            <w:tcBorders>
              <w:top w:val="single" w:sz="2" w:space="0" w:color="auto"/>
              <w:bottom w:val="single" w:sz="2" w:space="0" w:color="auto"/>
            </w:tcBorders>
            <w:shd w:val="clear" w:color="000000" w:fill="FFFFFF"/>
            <w:noWrap/>
            <w:vAlign w:val="center"/>
          </w:tcPr>
          <w:p w:rsidR="00B63BF3" w:rsidRPr="00D66EED" w:rsidRDefault="00B63BF3" w:rsidP="001121D8">
            <w:pPr>
              <w:pStyle w:val="cuatexto"/>
              <w:ind w:right="30"/>
              <w:jc w:val="right"/>
              <w:rPr>
                <w:b/>
              </w:rPr>
            </w:pPr>
            <w:r w:rsidRPr="00D66EED">
              <w:rPr>
                <w:b/>
              </w:rPr>
              <w:t>1,00</w:t>
            </w:r>
          </w:p>
        </w:tc>
        <w:tc>
          <w:tcPr>
            <w:tcW w:w="2024" w:type="dxa"/>
            <w:tcBorders>
              <w:top w:val="single" w:sz="2" w:space="0" w:color="auto"/>
              <w:bottom w:val="single" w:sz="2" w:space="0" w:color="auto"/>
            </w:tcBorders>
            <w:shd w:val="clear" w:color="000000" w:fill="FFFFFF"/>
            <w:noWrap/>
            <w:vAlign w:val="center"/>
          </w:tcPr>
          <w:p w:rsidR="00B63BF3" w:rsidRPr="00D66EED" w:rsidRDefault="00B63BF3" w:rsidP="001121D8">
            <w:pPr>
              <w:pStyle w:val="cuatexto"/>
              <w:ind w:right="30"/>
              <w:jc w:val="right"/>
              <w:rPr>
                <w:b/>
              </w:rPr>
            </w:pPr>
            <w:r w:rsidRPr="00D66EED">
              <w:rPr>
                <w:b/>
              </w:rPr>
              <w:t>0,50</w:t>
            </w:r>
          </w:p>
        </w:tc>
      </w:tr>
      <w:tr w:rsidR="00B63BF3" w:rsidRPr="00E94B1E" w:rsidTr="001121D8">
        <w:trPr>
          <w:trHeight w:val="255"/>
          <w:jc w:val="center"/>
        </w:trPr>
        <w:tc>
          <w:tcPr>
            <w:tcW w:w="3473" w:type="dxa"/>
            <w:tcBorders>
              <w:top w:val="single" w:sz="2" w:space="0" w:color="auto"/>
              <w:bottom w:val="single" w:sz="2" w:space="0" w:color="auto"/>
            </w:tcBorders>
            <w:shd w:val="clear" w:color="000000" w:fill="FFFFFF"/>
            <w:noWrap/>
            <w:vAlign w:val="center"/>
          </w:tcPr>
          <w:p w:rsidR="00B63BF3" w:rsidRDefault="00B63BF3" w:rsidP="001121D8">
            <w:pPr>
              <w:pStyle w:val="cuatexto"/>
            </w:pPr>
            <w:r>
              <w:t>I. 2ª.</w:t>
            </w:r>
          </w:p>
        </w:tc>
        <w:tc>
          <w:tcPr>
            <w:tcW w:w="1886" w:type="dxa"/>
            <w:tcBorders>
              <w:top w:val="single" w:sz="2" w:space="0" w:color="auto"/>
              <w:bottom w:val="single" w:sz="2" w:space="0" w:color="auto"/>
            </w:tcBorders>
            <w:shd w:val="clear" w:color="000000" w:fill="FFFFFF"/>
            <w:vAlign w:val="center"/>
          </w:tcPr>
          <w:p w:rsidR="00B63BF3" w:rsidRDefault="00B63BF3" w:rsidP="001121D8">
            <w:pPr>
              <w:pStyle w:val="cuatexto"/>
              <w:ind w:right="30"/>
              <w:jc w:val="right"/>
            </w:pPr>
          </w:p>
        </w:tc>
        <w:tc>
          <w:tcPr>
            <w:tcW w:w="1418" w:type="dxa"/>
            <w:tcBorders>
              <w:top w:val="single" w:sz="2" w:space="0" w:color="auto"/>
              <w:bottom w:val="single" w:sz="2" w:space="0" w:color="auto"/>
            </w:tcBorders>
            <w:shd w:val="clear" w:color="000000" w:fill="FFFFFF"/>
            <w:noWrap/>
            <w:vAlign w:val="center"/>
          </w:tcPr>
          <w:p w:rsidR="00B63BF3" w:rsidRPr="00BB7FEE" w:rsidRDefault="00B63BF3" w:rsidP="001121D8">
            <w:pPr>
              <w:pStyle w:val="cuatexto"/>
              <w:ind w:right="30"/>
              <w:jc w:val="right"/>
            </w:pPr>
          </w:p>
        </w:tc>
        <w:tc>
          <w:tcPr>
            <w:tcW w:w="2024" w:type="dxa"/>
            <w:tcBorders>
              <w:top w:val="single" w:sz="2" w:space="0" w:color="auto"/>
              <w:bottom w:val="single" w:sz="2" w:space="0" w:color="auto"/>
            </w:tcBorders>
            <w:shd w:val="clear" w:color="000000" w:fill="FFFFFF"/>
            <w:noWrap/>
            <w:vAlign w:val="center"/>
          </w:tcPr>
          <w:p w:rsidR="00B63BF3" w:rsidRDefault="00B63BF3" w:rsidP="001121D8">
            <w:pPr>
              <w:pStyle w:val="cuatexto"/>
              <w:ind w:right="30"/>
              <w:jc w:val="right"/>
            </w:pPr>
          </w:p>
        </w:tc>
      </w:tr>
      <w:tr w:rsidR="00B63BF3" w:rsidRPr="00E94B1E" w:rsidTr="001121D8">
        <w:trPr>
          <w:trHeight w:val="255"/>
          <w:jc w:val="center"/>
        </w:trPr>
        <w:tc>
          <w:tcPr>
            <w:tcW w:w="3473" w:type="dxa"/>
            <w:tcBorders>
              <w:top w:val="single" w:sz="2" w:space="0" w:color="auto"/>
              <w:bottom w:val="single" w:sz="2" w:space="0" w:color="auto"/>
            </w:tcBorders>
            <w:shd w:val="clear" w:color="000000" w:fill="FFFFFF"/>
            <w:noWrap/>
            <w:vAlign w:val="center"/>
          </w:tcPr>
          <w:p w:rsidR="00B63BF3" w:rsidRDefault="00B63BF3" w:rsidP="001121D8">
            <w:pPr>
              <w:pStyle w:val="cuatexto"/>
            </w:pPr>
            <w:r>
              <w:t>Hasta el 30 de junio de 2017</w:t>
            </w:r>
          </w:p>
        </w:tc>
        <w:tc>
          <w:tcPr>
            <w:tcW w:w="1886" w:type="dxa"/>
            <w:tcBorders>
              <w:top w:val="single" w:sz="2" w:space="0" w:color="auto"/>
              <w:bottom w:val="single" w:sz="2" w:space="0" w:color="auto"/>
            </w:tcBorders>
            <w:shd w:val="clear" w:color="000000" w:fill="FFFFFF"/>
            <w:vAlign w:val="center"/>
          </w:tcPr>
          <w:p w:rsidR="00B63BF3" w:rsidRDefault="00B63BF3" w:rsidP="001121D8">
            <w:pPr>
              <w:pStyle w:val="cuatexto"/>
              <w:ind w:right="30"/>
              <w:jc w:val="right"/>
            </w:pPr>
            <w:r>
              <w:t>3,00</w:t>
            </w:r>
          </w:p>
        </w:tc>
        <w:tc>
          <w:tcPr>
            <w:tcW w:w="1418" w:type="dxa"/>
            <w:tcBorders>
              <w:top w:val="single" w:sz="2" w:space="0" w:color="auto"/>
              <w:bottom w:val="single" w:sz="2" w:space="0" w:color="auto"/>
            </w:tcBorders>
            <w:shd w:val="clear" w:color="000000" w:fill="FFFFFF"/>
            <w:noWrap/>
            <w:vAlign w:val="center"/>
          </w:tcPr>
          <w:p w:rsidR="00B63BF3" w:rsidRPr="00BB7FEE" w:rsidRDefault="00B63BF3" w:rsidP="001121D8">
            <w:pPr>
              <w:pStyle w:val="cuatexto"/>
              <w:ind w:right="30"/>
              <w:jc w:val="right"/>
            </w:pPr>
            <w:r w:rsidRPr="00BB7FEE">
              <w:t>1,25</w:t>
            </w:r>
          </w:p>
        </w:tc>
        <w:tc>
          <w:tcPr>
            <w:tcW w:w="2024" w:type="dxa"/>
            <w:tcBorders>
              <w:top w:val="single" w:sz="2" w:space="0" w:color="auto"/>
              <w:bottom w:val="single" w:sz="2" w:space="0" w:color="auto"/>
            </w:tcBorders>
            <w:shd w:val="clear" w:color="000000" w:fill="FFFFFF"/>
            <w:noWrap/>
            <w:vAlign w:val="center"/>
          </w:tcPr>
          <w:p w:rsidR="00B63BF3" w:rsidRDefault="00B63BF3" w:rsidP="001121D8">
            <w:pPr>
              <w:pStyle w:val="cuatexto"/>
              <w:ind w:right="30"/>
              <w:jc w:val="right"/>
            </w:pPr>
            <w:r>
              <w:t>1,75</w:t>
            </w:r>
          </w:p>
        </w:tc>
      </w:tr>
      <w:tr w:rsidR="00B63BF3" w:rsidRPr="00D66EED" w:rsidTr="001121D8">
        <w:trPr>
          <w:trHeight w:val="255"/>
          <w:jc w:val="center"/>
        </w:trPr>
        <w:tc>
          <w:tcPr>
            <w:tcW w:w="3473" w:type="dxa"/>
            <w:tcBorders>
              <w:top w:val="single" w:sz="2" w:space="0" w:color="auto"/>
              <w:bottom w:val="single" w:sz="4" w:space="0" w:color="auto"/>
            </w:tcBorders>
            <w:shd w:val="clear" w:color="000000" w:fill="FFFFFF"/>
            <w:noWrap/>
            <w:vAlign w:val="center"/>
          </w:tcPr>
          <w:p w:rsidR="00B63BF3" w:rsidRPr="00D66EED" w:rsidRDefault="00B63BF3" w:rsidP="001121D8">
            <w:pPr>
              <w:pStyle w:val="cuatexto"/>
              <w:rPr>
                <w:b/>
              </w:rPr>
            </w:pPr>
            <w:r w:rsidRPr="00D66EED">
              <w:rPr>
                <w:b/>
              </w:rPr>
              <w:t>Total fase I. 2ª</w:t>
            </w:r>
          </w:p>
        </w:tc>
        <w:tc>
          <w:tcPr>
            <w:tcW w:w="1886" w:type="dxa"/>
            <w:tcBorders>
              <w:top w:val="single" w:sz="2" w:space="0" w:color="auto"/>
              <w:bottom w:val="single" w:sz="4" w:space="0" w:color="auto"/>
            </w:tcBorders>
            <w:shd w:val="clear" w:color="000000" w:fill="FFFFFF"/>
            <w:vAlign w:val="center"/>
          </w:tcPr>
          <w:p w:rsidR="00B63BF3" w:rsidRPr="00D66EED" w:rsidRDefault="00B63BF3" w:rsidP="001121D8">
            <w:pPr>
              <w:pStyle w:val="cuatexto"/>
              <w:ind w:right="30"/>
              <w:jc w:val="right"/>
              <w:rPr>
                <w:b/>
              </w:rPr>
            </w:pPr>
            <w:r w:rsidRPr="00D66EED">
              <w:rPr>
                <w:b/>
              </w:rPr>
              <w:t>3,00</w:t>
            </w:r>
          </w:p>
        </w:tc>
        <w:tc>
          <w:tcPr>
            <w:tcW w:w="1418" w:type="dxa"/>
            <w:tcBorders>
              <w:top w:val="single" w:sz="2" w:space="0" w:color="auto"/>
              <w:bottom w:val="single" w:sz="4" w:space="0" w:color="auto"/>
            </w:tcBorders>
            <w:shd w:val="clear" w:color="000000" w:fill="FFFFFF"/>
            <w:noWrap/>
            <w:vAlign w:val="center"/>
          </w:tcPr>
          <w:p w:rsidR="00B63BF3" w:rsidRPr="00D66EED" w:rsidRDefault="00B63BF3" w:rsidP="001121D8">
            <w:pPr>
              <w:pStyle w:val="cuatexto"/>
              <w:ind w:right="30"/>
              <w:jc w:val="right"/>
              <w:rPr>
                <w:b/>
              </w:rPr>
            </w:pPr>
            <w:r w:rsidRPr="00D66EED">
              <w:rPr>
                <w:b/>
              </w:rPr>
              <w:t>1,25</w:t>
            </w:r>
          </w:p>
        </w:tc>
        <w:tc>
          <w:tcPr>
            <w:tcW w:w="2024" w:type="dxa"/>
            <w:tcBorders>
              <w:top w:val="single" w:sz="2" w:space="0" w:color="auto"/>
              <w:bottom w:val="single" w:sz="4" w:space="0" w:color="auto"/>
            </w:tcBorders>
            <w:shd w:val="clear" w:color="000000" w:fill="FFFFFF"/>
            <w:noWrap/>
            <w:vAlign w:val="center"/>
          </w:tcPr>
          <w:p w:rsidR="00B63BF3" w:rsidRPr="00D66EED" w:rsidRDefault="00B63BF3" w:rsidP="001121D8">
            <w:pPr>
              <w:pStyle w:val="cuatexto"/>
              <w:ind w:right="30"/>
              <w:jc w:val="right"/>
              <w:rPr>
                <w:b/>
              </w:rPr>
            </w:pPr>
            <w:r w:rsidRPr="00D66EED">
              <w:rPr>
                <w:b/>
              </w:rPr>
              <w:t>1,75</w:t>
            </w:r>
          </w:p>
        </w:tc>
      </w:tr>
      <w:tr w:rsidR="00B63BF3" w:rsidRPr="00E94B1E" w:rsidTr="001121D8">
        <w:trPr>
          <w:trHeight w:val="255"/>
          <w:jc w:val="center"/>
        </w:trPr>
        <w:tc>
          <w:tcPr>
            <w:tcW w:w="3473" w:type="dxa"/>
            <w:tcBorders>
              <w:top w:val="single" w:sz="4" w:space="0" w:color="auto"/>
              <w:bottom w:val="single" w:sz="4" w:space="0" w:color="auto"/>
            </w:tcBorders>
            <w:shd w:val="clear" w:color="auto" w:fill="A0C3E3" w:themeFill="accent1" w:themeFillTint="99"/>
            <w:noWrap/>
            <w:vAlign w:val="center"/>
          </w:tcPr>
          <w:p w:rsidR="00B63BF3" w:rsidRPr="00BB7FEE" w:rsidRDefault="00B63BF3" w:rsidP="001121D8">
            <w:pPr>
              <w:pStyle w:val="cuadroCabe"/>
              <w:rPr>
                <w:lang w:val="es-ES" w:eastAsia="es-ES"/>
              </w:rPr>
            </w:pPr>
            <w:r w:rsidRPr="00BB7FEE">
              <w:rPr>
                <w:lang w:val="es-ES" w:eastAsia="es-ES"/>
              </w:rPr>
              <w:t xml:space="preserve">Total Fase </w:t>
            </w:r>
            <w:r>
              <w:rPr>
                <w:lang w:val="es-ES" w:eastAsia="es-ES"/>
              </w:rPr>
              <w:t>I</w:t>
            </w:r>
          </w:p>
        </w:tc>
        <w:tc>
          <w:tcPr>
            <w:tcW w:w="1886" w:type="dxa"/>
            <w:tcBorders>
              <w:top w:val="single" w:sz="4" w:space="0" w:color="auto"/>
              <w:bottom w:val="single" w:sz="4" w:space="0" w:color="auto"/>
            </w:tcBorders>
            <w:shd w:val="clear" w:color="auto" w:fill="A0C3E3" w:themeFill="accent1" w:themeFillTint="99"/>
            <w:vAlign w:val="center"/>
          </w:tcPr>
          <w:p w:rsidR="00B63BF3" w:rsidRPr="00BB7FEE" w:rsidRDefault="00B63BF3" w:rsidP="001121D8">
            <w:pPr>
              <w:pStyle w:val="cuadroCabe"/>
              <w:jc w:val="right"/>
              <w:rPr>
                <w:lang w:val="es-ES" w:eastAsia="es-ES"/>
              </w:rPr>
            </w:pPr>
            <w:r w:rsidRPr="00BB7FEE">
              <w:rPr>
                <w:lang w:val="es-ES" w:eastAsia="es-ES"/>
              </w:rPr>
              <w:t>4,50</w:t>
            </w:r>
          </w:p>
        </w:tc>
        <w:tc>
          <w:tcPr>
            <w:tcW w:w="1418" w:type="dxa"/>
            <w:tcBorders>
              <w:top w:val="single" w:sz="4" w:space="0" w:color="auto"/>
              <w:bottom w:val="single" w:sz="4" w:space="0" w:color="auto"/>
            </w:tcBorders>
            <w:shd w:val="clear" w:color="auto" w:fill="A0C3E3" w:themeFill="accent1" w:themeFillTint="99"/>
            <w:noWrap/>
            <w:vAlign w:val="center"/>
          </w:tcPr>
          <w:p w:rsidR="00B63BF3" w:rsidRPr="00BB7FEE" w:rsidRDefault="00B63BF3" w:rsidP="001121D8">
            <w:pPr>
              <w:pStyle w:val="cuadroCabe"/>
              <w:jc w:val="right"/>
              <w:rPr>
                <w:lang w:val="es-ES" w:eastAsia="es-ES"/>
              </w:rPr>
            </w:pPr>
            <w:r w:rsidRPr="00BB7FEE">
              <w:rPr>
                <w:lang w:val="es-ES" w:eastAsia="es-ES"/>
              </w:rPr>
              <w:t>2,25</w:t>
            </w:r>
          </w:p>
        </w:tc>
        <w:tc>
          <w:tcPr>
            <w:tcW w:w="2024" w:type="dxa"/>
            <w:tcBorders>
              <w:top w:val="single" w:sz="4" w:space="0" w:color="auto"/>
              <w:bottom w:val="single" w:sz="4" w:space="0" w:color="auto"/>
            </w:tcBorders>
            <w:shd w:val="clear" w:color="auto" w:fill="A0C3E3" w:themeFill="accent1" w:themeFillTint="99"/>
            <w:noWrap/>
            <w:vAlign w:val="center"/>
          </w:tcPr>
          <w:p w:rsidR="00B63BF3" w:rsidRPr="00BB7FEE" w:rsidRDefault="00B63BF3" w:rsidP="001121D8">
            <w:pPr>
              <w:pStyle w:val="cuadroCabe"/>
              <w:jc w:val="right"/>
              <w:rPr>
                <w:lang w:val="es-ES" w:eastAsia="es-ES"/>
              </w:rPr>
            </w:pPr>
            <w:r w:rsidRPr="00BB7FEE">
              <w:rPr>
                <w:lang w:val="es-ES" w:eastAsia="es-ES"/>
              </w:rPr>
              <w:t>2,25</w:t>
            </w:r>
          </w:p>
        </w:tc>
      </w:tr>
    </w:tbl>
    <w:p w:rsidR="00B63BF3" w:rsidRDefault="00B63BF3" w:rsidP="00B63BF3">
      <w:pPr>
        <w:pStyle w:val="texto"/>
        <w:tabs>
          <w:tab w:val="num" w:pos="284"/>
          <w:tab w:val="num" w:pos="720"/>
        </w:tabs>
        <w:spacing w:after="0"/>
        <w:ind w:firstLine="0"/>
        <w:rPr>
          <w:szCs w:val="26"/>
          <w:lang w:val="es-ES" w:eastAsia="es-ES"/>
        </w:rPr>
      </w:pPr>
    </w:p>
    <w:p w:rsidR="00B63BF3" w:rsidRDefault="00B63BF3" w:rsidP="00B63BF3">
      <w:pPr>
        <w:pStyle w:val="texto"/>
        <w:tabs>
          <w:tab w:val="num" w:pos="284"/>
          <w:tab w:val="num" w:pos="720"/>
        </w:tabs>
        <w:rPr>
          <w:szCs w:val="26"/>
          <w:lang w:val="es-ES" w:eastAsia="es-ES"/>
        </w:rPr>
      </w:pPr>
      <w:r>
        <w:rPr>
          <w:szCs w:val="26"/>
          <w:lang w:val="es-ES" w:eastAsia="es-ES"/>
        </w:rPr>
        <w:t>Resultado del acuerdo anterior, Sodena concedió a Davalor para financiar la fase I. 1ª, los préstamos de 0,4 millones en diciembre de 2016 y de 0,6 millones en enero de 2017, una vez verificados los importes aportados por los inversores privados. Cuando concluya esta fase y en función de sus resultados, Sodena podrá aportar adicionalmente hasta un máximo de 1,25 millones de euros para financiar la fase I.2ª, requiriéndose, para cada nuevo desembolso, de aprob</w:t>
      </w:r>
      <w:r>
        <w:rPr>
          <w:szCs w:val="26"/>
          <w:lang w:val="es-ES" w:eastAsia="es-ES"/>
        </w:rPr>
        <w:t>a</w:t>
      </w:r>
      <w:r>
        <w:rPr>
          <w:szCs w:val="26"/>
          <w:lang w:val="es-ES" w:eastAsia="es-ES"/>
        </w:rPr>
        <w:t>ción específica del consejo de administración.</w:t>
      </w:r>
    </w:p>
    <w:p w:rsidR="00B63BF3" w:rsidRDefault="00B63BF3" w:rsidP="00B63BF3">
      <w:pPr>
        <w:pStyle w:val="texto"/>
        <w:tabs>
          <w:tab w:val="num" w:pos="284"/>
          <w:tab w:val="num" w:pos="720"/>
        </w:tabs>
        <w:rPr>
          <w:szCs w:val="26"/>
          <w:lang w:val="es-ES" w:eastAsia="es-ES"/>
        </w:rPr>
      </w:pPr>
      <w:r>
        <w:rPr>
          <w:szCs w:val="26"/>
          <w:lang w:val="es-ES" w:eastAsia="es-ES"/>
        </w:rPr>
        <w:t>Para la fase II, no se han formalizado compromisos de nuevas aportaciones por parte de Sodena.</w:t>
      </w:r>
    </w:p>
    <w:p w:rsidR="00B63BF3" w:rsidRDefault="00B63BF3" w:rsidP="00B63BF3">
      <w:pPr>
        <w:pStyle w:val="texto"/>
        <w:tabs>
          <w:tab w:val="num" w:pos="284"/>
          <w:tab w:val="num" w:pos="720"/>
        </w:tabs>
        <w:rPr>
          <w:szCs w:val="26"/>
          <w:lang w:val="es-ES" w:eastAsia="es-ES"/>
        </w:rPr>
      </w:pPr>
      <w:r>
        <w:rPr>
          <w:szCs w:val="26"/>
          <w:lang w:val="es-ES" w:eastAsia="es-ES"/>
        </w:rPr>
        <w:t>A mediados de diciembre</w:t>
      </w:r>
      <w:r w:rsidRPr="008655C9">
        <w:rPr>
          <w:szCs w:val="26"/>
          <w:lang w:val="es-ES" w:eastAsia="es-ES"/>
        </w:rPr>
        <w:t xml:space="preserve"> de 2016 tuvo lugar la instalación de la primera EVA en </w:t>
      </w:r>
      <w:r>
        <w:rPr>
          <w:szCs w:val="26"/>
          <w:lang w:val="es-ES" w:eastAsia="es-ES"/>
        </w:rPr>
        <w:t>un centro óptico de</w:t>
      </w:r>
      <w:r w:rsidRPr="008655C9">
        <w:rPr>
          <w:szCs w:val="26"/>
          <w:lang w:val="es-ES" w:eastAsia="es-ES"/>
        </w:rPr>
        <w:t xml:space="preserve"> Tudela (Navarra).</w:t>
      </w:r>
      <w:r>
        <w:rPr>
          <w:szCs w:val="26"/>
          <w:lang w:val="es-ES" w:eastAsia="es-ES"/>
        </w:rPr>
        <w:t xml:space="preserve"> Se han observado diversas inc</w:t>
      </w:r>
      <w:r>
        <w:rPr>
          <w:szCs w:val="26"/>
          <w:lang w:val="es-ES" w:eastAsia="es-ES"/>
        </w:rPr>
        <w:t>i</w:t>
      </w:r>
      <w:r>
        <w:rPr>
          <w:szCs w:val="26"/>
          <w:lang w:val="es-ES" w:eastAsia="es-ES"/>
        </w:rPr>
        <w:t>dencias técnicas en su instalación, esperando corregirlas para que entre en fu</w:t>
      </w:r>
      <w:r>
        <w:rPr>
          <w:szCs w:val="26"/>
          <w:lang w:val="es-ES" w:eastAsia="es-ES"/>
        </w:rPr>
        <w:t>n</w:t>
      </w:r>
      <w:r>
        <w:rPr>
          <w:szCs w:val="26"/>
          <w:lang w:val="es-ES" w:eastAsia="es-ES"/>
        </w:rPr>
        <w:t xml:space="preserve">cionamiento comercial en </w:t>
      </w:r>
      <w:r w:rsidRPr="009C2850">
        <w:rPr>
          <w:szCs w:val="26"/>
          <w:lang w:val="es-ES" w:eastAsia="es-ES"/>
        </w:rPr>
        <w:t>abril de 2017</w:t>
      </w:r>
      <w:r>
        <w:rPr>
          <w:szCs w:val="26"/>
          <w:lang w:val="es-ES" w:eastAsia="es-ES"/>
        </w:rPr>
        <w:t xml:space="preserve">. Por su parte, Sodena ha contratado en febrero de 2017 y para un plazo de dos meses, un experto externo para revisar directamente las incidencias observadas la instalación y funcionamiento de tal máquina. </w:t>
      </w:r>
    </w:p>
    <w:p w:rsidR="00B63BF3" w:rsidRDefault="00B63BF3" w:rsidP="00B63BF3">
      <w:pPr>
        <w:pStyle w:val="texto"/>
        <w:tabs>
          <w:tab w:val="num" w:pos="284"/>
          <w:tab w:val="num" w:pos="720"/>
        </w:tabs>
        <w:rPr>
          <w:szCs w:val="26"/>
          <w:lang w:val="es-ES" w:eastAsia="es-ES"/>
        </w:rPr>
      </w:pPr>
      <w:r>
        <w:rPr>
          <w:szCs w:val="26"/>
          <w:lang w:val="es-ES" w:eastAsia="es-ES"/>
        </w:rPr>
        <w:t xml:space="preserve">Las otras seis </w:t>
      </w:r>
      <w:proofErr w:type="spellStart"/>
      <w:r>
        <w:rPr>
          <w:szCs w:val="26"/>
          <w:lang w:val="es-ES" w:eastAsia="es-ES"/>
        </w:rPr>
        <w:t>EVAs</w:t>
      </w:r>
      <w:proofErr w:type="spellEnd"/>
      <w:r>
        <w:rPr>
          <w:szCs w:val="26"/>
          <w:lang w:val="es-ES" w:eastAsia="es-ES"/>
        </w:rPr>
        <w:t xml:space="preserve"> de la fase I estaba previsto instalarlas en ópticas entre </w:t>
      </w:r>
      <w:r w:rsidRPr="009C2850">
        <w:rPr>
          <w:szCs w:val="26"/>
          <w:lang w:val="es-ES" w:eastAsia="es-ES"/>
        </w:rPr>
        <w:t xml:space="preserve">febrero y abril </w:t>
      </w:r>
      <w:r>
        <w:rPr>
          <w:szCs w:val="26"/>
          <w:lang w:val="es-ES" w:eastAsia="es-ES"/>
        </w:rPr>
        <w:t>de 2017. A finales de enero, se firman contrato de arrendamie</w:t>
      </w:r>
      <w:r>
        <w:rPr>
          <w:szCs w:val="26"/>
          <w:lang w:val="es-ES" w:eastAsia="es-ES"/>
        </w:rPr>
        <w:t>n</w:t>
      </w:r>
      <w:r>
        <w:rPr>
          <w:szCs w:val="26"/>
          <w:lang w:val="es-ES" w:eastAsia="es-ES"/>
        </w:rPr>
        <w:t>to y de prestación de servicios con tres ópticas.</w:t>
      </w:r>
    </w:p>
    <w:p w:rsidR="00796E04" w:rsidRDefault="00796E04">
      <w:pPr>
        <w:spacing w:after="0"/>
        <w:ind w:firstLine="0"/>
        <w:jc w:val="left"/>
        <w:rPr>
          <w:rFonts w:ascii="Arial" w:hAnsi="Arial"/>
          <w:b/>
          <w:color w:val="000000"/>
          <w:kern w:val="28"/>
          <w:sz w:val="25"/>
          <w:szCs w:val="26"/>
        </w:rPr>
      </w:pPr>
      <w:r>
        <w:br w:type="page"/>
      </w:r>
    </w:p>
    <w:p w:rsidR="00621A26" w:rsidRDefault="00621A26" w:rsidP="00621A26">
      <w:pPr>
        <w:pStyle w:val="atitulo1"/>
      </w:pPr>
      <w:bookmarkStart w:id="17" w:name="_Toc483307003"/>
      <w:r>
        <w:lastRenderedPageBreak/>
        <w:t>III. Conclusiones</w:t>
      </w:r>
      <w:bookmarkEnd w:id="16"/>
      <w:bookmarkEnd w:id="17"/>
    </w:p>
    <w:p w:rsidR="00621A26" w:rsidRDefault="00621A26" w:rsidP="00621A26">
      <w:pPr>
        <w:pStyle w:val="atitulo2"/>
      </w:pPr>
      <w:bookmarkStart w:id="18" w:name="_Toc480357322"/>
      <w:bookmarkStart w:id="19" w:name="_Toc483307004"/>
      <w:r>
        <w:t xml:space="preserve">III.1. Cuantificación y características de los préstamos concedidos por Sodena, </w:t>
      </w:r>
      <w:r w:rsidR="00DA2388">
        <w:t>SL</w:t>
      </w:r>
      <w:r>
        <w:t xml:space="preserve"> a Davalor Salud, </w:t>
      </w:r>
      <w:r w:rsidR="007857A8">
        <w:t>SL</w:t>
      </w:r>
      <w:r>
        <w:t>.</w:t>
      </w:r>
      <w:bookmarkEnd w:id="18"/>
      <w:bookmarkEnd w:id="19"/>
    </w:p>
    <w:p w:rsidR="00B63BF3" w:rsidRDefault="00B63BF3" w:rsidP="00B63BF3">
      <w:pPr>
        <w:pStyle w:val="texto"/>
        <w:tabs>
          <w:tab w:val="num" w:pos="284"/>
          <w:tab w:val="num" w:pos="720"/>
        </w:tabs>
        <w:rPr>
          <w:szCs w:val="26"/>
          <w:lang w:val="es-ES" w:eastAsia="es-ES"/>
        </w:rPr>
      </w:pPr>
      <w:r>
        <w:rPr>
          <w:szCs w:val="26"/>
          <w:lang w:val="es-ES" w:eastAsia="es-ES"/>
        </w:rPr>
        <w:t>De acuerdo con la información revisada hasta marzo de 2017, la sociedad pública Sodena ha concedido tres préstamos a Davalor Salud SL por un importe total de dos millones.</w:t>
      </w:r>
    </w:p>
    <w:p w:rsidR="00B63BF3" w:rsidRDefault="00B63BF3" w:rsidP="00B63BF3">
      <w:pPr>
        <w:pStyle w:val="texto"/>
        <w:tabs>
          <w:tab w:val="num" w:pos="284"/>
          <w:tab w:val="num" w:pos="720"/>
        </w:tabs>
        <w:rPr>
          <w:szCs w:val="26"/>
          <w:lang w:val="es-ES" w:eastAsia="es-ES"/>
        </w:rPr>
      </w:pPr>
      <w:r>
        <w:rPr>
          <w:szCs w:val="26"/>
          <w:lang w:val="es-ES" w:eastAsia="es-ES"/>
        </w:rPr>
        <w:t>Su detalle y las principales características financieras de los mismos se muestran en el cuadro 1.</w:t>
      </w:r>
    </w:p>
    <w:p w:rsidR="00B63BF3" w:rsidRPr="00BB7FEE" w:rsidRDefault="00B63BF3" w:rsidP="00B63BF3">
      <w:pPr>
        <w:pStyle w:val="texto"/>
        <w:tabs>
          <w:tab w:val="num" w:pos="284"/>
          <w:tab w:val="num" w:pos="720"/>
        </w:tabs>
        <w:rPr>
          <w:szCs w:val="26"/>
          <w:lang w:val="es-ES" w:eastAsia="es-ES"/>
        </w:rPr>
      </w:pPr>
      <w:r>
        <w:rPr>
          <w:szCs w:val="26"/>
          <w:lang w:val="es-ES" w:eastAsia="es-ES"/>
        </w:rPr>
        <w:t>Además, según el acuerdo de financiación firmado entre Sodena y Davalor, cuando concluya la I.1ª fase –junio de 2017– y en función de los resultados o</w:t>
      </w:r>
      <w:r>
        <w:rPr>
          <w:szCs w:val="26"/>
          <w:lang w:val="es-ES" w:eastAsia="es-ES"/>
        </w:rPr>
        <w:t>b</w:t>
      </w:r>
      <w:r>
        <w:rPr>
          <w:szCs w:val="26"/>
          <w:lang w:val="es-ES" w:eastAsia="es-ES"/>
        </w:rPr>
        <w:t xml:space="preserve">servados en el testeo en el mercado de las </w:t>
      </w:r>
      <w:proofErr w:type="spellStart"/>
      <w:r>
        <w:rPr>
          <w:szCs w:val="26"/>
          <w:lang w:val="es-ES" w:eastAsia="es-ES"/>
        </w:rPr>
        <w:t>EVAs</w:t>
      </w:r>
      <w:proofErr w:type="spellEnd"/>
      <w:r>
        <w:rPr>
          <w:szCs w:val="26"/>
          <w:lang w:val="es-ES" w:eastAsia="es-ES"/>
        </w:rPr>
        <w:t xml:space="preserve"> y del cumplimiento del resto de requisitos impuestos a Davalor, Sodena podrá conceder préstamos adicion</w:t>
      </w:r>
      <w:r>
        <w:rPr>
          <w:szCs w:val="26"/>
          <w:lang w:val="es-ES" w:eastAsia="es-ES"/>
        </w:rPr>
        <w:t>a</w:t>
      </w:r>
      <w:r>
        <w:rPr>
          <w:szCs w:val="26"/>
          <w:lang w:val="es-ES" w:eastAsia="es-ES"/>
        </w:rPr>
        <w:t xml:space="preserve">les hasta un máximo de </w:t>
      </w:r>
      <w:r w:rsidRPr="00BB7FEE">
        <w:rPr>
          <w:szCs w:val="26"/>
          <w:lang w:val="es-ES" w:eastAsia="es-ES"/>
        </w:rPr>
        <w:t>1,25 millones de euros.</w:t>
      </w:r>
    </w:p>
    <w:p w:rsidR="00B63BF3" w:rsidRDefault="00B63BF3" w:rsidP="00B63BF3">
      <w:pPr>
        <w:pStyle w:val="texto"/>
        <w:tabs>
          <w:tab w:val="num" w:pos="284"/>
          <w:tab w:val="num" w:pos="720"/>
        </w:tabs>
        <w:rPr>
          <w:szCs w:val="26"/>
          <w:lang w:val="es-ES" w:eastAsia="es-ES"/>
        </w:rPr>
      </w:pPr>
      <w:r>
        <w:rPr>
          <w:szCs w:val="26"/>
          <w:lang w:val="es-ES" w:eastAsia="es-ES"/>
        </w:rPr>
        <w:t>Del análisis del citado cuadro 1, destacamos los siguientes aspectos:</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0E554D">
        <w:rPr>
          <w:rFonts w:cs="Arial"/>
        </w:rPr>
        <w:t>De los tres préstamos, solo el primero es participativo; los otros dos son préstamos financiados dentro del programa del Banco Europeo de Inversiones</w:t>
      </w:r>
      <w:r>
        <w:rPr>
          <w:rFonts w:cs="Arial"/>
        </w:rPr>
        <w:t xml:space="preserve"> concertado por Sodena</w:t>
      </w:r>
      <w:r w:rsidRPr="000E554D">
        <w:rPr>
          <w:rFonts w:cs="Arial"/>
        </w:rPr>
        <w:t>.</w:t>
      </w:r>
    </w:p>
    <w:p w:rsidR="00B63BF3" w:rsidRPr="000E554D"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Estos dos últimos préstamos reúnen la característica de ser convertibles, a decisión de Sodena, en participativos o en toma de capital de Davalor.</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0E554D">
        <w:rPr>
          <w:rFonts w:cs="Arial"/>
        </w:rPr>
        <w:t xml:space="preserve">En cuanto al tipo de interés, todos ellos están referenciados al </w:t>
      </w:r>
      <w:r>
        <w:rPr>
          <w:rFonts w:cs="Arial"/>
        </w:rPr>
        <w:t>e</w:t>
      </w:r>
      <w:r w:rsidRPr="000E554D">
        <w:rPr>
          <w:rFonts w:cs="Arial"/>
        </w:rPr>
        <w:t>uribor a 12 meses más un diferencial del cinco por ciento</w:t>
      </w:r>
      <w:r>
        <w:rPr>
          <w:rFonts w:cs="Arial"/>
        </w:rPr>
        <w:t xml:space="preserve"> (o 500 puntos básicos)</w:t>
      </w:r>
      <w:r w:rsidRPr="000E554D">
        <w:rPr>
          <w:rFonts w:cs="Arial"/>
        </w:rPr>
        <w:t>; el pré</w:t>
      </w:r>
      <w:r w:rsidRPr="000E554D">
        <w:rPr>
          <w:rFonts w:cs="Arial"/>
        </w:rPr>
        <w:t>s</w:t>
      </w:r>
      <w:r w:rsidRPr="000E554D">
        <w:rPr>
          <w:rFonts w:cs="Arial"/>
        </w:rPr>
        <w:t xml:space="preserve">tamo participativo incluye además </w:t>
      </w:r>
      <w:r>
        <w:rPr>
          <w:rFonts w:cs="Arial"/>
        </w:rPr>
        <w:t>u</w:t>
      </w:r>
      <w:r w:rsidRPr="000E554D">
        <w:rPr>
          <w:rFonts w:cs="Arial"/>
        </w:rPr>
        <w:t>n tipo de interés variable ligado a los resu</w:t>
      </w:r>
      <w:r w:rsidRPr="000E554D">
        <w:rPr>
          <w:rFonts w:cs="Arial"/>
        </w:rPr>
        <w:t>l</w:t>
      </w:r>
      <w:r w:rsidRPr="000E554D">
        <w:rPr>
          <w:rFonts w:cs="Arial"/>
        </w:rPr>
        <w:t>tados</w:t>
      </w:r>
      <w:r>
        <w:rPr>
          <w:rFonts w:cs="Arial"/>
        </w:rPr>
        <w:t xml:space="preserve"> positivos de cada ejercicio</w:t>
      </w:r>
      <w:r w:rsidRPr="000E554D">
        <w:rPr>
          <w:rFonts w:cs="Arial"/>
        </w:rPr>
        <w:t xml:space="preserve"> obtenidos por Davalor. </w:t>
      </w:r>
      <w:r>
        <w:rPr>
          <w:rFonts w:cs="Arial"/>
        </w:rPr>
        <w:t>Estos tipos, en opinión de Sodena, son equiparables a las actuales condiciones de mercado.</w:t>
      </w:r>
    </w:p>
    <w:p w:rsidR="00B63BF3" w:rsidRPr="000E554D"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La liquidación de intereses es semestral para el primer préstamo y anual para los otros dos. También es anual la liquidación de intereses vinculados a los resultados positivos obtenidos por Davalor.</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0E554D">
        <w:rPr>
          <w:rFonts w:cs="Arial"/>
        </w:rPr>
        <w:t>El préstamo participativo se amortizar</w:t>
      </w:r>
      <w:r>
        <w:rPr>
          <w:rFonts w:cs="Arial"/>
        </w:rPr>
        <w:t>á</w:t>
      </w:r>
      <w:r w:rsidRPr="000E554D">
        <w:rPr>
          <w:rFonts w:cs="Arial"/>
        </w:rPr>
        <w:t>, una vez superado el periodo de c</w:t>
      </w:r>
      <w:r w:rsidRPr="000E554D">
        <w:rPr>
          <w:rFonts w:cs="Arial"/>
        </w:rPr>
        <w:t>a</w:t>
      </w:r>
      <w:r w:rsidRPr="000E554D">
        <w:rPr>
          <w:rFonts w:cs="Arial"/>
        </w:rPr>
        <w:t>rencia de dos años, en dos cuotas anuales constantes</w:t>
      </w:r>
      <w:r>
        <w:rPr>
          <w:rFonts w:cs="Arial"/>
        </w:rPr>
        <w:t>; l</w:t>
      </w:r>
      <w:r w:rsidRPr="000E554D">
        <w:rPr>
          <w:rFonts w:cs="Arial"/>
        </w:rPr>
        <w:t xml:space="preserve">os otros dos se amortizan en su totalidad al final del periodo de vigencia </w:t>
      </w:r>
      <w:r>
        <w:rPr>
          <w:rFonts w:cs="Arial"/>
        </w:rPr>
        <w:t>–</w:t>
      </w:r>
      <w:r w:rsidRPr="000E554D">
        <w:rPr>
          <w:rFonts w:cs="Arial"/>
        </w:rPr>
        <w:t>tres años</w:t>
      </w:r>
      <w:r>
        <w:rPr>
          <w:rFonts w:cs="Arial"/>
        </w:rPr>
        <w:t xml:space="preserve">–. </w:t>
      </w:r>
      <w:r w:rsidRPr="000E554D">
        <w:rPr>
          <w:rFonts w:cs="Arial"/>
        </w:rPr>
        <w:t>En principio, todos estarán amortizados a finales de 2019.</w:t>
      </w:r>
    </w:p>
    <w:p w:rsidR="00621A26" w:rsidRDefault="00621A26" w:rsidP="00621A26">
      <w:pPr>
        <w:pStyle w:val="texto"/>
        <w:tabs>
          <w:tab w:val="num" w:pos="284"/>
          <w:tab w:val="num" w:pos="720"/>
        </w:tabs>
        <w:rPr>
          <w:szCs w:val="26"/>
          <w:lang w:val="es-ES" w:eastAsia="es-ES"/>
        </w:rPr>
      </w:pPr>
      <w:r>
        <w:rPr>
          <w:szCs w:val="26"/>
          <w:lang w:val="es-ES" w:eastAsia="es-ES"/>
        </w:rPr>
        <w:t xml:space="preserve"> </w:t>
      </w:r>
    </w:p>
    <w:p w:rsidR="00621A26" w:rsidRDefault="00621A26" w:rsidP="00621A26">
      <w:pPr>
        <w:spacing w:after="0"/>
        <w:ind w:firstLine="0"/>
        <w:jc w:val="left"/>
        <w:rPr>
          <w:color w:val="FF0000"/>
          <w:lang w:val="es-ES" w:eastAsia="es-ES"/>
        </w:rPr>
        <w:sectPr w:rsidR="00621A26" w:rsidSect="002B46AD">
          <w:headerReference w:type="default" r:id="rId18"/>
          <w:footerReference w:type="default" r:id="rId19"/>
          <w:pgSz w:w="11907" w:h="16840" w:code="9"/>
          <w:pgMar w:top="2109" w:right="1559" w:bottom="1644" w:left="1559" w:header="369" w:footer="113" w:gutter="0"/>
          <w:pgNumType w:start="3"/>
          <w:cols w:space="720"/>
          <w:docGrid w:linePitch="360"/>
        </w:sectPr>
      </w:pPr>
    </w:p>
    <w:p w:rsidR="00621A26" w:rsidRPr="00796E04" w:rsidRDefault="00621A26" w:rsidP="00621A26">
      <w:pPr>
        <w:spacing w:after="0"/>
        <w:ind w:firstLine="0"/>
        <w:jc w:val="left"/>
        <w:rPr>
          <w:lang w:val="es-ES" w:eastAsia="es-ES"/>
        </w:rPr>
      </w:pPr>
    </w:p>
    <w:p w:rsidR="00621A26" w:rsidRPr="00796E04" w:rsidRDefault="00621A26" w:rsidP="00621A26">
      <w:pPr>
        <w:spacing w:after="0"/>
        <w:ind w:firstLine="0"/>
        <w:jc w:val="left"/>
        <w:rPr>
          <w:lang w:val="es-ES" w:eastAsia="es-ES"/>
        </w:rPr>
      </w:pPr>
    </w:p>
    <w:p w:rsidR="00621A26" w:rsidRPr="00796E04" w:rsidRDefault="00621A26" w:rsidP="00272E6C">
      <w:pPr>
        <w:pStyle w:val="Titulocuadro"/>
        <w:ind w:firstLine="0"/>
        <w:jc w:val="left"/>
        <w:rPr>
          <w:rFonts w:ascii="Arial" w:hAnsi="Arial" w:cs="Arial"/>
          <w:i w:val="0"/>
          <w:sz w:val="24"/>
          <w:szCs w:val="24"/>
        </w:rPr>
      </w:pPr>
      <w:r w:rsidRPr="00796E04">
        <w:rPr>
          <w:rFonts w:ascii="Arial" w:hAnsi="Arial" w:cs="Arial"/>
          <w:i w:val="0"/>
          <w:sz w:val="24"/>
          <w:szCs w:val="24"/>
        </w:rPr>
        <w:t xml:space="preserve">Cuadro 1. Préstamos concedidos por Sodena a Davalor Salud </w:t>
      </w:r>
    </w:p>
    <w:p w:rsidR="00621A26" w:rsidRPr="00796E04" w:rsidRDefault="00621A26" w:rsidP="00621A26">
      <w:pPr>
        <w:spacing w:after="0"/>
        <w:ind w:firstLine="0"/>
        <w:jc w:val="left"/>
        <w:rPr>
          <w:lang w:val="es-ES" w:eastAsia="es-ES"/>
        </w:rPr>
      </w:pPr>
    </w:p>
    <w:p w:rsidR="00621A26" w:rsidRPr="00796E04" w:rsidRDefault="00621A26" w:rsidP="00621A26">
      <w:pPr>
        <w:spacing w:after="0"/>
        <w:ind w:firstLine="0"/>
        <w:jc w:val="left"/>
        <w:rPr>
          <w:lang w:val="es-ES" w:eastAsia="es-ES"/>
        </w:rPr>
      </w:pPr>
    </w:p>
    <w:tbl>
      <w:tblPr>
        <w:tblW w:w="14598" w:type="dxa"/>
        <w:tblInd w:w="-356" w:type="dxa"/>
        <w:tblCellMar>
          <w:left w:w="70" w:type="dxa"/>
          <w:right w:w="70" w:type="dxa"/>
        </w:tblCellMar>
        <w:tblLook w:val="04A0" w:firstRow="1" w:lastRow="0" w:firstColumn="1" w:lastColumn="0" w:noHBand="0" w:noVBand="1"/>
      </w:tblPr>
      <w:tblGrid>
        <w:gridCol w:w="1477"/>
        <w:gridCol w:w="1556"/>
        <w:gridCol w:w="3122"/>
        <w:gridCol w:w="995"/>
        <w:gridCol w:w="2509"/>
        <w:gridCol w:w="1830"/>
        <w:gridCol w:w="1426"/>
        <w:gridCol w:w="1683"/>
      </w:tblGrid>
      <w:tr w:rsidR="00621A26" w:rsidRPr="003410EB" w:rsidTr="00D31322">
        <w:trPr>
          <w:trHeight w:val="255"/>
        </w:trPr>
        <w:tc>
          <w:tcPr>
            <w:tcW w:w="1477" w:type="dxa"/>
            <w:tcBorders>
              <w:top w:val="single" w:sz="4" w:space="0" w:color="auto"/>
              <w:bottom w:val="single" w:sz="4" w:space="0" w:color="auto"/>
            </w:tcBorders>
            <w:shd w:val="clear" w:color="auto" w:fill="A0C3E3" w:themeFill="accent1" w:themeFillTint="99"/>
            <w:noWrap/>
            <w:vAlign w:val="center"/>
            <w:hideMark/>
          </w:tcPr>
          <w:p w:rsidR="00621A26" w:rsidRPr="003410EB" w:rsidRDefault="00621A26" w:rsidP="003410EB">
            <w:pPr>
              <w:pStyle w:val="cuadroCabe"/>
              <w:jc w:val="left"/>
              <w:rPr>
                <w:rFonts w:cs="Arial"/>
                <w:lang w:val="es-ES" w:eastAsia="es-ES"/>
              </w:rPr>
            </w:pPr>
            <w:r w:rsidRPr="003410EB">
              <w:rPr>
                <w:rFonts w:cs="Arial"/>
                <w:lang w:val="es-ES" w:eastAsia="es-ES"/>
              </w:rPr>
              <w:t>Préstamos</w:t>
            </w:r>
          </w:p>
        </w:tc>
        <w:tc>
          <w:tcPr>
            <w:tcW w:w="1556" w:type="dxa"/>
            <w:tcBorders>
              <w:top w:val="single" w:sz="4" w:space="0" w:color="auto"/>
              <w:bottom w:val="single" w:sz="4" w:space="0" w:color="auto"/>
            </w:tcBorders>
            <w:shd w:val="clear" w:color="auto" w:fill="A0C3E3" w:themeFill="accent1" w:themeFillTint="99"/>
            <w:vAlign w:val="center"/>
          </w:tcPr>
          <w:p w:rsidR="00621A26" w:rsidRPr="003410EB" w:rsidRDefault="00621A26" w:rsidP="00272E6C">
            <w:pPr>
              <w:pStyle w:val="cuadroCabe"/>
              <w:jc w:val="left"/>
              <w:rPr>
                <w:rFonts w:cs="Arial"/>
                <w:lang w:val="es-ES" w:eastAsia="es-ES"/>
              </w:rPr>
            </w:pPr>
            <w:r w:rsidRPr="003410EB">
              <w:rPr>
                <w:rFonts w:cs="Arial"/>
                <w:lang w:val="es-ES" w:eastAsia="es-ES"/>
              </w:rPr>
              <w:t>Fecha conc</w:t>
            </w:r>
            <w:r w:rsidRPr="003410EB">
              <w:rPr>
                <w:rFonts w:cs="Arial"/>
                <w:lang w:val="es-ES" w:eastAsia="es-ES"/>
              </w:rPr>
              <w:t>e</w:t>
            </w:r>
            <w:r w:rsidRPr="003410EB">
              <w:rPr>
                <w:rFonts w:cs="Arial"/>
                <w:lang w:val="es-ES" w:eastAsia="es-ES"/>
              </w:rPr>
              <w:t>sión formalizada</w:t>
            </w:r>
          </w:p>
        </w:tc>
        <w:tc>
          <w:tcPr>
            <w:tcW w:w="3122" w:type="dxa"/>
            <w:tcBorders>
              <w:top w:val="single" w:sz="4" w:space="0" w:color="auto"/>
              <w:bottom w:val="single" w:sz="4" w:space="0" w:color="auto"/>
            </w:tcBorders>
            <w:shd w:val="clear" w:color="auto" w:fill="A0C3E3" w:themeFill="accent1" w:themeFillTint="99"/>
            <w:noWrap/>
            <w:vAlign w:val="center"/>
          </w:tcPr>
          <w:p w:rsidR="00621A26" w:rsidRPr="003410EB" w:rsidRDefault="00621A26" w:rsidP="003410EB">
            <w:pPr>
              <w:pStyle w:val="cuadroCabe"/>
              <w:jc w:val="left"/>
              <w:rPr>
                <w:rFonts w:cs="Arial"/>
                <w:lang w:val="es-ES" w:eastAsia="es-ES"/>
              </w:rPr>
            </w:pPr>
            <w:r w:rsidRPr="003410EB">
              <w:rPr>
                <w:rFonts w:cs="Arial"/>
                <w:lang w:val="es-ES" w:eastAsia="es-ES"/>
              </w:rPr>
              <w:t>Características</w:t>
            </w:r>
          </w:p>
        </w:tc>
        <w:tc>
          <w:tcPr>
            <w:tcW w:w="995" w:type="dxa"/>
            <w:tcBorders>
              <w:top w:val="single" w:sz="4" w:space="0" w:color="auto"/>
              <w:bottom w:val="single" w:sz="4" w:space="0" w:color="auto"/>
            </w:tcBorders>
            <w:shd w:val="clear" w:color="auto" w:fill="A0C3E3" w:themeFill="accent1" w:themeFillTint="99"/>
            <w:noWrap/>
            <w:vAlign w:val="center"/>
          </w:tcPr>
          <w:p w:rsidR="00621A26" w:rsidRPr="003410EB" w:rsidRDefault="00621A26" w:rsidP="003410EB">
            <w:pPr>
              <w:pStyle w:val="cuadroCabe"/>
              <w:jc w:val="right"/>
              <w:rPr>
                <w:rFonts w:cs="Arial"/>
                <w:lang w:val="es-ES" w:eastAsia="es-ES"/>
              </w:rPr>
            </w:pPr>
            <w:r w:rsidRPr="003410EB">
              <w:rPr>
                <w:rFonts w:cs="Arial"/>
                <w:lang w:val="es-ES" w:eastAsia="es-ES"/>
              </w:rPr>
              <w:t>Importe</w:t>
            </w:r>
          </w:p>
        </w:tc>
        <w:tc>
          <w:tcPr>
            <w:tcW w:w="2509" w:type="dxa"/>
            <w:tcBorders>
              <w:top w:val="single" w:sz="4" w:space="0" w:color="auto"/>
              <w:bottom w:val="single" w:sz="4" w:space="0" w:color="auto"/>
            </w:tcBorders>
            <w:shd w:val="clear" w:color="auto" w:fill="A0C3E3" w:themeFill="accent1" w:themeFillTint="99"/>
            <w:vAlign w:val="center"/>
          </w:tcPr>
          <w:p w:rsidR="00621A26" w:rsidRPr="003410EB" w:rsidRDefault="00621A26" w:rsidP="00D31322">
            <w:pPr>
              <w:pStyle w:val="cuadroCabe"/>
              <w:ind w:firstLine="152"/>
              <w:jc w:val="left"/>
              <w:rPr>
                <w:rFonts w:cs="Arial"/>
                <w:lang w:val="es-ES" w:eastAsia="es-ES"/>
              </w:rPr>
            </w:pPr>
            <w:r w:rsidRPr="003410EB">
              <w:rPr>
                <w:rFonts w:cs="Arial"/>
                <w:lang w:val="es-ES" w:eastAsia="es-ES"/>
              </w:rPr>
              <w:t>Intereses</w:t>
            </w:r>
          </w:p>
        </w:tc>
        <w:tc>
          <w:tcPr>
            <w:tcW w:w="1830" w:type="dxa"/>
            <w:tcBorders>
              <w:top w:val="single" w:sz="4" w:space="0" w:color="auto"/>
              <w:bottom w:val="single" w:sz="4" w:space="0" w:color="auto"/>
            </w:tcBorders>
            <w:shd w:val="clear" w:color="auto" w:fill="A0C3E3" w:themeFill="accent1" w:themeFillTint="99"/>
            <w:vAlign w:val="center"/>
          </w:tcPr>
          <w:p w:rsidR="00621A26" w:rsidRPr="003410EB" w:rsidRDefault="00621A26" w:rsidP="003410EB">
            <w:pPr>
              <w:pStyle w:val="cuadroCabe"/>
              <w:jc w:val="left"/>
              <w:rPr>
                <w:rFonts w:cs="Arial"/>
                <w:lang w:val="es-ES" w:eastAsia="es-ES"/>
              </w:rPr>
            </w:pPr>
            <w:r w:rsidRPr="003410EB">
              <w:rPr>
                <w:rFonts w:cs="Arial"/>
                <w:lang w:val="es-ES" w:eastAsia="es-ES"/>
              </w:rPr>
              <w:t>Sistema amortiz</w:t>
            </w:r>
            <w:r w:rsidRPr="003410EB">
              <w:rPr>
                <w:rFonts w:cs="Arial"/>
                <w:lang w:val="es-ES" w:eastAsia="es-ES"/>
              </w:rPr>
              <w:t>a</w:t>
            </w:r>
            <w:r w:rsidRPr="003410EB">
              <w:rPr>
                <w:rFonts w:cs="Arial"/>
                <w:lang w:val="es-ES" w:eastAsia="es-ES"/>
              </w:rPr>
              <w:t>ción del principal</w:t>
            </w:r>
          </w:p>
        </w:tc>
        <w:tc>
          <w:tcPr>
            <w:tcW w:w="1426" w:type="dxa"/>
            <w:tcBorders>
              <w:top w:val="single" w:sz="4" w:space="0" w:color="auto"/>
              <w:bottom w:val="single" w:sz="4" w:space="0" w:color="auto"/>
            </w:tcBorders>
            <w:shd w:val="clear" w:color="auto" w:fill="A0C3E3" w:themeFill="accent1" w:themeFillTint="99"/>
            <w:vAlign w:val="center"/>
          </w:tcPr>
          <w:p w:rsidR="00621A26" w:rsidRPr="003410EB" w:rsidRDefault="00621A26" w:rsidP="003410EB">
            <w:pPr>
              <w:pStyle w:val="cuadroCabe"/>
              <w:jc w:val="left"/>
              <w:rPr>
                <w:rFonts w:cs="Arial"/>
                <w:lang w:val="es-ES" w:eastAsia="es-ES"/>
              </w:rPr>
            </w:pPr>
            <w:r w:rsidRPr="003410EB">
              <w:rPr>
                <w:rFonts w:cs="Arial"/>
                <w:lang w:val="es-ES" w:eastAsia="es-ES"/>
              </w:rPr>
              <w:t>Fecha canc</w:t>
            </w:r>
            <w:r w:rsidRPr="003410EB">
              <w:rPr>
                <w:rFonts w:cs="Arial"/>
                <w:lang w:val="es-ES" w:eastAsia="es-ES"/>
              </w:rPr>
              <w:t>e</w:t>
            </w:r>
            <w:r w:rsidRPr="003410EB">
              <w:rPr>
                <w:rFonts w:cs="Arial"/>
                <w:lang w:val="es-ES" w:eastAsia="es-ES"/>
              </w:rPr>
              <w:t>lación prevista</w:t>
            </w:r>
          </w:p>
        </w:tc>
        <w:tc>
          <w:tcPr>
            <w:tcW w:w="1683" w:type="dxa"/>
            <w:tcBorders>
              <w:top w:val="single" w:sz="4" w:space="0" w:color="auto"/>
              <w:bottom w:val="single" w:sz="4" w:space="0" w:color="auto"/>
            </w:tcBorders>
            <w:shd w:val="clear" w:color="auto" w:fill="A0C3E3" w:themeFill="accent1" w:themeFillTint="99"/>
            <w:vAlign w:val="center"/>
          </w:tcPr>
          <w:p w:rsidR="00621A26" w:rsidRPr="003410EB" w:rsidRDefault="00621A26" w:rsidP="003410EB">
            <w:pPr>
              <w:pStyle w:val="cuadroCabe"/>
              <w:jc w:val="right"/>
              <w:rPr>
                <w:rFonts w:cs="Arial"/>
                <w:lang w:val="es-ES" w:eastAsia="es-ES"/>
              </w:rPr>
            </w:pPr>
            <w:r w:rsidRPr="003410EB">
              <w:rPr>
                <w:rFonts w:cs="Arial"/>
                <w:lang w:val="es-ES" w:eastAsia="es-ES"/>
              </w:rPr>
              <w:t>Destino fondos</w:t>
            </w:r>
          </w:p>
        </w:tc>
      </w:tr>
      <w:tr w:rsidR="00621A26" w:rsidRPr="003410EB" w:rsidTr="00D31322">
        <w:trPr>
          <w:trHeight w:val="255"/>
        </w:trPr>
        <w:tc>
          <w:tcPr>
            <w:tcW w:w="1477" w:type="dxa"/>
            <w:tcBorders>
              <w:top w:val="single" w:sz="4" w:space="0" w:color="auto"/>
              <w:bottom w:val="single" w:sz="2" w:space="0" w:color="auto"/>
            </w:tcBorders>
            <w:shd w:val="clear" w:color="000000" w:fill="FFFFFF"/>
            <w:noWrap/>
            <w:vAlign w:val="center"/>
          </w:tcPr>
          <w:p w:rsidR="00621A26" w:rsidRPr="003410EB" w:rsidRDefault="00621A26" w:rsidP="00272E6C">
            <w:pPr>
              <w:pStyle w:val="cuatexto"/>
              <w:jc w:val="left"/>
              <w:rPr>
                <w:sz w:val="18"/>
                <w:szCs w:val="18"/>
              </w:rPr>
            </w:pPr>
            <w:r w:rsidRPr="003410EB">
              <w:rPr>
                <w:sz w:val="18"/>
                <w:szCs w:val="18"/>
              </w:rPr>
              <w:t>1</w:t>
            </w:r>
            <w:r w:rsidR="00272E6C">
              <w:rPr>
                <w:sz w:val="18"/>
                <w:szCs w:val="18"/>
              </w:rPr>
              <w:t>º</w:t>
            </w:r>
            <w:r w:rsidRPr="003410EB">
              <w:rPr>
                <w:sz w:val="18"/>
                <w:szCs w:val="18"/>
              </w:rPr>
              <w:t xml:space="preserve"> préstamo</w:t>
            </w:r>
          </w:p>
        </w:tc>
        <w:tc>
          <w:tcPr>
            <w:tcW w:w="1556" w:type="dxa"/>
            <w:tcBorders>
              <w:top w:val="single" w:sz="4" w:space="0" w:color="auto"/>
              <w:bottom w:val="single" w:sz="2" w:space="0" w:color="auto"/>
            </w:tcBorders>
            <w:shd w:val="clear" w:color="000000" w:fill="FFFFFF"/>
            <w:vAlign w:val="center"/>
          </w:tcPr>
          <w:p w:rsidR="00621A26" w:rsidRPr="003410EB" w:rsidRDefault="00621A26" w:rsidP="00272E6C">
            <w:pPr>
              <w:pStyle w:val="cuatexto"/>
              <w:ind w:right="30"/>
              <w:jc w:val="left"/>
              <w:rPr>
                <w:sz w:val="18"/>
                <w:szCs w:val="18"/>
              </w:rPr>
            </w:pPr>
            <w:r w:rsidRPr="003410EB">
              <w:rPr>
                <w:sz w:val="18"/>
                <w:szCs w:val="18"/>
              </w:rPr>
              <w:t>Octubre de 2015</w:t>
            </w:r>
          </w:p>
        </w:tc>
        <w:tc>
          <w:tcPr>
            <w:tcW w:w="3122" w:type="dxa"/>
            <w:tcBorders>
              <w:top w:val="single" w:sz="4" w:space="0" w:color="auto"/>
              <w:bottom w:val="single" w:sz="2" w:space="0" w:color="auto"/>
            </w:tcBorders>
            <w:shd w:val="clear" w:color="000000" w:fill="FFFFFF"/>
            <w:noWrap/>
            <w:vAlign w:val="center"/>
          </w:tcPr>
          <w:p w:rsidR="00621A26" w:rsidRPr="003410EB" w:rsidRDefault="00621A26" w:rsidP="003410EB">
            <w:pPr>
              <w:pStyle w:val="cuatexto"/>
              <w:ind w:right="30"/>
              <w:jc w:val="left"/>
              <w:rPr>
                <w:sz w:val="18"/>
                <w:szCs w:val="18"/>
              </w:rPr>
            </w:pPr>
            <w:r w:rsidRPr="003410EB">
              <w:rPr>
                <w:sz w:val="18"/>
                <w:szCs w:val="18"/>
              </w:rPr>
              <w:t xml:space="preserve">Préstamo participativo </w:t>
            </w:r>
          </w:p>
        </w:tc>
        <w:tc>
          <w:tcPr>
            <w:tcW w:w="995" w:type="dxa"/>
            <w:tcBorders>
              <w:top w:val="single" w:sz="4" w:space="0" w:color="auto"/>
              <w:bottom w:val="single" w:sz="2" w:space="0" w:color="auto"/>
            </w:tcBorders>
            <w:shd w:val="clear" w:color="000000" w:fill="FFFFFF"/>
            <w:noWrap/>
            <w:vAlign w:val="center"/>
          </w:tcPr>
          <w:p w:rsidR="00621A26" w:rsidRPr="00D31322" w:rsidRDefault="00621A26" w:rsidP="003410EB">
            <w:pPr>
              <w:pStyle w:val="cuatexto"/>
              <w:ind w:right="30"/>
              <w:jc w:val="right"/>
              <w:rPr>
                <w:szCs w:val="20"/>
              </w:rPr>
            </w:pPr>
            <w:r w:rsidRPr="00D31322">
              <w:rPr>
                <w:szCs w:val="20"/>
              </w:rPr>
              <w:t>1.000.000</w:t>
            </w:r>
          </w:p>
        </w:tc>
        <w:tc>
          <w:tcPr>
            <w:tcW w:w="2509" w:type="dxa"/>
            <w:tcBorders>
              <w:top w:val="single" w:sz="4" w:space="0" w:color="auto"/>
              <w:bottom w:val="single" w:sz="2" w:space="0" w:color="auto"/>
            </w:tcBorders>
            <w:shd w:val="clear" w:color="000000" w:fill="FFFFFF"/>
            <w:vAlign w:val="center"/>
          </w:tcPr>
          <w:p w:rsidR="00621A26" w:rsidRPr="003410EB" w:rsidRDefault="00621A26" w:rsidP="003410EB">
            <w:pPr>
              <w:pStyle w:val="cuatexto"/>
              <w:numPr>
                <w:ilvl w:val="0"/>
                <w:numId w:val="5"/>
              </w:numPr>
              <w:ind w:left="214" w:right="30" w:hanging="142"/>
              <w:jc w:val="left"/>
              <w:rPr>
                <w:sz w:val="18"/>
                <w:szCs w:val="18"/>
              </w:rPr>
            </w:pPr>
            <w:r w:rsidRPr="003410EB">
              <w:rPr>
                <w:sz w:val="18"/>
                <w:szCs w:val="18"/>
              </w:rPr>
              <w:t>Tipo fijo: Euribor a 12 meses + 5%</w:t>
            </w:r>
          </w:p>
          <w:p w:rsidR="00621A26" w:rsidRPr="003410EB" w:rsidRDefault="00621A26" w:rsidP="003410EB">
            <w:pPr>
              <w:pStyle w:val="cuatexto"/>
              <w:numPr>
                <w:ilvl w:val="0"/>
                <w:numId w:val="5"/>
              </w:numPr>
              <w:ind w:left="214" w:right="30" w:hanging="142"/>
              <w:jc w:val="left"/>
              <w:rPr>
                <w:sz w:val="18"/>
                <w:szCs w:val="18"/>
              </w:rPr>
            </w:pPr>
            <w:r w:rsidRPr="003410EB">
              <w:rPr>
                <w:sz w:val="18"/>
                <w:szCs w:val="18"/>
              </w:rPr>
              <w:t>Tipo variable participativo: 1% del resultado positivos después de impuestos</w:t>
            </w:r>
          </w:p>
          <w:p w:rsidR="00621A26" w:rsidRPr="003410EB" w:rsidRDefault="00621A26" w:rsidP="003410EB">
            <w:pPr>
              <w:pStyle w:val="cuatexto"/>
              <w:numPr>
                <w:ilvl w:val="0"/>
                <w:numId w:val="5"/>
              </w:numPr>
              <w:ind w:left="214" w:right="30" w:hanging="142"/>
              <w:jc w:val="left"/>
              <w:rPr>
                <w:sz w:val="18"/>
                <w:szCs w:val="18"/>
              </w:rPr>
            </w:pPr>
            <w:r w:rsidRPr="003410EB">
              <w:rPr>
                <w:sz w:val="18"/>
                <w:szCs w:val="18"/>
              </w:rPr>
              <w:t>Liquidaciones semestrales y anuales</w:t>
            </w:r>
          </w:p>
        </w:tc>
        <w:tc>
          <w:tcPr>
            <w:tcW w:w="1830" w:type="dxa"/>
            <w:tcBorders>
              <w:top w:val="single" w:sz="4" w:space="0" w:color="auto"/>
              <w:bottom w:val="single" w:sz="2" w:space="0" w:color="auto"/>
            </w:tcBorders>
            <w:shd w:val="clear" w:color="000000" w:fill="FFFFFF"/>
            <w:vAlign w:val="center"/>
          </w:tcPr>
          <w:p w:rsidR="00621A26" w:rsidRPr="003410EB" w:rsidRDefault="00621A26" w:rsidP="003410EB">
            <w:pPr>
              <w:pStyle w:val="cuatexto"/>
              <w:ind w:right="30"/>
              <w:jc w:val="left"/>
              <w:rPr>
                <w:sz w:val="18"/>
                <w:szCs w:val="18"/>
              </w:rPr>
            </w:pPr>
            <w:r w:rsidRPr="003410EB">
              <w:rPr>
                <w:sz w:val="18"/>
                <w:szCs w:val="18"/>
              </w:rPr>
              <w:t>En 4 años, con dos de carencia.</w:t>
            </w:r>
          </w:p>
        </w:tc>
        <w:tc>
          <w:tcPr>
            <w:tcW w:w="1426" w:type="dxa"/>
            <w:tcBorders>
              <w:top w:val="single" w:sz="4" w:space="0" w:color="auto"/>
              <w:bottom w:val="single" w:sz="2" w:space="0" w:color="auto"/>
            </w:tcBorders>
            <w:shd w:val="clear" w:color="000000" w:fill="FFFFFF"/>
            <w:vAlign w:val="center"/>
          </w:tcPr>
          <w:p w:rsidR="00621A26" w:rsidRPr="003410EB" w:rsidRDefault="00621A26" w:rsidP="003410EB">
            <w:pPr>
              <w:pStyle w:val="cuatexto"/>
              <w:ind w:right="30"/>
              <w:jc w:val="left"/>
              <w:rPr>
                <w:sz w:val="18"/>
                <w:szCs w:val="18"/>
              </w:rPr>
            </w:pPr>
            <w:r w:rsidRPr="003410EB">
              <w:rPr>
                <w:sz w:val="18"/>
                <w:szCs w:val="18"/>
              </w:rPr>
              <w:t>Octubre de 2019</w:t>
            </w:r>
          </w:p>
        </w:tc>
        <w:tc>
          <w:tcPr>
            <w:tcW w:w="1683" w:type="dxa"/>
            <w:tcBorders>
              <w:top w:val="single" w:sz="4" w:space="0" w:color="auto"/>
              <w:bottom w:val="single" w:sz="2" w:space="0" w:color="auto"/>
            </w:tcBorders>
            <w:shd w:val="clear" w:color="000000" w:fill="FFFFFF"/>
            <w:vAlign w:val="center"/>
          </w:tcPr>
          <w:p w:rsidR="00621A26" w:rsidRPr="003410EB" w:rsidRDefault="00621A26" w:rsidP="003410EB">
            <w:pPr>
              <w:pStyle w:val="cuatexto"/>
              <w:ind w:right="30"/>
              <w:jc w:val="right"/>
              <w:rPr>
                <w:sz w:val="18"/>
                <w:szCs w:val="18"/>
              </w:rPr>
            </w:pPr>
            <w:r w:rsidRPr="003410EB">
              <w:rPr>
                <w:sz w:val="18"/>
                <w:szCs w:val="18"/>
              </w:rPr>
              <w:t>Financiar diversos gastos</w:t>
            </w:r>
          </w:p>
        </w:tc>
      </w:tr>
      <w:tr w:rsidR="00621A26" w:rsidRPr="003410EB" w:rsidTr="00D31322">
        <w:trPr>
          <w:trHeight w:val="714"/>
        </w:trPr>
        <w:tc>
          <w:tcPr>
            <w:tcW w:w="1477" w:type="dxa"/>
            <w:tcBorders>
              <w:top w:val="single" w:sz="2" w:space="0" w:color="auto"/>
              <w:bottom w:val="single" w:sz="2" w:space="0" w:color="auto"/>
            </w:tcBorders>
            <w:shd w:val="clear" w:color="000000" w:fill="FFFFFF"/>
            <w:noWrap/>
            <w:vAlign w:val="center"/>
          </w:tcPr>
          <w:p w:rsidR="00621A26" w:rsidRPr="003410EB" w:rsidRDefault="00621A26" w:rsidP="00272E6C">
            <w:pPr>
              <w:pStyle w:val="cuatexto"/>
              <w:jc w:val="left"/>
              <w:rPr>
                <w:sz w:val="18"/>
                <w:szCs w:val="18"/>
              </w:rPr>
            </w:pPr>
            <w:r w:rsidRPr="003410EB">
              <w:rPr>
                <w:sz w:val="18"/>
                <w:szCs w:val="18"/>
              </w:rPr>
              <w:t>2º préstamo</w:t>
            </w:r>
            <w:r w:rsidRPr="00272E6C">
              <w:rPr>
                <w:sz w:val="18"/>
                <w:szCs w:val="18"/>
                <w:vertAlign w:val="superscript"/>
              </w:rPr>
              <w:t>(*)</w:t>
            </w:r>
          </w:p>
        </w:tc>
        <w:tc>
          <w:tcPr>
            <w:tcW w:w="1556" w:type="dxa"/>
            <w:tcBorders>
              <w:top w:val="single" w:sz="2" w:space="0" w:color="auto"/>
              <w:bottom w:val="single" w:sz="2" w:space="0" w:color="auto"/>
            </w:tcBorders>
            <w:shd w:val="clear" w:color="000000" w:fill="FFFFFF"/>
            <w:vAlign w:val="center"/>
          </w:tcPr>
          <w:p w:rsidR="00621A26" w:rsidRPr="003410EB" w:rsidRDefault="00621A26" w:rsidP="00272E6C">
            <w:pPr>
              <w:pStyle w:val="cuatexto"/>
              <w:ind w:right="30"/>
              <w:jc w:val="left"/>
              <w:rPr>
                <w:sz w:val="18"/>
                <w:szCs w:val="18"/>
              </w:rPr>
            </w:pPr>
            <w:r w:rsidRPr="003410EB">
              <w:rPr>
                <w:sz w:val="18"/>
                <w:szCs w:val="18"/>
              </w:rPr>
              <w:t>Diciembre de 2016</w:t>
            </w:r>
          </w:p>
        </w:tc>
        <w:tc>
          <w:tcPr>
            <w:tcW w:w="3122" w:type="dxa"/>
            <w:tcBorders>
              <w:top w:val="single" w:sz="2" w:space="0" w:color="auto"/>
              <w:bottom w:val="single" w:sz="2" w:space="0" w:color="auto"/>
            </w:tcBorders>
            <w:shd w:val="clear" w:color="000000" w:fill="FFFFFF"/>
            <w:noWrap/>
            <w:vAlign w:val="center"/>
          </w:tcPr>
          <w:p w:rsidR="00621A26" w:rsidRPr="003410EB" w:rsidRDefault="00621A26" w:rsidP="00D31322">
            <w:pPr>
              <w:pStyle w:val="cuatexto"/>
              <w:ind w:right="30"/>
              <w:jc w:val="left"/>
              <w:rPr>
                <w:sz w:val="18"/>
                <w:szCs w:val="18"/>
              </w:rPr>
            </w:pPr>
            <w:r w:rsidRPr="003410EB">
              <w:rPr>
                <w:sz w:val="18"/>
                <w:szCs w:val="18"/>
              </w:rPr>
              <w:t>Préstamo BEI convertible, a decisión de Sodena, en participativo o en particip</w:t>
            </w:r>
            <w:r w:rsidRPr="003410EB">
              <w:rPr>
                <w:sz w:val="18"/>
                <w:szCs w:val="18"/>
              </w:rPr>
              <w:t>a</w:t>
            </w:r>
            <w:r w:rsidRPr="003410EB">
              <w:rPr>
                <w:sz w:val="18"/>
                <w:szCs w:val="18"/>
              </w:rPr>
              <w:t>ción en el capital de Davalor.</w:t>
            </w:r>
          </w:p>
        </w:tc>
        <w:tc>
          <w:tcPr>
            <w:tcW w:w="995" w:type="dxa"/>
            <w:tcBorders>
              <w:top w:val="single" w:sz="2" w:space="0" w:color="auto"/>
              <w:bottom w:val="single" w:sz="2" w:space="0" w:color="auto"/>
            </w:tcBorders>
            <w:shd w:val="clear" w:color="000000" w:fill="FFFFFF"/>
            <w:noWrap/>
            <w:vAlign w:val="center"/>
          </w:tcPr>
          <w:p w:rsidR="00621A26" w:rsidRPr="00D31322" w:rsidRDefault="00621A26" w:rsidP="003410EB">
            <w:pPr>
              <w:pStyle w:val="cuatexto"/>
              <w:ind w:right="30"/>
              <w:jc w:val="right"/>
              <w:rPr>
                <w:szCs w:val="20"/>
              </w:rPr>
            </w:pPr>
            <w:r w:rsidRPr="00D31322">
              <w:rPr>
                <w:szCs w:val="20"/>
              </w:rPr>
              <w:t>400.000</w:t>
            </w:r>
          </w:p>
        </w:tc>
        <w:tc>
          <w:tcPr>
            <w:tcW w:w="2509" w:type="dxa"/>
            <w:tcBorders>
              <w:top w:val="single" w:sz="2" w:space="0" w:color="auto"/>
              <w:bottom w:val="single" w:sz="2" w:space="0" w:color="auto"/>
            </w:tcBorders>
            <w:shd w:val="clear" w:color="000000" w:fill="FFFFFF"/>
            <w:vAlign w:val="center"/>
          </w:tcPr>
          <w:p w:rsidR="00621A26" w:rsidRPr="003410EB" w:rsidRDefault="00621A26" w:rsidP="003410EB">
            <w:pPr>
              <w:pStyle w:val="cuatexto"/>
              <w:ind w:right="30"/>
              <w:jc w:val="left"/>
              <w:rPr>
                <w:sz w:val="18"/>
                <w:szCs w:val="18"/>
              </w:rPr>
            </w:pPr>
          </w:p>
          <w:p w:rsidR="00621A26" w:rsidRPr="003410EB" w:rsidRDefault="00621A26" w:rsidP="003410EB">
            <w:pPr>
              <w:pStyle w:val="cuatexto"/>
              <w:numPr>
                <w:ilvl w:val="0"/>
                <w:numId w:val="5"/>
              </w:numPr>
              <w:ind w:left="214" w:right="30" w:hanging="142"/>
              <w:jc w:val="left"/>
              <w:rPr>
                <w:sz w:val="18"/>
                <w:szCs w:val="18"/>
              </w:rPr>
            </w:pPr>
            <w:r w:rsidRPr="003410EB">
              <w:rPr>
                <w:sz w:val="18"/>
                <w:szCs w:val="18"/>
              </w:rPr>
              <w:t>Euribor a 12 meses + 5%</w:t>
            </w:r>
          </w:p>
          <w:p w:rsidR="00621A26" w:rsidRPr="003410EB" w:rsidRDefault="00621A26" w:rsidP="00D31322">
            <w:pPr>
              <w:pStyle w:val="cuatexto"/>
              <w:numPr>
                <w:ilvl w:val="0"/>
                <w:numId w:val="5"/>
              </w:numPr>
              <w:ind w:left="214" w:right="30" w:hanging="142"/>
              <w:jc w:val="left"/>
              <w:rPr>
                <w:sz w:val="18"/>
                <w:szCs w:val="18"/>
              </w:rPr>
            </w:pPr>
            <w:r w:rsidRPr="003410EB">
              <w:rPr>
                <w:sz w:val="18"/>
                <w:szCs w:val="18"/>
              </w:rPr>
              <w:t>Liquidación anual</w:t>
            </w:r>
          </w:p>
        </w:tc>
        <w:tc>
          <w:tcPr>
            <w:tcW w:w="1830" w:type="dxa"/>
            <w:tcBorders>
              <w:top w:val="single" w:sz="2" w:space="0" w:color="auto"/>
              <w:bottom w:val="single" w:sz="2" w:space="0" w:color="auto"/>
            </w:tcBorders>
            <w:shd w:val="clear" w:color="000000" w:fill="FFFFFF"/>
            <w:vAlign w:val="center"/>
          </w:tcPr>
          <w:p w:rsidR="00621A26" w:rsidRPr="003410EB" w:rsidRDefault="00621A26" w:rsidP="003410EB">
            <w:pPr>
              <w:pStyle w:val="cuatexto"/>
              <w:ind w:right="30"/>
              <w:jc w:val="left"/>
              <w:rPr>
                <w:sz w:val="18"/>
                <w:szCs w:val="18"/>
              </w:rPr>
            </w:pPr>
            <w:r w:rsidRPr="003410EB">
              <w:rPr>
                <w:sz w:val="18"/>
                <w:szCs w:val="18"/>
              </w:rPr>
              <w:t>En 3 años, al final de su vencimiento</w:t>
            </w:r>
          </w:p>
        </w:tc>
        <w:tc>
          <w:tcPr>
            <w:tcW w:w="1426" w:type="dxa"/>
            <w:tcBorders>
              <w:top w:val="single" w:sz="2" w:space="0" w:color="auto"/>
              <w:bottom w:val="single" w:sz="2" w:space="0" w:color="auto"/>
            </w:tcBorders>
            <w:shd w:val="clear" w:color="000000" w:fill="FFFFFF"/>
            <w:vAlign w:val="center"/>
          </w:tcPr>
          <w:p w:rsidR="00621A26" w:rsidRPr="003410EB" w:rsidRDefault="00621A26" w:rsidP="003410EB">
            <w:pPr>
              <w:pStyle w:val="cuatexto"/>
              <w:ind w:right="30"/>
              <w:jc w:val="left"/>
              <w:rPr>
                <w:sz w:val="18"/>
                <w:szCs w:val="18"/>
              </w:rPr>
            </w:pPr>
            <w:r w:rsidRPr="003410EB">
              <w:rPr>
                <w:sz w:val="18"/>
                <w:szCs w:val="18"/>
              </w:rPr>
              <w:t>Diciembre de 2019</w:t>
            </w:r>
          </w:p>
        </w:tc>
        <w:tc>
          <w:tcPr>
            <w:tcW w:w="1683" w:type="dxa"/>
            <w:tcBorders>
              <w:top w:val="single" w:sz="2" w:space="0" w:color="auto"/>
              <w:bottom w:val="single" w:sz="2" w:space="0" w:color="auto"/>
            </w:tcBorders>
            <w:shd w:val="clear" w:color="000000" w:fill="FFFFFF"/>
            <w:vAlign w:val="center"/>
          </w:tcPr>
          <w:p w:rsidR="00621A26" w:rsidRPr="003410EB" w:rsidRDefault="00621A26" w:rsidP="00796E04">
            <w:pPr>
              <w:pStyle w:val="cuatexto"/>
              <w:ind w:right="30"/>
              <w:jc w:val="right"/>
              <w:rPr>
                <w:sz w:val="18"/>
                <w:szCs w:val="18"/>
              </w:rPr>
            </w:pPr>
            <w:r w:rsidRPr="003410EB">
              <w:rPr>
                <w:sz w:val="18"/>
                <w:szCs w:val="18"/>
              </w:rPr>
              <w:t>Financiar la Fase I.1ª Plan Viabilidad</w:t>
            </w:r>
          </w:p>
        </w:tc>
      </w:tr>
      <w:tr w:rsidR="00621A26" w:rsidRPr="003410EB" w:rsidTr="00D31322">
        <w:trPr>
          <w:trHeight w:val="255"/>
        </w:trPr>
        <w:tc>
          <w:tcPr>
            <w:tcW w:w="1477" w:type="dxa"/>
            <w:tcBorders>
              <w:top w:val="single" w:sz="2" w:space="0" w:color="auto"/>
              <w:bottom w:val="single" w:sz="4" w:space="0" w:color="auto"/>
            </w:tcBorders>
            <w:shd w:val="clear" w:color="000000" w:fill="FFFFFF"/>
            <w:noWrap/>
            <w:vAlign w:val="center"/>
          </w:tcPr>
          <w:p w:rsidR="00621A26" w:rsidRPr="003410EB" w:rsidRDefault="00621A26" w:rsidP="00272E6C">
            <w:pPr>
              <w:pStyle w:val="cuatexto"/>
              <w:jc w:val="left"/>
              <w:rPr>
                <w:sz w:val="18"/>
                <w:szCs w:val="18"/>
              </w:rPr>
            </w:pPr>
            <w:r w:rsidRPr="003410EB">
              <w:rPr>
                <w:sz w:val="18"/>
                <w:szCs w:val="18"/>
              </w:rPr>
              <w:t>3</w:t>
            </w:r>
            <w:r w:rsidR="00272E6C">
              <w:rPr>
                <w:sz w:val="18"/>
                <w:szCs w:val="18"/>
              </w:rPr>
              <w:t>º</w:t>
            </w:r>
            <w:r w:rsidRPr="003410EB">
              <w:rPr>
                <w:sz w:val="18"/>
                <w:szCs w:val="18"/>
              </w:rPr>
              <w:t xml:space="preserve"> préstamo</w:t>
            </w:r>
            <w:r w:rsidRPr="00272E6C">
              <w:rPr>
                <w:sz w:val="18"/>
                <w:szCs w:val="18"/>
                <w:vertAlign w:val="superscript"/>
              </w:rPr>
              <w:t>(*)</w:t>
            </w:r>
          </w:p>
        </w:tc>
        <w:tc>
          <w:tcPr>
            <w:tcW w:w="1556" w:type="dxa"/>
            <w:tcBorders>
              <w:top w:val="single" w:sz="2" w:space="0" w:color="auto"/>
              <w:bottom w:val="single" w:sz="4" w:space="0" w:color="auto"/>
            </w:tcBorders>
            <w:shd w:val="clear" w:color="000000" w:fill="FFFFFF"/>
            <w:vAlign w:val="center"/>
          </w:tcPr>
          <w:p w:rsidR="00621A26" w:rsidRPr="003410EB" w:rsidRDefault="00621A26" w:rsidP="00272E6C">
            <w:pPr>
              <w:pStyle w:val="cuatexto"/>
              <w:ind w:right="30"/>
              <w:jc w:val="left"/>
              <w:rPr>
                <w:sz w:val="18"/>
                <w:szCs w:val="18"/>
              </w:rPr>
            </w:pPr>
            <w:r w:rsidRPr="003410EB">
              <w:rPr>
                <w:sz w:val="18"/>
                <w:szCs w:val="18"/>
              </w:rPr>
              <w:t>Enero de 2017</w:t>
            </w:r>
          </w:p>
        </w:tc>
        <w:tc>
          <w:tcPr>
            <w:tcW w:w="3122" w:type="dxa"/>
            <w:tcBorders>
              <w:top w:val="single" w:sz="2" w:space="0" w:color="auto"/>
              <w:bottom w:val="single" w:sz="4" w:space="0" w:color="auto"/>
            </w:tcBorders>
            <w:shd w:val="clear" w:color="000000" w:fill="FFFFFF"/>
            <w:noWrap/>
            <w:vAlign w:val="center"/>
          </w:tcPr>
          <w:p w:rsidR="00621A26" w:rsidRPr="003410EB" w:rsidRDefault="00621A26" w:rsidP="00D31322">
            <w:pPr>
              <w:pStyle w:val="cuatexto"/>
              <w:ind w:right="30"/>
              <w:jc w:val="left"/>
              <w:rPr>
                <w:sz w:val="18"/>
                <w:szCs w:val="18"/>
              </w:rPr>
            </w:pPr>
            <w:r w:rsidRPr="003410EB">
              <w:rPr>
                <w:sz w:val="18"/>
                <w:szCs w:val="18"/>
              </w:rPr>
              <w:t>Préstamo BEI convertible, a decisión de Sodena, en participativo o en particip</w:t>
            </w:r>
            <w:r w:rsidRPr="003410EB">
              <w:rPr>
                <w:sz w:val="18"/>
                <w:szCs w:val="18"/>
              </w:rPr>
              <w:t>a</w:t>
            </w:r>
            <w:r w:rsidRPr="003410EB">
              <w:rPr>
                <w:sz w:val="18"/>
                <w:szCs w:val="18"/>
              </w:rPr>
              <w:t>ción en el capital de Davalor.</w:t>
            </w:r>
          </w:p>
        </w:tc>
        <w:tc>
          <w:tcPr>
            <w:tcW w:w="995" w:type="dxa"/>
            <w:tcBorders>
              <w:top w:val="single" w:sz="2" w:space="0" w:color="auto"/>
              <w:bottom w:val="single" w:sz="4" w:space="0" w:color="auto"/>
            </w:tcBorders>
            <w:shd w:val="clear" w:color="000000" w:fill="FFFFFF"/>
            <w:noWrap/>
            <w:vAlign w:val="center"/>
          </w:tcPr>
          <w:p w:rsidR="00621A26" w:rsidRPr="00D31322" w:rsidRDefault="00621A26" w:rsidP="003410EB">
            <w:pPr>
              <w:pStyle w:val="cuatexto"/>
              <w:ind w:right="30"/>
              <w:jc w:val="right"/>
              <w:rPr>
                <w:szCs w:val="20"/>
              </w:rPr>
            </w:pPr>
            <w:r w:rsidRPr="00D31322">
              <w:rPr>
                <w:szCs w:val="20"/>
              </w:rPr>
              <w:t>600.000</w:t>
            </w:r>
          </w:p>
        </w:tc>
        <w:tc>
          <w:tcPr>
            <w:tcW w:w="2509" w:type="dxa"/>
            <w:tcBorders>
              <w:top w:val="single" w:sz="2" w:space="0" w:color="auto"/>
              <w:bottom w:val="single" w:sz="4" w:space="0" w:color="auto"/>
            </w:tcBorders>
            <w:shd w:val="clear" w:color="000000" w:fill="FFFFFF"/>
            <w:vAlign w:val="center"/>
          </w:tcPr>
          <w:p w:rsidR="00621A26" w:rsidRPr="003410EB" w:rsidRDefault="00621A26" w:rsidP="003410EB">
            <w:pPr>
              <w:pStyle w:val="cuatexto"/>
              <w:ind w:right="30"/>
              <w:jc w:val="left"/>
              <w:rPr>
                <w:sz w:val="18"/>
                <w:szCs w:val="18"/>
              </w:rPr>
            </w:pPr>
          </w:p>
          <w:p w:rsidR="00621A26" w:rsidRPr="003410EB" w:rsidRDefault="00621A26" w:rsidP="003410EB">
            <w:pPr>
              <w:pStyle w:val="cuatexto"/>
              <w:numPr>
                <w:ilvl w:val="0"/>
                <w:numId w:val="5"/>
              </w:numPr>
              <w:ind w:left="214" w:right="30" w:hanging="142"/>
              <w:jc w:val="left"/>
              <w:rPr>
                <w:sz w:val="18"/>
                <w:szCs w:val="18"/>
              </w:rPr>
            </w:pPr>
            <w:r w:rsidRPr="003410EB">
              <w:rPr>
                <w:sz w:val="18"/>
                <w:szCs w:val="18"/>
              </w:rPr>
              <w:t>Euribor a 12 meses + 5%</w:t>
            </w:r>
          </w:p>
          <w:p w:rsidR="00621A26" w:rsidRPr="003410EB" w:rsidRDefault="00621A26" w:rsidP="00D31322">
            <w:pPr>
              <w:pStyle w:val="cuatexto"/>
              <w:numPr>
                <w:ilvl w:val="0"/>
                <w:numId w:val="5"/>
              </w:numPr>
              <w:ind w:left="214" w:right="30" w:hanging="142"/>
              <w:jc w:val="left"/>
              <w:rPr>
                <w:sz w:val="18"/>
                <w:szCs w:val="18"/>
              </w:rPr>
            </w:pPr>
            <w:r w:rsidRPr="003410EB">
              <w:rPr>
                <w:sz w:val="18"/>
                <w:szCs w:val="18"/>
              </w:rPr>
              <w:t>Liquidación anual</w:t>
            </w:r>
          </w:p>
        </w:tc>
        <w:tc>
          <w:tcPr>
            <w:tcW w:w="1830" w:type="dxa"/>
            <w:tcBorders>
              <w:top w:val="single" w:sz="2" w:space="0" w:color="auto"/>
              <w:bottom w:val="single" w:sz="4" w:space="0" w:color="auto"/>
            </w:tcBorders>
            <w:shd w:val="clear" w:color="000000" w:fill="FFFFFF"/>
            <w:vAlign w:val="center"/>
          </w:tcPr>
          <w:p w:rsidR="00621A26" w:rsidRPr="003410EB" w:rsidRDefault="00621A26" w:rsidP="003410EB">
            <w:pPr>
              <w:pStyle w:val="cuatexto"/>
              <w:ind w:right="30"/>
              <w:jc w:val="left"/>
              <w:rPr>
                <w:sz w:val="18"/>
                <w:szCs w:val="18"/>
              </w:rPr>
            </w:pPr>
            <w:r w:rsidRPr="003410EB">
              <w:rPr>
                <w:sz w:val="18"/>
                <w:szCs w:val="18"/>
              </w:rPr>
              <w:t>En 3 años, al final de su vencimiento</w:t>
            </w:r>
          </w:p>
        </w:tc>
        <w:tc>
          <w:tcPr>
            <w:tcW w:w="1426" w:type="dxa"/>
            <w:tcBorders>
              <w:top w:val="single" w:sz="2" w:space="0" w:color="auto"/>
              <w:bottom w:val="single" w:sz="4" w:space="0" w:color="auto"/>
            </w:tcBorders>
            <w:shd w:val="clear" w:color="000000" w:fill="FFFFFF"/>
            <w:vAlign w:val="center"/>
          </w:tcPr>
          <w:p w:rsidR="00621A26" w:rsidRPr="003410EB" w:rsidRDefault="00621A26" w:rsidP="003410EB">
            <w:pPr>
              <w:pStyle w:val="cuatexto"/>
              <w:ind w:right="30"/>
              <w:jc w:val="left"/>
              <w:rPr>
                <w:sz w:val="18"/>
                <w:szCs w:val="18"/>
              </w:rPr>
            </w:pPr>
            <w:r w:rsidRPr="003410EB">
              <w:rPr>
                <w:sz w:val="18"/>
                <w:szCs w:val="18"/>
              </w:rPr>
              <w:t>Diciembre de 2019</w:t>
            </w:r>
          </w:p>
        </w:tc>
        <w:tc>
          <w:tcPr>
            <w:tcW w:w="1683" w:type="dxa"/>
            <w:tcBorders>
              <w:top w:val="single" w:sz="2" w:space="0" w:color="auto"/>
              <w:bottom w:val="single" w:sz="4" w:space="0" w:color="auto"/>
            </w:tcBorders>
            <w:shd w:val="clear" w:color="000000" w:fill="FFFFFF"/>
            <w:vAlign w:val="center"/>
          </w:tcPr>
          <w:p w:rsidR="00621A26" w:rsidRPr="003410EB" w:rsidRDefault="00621A26" w:rsidP="000839F5">
            <w:pPr>
              <w:pStyle w:val="cuatexto"/>
              <w:ind w:right="30"/>
              <w:jc w:val="right"/>
              <w:rPr>
                <w:sz w:val="18"/>
                <w:szCs w:val="18"/>
              </w:rPr>
            </w:pPr>
            <w:r w:rsidRPr="003410EB">
              <w:rPr>
                <w:sz w:val="18"/>
                <w:szCs w:val="18"/>
              </w:rPr>
              <w:t>Financiar la Fase I.1ª Plan Viabilidad</w:t>
            </w:r>
          </w:p>
        </w:tc>
      </w:tr>
      <w:tr w:rsidR="00621A26" w:rsidRPr="00E94B1E" w:rsidTr="00D31322">
        <w:trPr>
          <w:trHeight w:val="255"/>
        </w:trPr>
        <w:tc>
          <w:tcPr>
            <w:tcW w:w="3033" w:type="dxa"/>
            <w:gridSpan w:val="2"/>
            <w:tcBorders>
              <w:top w:val="single" w:sz="4" w:space="0" w:color="auto"/>
              <w:bottom w:val="single" w:sz="4" w:space="0" w:color="auto"/>
            </w:tcBorders>
            <w:shd w:val="clear" w:color="auto" w:fill="A0C3E3" w:themeFill="accent1" w:themeFillTint="99"/>
            <w:noWrap/>
            <w:vAlign w:val="center"/>
          </w:tcPr>
          <w:p w:rsidR="00621A26" w:rsidRPr="00695119" w:rsidRDefault="00621A26" w:rsidP="00272E6C">
            <w:pPr>
              <w:pStyle w:val="cuadroCabe"/>
              <w:jc w:val="left"/>
              <w:rPr>
                <w:lang w:val="es-ES" w:eastAsia="es-ES"/>
              </w:rPr>
            </w:pPr>
            <w:r>
              <w:rPr>
                <w:lang w:val="es-ES" w:eastAsia="es-ES"/>
              </w:rPr>
              <w:t>Importe total concedido</w:t>
            </w:r>
          </w:p>
        </w:tc>
        <w:tc>
          <w:tcPr>
            <w:tcW w:w="3122" w:type="dxa"/>
            <w:tcBorders>
              <w:top w:val="single" w:sz="4" w:space="0" w:color="auto"/>
              <w:bottom w:val="single" w:sz="4" w:space="0" w:color="auto"/>
            </w:tcBorders>
            <w:shd w:val="clear" w:color="auto" w:fill="A0C3E3" w:themeFill="accent1" w:themeFillTint="99"/>
            <w:noWrap/>
            <w:vAlign w:val="center"/>
          </w:tcPr>
          <w:p w:rsidR="00621A26" w:rsidRPr="007A50D0" w:rsidRDefault="00621A26" w:rsidP="003410EB">
            <w:pPr>
              <w:pStyle w:val="cuadroCabe"/>
              <w:jc w:val="left"/>
              <w:rPr>
                <w:b/>
                <w:lang w:val="es-ES" w:eastAsia="es-ES"/>
              </w:rPr>
            </w:pPr>
          </w:p>
        </w:tc>
        <w:tc>
          <w:tcPr>
            <w:tcW w:w="995" w:type="dxa"/>
            <w:tcBorders>
              <w:top w:val="single" w:sz="4" w:space="0" w:color="auto"/>
              <w:bottom w:val="single" w:sz="4" w:space="0" w:color="auto"/>
            </w:tcBorders>
            <w:shd w:val="clear" w:color="auto" w:fill="A0C3E3" w:themeFill="accent1" w:themeFillTint="99"/>
            <w:noWrap/>
            <w:vAlign w:val="center"/>
          </w:tcPr>
          <w:p w:rsidR="00621A26" w:rsidRPr="00A11D80" w:rsidRDefault="00621A26" w:rsidP="003410EB">
            <w:pPr>
              <w:pStyle w:val="cuadroCabe"/>
              <w:jc w:val="right"/>
              <w:rPr>
                <w:lang w:val="es-ES" w:eastAsia="es-ES"/>
              </w:rPr>
            </w:pPr>
            <w:r>
              <w:rPr>
                <w:lang w:val="es-ES" w:eastAsia="es-ES"/>
              </w:rPr>
              <w:t>2.000.000</w:t>
            </w:r>
          </w:p>
        </w:tc>
        <w:tc>
          <w:tcPr>
            <w:tcW w:w="2509" w:type="dxa"/>
            <w:tcBorders>
              <w:top w:val="single" w:sz="4" w:space="0" w:color="auto"/>
              <w:bottom w:val="single" w:sz="4" w:space="0" w:color="auto"/>
            </w:tcBorders>
            <w:shd w:val="clear" w:color="auto" w:fill="A0C3E3" w:themeFill="accent1" w:themeFillTint="99"/>
            <w:vAlign w:val="center"/>
          </w:tcPr>
          <w:p w:rsidR="00621A26" w:rsidRDefault="00621A26" w:rsidP="003410EB">
            <w:pPr>
              <w:pStyle w:val="cuadroCabe"/>
              <w:jc w:val="left"/>
              <w:rPr>
                <w:lang w:val="es-ES" w:eastAsia="es-ES"/>
              </w:rPr>
            </w:pPr>
          </w:p>
        </w:tc>
        <w:tc>
          <w:tcPr>
            <w:tcW w:w="1830" w:type="dxa"/>
            <w:tcBorders>
              <w:top w:val="single" w:sz="4" w:space="0" w:color="auto"/>
              <w:bottom w:val="single" w:sz="4" w:space="0" w:color="auto"/>
            </w:tcBorders>
            <w:shd w:val="clear" w:color="auto" w:fill="A0C3E3" w:themeFill="accent1" w:themeFillTint="99"/>
            <w:vAlign w:val="center"/>
          </w:tcPr>
          <w:p w:rsidR="00621A26" w:rsidRDefault="00621A26" w:rsidP="003410EB">
            <w:pPr>
              <w:pStyle w:val="cuadroCabe"/>
              <w:jc w:val="left"/>
              <w:rPr>
                <w:lang w:val="es-ES" w:eastAsia="es-ES"/>
              </w:rPr>
            </w:pPr>
          </w:p>
        </w:tc>
        <w:tc>
          <w:tcPr>
            <w:tcW w:w="1426" w:type="dxa"/>
            <w:tcBorders>
              <w:top w:val="single" w:sz="4" w:space="0" w:color="auto"/>
              <w:bottom w:val="single" w:sz="4" w:space="0" w:color="auto"/>
            </w:tcBorders>
            <w:shd w:val="clear" w:color="auto" w:fill="A0C3E3" w:themeFill="accent1" w:themeFillTint="99"/>
            <w:vAlign w:val="center"/>
          </w:tcPr>
          <w:p w:rsidR="00621A26" w:rsidRDefault="00621A26" w:rsidP="003410EB">
            <w:pPr>
              <w:pStyle w:val="cuadroCabe"/>
              <w:jc w:val="left"/>
              <w:rPr>
                <w:lang w:val="es-ES" w:eastAsia="es-ES"/>
              </w:rPr>
            </w:pPr>
          </w:p>
        </w:tc>
        <w:tc>
          <w:tcPr>
            <w:tcW w:w="1683" w:type="dxa"/>
            <w:tcBorders>
              <w:top w:val="single" w:sz="4" w:space="0" w:color="auto"/>
              <w:bottom w:val="single" w:sz="4" w:space="0" w:color="auto"/>
            </w:tcBorders>
            <w:shd w:val="clear" w:color="auto" w:fill="A0C3E3" w:themeFill="accent1" w:themeFillTint="99"/>
            <w:vAlign w:val="center"/>
          </w:tcPr>
          <w:p w:rsidR="00621A26" w:rsidRDefault="00621A26" w:rsidP="003410EB">
            <w:pPr>
              <w:pStyle w:val="cuadroCabe"/>
              <w:jc w:val="right"/>
              <w:rPr>
                <w:lang w:val="es-ES" w:eastAsia="es-ES"/>
              </w:rPr>
            </w:pPr>
          </w:p>
        </w:tc>
      </w:tr>
    </w:tbl>
    <w:p w:rsidR="00621A26" w:rsidRPr="00A97997" w:rsidRDefault="00621A26" w:rsidP="00D31322">
      <w:pPr>
        <w:pStyle w:val="atitulo3"/>
        <w:spacing w:before="120" w:after="0"/>
        <w:ind w:left="-426"/>
        <w:jc w:val="left"/>
        <w:rPr>
          <w:rFonts w:ascii="Arial Narrow" w:hAnsi="Arial Narrow"/>
          <w:i w:val="0"/>
          <w:iCs w:val="0"/>
          <w:color w:val="auto"/>
          <w:spacing w:val="6"/>
          <w:kern w:val="0"/>
          <w:sz w:val="20"/>
          <w:szCs w:val="24"/>
        </w:rPr>
      </w:pPr>
      <w:r w:rsidRPr="00A97997">
        <w:rPr>
          <w:rFonts w:ascii="Arial Narrow" w:hAnsi="Arial Narrow"/>
          <w:i w:val="0"/>
          <w:iCs w:val="0"/>
          <w:color w:val="auto"/>
          <w:spacing w:val="6"/>
          <w:kern w:val="0"/>
          <w:sz w:val="20"/>
          <w:szCs w:val="24"/>
        </w:rPr>
        <w:t xml:space="preserve">(*) Préstamos concedidos al amparo del </w:t>
      </w:r>
      <w:r>
        <w:rPr>
          <w:rFonts w:ascii="Arial Narrow" w:hAnsi="Arial Narrow"/>
          <w:i w:val="0"/>
          <w:iCs w:val="0"/>
          <w:color w:val="auto"/>
          <w:spacing w:val="6"/>
          <w:kern w:val="0"/>
          <w:sz w:val="20"/>
          <w:szCs w:val="24"/>
        </w:rPr>
        <w:t>a</w:t>
      </w:r>
      <w:r w:rsidRPr="00A97997">
        <w:rPr>
          <w:rFonts w:ascii="Arial Narrow" w:hAnsi="Arial Narrow"/>
          <w:i w:val="0"/>
          <w:iCs w:val="0"/>
          <w:color w:val="auto"/>
          <w:spacing w:val="6"/>
          <w:kern w:val="0"/>
          <w:sz w:val="20"/>
          <w:szCs w:val="24"/>
        </w:rPr>
        <w:t>cuerdo</w:t>
      </w:r>
      <w:r>
        <w:rPr>
          <w:rFonts w:ascii="Arial Narrow" w:hAnsi="Arial Narrow"/>
          <w:i w:val="0"/>
          <w:iCs w:val="0"/>
          <w:color w:val="auto"/>
          <w:spacing w:val="6"/>
          <w:kern w:val="0"/>
          <w:sz w:val="20"/>
          <w:szCs w:val="24"/>
        </w:rPr>
        <w:t xml:space="preserve"> marco</w:t>
      </w:r>
      <w:r w:rsidRPr="00A97997">
        <w:rPr>
          <w:rFonts w:ascii="Arial Narrow" w:hAnsi="Arial Narrow"/>
          <w:i w:val="0"/>
          <w:iCs w:val="0"/>
          <w:color w:val="auto"/>
          <w:spacing w:val="6"/>
          <w:kern w:val="0"/>
          <w:sz w:val="20"/>
          <w:szCs w:val="24"/>
        </w:rPr>
        <w:t xml:space="preserve"> de </w:t>
      </w:r>
      <w:r>
        <w:rPr>
          <w:rFonts w:ascii="Arial Narrow" w:hAnsi="Arial Narrow"/>
          <w:i w:val="0"/>
          <w:iCs w:val="0"/>
          <w:color w:val="auto"/>
          <w:spacing w:val="6"/>
          <w:kern w:val="0"/>
          <w:sz w:val="20"/>
          <w:szCs w:val="24"/>
        </w:rPr>
        <w:t>f</w:t>
      </w:r>
      <w:r w:rsidRPr="00A97997">
        <w:rPr>
          <w:rFonts w:ascii="Arial Narrow" w:hAnsi="Arial Narrow"/>
          <w:i w:val="0"/>
          <w:iCs w:val="0"/>
          <w:color w:val="auto"/>
          <w:spacing w:val="6"/>
          <w:kern w:val="0"/>
          <w:sz w:val="20"/>
          <w:szCs w:val="24"/>
        </w:rPr>
        <w:t>inanciación firmado entre Sodena y Davalor Salud</w:t>
      </w:r>
    </w:p>
    <w:p w:rsidR="00621A26" w:rsidRDefault="00621A26" w:rsidP="00621A26">
      <w:pPr>
        <w:pStyle w:val="atitulo2"/>
      </w:pPr>
    </w:p>
    <w:p w:rsidR="00621A26" w:rsidRDefault="00621A26" w:rsidP="00621A26">
      <w:pPr>
        <w:pStyle w:val="atitulo2"/>
        <w:sectPr w:rsidR="00621A26" w:rsidSect="002B46AD">
          <w:pgSz w:w="16840" w:h="11907" w:orient="landscape" w:code="9"/>
          <w:pgMar w:top="1559" w:right="2109" w:bottom="1559" w:left="1644" w:header="369" w:footer="113" w:gutter="0"/>
          <w:cols w:space="720"/>
          <w:docGrid w:linePitch="360"/>
        </w:sectPr>
      </w:pPr>
    </w:p>
    <w:p w:rsidR="00B63BF3" w:rsidRPr="000E554D"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0E554D">
        <w:rPr>
          <w:rFonts w:cs="Arial"/>
        </w:rPr>
        <w:lastRenderedPageBreak/>
        <w:t>La finalidad o aplicación de los fondos concedidos es:</w:t>
      </w:r>
    </w:p>
    <w:p w:rsidR="00B63BF3" w:rsidRDefault="00B63BF3" w:rsidP="00B63BF3">
      <w:pPr>
        <w:pStyle w:val="texto"/>
        <w:tabs>
          <w:tab w:val="num" w:pos="284"/>
          <w:tab w:val="num" w:pos="720"/>
        </w:tabs>
        <w:rPr>
          <w:szCs w:val="26"/>
          <w:lang w:val="es-ES" w:eastAsia="es-ES"/>
        </w:rPr>
      </w:pPr>
      <w:r>
        <w:rPr>
          <w:szCs w:val="26"/>
          <w:lang w:val="es-ES" w:eastAsia="es-ES"/>
        </w:rPr>
        <w:t xml:space="preserve">a) El préstamo participativo se destina a </w:t>
      </w:r>
      <w:r w:rsidRPr="00A01B1D">
        <w:rPr>
          <w:szCs w:val="26"/>
          <w:lang w:val="es-ES" w:eastAsia="es-ES"/>
        </w:rPr>
        <w:t>atender sus necesidades financieras más inmediatas (personal, proveedores comerciales y otros acreedores financi</w:t>
      </w:r>
      <w:r w:rsidRPr="00A01B1D">
        <w:rPr>
          <w:szCs w:val="26"/>
          <w:lang w:val="es-ES" w:eastAsia="es-ES"/>
        </w:rPr>
        <w:t>e</w:t>
      </w:r>
      <w:r w:rsidRPr="00A01B1D">
        <w:rPr>
          <w:szCs w:val="26"/>
          <w:lang w:val="es-ES" w:eastAsia="es-ES"/>
        </w:rPr>
        <w:t>ros) y poder</w:t>
      </w:r>
      <w:r>
        <w:rPr>
          <w:szCs w:val="26"/>
          <w:lang w:val="es-ES" w:eastAsia="es-ES"/>
        </w:rPr>
        <w:t>,</w:t>
      </w:r>
      <w:r w:rsidRPr="00A01B1D">
        <w:rPr>
          <w:szCs w:val="26"/>
          <w:lang w:val="es-ES" w:eastAsia="es-ES"/>
        </w:rPr>
        <w:t xml:space="preserve"> además de continuar con el desarrollo</w:t>
      </w:r>
      <w:r>
        <w:rPr>
          <w:szCs w:val="26"/>
          <w:lang w:val="es-ES" w:eastAsia="es-ES"/>
        </w:rPr>
        <w:t xml:space="preserve"> del proyecto</w:t>
      </w:r>
      <w:r w:rsidRPr="00A01B1D">
        <w:rPr>
          <w:szCs w:val="26"/>
          <w:lang w:val="es-ES" w:eastAsia="es-ES"/>
        </w:rPr>
        <w:t>, abordar a continuación, un proceso de captación de la financiación adicional necesaria y demandada por Sodena.</w:t>
      </w:r>
    </w:p>
    <w:p w:rsidR="00B63BF3" w:rsidRDefault="00B63BF3" w:rsidP="00B63BF3">
      <w:pPr>
        <w:pStyle w:val="texto"/>
        <w:tabs>
          <w:tab w:val="num" w:pos="284"/>
          <w:tab w:val="num" w:pos="720"/>
        </w:tabs>
        <w:rPr>
          <w:szCs w:val="26"/>
          <w:lang w:val="es-ES" w:eastAsia="es-ES"/>
        </w:rPr>
      </w:pPr>
      <w:r>
        <w:rPr>
          <w:szCs w:val="26"/>
          <w:lang w:val="es-ES" w:eastAsia="es-ES"/>
        </w:rPr>
        <w:t xml:space="preserve">b) Los otros dos, se aplican a financiar la Fase I.1ª del Plan de Viabilidad de Davalor, centrada fundamentalmente en el testeo del mercado. </w:t>
      </w:r>
    </w:p>
    <w:p w:rsidR="00B63BF3" w:rsidRPr="008938DA" w:rsidRDefault="00B63BF3" w:rsidP="00796E04">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240"/>
        <w:ind w:left="0" w:firstLine="289"/>
        <w:rPr>
          <w:rFonts w:cs="Arial"/>
        </w:rPr>
      </w:pPr>
      <w:r w:rsidRPr="008938DA">
        <w:rPr>
          <w:rFonts w:cs="Arial"/>
        </w:rPr>
        <w:t>El primer préstamo está garantizado por dos derechos reales sobre</w:t>
      </w:r>
      <w:r>
        <w:rPr>
          <w:rFonts w:cs="Arial"/>
        </w:rPr>
        <w:t xml:space="preserve"> las</w:t>
      </w:r>
      <w:r w:rsidRPr="008938DA">
        <w:rPr>
          <w:rFonts w:cs="Arial"/>
        </w:rPr>
        <w:t xml:space="preserve"> p</w:t>
      </w:r>
      <w:r w:rsidRPr="008938DA">
        <w:rPr>
          <w:rFonts w:cs="Arial"/>
        </w:rPr>
        <w:t>a</w:t>
      </w:r>
      <w:r w:rsidRPr="008938DA">
        <w:rPr>
          <w:rFonts w:cs="Arial"/>
        </w:rPr>
        <w:t>tentes t</w:t>
      </w:r>
      <w:r>
        <w:rPr>
          <w:rFonts w:cs="Arial"/>
        </w:rPr>
        <w:t>e</w:t>
      </w:r>
      <w:r w:rsidRPr="008938DA">
        <w:rPr>
          <w:rFonts w:cs="Arial"/>
        </w:rPr>
        <w:t>cnológicas de Davalor</w:t>
      </w:r>
      <w:r>
        <w:rPr>
          <w:rFonts w:cs="Arial"/>
        </w:rPr>
        <w:t xml:space="preserve">: </w:t>
      </w:r>
      <w:r w:rsidRPr="00A642BA">
        <w:rPr>
          <w:rFonts w:cs="Arial"/>
        </w:rPr>
        <w:t>prenda sobre derechos de crédito originados por la licencia e hipoteca mobiliaria sobre las patentes, respectivamente</w:t>
      </w:r>
      <w:r w:rsidRPr="008938DA">
        <w:rPr>
          <w:rFonts w:cs="Arial"/>
        </w:rPr>
        <w:t>; los otros dos préstamos, con la pignoración</w:t>
      </w:r>
      <w:r w:rsidRPr="00DA27CC">
        <w:rPr>
          <w:rFonts w:cs="Arial"/>
        </w:rPr>
        <w:t xml:space="preserve"> </w:t>
      </w:r>
      <w:r w:rsidRPr="008938DA">
        <w:rPr>
          <w:rFonts w:cs="Arial"/>
        </w:rPr>
        <w:t xml:space="preserve">a favor de Sodena de </w:t>
      </w:r>
      <w:r>
        <w:rPr>
          <w:rFonts w:cs="Arial"/>
        </w:rPr>
        <w:t>dos tercios de</w:t>
      </w:r>
      <w:r w:rsidRPr="008938DA">
        <w:rPr>
          <w:rFonts w:cs="Arial"/>
        </w:rPr>
        <w:t xml:space="preserve"> las participaciones</w:t>
      </w:r>
      <w:r>
        <w:rPr>
          <w:rFonts w:cs="Arial"/>
        </w:rPr>
        <w:t>, libres de cargas,</w:t>
      </w:r>
      <w:r w:rsidRPr="008938DA">
        <w:rPr>
          <w:rFonts w:cs="Arial"/>
        </w:rPr>
        <w:t xml:space="preserve"> del promotor</w:t>
      </w:r>
      <w:r>
        <w:rPr>
          <w:rFonts w:cs="Arial"/>
        </w:rPr>
        <w:t xml:space="preserve"> principal</w:t>
      </w:r>
      <w:r w:rsidRPr="008938DA">
        <w:rPr>
          <w:rFonts w:cs="Arial"/>
        </w:rPr>
        <w:t xml:space="preserve"> de Davalor.</w:t>
      </w:r>
    </w:p>
    <w:p w:rsidR="00621A26" w:rsidRPr="00272719" w:rsidRDefault="00621A26" w:rsidP="00621A26">
      <w:pPr>
        <w:pStyle w:val="atitulo2"/>
      </w:pPr>
      <w:bookmarkStart w:id="20" w:name="_Toc480357323"/>
      <w:bookmarkStart w:id="21" w:name="_Toc483307005"/>
      <w:r w:rsidRPr="000B479A">
        <w:t xml:space="preserve">III.2. Cumplimiento </w:t>
      </w:r>
      <w:r>
        <w:t xml:space="preserve">por Sodena </w:t>
      </w:r>
      <w:r w:rsidRPr="000B479A">
        <w:t>de la normativa reguladora</w:t>
      </w:r>
      <w:r>
        <w:t xml:space="preserve"> para</w:t>
      </w:r>
      <w:r w:rsidRPr="000B479A">
        <w:t xml:space="preserve"> la co</w:t>
      </w:r>
      <w:r w:rsidRPr="000B479A">
        <w:t>n</w:t>
      </w:r>
      <w:r w:rsidRPr="000B479A">
        <w:t>cesión</w:t>
      </w:r>
      <w:r>
        <w:t xml:space="preserve"> de los préstamos a Davalor Salud</w:t>
      </w:r>
      <w:bookmarkEnd w:id="20"/>
      <w:r w:rsidR="00D5352C">
        <w:t xml:space="preserve">, </w:t>
      </w:r>
      <w:r w:rsidR="00DA2388">
        <w:t>SL</w:t>
      </w:r>
      <w:bookmarkEnd w:id="21"/>
    </w:p>
    <w:p w:rsidR="00B63BF3" w:rsidRDefault="00B63BF3" w:rsidP="00B63BF3">
      <w:pPr>
        <w:pStyle w:val="texto"/>
        <w:rPr>
          <w:szCs w:val="26"/>
          <w:lang w:val="es-ES" w:eastAsia="es-ES"/>
        </w:rPr>
      </w:pPr>
      <w:r>
        <w:rPr>
          <w:szCs w:val="26"/>
          <w:lang w:eastAsia="es-ES"/>
        </w:rPr>
        <w:t>Las</w:t>
      </w:r>
      <w:r>
        <w:rPr>
          <w:szCs w:val="26"/>
          <w:lang w:val="es-ES" w:eastAsia="es-ES"/>
        </w:rPr>
        <w:t xml:space="preserve"> actuaciones de apoyo financiero efectuadas por la sociedad pública S</w:t>
      </w:r>
      <w:r>
        <w:rPr>
          <w:szCs w:val="26"/>
          <w:lang w:val="es-ES" w:eastAsia="es-ES"/>
        </w:rPr>
        <w:t>o</w:t>
      </w:r>
      <w:r>
        <w:rPr>
          <w:szCs w:val="26"/>
          <w:lang w:val="es-ES" w:eastAsia="es-ES"/>
        </w:rPr>
        <w:t>dena SL, como instrumento de capital riesgo del Gobierno de Navarra, conll</w:t>
      </w:r>
      <w:r>
        <w:rPr>
          <w:szCs w:val="26"/>
          <w:lang w:val="es-ES" w:eastAsia="es-ES"/>
        </w:rPr>
        <w:t>e</w:t>
      </w:r>
      <w:r>
        <w:rPr>
          <w:szCs w:val="26"/>
          <w:lang w:val="es-ES" w:eastAsia="es-ES"/>
        </w:rPr>
        <w:t>van una relevante incertidumbre derivada de un posible fracaso de los proye</w:t>
      </w:r>
      <w:r>
        <w:rPr>
          <w:szCs w:val="26"/>
          <w:lang w:val="es-ES" w:eastAsia="es-ES"/>
        </w:rPr>
        <w:t>c</w:t>
      </w:r>
      <w:r>
        <w:rPr>
          <w:szCs w:val="26"/>
          <w:lang w:val="es-ES" w:eastAsia="es-ES"/>
        </w:rPr>
        <w:t>tos de inversión apoyados financieramente con la consiguiente pérdida o me</w:t>
      </w:r>
      <w:r>
        <w:rPr>
          <w:szCs w:val="26"/>
          <w:lang w:val="es-ES" w:eastAsia="es-ES"/>
        </w:rPr>
        <w:t>r</w:t>
      </w:r>
      <w:r>
        <w:rPr>
          <w:szCs w:val="26"/>
          <w:lang w:val="es-ES" w:eastAsia="es-ES"/>
        </w:rPr>
        <w:t>ma de los recursos públicos aplicados.</w:t>
      </w:r>
    </w:p>
    <w:p w:rsidR="00B63BF3" w:rsidRDefault="00B63BF3" w:rsidP="00B63BF3">
      <w:pPr>
        <w:pStyle w:val="texto"/>
      </w:pPr>
      <w:r>
        <w:t>La dirección de Sodena debe garantizar que la concesión de préstamos y otras ayudas de apoyo a distintas sociedades resultan conformes con las normas aplicables y procurando, dentro de parámetros económicos razonables, minim</w:t>
      </w:r>
      <w:r>
        <w:t>i</w:t>
      </w:r>
      <w:r>
        <w:t>zar el riesgo sobre la gestión de esos fondos públicos.</w:t>
      </w:r>
    </w:p>
    <w:p w:rsidR="00B63BF3" w:rsidRDefault="00B63BF3" w:rsidP="00B63BF3">
      <w:pPr>
        <w:pStyle w:val="texto"/>
      </w:pPr>
      <w:r>
        <w:t>En concreto, el proyecto presentado por Davalor Salud, SL reúne básicame</w:t>
      </w:r>
      <w:r>
        <w:t>n</w:t>
      </w:r>
      <w:r>
        <w:t>te las siguientes características:</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056EC9">
        <w:rPr>
          <w:rFonts w:cs="Arial"/>
        </w:rPr>
        <w:t>Sector estratégico de interés para Navarra</w:t>
      </w:r>
      <w:r>
        <w:rPr>
          <w:rFonts w:cs="Arial"/>
        </w:rPr>
        <w:t>.</w:t>
      </w:r>
      <w:r w:rsidRPr="00056EC9">
        <w:rPr>
          <w:rFonts w:cs="Arial"/>
        </w:rPr>
        <w:t xml:space="preserve"> </w:t>
      </w:r>
    </w:p>
    <w:p w:rsidR="00B63BF3" w:rsidRPr="00A81AE8"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056EC9">
        <w:rPr>
          <w:rFonts w:cs="Arial"/>
        </w:rPr>
        <w:t>Es un</w:t>
      </w:r>
      <w:r>
        <w:rPr>
          <w:rFonts w:cs="Arial"/>
        </w:rPr>
        <w:t xml:space="preserve"> proyecto empresarial en fase de lanzamiento</w:t>
      </w:r>
      <w:r w:rsidRPr="00056EC9">
        <w:rPr>
          <w:rFonts w:cs="Arial"/>
        </w:rPr>
        <w:t xml:space="preserve"> y cuyo producto</w:t>
      </w:r>
      <w:r>
        <w:rPr>
          <w:rFonts w:cs="Arial"/>
        </w:rPr>
        <w:t xml:space="preserve"> EVA</w:t>
      </w:r>
      <w:r w:rsidRPr="00056EC9">
        <w:rPr>
          <w:rFonts w:cs="Arial"/>
        </w:rPr>
        <w:t xml:space="preserve"> aún no ha llegado al mercado</w:t>
      </w:r>
      <w:r>
        <w:rPr>
          <w:rFonts w:cs="Arial"/>
        </w:rPr>
        <w:t>. Tal p</w:t>
      </w:r>
      <w:r w:rsidRPr="00A81AE8">
        <w:rPr>
          <w:rFonts w:cs="Arial"/>
        </w:rPr>
        <w:t>roducto</w:t>
      </w:r>
      <w:r>
        <w:rPr>
          <w:rFonts w:cs="Arial"/>
        </w:rPr>
        <w:t xml:space="preserve"> es</w:t>
      </w:r>
      <w:r w:rsidRPr="00A81AE8">
        <w:rPr>
          <w:rFonts w:cs="Arial"/>
        </w:rPr>
        <w:t xml:space="preserve"> novedoso, de alta tecnología y único en el mercado. </w:t>
      </w:r>
    </w:p>
    <w:p w:rsidR="00B63BF3" w:rsidRPr="00056EC9"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 xml:space="preserve">Alto volumen de inversión en </w:t>
      </w:r>
      <w:proofErr w:type="spellStart"/>
      <w:r>
        <w:rPr>
          <w:rFonts w:cs="Arial"/>
        </w:rPr>
        <w:t>I+D+i</w:t>
      </w:r>
      <w:proofErr w:type="spellEnd"/>
      <w:r>
        <w:rPr>
          <w:rFonts w:cs="Arial"/>
        </w:rPr>
        <w:t>.</w:t>
      </w:r>
    </w:p>
    <w:p w:rsidR="00B63BF3" w:rsidRPr="00056EC9"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 xml:space="preserve">Elevado número de empleos de </w:t>
      </w:r>
      <w:r w:rsidRPr="00056EC9">
        <w:rPr>
          <w:rFonts w:cs="Arial"/>
        </w:rPr>
        <w:t>alta calidad</w:t>
      </w:r>
      <w:r>
        <w:rPr>
          <w:rFonts w:cs="Arial"/>
        </w:rPr>
        <w:t xml:space="preserve"> y </w:t>
      </w:r>
      <w:proofErr w:type="gramStart"/>
      <w:r>
        <w:rPr>
          <w:rFonts w:cs="Arial"/>
        </w:rPr>
        <w:t>cualificación, tanto directo</w:t>
      </w:r>
      <w:r w:rsidR="0029449C">
        <w:rPr>
          <w:rFonts w:cs="Arial"/>
        </w:rPr>
        <w:t>s</w:t>
      </w:r>
      <w:r>
        <w:rPr>
          <w:rFonts w:cs="Arial"/>
        </w:rPr>
        <w:t xml:space="preserve"> como indirecto</w:t>
      </w:r>
      <w:r w:rsidR="0029449C">
        <w:rPr>
          <w:rFonts w:cs="Arial"/>
        </w:rPr>
        <w:t>s</w:t>
      </w:r>
      <w:proofErr w:type="gramEnd"/>
      <w:r>
        <w:rPr>
          <w:rFonts w:cs="Arial"/>
        </w:rP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 xml:space="preserve">Apoyo al proyecto por parte de </w:t>
      </w:r>
      <w:r w:rsidRPr="00056EC9">
        <w:rPr>
          <w:rFonts w:cs="Arial"/>
        </w:rPr>
        <w:t>empresas de alta tecnología.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Se observa una total identidad entre el órgano de administración, la dire</w:t>
      </w:r>
      <w:r>
        <w:rPr>
          <w:rFonts w:cs="Arial"/>
        </w:rPr>
        <w:t>c</w:t>
      </w:r>
      <w:r>
        <w:rPr>
          <w:rFonts w:cs="Arial"/>
        </w:rPr>
        <w:t>ción de la empresa y el socio-promotor principal.</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lastRenderedPageBreak/>
        <w:t>Financiación principal efectuada a través de inversores privados con escasa capacidad en la toma de decisiones de la empresa.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652901">
        <w:rPr>
          <w:rFonts w:cs="Arial"/>
        </w:rPr>
        <w:t>La empresa ha operado con una estructura asimilable a un proyecto que ya estaba en el mercado –con un elevado coste</w:t>
      </w:r>
      <w:r>
        <w:rPr>
          <w:rFonts w:cs="Arial"/>
        </w:rPr>
        <w:t>–</w:t>
      </w:r>
      <w:r w:rsidRPr="00652901">
        <w:rPr>
          <w:rFonts w:cs="Arial"/>
        </w:rPr>
        <w:t>, cuando efectivamente está en f</w:t>
      </w:r>
      <w:r w:rsidRPr="00652901">
        <w:rPr>
          <w:rFonts w:cs="Arial"/>
        </w:rPr>
        <w:t>a</w:t>
      </w:r>
      <w:r w:rsidRPr="00652901">
        <w:rPr>
          <w:rFonts w:cs="Arial"/>
        </w:rPr>
        <w:t xml:space="preserve">se </w:t>
      </w:r>
      <w:r>
        <w:rPr>
          <w:rFonts w:cs="Arial"/>
        </w:rPr>
        <w:t xml:space="preserve">de lanzamiento. </w:t>
      </w:r>
    </w:p>
    <w:p w:rsidR="00B63BF3" w:rsidRPr="00652901"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652901">
        <w:rPr>
          <w:rFonts w:cs="Arial"/>
        </w:rPr>
        <w:t>Retraso en el desarrollo del producto EVA, lo que está implicando una d</w:t>
      </w:r>
      <w:r w:rsidRPr="00652901">
        <w:rPr>
          <w:rFonts w:cs="Arial"/>
        </w:rPr>
        <w:t>e</w:t>
      </w:r>
      <w:r w:rsidRPr="00652901">
        <w:rPr>
          <w:rFonts w:cs="Arial"/>
        </w:rPr>
        <w:t>mora relevante en la generación de ingresos y un incremento en los costes del mismo. Esta situación ha afectado sustancialmente a la validez o vigencia de su plan inicial de negocio y ha conducido a la empresa a una difícil situación f</w:t>
      </w:r>
      <w:r w:rsidRPr="00652901">
        <w:rPr>
          <w:rFonts w:cs="Arial"/>
        </w:rPr>
        <w:t>i</w:t>
      </w:r>
      <w:r w:rsidRPr="00652901">
        <w:rPr>
          <w:rFonts w:cs="Arial"/>
        </w:rPr>
        <w:t>nanciera.</w:t>
      </w:r>
    </w:p>
    <w:p w:rsidR="00B63BF3" w:rsidRPr="00A81AE8"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El anterior escenario ha exigido la aprobación por Davalor de un riguroso plan de viabilidad a corto plazo y el control de gestión y financiero por una firma consultora sobre las operaciones realizadas por la citada empresa.</w:t>
      </w:r>
    </w:p>
    <w:p w:rsidR="00B63BF3" w:rsidRPr="00056EC9"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En el supuesto de éxito del testeo de mercado del producto EVA, se pr</w:t>
      </w:r>
      <w:r>
        <w:rPr>
          <w:rFonts w:cs="Arial"/>
        </w:rPr>
        <w:t>e</w:t>
      </w:r>
      <w:r>
        <w:rPr>
          <w:rFonts w:cs="Arial"/>
        </w:rPr>
        <w:t>sentan unas perspectivas ambiciosas y de gran potencial de negocio.</w:t>
      </w:r>
    </w:p>
    <w:p w:rsidR="00B63BF3" w:rsidRPr="00AE6816" w:rsidRDefault="00B63BF3" w:rsidP="00B63BF3">
      <w:pPr>
        <w:pStyle w:val="texto"/>
      </w:pPr>
      <w:r w:rsidRPr="00AE6816">
        <w:t>Desde 2012, Sodena viene analizando el posible apoyo financiero al proye</w:t>
      </w:r>
      <w:r w:rsidRPr="00AE6816">
        <w:t>c</w:t>
      </w:r>
      <w:r w:rsidRPr="00AE6816">
        <w:t>to empresarial presentado por el promotor de Davalor Salud; en es</w:t>
      </w:r>
      <w:r>
        <w:t>e ejercicio,</w:t>
      </w:r>
      <w:r w:rsidRPr="00AE6816">
        <w:t xml:space="preserve"> se desestim</w:t>
      </w:r>
      <w:r>
        <w:t>ó</w:t>
      </w:r>
      <w:r w:rsidRPr="00AE6816">
        <w:t xml:space="preserve"> tal apoyo ante la fase temprana en que se encuentra el proyecto. </w:t>
      </w:r>
    </w:p>
    <w:p w:rsidR="00B63BF3" w:rsidRPr="00AE6816" w:rsidRDefault="00B63BF3" w:rsidP="00B63BF3">
      <w:pPr>
        <w:pStyle w:val="texto"/>
      </w:pPr>
      <w:r w:rsidRPr="00AE6816">
        <w:t>En junio de 2015, el consejo de administración de Sodena, tras analizar los principales riesgos y debilidades detectados en el proyecto, concluye que se v</w:t>
      </w:r>
      <w:r w:rsidRPr="00AE6816">
        <w:t>a</w:t>
      </w:r>
      <w:r w:rsidRPr="00AE6816">
        <w:t xml:space="preserve">lora positivamente el proyecto presentado pero requiere que, previamente a la </w:t>
      </w:r>
      <w:r>
        <w:t>toma de participación en su capital</w:t>
      </w:r>
      <w:r>
        <w:rPr>
          <w:rStyle w:val="Refdenotaalpie"/>
        </w:rPr>
        <w:footnoteReference w:id="8"/>
      </w:r>
      <w:r w:rsidRPr="00AE6816">
        <w:t>, la empresa Davalor presente justificación sobre una inversión adicional de 11 millones por parte de inversores profesi</w:t>
      </w:r>
      <w:r w:rsidRPr="00AE6816">
        <w:t>o</w:t>
      </w:r>
      <w:r w:rsidRPr="00AE6816">
        <w:t>nales, actualice su plan de negocio y se determine un valor de la empresa a los efectos de la toma de participación</w:t>
      </w:r>
      <w:r>
        <w:t>, considerando el cumplimiento de hitos del plan de negocio</w:t>
      </w:r>
      <w:r w:rsidRPr="00AE6816">
        <w:t>.</w:t>
      </w:r>
    </w:p>
    <w:p w:rsidR="00B63BF3" w:rsidRPr="00AE6816" w:rsidRDefault="00B63BF3" w:rsidP="00B63BF3">
      <w:pPr>
        <w:pStyle w:val="texto"/>
        <w:tabs>
          <w:tab w:val="num" w:pos="284"/>
          <w:tab w:val="num" w:pos="720"/>
        </w:tabs>
        <w:rPr>
          <w:szCs w:val="26"/>
          <w:lang w:val="es-ES" w:eastAsia="es-ES"/>
        </w:rPr>
      </w:pPr>
      <w:r w:rsidRPr="00AE6816">
        <w:rPr>
          <w:lang w:val="es-ES" w:eastAsia="es-ES"/>
        </w:rPr>
        <w:t xml:space="preserve">El 9 de septiembre de 2015, el Gobierno de Navarra acuerda, a propuesta de los Consejeros de Desarrollo Económico y de Hacienda y Política Financiera, instar </w:t>
      </w:r>
      <w:r w:rsidRPr="00AE6816">
        <w:rPr>
          <w:szCs w:val="26"/>
          <w:lang w:val="es-ES" w:eastAsia="es-ES"/>
        </w:rPr>
        <w:t xml:space="preserve">a Sodena para que otorgue apoyo financiero por importe de un millón de euros a Davalor Salud </w:t>
      </w:r>
      <w:r>
        <w:rPr>
          <w:szCs w:val="26"/>
          <w:lang w:val="es-ES" w:eastAsia="es-ES"/>
        </w:rPr>
        <w:t>SL</w:t>
      </w:r>
      <w:r w:rsidRPr="00AE6816">
        <w:rPr>
          <w:szCs w:val="26"/>
          <w:lang w:val="es-ES" w:eastAsia="es-ES"/>
        </w:rPr>
        <w:t>, en forma de préstamo participativo u otra fórmula que resulte adecuada. Este acuerdo está respaldado por un informe jurídico y un informe económico</w:t>
      </w:r>
      <w:r>
        <w:rPr>
          <w:szCs w:val="26"/>
          <w:lang w:val="es-ES" w:eastAsia="es-ES"/>
        </w:rPr>
        <w:t>, ambos del Departamento de Desarrollo Económico</w:t>
      </w:r>
      <w:r w:rsidRPr="00AE6816">
        <w:rPr>
          <w:szCs w:val="26"/>
          <w:lang w:val="es-ES" w:eastAsia="es-ES"/>
        </w:rPr>
        <w:t xml:space="preserve">; </w:t>
      </w:r>
      <w:r>
        <w:rPr>
          <w:szCs w:val="26"/>
          <w:lang w:val="es-ES" w:eastAsia="es-ES"/>
        </w:rPr>
        <w:t xml:space="preserve">en el jurídico se avala legalmente tal propuesta de concesión; </w:t>
      </w:r>
      <w:r w:rsidRPr="00AE6816">
        <w:rPr>
          <w:szCs w:val="26"/>
          <w:lang w:val="es-ES" w:eastAsia="es-ES"/>
        </w:rPr>
        <w:t xml:space="preserve">en </w:t>
      </w:r>
      <w:r>
        <w:rPr>
          <w:szCs w:val="26"/>
          <w:lang w:val="es-ES" w:eastAsia="es-ES"/>
        </w:rPr>
        <w:t>el informe econ</w:t>
      </w:r>
      <w:r>
        <w:rPr>
          <w:szCs w:val="26"/>
          <w:lang w:val="es-ES" w:eastAsia="es-ES"/>
        </w:rPr>
        <w:t>ó</w:t>
      </w:r>
      <w:r>
        <w:rPr>
          <w:szCs w:val="26"/>
          <w:lang w:val="es-ES" w:eastAsia="es-ES"/>
        </w:rPr>
        <w:t>mico</w:t>
      </w:r>
      <w:r w:rsidRPr="00AE6816">
        <w:rPr>
          <w:szCs w:val="26"/>
          <w:lang w:val="es-ES" w:eastAsia="es-ES"/>
        </w:rPr>
        <w:t xml:space="preserve"> se analiza la situación y circunstancias de la empresa</w:t>
      </w:r>
      <w:r>
        <w:rPr>
          <w:szCs w:val="26"/>
          <w:lang w:val="es-ES" w:eastAsia="es-ES"/>
        </w:rPr>
        <w:t xml:space="preserve"> Davalor</w:t>
      </w:r>
      <w:r w:rsidRPr="00AE6816">
        <w:rPr>
          <w:szCs w:val="26"/>
          <w:lang w:val="es-ES" w:eastAsia="es-ES"/>
        </w:rPr>
        <w:t xml:space="preserve"> y del pr</w:t>
      </w:r>
      <w:r w:rsidRPr="00AE6816">
        <w:rPr>
          <w:szCs w:val="26"/>
          <w:lang w:val="es-ES" w:eastAsia="es-ES"/>
        </w:rPr>
        <w:t>o</w:t>
      </w:r>
      <w:r w:rsidRPr="00AE6816">
        <w:rPr>
          <w:szCs w:val="26"/>
          <w:lang w:val="es-ES" w:eastAsia="es-ES"/>
        </w:rPr>
        <w:t xml:space="preserve">yecto, su repercusión en Navarra y los </w:t>
      </w:r>
      <w:r>
        <w:rPr>
          <w:szCs w:val="26"/>
          <w:lang w:val="es-ES" w:eastAsia="es-ES"/>
        </w:rPr>
        <w:t>análisis</w:t>
      </w:r>
      <w:r w:rsidRPr="00AE6816">
        <w:rPr>
          <w:szCs w:val="26"/>
          <w:lang w:val="es-ES" w:eastAsia="es-ES"/>
        </w:rPr>
        <w:t xml:space="preserve"> anteriores elaborados por Sod</w:t>
      </w:r>
      <w:r w:rsidRPr="00AE6816">
        <w:rPr>
          <w:szCs w:val="26"/>
          <w:lang w:val="es-ES" w:eastAsia="es-ES"/>
        </w:rPr>
        <w:t>e</w:t>
      </w:r>
      <w:r>
        <w:rPr>
          <w:szCs w:val="26"/>
          <w:lang w:val="es-ES" w:eastAsia="es-ES"/>
        </w:rPr>
        <w:t>na. Concluye</w:t>
      </w:r>
      <w:r w:rsidRPr="00AE6816">
        <w:rPr>
          <w:szCs w:val="26"/>
          <w:lang w:val="es-ES" w:eastAsia="es-ES"/>
        </w:rPr>
        <w:t xml:space="preserve"> que es oportuno que el Gobierno de Navarra apoye el mismo con </w:t>
      </w:r>
      <w:r w:rsidRPr="00AE6816">
        <w:rPr>
          <w:szCs w:val="26"/>
          <w:lang w:val="es-ES" w:eastAsia="es-ES"/>
        </w:rPr>
        <w:lastRenderedPageBreak/>
        <w:t xml:space="preserve">un millón de euros para atender </w:t>
      </w:r>
      <w:r>
        <w:rPr>
          <w:szCs w:val="26"/>
          <w:lang w:val="es-ES" w:eastAsia="es-ES"/>
        </w:rPr>
        <w:t>sus</w:t>
      </w:r>
      <w:r w:rsidRPr="00AE6816">
        <w:rPr>
          <w:szCs w:val="26"/>
          <w:lang w:val="es-ES" w:eastAsia="es-ES"/>
        </w:rPr>
        <w:t xml:space="preserve"> necesidades financieras</w:t>
      </w:r>
      <w:r>
        <w:rPr>
          <w:szCs w:val="26"/>
          <w:lang w:val="es-ES" w:eastAsia="es-ES"/>
        </w:rPr>
        <w:t xml:space="preserve"> más</w:t>
      </w:r>
      <w:r w:rsidRPr="00AE6816">
        <w:rPr>
          <w:szCs w:val="26"/>
          <w:lang w:val="es-ES" w:eastAsia="es-ES"/>
        </w:rPr>
        <w:t xml:space="preserve"> inmediatas y poder abordar</w:t>
      </w:r>
      <w:r>
        <w:rPr>
          <w:szCs w:val="26"/>
          <w:lang w:val="es-ES" w:eastAsia="es-ES"/>
        </w:rPr>
        <w:t>,</w:t>
      </w:r>
      <w:r w:rsidRPr="00AE6816">
        <w:rPr>
          <w:szCs w:val="26"/>
          <w:lang w:val="es-ES" w:eastAsia="es-ES"/>
        </w:rPr>
        <w:t xml:space="preserve"> a continuación</w:t>
      </w:r>
      <w:r>
        <w:rPr>
          <w:szCs w:val="26"/>
          <w:lang w:val="es-ES" w:eastAsia="es-ES"/>
        </w:rPr>
        <w:t>,</w:t>
      </w:r>
      <w:r w:rsidRPr="00AE6816">
        <w:rPr>
          <w:szCs w:val="26"/>
          <w:lang w:val="es-ES" w:eastAsia="es-ES"/>
        </w:rPr>
        <w:t xml:space="preserve"> un proceso de captación de la financiación ad</w:t>
      </w:r>
      <w:r w:rsidRPr="00AE6816">
        <w:rPr>
          <w:szCs w:val="26"/>
          <w:lang w:val="es-ES" w:eastAsia="es-ES"/>
        </w:rPr>
        <w:t>i</w:t>
      </w:r>
      <w:r w:rsidRPr="00AE6816">
        <w:rPr>
          <w:szCs w:val="26"/>
          <w:lang w:val="es-ES" w:eastAsia="es-ES"/>
        </w:rPr>
        <w:t>cional demandada por Sodena.</w:t>
      </w:r>
    </w:p>
    <w:p w:rsidR="00B63BF3" w:rsidRPr="005B4E93" w:rsidRDefault="00B63BF3" w:rsidP="00796E04">
      <w:pPr>
        <w:pStyle w:val="texto"/>
        <w:tabs>
          <w:tab w:val="num" w:pos="284"/>
          <w:tab w:val="num" w:pos="720"/>
        </w:tabs>
        <w:rPr>
          <w:lang w:val="es-ES" w:eastAsia="es-ES"/>
        </w:rPr>
      </w:pPr>
      <w:r w:rsidRPr="005B4E93">
        <w:rPr>
          <w:lang w:val="es-ES" w:eastAsia="es-ES"/>
        </w:rPr>
        <w:t>Posteriormente, el 17 de septiembre, y a la vista del mencionado acuerdo de Gobierno, el consejo de administración de Sodena acuerda la concesión mat</w:t>
      </w:r>
      <w:r w:rsidRPr="005B4E93">
        <w:rPr>
          <w:lang w:val="es-ES" w:eastAsia="es-ES"/>
        </w:rPr>
        <w:t>e</w:t>
      </w:r>
      <w:r w:rsidRPr="005B4E93">
        <w:rPr>
          <w:lang w:val="es-ES" w:eastAsia="es-ES"/>
        </w:rPr>
        <w:t>rial del citado préstamo participativo, con una serie de condiciones referidas fundamentalmente a las condiciones y garantías del préstamo y al manten</w:t>
      </w:r>
      <w:r w:rsidRPr="005B4E93">
        <w:rPr>
          <w:lang w:val="es-ES" w:eastAsia="es-ES"/>
        </w:rPr>
        <w:t>i</w:t>
      </w:r>
      <w:r w:rsidRPr="005B4E93">
        <w:rPr>
          <w:lang w:val="es-ES" w:eastAsia="es-ES"/>
        </w:rPr>
        <w:t>miento por Davalor Salud de su centro de dirección y de las previsiones de e</w:t>
      </w:r>
      <w:r w:rsidRPr="005B4E93">
        <w:rPr>
          <w:lang w:val="es-ES" w:eastAsia="es-ES"/>
        </w:rPr>
        <w:t>m</w:t>
      </w:r>
      <w:r w:rsidRPr="005B4E93">
        <w:rPr>
          <w:lang w:val="es-ES" w:eastAsia="es-ES"/>
        </w:rPr>
        <w:t>pleo indirecto industrial en Navarra.</w:t>
      </w:r>
    </w:p>
    <w:p w:rsidR="00B63BF3" w:rsidRPr="00AE6816" w:rsidRDefault="00B63BF3" w:rsidP="00796E04">
      <w:pPr>
        <w:pStyle w:val="texto"/>
        <w:rPr>
          <w:lang w:val="es-ES"/>
        </w:rPr>
      </w:pPr>
      <w:r w:rsidRPr="00AE6816">
        <w:rPr>
          <w:lang w:val="es-ES"/>
        </w:rPr>
        <w:t>Una vez que Davalor presenta el plan de viabilidad y se firma el acuerdo marco de financiación entre esta empresa y Sodena, el consejo de administr</w:t>
      </w:r>
      <w:r w:rsidRPr="00AE6816">
        <w:rPr>
          <w:lang w:val="es-ES"/>
        </w:rPr>
        <w:t>a</w:t>
      </w:r>
      <w:r w:rsidRPr="00AE6816">
        <w:rPr>
          <w:lang w:val="es-ES"/>
        </w:rPr>
        <w:t>ción de la empresa pública acuerda, en sesiones celebradas el 1 de diciembre de 2016 y el 16 de enero de 2017, la concesión de otros dos préstamos</w:t>
      </w:r>
      <w:r>
        <w:rPr>
          <w:lang w:val="es-ES"/>
        </w:rPr>
        <w:t xml:space="preserve"> BEI</w:t>
      </w:r>
      <w:r w:rsidRPr="00AE6816">
        <w:rPr>
          <w:lang w:val="es-ES"/>
        </w:rPr>
        <w:t xml:space="preserve"> por importe de 0,4 y 0,6 millones, respectivamente.</w:t>
      </w:r>
    </w:p>
    <w:p w:rsidR="00B63BF3" w:rsidRPr="00455E55" w:rsidRDefault="00B63BF3" w:rsidP="00796E04">
      <w:pPr>
        <w:pStyle w:val="texto"/>
        <w:tabs>
          <w:tab w:val="clear" w:pos="2835"/>
          <w:tab w:val="clear" w:pos="3969"/>
          <w:tab w:val="clear" w:pos="5103"/>
          <w:tab w:val="clear" w:pos="6237"/>
          <w:tab w:val="clear" w:pos="7371"/>
        </w:tabs>
        <w:rPr>
          <w:szCs w:val="26"/>
        </w:rPr>
      </w:pPr>
      <w:r w:rsidRPr="00455E55">
        <w:rPr>
          <w:szCs w:val="26"/>
        </w:rPr>
        <w:t>En nuestra opinión, los tres préstamos concedidos a Davalor Salud SL fueron acordados por el consejo de administración de Sodena. El primero de ellos se efectuó a instancia del Gobierno de Navarra apoyado en informes técnicos del Departamento de Desarrollo Económico; este procedimiento es excepcional en la concesión de apoyo financiero</w:t>
      </w:r>
      <w:r>
        <w:rPr>
          <w:szCs w:val="26"/>
        </w:rPr>
        <w:t xml:space="preserve"> a proyectos empresariales</w:t>
      </w:r>
      <w:r w:rsidRPr="00455E55">
        <w:rPr>
          <w:szCs w:val="26"/>
        </w:rPr>
        <w:t xml:space="preserve"> por parte de Sod</w:t>
      </w:r>
      <w:r w:rsidRPr="00455E55">
        <w:rPr>
          <w:szCs w:val="26"/>
        </w:rPr>
        <w:t>e</w:t>
      </w:r>
      <w:r w:rsidRPr="00455E55">
        <w:rPr>
          <w:szCs w:val="26"/>
        </w:rPr>
        <w:t>na. Los otros dos préstamos los aprobó Sodena basándose en los informes de situación de sus servicios técnicos.</w:t>
      </w:r>
    </w:p>
    <w:p w:rsidR="00B63BF3" w:rsidRPr="00786D18" w:rsidRDefault="00B63BF3" w:rsidP="00796E04">
      <w:pPr>
        <w:pStyle w:val="texto"/>
        <w:tabs>
          <w:tab w:val="clear" w:pos="2835"/>
          <w:tab w:val="clear" w:pos="3969"/>
          <w:tab w:val="clear" w:pos="5103"/>
          <w:tab w:val="clear" w:pos="6237"/>
          <w:tab w:val="clear" w:pos="7371"/>
        </w:tabs>
        <w:rPr>
          <w:szCs w:val="26"/>
        </w:rPr>
      </w:pPr>
      <w:r>
        <w:rPr>
          <w:szCs w:val="26"/>
        </w:rPr>
        <w:t>La dirección de Sodena realiza un seguimiento riguroso sobre la evolución del negocio, los posibles riesgos que se derivan del mismo y el cumplimiento de los requisitos</w:t>
      </w:r>
      <w:r w:rsidRPr="00786D18">
        <w:rPr>
          <w:szCs w:val="26"/>
        </w:rPr>
        <w:t xml:space="preserve"> o condiciones esenciales a cumplir por Davalor Salud</w:t>
      </w:r>
      <w:r>
        <w:rPr>
          <w:szCs w:val="26"/>
        </w:rPr>
        <w:t>, esp</w:t>
      </w:r>
      <w:r>
        <w:rPr>
          <w:szCs w:val="26"/>
        </w:rPr>
        <w:t>e</w:t>
      </w:r>
      <w:r>
        <w:rPr>
          <w:szCs w:val="26"/>
        </w:rPr>
        <w:t>cialmente desde la aprobación del plan de viabilidad de esta empresa.</w:t>
      </w:r>
      <w:r w:rsidRPr="00786D18">
        <w:rPr>
          <w:szCs w:val="26"/>
        </w:rPr>
        <w:t xml:space="preserve"> </w:t>
      </w:r>
      <w:r>
        <w:rPr>
          <w:szCs w:val="26"/>
        </w:rPr>
        <w:t>No ob</w:t>
      </w:r>
      <w:r>
        <w:rPr>
          <w:szCs w:val="26"/>
        </w:rPr>
        <w:t>s</w:t>
      </w:r>
      <w:r>
        <w:rPr>
          <w:szCs w:val="26"/>
        </w:rPr>
        <w:t>tante, a la fecha de elaboración de este informe, observamos:</w:t>
      </w:r>
    </w:p>
    <w:p w:rsidR="00B63BF3" w:rsidRPr="00786D18" w:rsidRDefault="00B63BF3" w:rsidP="00796E04">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sidRPr="00786D18">
        <w:rPr>
          <w:rFonts w:cs="Arial"/>
        </w:rPr>
        <w:t>La empresa Davalor no ha presentado las cuentas anuales de 2015.</w:t>
      </w:r>
      <w:r>
        <w:rPr>
          <w:rFonts w:cs="Arial"/>
        </w:rPr>
        <w:t xml:space="preserve"> Sí ha presentado un cierre de estados intermedios a 31 de mayo de 2015 junto con el informe de auditoría que incluye una opinión con diversas salvedades.</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spacing w:after="240"/>
        <w:ind w:left="0" w:firstLine="289"/>
        <w:rPr>
          <w:szCs w:val="26"/>
          <w:lang w:eastAsia="es-ES"/>
        </w:rPr>
      </w:pPr>
      <w:r>
        <w:rPr>
          <w:rFonts w:cs="Arial"/>
        </w:rPr>
        <w:t>Davalor n</w:t>
      </w:r>
      <w:r w:rsidRPr="00786D18">
        <w:rPr>
          <w:rFonts w:cs="Arial"/>
        </w:rPr>
        <w:t>o ha abonado</w:t>
      </w:r>
      <w:r>
        <w:rPr>
          <w:rFonts w:cs="Arial"/>
        </w:rPr>
        <w:t xml:space="preserve"> a Sodena</w:t>
      </w:r>
      <w:r w:rsidRPr="00786D18">
        <w:rPr>
          <w:rFonts w:cs="Arial"/>
        </w:rPr>
        <w:t xml:space="preserve"> los intereses devengados </w:t>
      </w:r>
      <w:r>
        <w:rPr>
          <w:rFonts w:cs="Arial"/>
        </w:rPr>
        <w:t>del</w:t>
      </w:r>
      <w:r w:rsidRPr="00786D18">
        <w:rPr>
          <w:rFonts w:cs="Arial"/>
        </w:rPr>
        <w:t xml:space="preserve"> primer pré</w:t>
      </w:r>
      <w:r w:rsidRPr="00786D18">
        <w:rPr>
          <w:rFonts w:cs="Arial"/>
        </w:rPr>
        <w:t>s</w:t>
      </w:r>
      <w:r w:rsidRPr="00786D18">
        <w:rPr>
          <w:rFonts w:cs="Arial"/>
        </w:rPr>
        <w:t xml:space="preserve">tamo </w:t>
      </w:r>
      <w:r>
        <w:rPr>
          <w:rFonts w:cs="Arial"/>
        </w:rPr>
        <w:t xml:space="preserve">y </w:t>
      </w:r>
      <w:r w:rsidRPr="00786D18">
        <w:rPr>
          <w:rFonts w:cs="Arial"/>
        </w:rPr>
        <w:t>que ascienden a 62.008 euros</w:t>
      </w:r>
      <w:r>
        <w:rPr>
          <w:rFonts w:cs="Arial"/>
        </w:rPr>
        <w:t>; este importe corresponde a las tres pr</w:t>
      </w:r>
      <w:r>
        <w:rPr>
          <w:rFonts w:cs="Arial"/>
        </w:rPr>
        <w:t>i</w:t>
      </w:r>
      <w:r>
        <w:rPr>
          <w:rFonts w:cs="Arial"/>
        </w:rPr>
        <w:t>meras liquidaciones de intereses del mismo</w:t>
      </w:r>
      <w:r>
        <w:rPr>
          <w:szCs w:val="26"/>
          <w:lang w:eastAsia="es-ES"/>
        </w:rPr>
        <w:t>, según el siguiente detalle:</w:t>
      </w:r>
    </w:p>
    <w:tbl>
      <w:tblPr>
        <w:tblW w:w="8778" w:type="dxa"/>
        <w:jc w:val="center"/>
        <w:tblCellMar>
          <w:left w:w="70" w:type="dxa"/>
          <w:right w:w="70" w:type="dxa"/>
        </w:tblCellMar>
        <w:tblLook w:val="04A0" w:firstRow="1" w:lastRow="0" w:firstColumn="1" w:lastColumn="0" w:noHBand="0" w:noVBand="1"/>
      </w:tblPr>
      <w:tblGrid>
        <w:gridCol w:w="2232"/>
        <w:gridCol w:w="2665"/>
        <w:gridCol w:w="3881"/>
      </w:tblGrid>
      <w:tr w:rsidR="00B63BF3" w:rsidRPr="00E94B1E" w:rsidTr="001121D8">
        <w:trPr>
          <w:trHeight w:val="284"/>
          <w:jc w:val="center"/>
        </w:trPr>
        <w:tc>
          <w:tcPr>
            <w:tcW w:w="2232" w:type="dxa"/>
            <w:tcBorders>
              <w:top w:val="single" w:sz="4" w:space="0" w:color="auto"/>
              <w:bottom w:val="single" w:sz="4" w:space="0" w:color="auto"/>
            </w:tcBorders>
            <w:shd w:val="clear" w:color="auto" w:fill="A0C3E3" w:themeFill="accent1" w:themeFillTint="99"/>
            <w:noWrap/>
            <w:vAlign w:val="center"/>
          </w:tcPr>
          <w:p w:rsidR="00B63BF3" w:rsidRPr="00E94B1E" w:rsidRDefault="00B63BF3" w:rsidP="001121D8">
            <w:pPr>
              <w:pStyle w:val="cuadroCabe"/>
              <w:rPr>
                <w:lang w:val="es-ES" w:eastAsia="es-ES"/>
              </w:rPr>
            </w:pPr>
            <w:r>
              <w:rPr>
                <w:lang w:val="es-ES" w:eastAsia="es-ES"/>
              </w:rPr>
              <w:t>Periodo</w:t>
            </w:r>
          </w:p>
        </w:tc>
        <w:tc>
          <w:tcPr>
            <w:tcW w:w="2665" w:type="dxa"/>
            <w:tcBorders>
              <w:top w:val="single" w:sz="4" w:space="0" w:color="auto"/>
              <w:bottom w:val="single" w:sz="4" w:space="0" w:color="auto"/>
            </w:tcBorders>
            <w:shd w:val="clear" w:color="auto" w:fill="A0C3E3" w:themeFill="accent1" w:themeFillTint="99"/>
            <w:vAlign w:val="center"/>
          </w:tcPr>
          <w:p w:rsidR="00B63BF3" w:rsidRDefault="00B63BF3" w:rsidP="001121D8">
            <w:pPr>
              <w:pStyle w:val="cuadroCabe"/>
              <w:jc w:val="right"/>
              <w:rPr>
                <w:lang w:val="es-ES" w:eastAsia="es-ES"/>
              </w:rPr>
            </w:pPr>
            <w:r>
              <w:rPr>
                <w:lang w:val="es-ES" w:eastAsia="es-ES"/>
              </w:rPr>
              <w:t>Fecha de liquidación</w:t>
            </w:r>
          </w:p>
        </w:tc>
        <w:tc>
          <w:tcPr>
            <w:tcW w:w="3881" w:type="dxa"/>
            <w:tcBorders>
              <w:top w:val="single" w:sz="4" w:space="0" w:color="auto"/>
              <w:bottom w:val="single" w:sz="4" w:space="0" w:color="auto"/>
            </w:tcBorders>
            <w:shd w:val="clear" w:color="auto" w:fill="A0C3E3" w:themeFill="accent1" w:themeFillTint="99"/>
            <w:vAlign w:val="center"/>
          </w:tcPr>
          <w:p w:rsidR="00B63BF3" w:rsidRDefault="00B63BF3" w:rsidP="001121D8">
            <w:pPr>
              <w:pStyle w:val="cuadroCabe"/>
              <w:jc w:val="right"/>
              <w:rPr>
                <w:lang w:val="es-ES" w:eastAsia="es-ES"/>
              </w:rPr>
            </w:pPr>
            <w:r>
              <w:rPr>
                <w:lang w:val="es-ES" w:eastAsia="es-ES"/>
              </w:rPr>
              <w:t>Importe intereses devengados no pagados</w:t>
            </w:r>
          </w:p>
        </w:tc>
      </w:tr>
      <w:tr w:rsidR="00B63BF3" w:rsidRPr="00E94B1E" w:rsidTr="001121D8">
        <w:trPr>
          <w:trHeight w:val="284"/>
          <w:jc w:val="center"/>
        </w:trPr>
        <w:tc>
          <w:tcPr>
            <w:tcW w:w="2232" w:type="dxa"/>
            <w:tcBorders>
              <w:top w:val="single" w:sz="4" w:space="0" w:color="auto"/>
              <w:bottom w:val="single" w:sz="2" w:space="0" w:color="auto"/>
            </w:tcBorders>
            <w:shd w:val="clear" w:color="000000" w:fill="FFFFFF"/>
            <w:noWrap/>
            <w:vAlign w:val="center"/>
          </w:tcPr>
          <w:p w:rsidR="00B63BF3" w:rsidRPr="00E94B1E" w:rsidRDefault="00B63BF3" w:rsidP="001121D8">
            <w:pPr>
              <w:pStyle w:val="cuatexto"/>
            </w:pPr>
            <w:r>
              <w:t>1ª Liquidación 2015</w:t>
            </w:r>
          </w:p>
        </w:tc>
        <w:tc>
          <w:tcPr>
            <w:tcW w:w="2665" w:type="dxa"/>
            <w:tcBorders>
              <w:top w:val="single" w:sz="4" w:space="0" w:color="auto"/>
              <w:bottom w:val="single" w:sz="2" w:space="0" w:color="auto"/>
            </w:tcBorders>
            <w:shd w:val="clear" w:color="000000" w:fill="FFFFFF"/>
            <w:vAlign w:val="center"/>
          </w:tcPr>
          <w:p w:rsidR="00B63BF3" w:rsidRDefault="00B63BF3" w:rsidP="001121D8">
            <w:pPr>
              <w:pStyle w:val="cuatexto"/>
              <w:ind w:right="30"/>
              <w:jc w:val="right"/>
            </w:pPr>
            <w:r>
              <w:t>31 de diciembre de 2015</w:t>
            </w:r>
          </w:p>
        </w:tc>
        <w:tc>
          <w:tcPr>
            <w:tcW w:w="3881" w:type="dxa"/>
            <w:tcBorders>
              <w:top w:val="single" w:sz="4" w:space="0" w:color="auto"/>
              <w:bottom w:val="single" w:sz="2" w:space="0" w:color="auto"/>
            </w:tcBorders>
            <w:shd w:val="clear" w:color="000000" w:fill="FFFFFF"/>
            <w:vAlign w:val="center"/>
          </w:tcPr>
          <w:p w:rsidR="00B63BF3" w:rsidRPr="00E94B1E" w:rsidRDefault="00B63BF3" w:rsidP="001121D8">
            <w:pPr>
              <w:pStyle w:val="cuatexto"/>
              <w:ind w:right="30"/>
              <w:jc w:val="right"/>
            </w:pPr>
            <w:r>
              <w:t>11.829</w:t>
            </w:r>
          </w:p>
        </w:tc>
      </w:tr>
      <w:tr w:rsidR="00B63BF3" w:rsidRPr="00E94B1E" w:rsidTr="001121D8">
        <w:trPr>
          <w:trHeight w:val="284"/>
          <w:jc w:val="center"/>
        </w:trPr>
        <w:tc>
          <w:tcPr>
            <w:tcW w:w="2232" w:type="dxa"/>
            <w:tcBorders>
              <w:top w:val="single" w:sz="2" w:space="0" w:color="auto"/>
              <w:bottom w:val="single" w:sz="2" w:space="0" w:color="auto"/>
            </w:tcBorders>
            <w:shd w:val="clear" w:color="000000" w:fill="FFFFFF"/>
            <w:noWrap/>
            <w:vAlign w:val="center"/>
          </w:tcPr>
          <w:p w:rsidR="00B63BF3" w:rsidRDefault="00B63BF3" w:rsidP="001121D8">
            <w:pPr>
              <w:pStyle w:val="cuatexto"/>
            </w:pPr>
            <w:r>
              <w:t>1ª Liquidación 2016</w:t>
            </w:r>
          </w:p>
        </w:tc>
        <w:tc>
          <w:tcPr>
            <w:tcW w:w="2665" w:type="dxa"/>
            <w:tcBorders>
              <w:top w:val="single" w:sz="2" w:space="0" w:color="auto"/>
              <w:bottom w:val="single" w:sz="2" w:space="0" w:color="auto"/>
            </w:tcBorders>
            <w:shd w:val="clear" w:color="000000" w:fill="FFFFFF"/>
            <w:vAlign w:val="center"/>
          </w:tcPr>
          <w:p w:rsidR="00B63BF3" w:rsidRDefault="00B63BF3" w:rsidP="001121D8">
            <w:pPr>
              <w:pStyle w:val="cuatexto"/>
              <w:ind w:right="30"/>
              <w:jc w:val="right"/>
            </w:pPr>
            <w:r>
              <w:t>30 de junio de 2016</w:t>
            </w:r>
          </w:p>
        </w:tc>
        <w:tc>
          <w:tcPr>
            <w:tcW w:w="3881" w:type="dxa"/>
            <w:tcBorders>
              <w:top w:val="single" w:sz="2" w:space="0" w:color="auto"/>
              <w:bottom w:val="single" w:sz="2" w:space="0" w:color="auto"/>
            </w:tcBorders>
            <w:shd w:val="clear" w:color="000000" w:fill="FFFFFF"/>
            <w:vAlign w:val="center"/>
          </w:tcPr>
          <w:p w:rsidR="00B63BF3" w:rsidRPr="00E94B1E" w:rsidRDefault="00B63BF3" w:rsidP="001121D8">
            <w:pPr>
              <w:pStyle w:val="cuatexto"/>
              <w:ind w:right="30"/>
              <w:jc w:val="right"/>
            </w:pPr>
            <w:r>
              <w:t>25.221</w:t>
            </w:r>
          </w:p>
        </w:tc>
      </w:tr>
      <w:tr w:rsidR="00B63BF3" w:rsidRPr="00E94B1E" w:rsidTr="001121D8">
        <w:trPr>
          <w:trHeight w:val="284"/>
          <w:jc w:val="center"/>
        </w:trPr>
        <w:tc>
          <w:tcPr>
            <w:tcW w:w="2232" w:type="dxa"/>
            <w:tcBorders>
              <w:top w:val="single" w:sz="4" w:space="0" w:color="auto"/>
              <w:bottom w:val="single" w:sz="4" w:space="0" w:color="auto"/>
            </w:tcBorders>
            <w:shd w:val="clear" w:color="000000" w:fill="FFFFFF"/>
            <w:noWrap/>
            <w:vAlign w:val="center"/>
          </w:tcPr>
          <w:p w:rsidR="00B63BF3" w:rsidRDefault="00B63BF3" w:rsidP="001121D8">
            <w:pPr>
              <w:pStyle w:val="cuatexto"/>
            </w:pPr>
            <w:r>
              <w:t>2ª Liquidación 2016</w:t>
            </w:r>
          </w:p>
        </w:tc>
        <w:tc>
          <w:tcPr>
            <w:tcW w:w="2665" w:type="dxa"/>
            <w:tcBorders>
              <w:top w:val="single" w:sz="4" w:space="0" w:color="auto"/>
              <w:bottom w:val="single" w:sz="4" w:space="0" w:color="auto"/>
            </w:tcBorders>
            <w:shd w:val="clear" w:color="000000" w:fill="FFFFFF"/>
            <w:vAlign w:val="center"/>
          </w:tcPr>
          <w:p w:rsidR="00B63BF3" w:rsidRDefault="00B63BF3" w:rsidP="001121D8">
            <w:pPr>
              <w:pStyle w:val="cuatexto"/>
              <w:ind w:right="30"/>
              <w:jc w:val="right"/>
            </w:pPr>
            <w:r>
              <w:t>31 de diciembre de 2016</w:t>
            </w:r>
          </w:p>
        </w:tc>
        <w:tc>
          <w:tcPr>
            <w:tcW w:w="3881" w:type="dxa"/>
            <w:tcBorders>
              <w:top w:val="single" w:sz="4" w:space="0" w:color="auto"/>
              <w:bottom w:val="single" w:sz="4" w:space="0" w:color="auto"/>
            </w:tcBorders>
            <w:shd w:val="clear" w:color="000000" w:fill="FFFFFF"/>
            <w:vAlign w:val="center"/>
          </w:tcPr>
          <w:p w:rsidR="00B63BF3" w:rsidRDefault="00B63BF3" w:rsidP="001121D8">
            <w:pPr>
              <w:pStyle w:val="cuatexto"/>
              <w:ind w:right="30"/>
              <w:jc w:val="right"/>
            </w:pPr>
            <w:r>
              <w:t>24.958</w:t>
            </w:r>
          </w:p>
        </w:tc>
      </w:tr>
      <w:tr w:rsidR="00B63BF3" w:rsidRPr="00E94B1E" w:rsidTr="001121D8">
        <w:trPr>
          <w:trHeight w:val="284"/>
          <w:jc w:val="center"/>
        </w:trPr>
        <w:tc>
          <w:tcPr>
            <w:tcW w:w="2232" w:type="dxa"/>
            <w:tcBorders>
              <w:top w:val="single" w:sz="4" w:space="0" w:color="auto"/>
              <w:bottom w:val="single" w:sz="4" w:space="0" w:color="auto"/>
            </w:tcBorders>
            <w:shd w:val="clear" w:color="auto" w:fill="A0C3E3" w:themeFill="accent1" w:themeFillTint="99"/>
            <w:noWrap/>
            <w:vAlign w:val="center"/>
          </w:tcPr>
          <w:p w:rsidR="00B63BF3" w:rsidRPr="00BB7FEE" w:rsidRDefault="00B63BF3" w:rsidP="001121D8">
            <w:pPr>
              <w:pStyle w:val="cuadroCabe"/>
              <w:rPr>
                <w:lang w:val="es-ES" w:eastAsia="es-ES"/>
              </w:rPr>
            </w:pPr>
            <w:r>
              <w:rPr>
                <w:lang w:val="es-ES" w:eastAsia="es-ES"/>
              </w:rPr>
              <w:t>Total pendiente</w:t>
            </w:r>
          </w:p>
        </w:tc>
        <w:tc>
          <w:tcPr>
            <w:tcW w:w="2665" w:type="dxa"/>
            <w:tcBorders>
              <w:top w:val="single" w:sz="4" w:space="0" w:color="auto"/>
              <w:bottom w:val="single" w:sz="4" w:space="0" w:color="auto"/>
            </w:tcBorders>
            <w:shd w:val="clear" w:color="auto" w:fill="A0C3E3" w:themeFill="accent1" w:themeFillTint="99"/>
            <w:vAlign w:val="center"/>
          </w:tcPr>
          <w:p w:rsidR="00B63BF3" w:rsidRDefault="00B63BF3" w:rsidP="001121D8">
            <w:pPr>
              <w:pStyle w:val="cuadroCabe"/>
              <w:jc w:val="right"/>
              <w:rPr>
                <w:lang w:val="es-ES" w:eastAsia="es-ES"/>
              </w:rPr>
            </w:pPr>
          </w:p>
        </w:tc>
        <w:tc>
          <w:tcPr>
            <w:tcW w:w="3881" w:type="dxa"/>
            <w:tcBorders>
              <w:top w:val="single" w:sz="4" w:space="0" w:color="auto"/>
              <w:bottom w:val="single" w:sz="4" w:space="0" w:color="auto"/>
            </w:tcBorders>
            <w:shd w:val="clear" w:color="auto" w:fill="A0C3E3" w:themeFill="accent1" w:themeFillTint="99"/>
            <w:vAlign w:val="center"/>
          </w:tcPr>
          <w:p w:rsidR="00B63BF3" w:rsidRPr="00BB7FEE" w:rsidRDefault="00B63BF3" w:rsidP="001121D8">
            <w:pPr>
              <w:pStyle w:val="cuadroCabe"/>
              <w:jc w:val="right"/>
              <w:rPr>
                <w:lang w:val="es-ES" w:eastAsia="es-ES"/>
              </w:rPr>
            </w:pPr>
            <w:r>
              <w:rPr>
                <w:lang w:val="es-ES" w:eastAsia="es-ES"/>
              </w:rPr>
              <w:t>62.008</w:t>
            </w:r>
          </w:p>
        </w:tc>
      </w:tr>
    </w:tbl>
    <w:p w:rsidR="00B63BF3" w:rsidRDefault="00B63BF3" w:rsidP="00B63BF3">
      <w:pPr>
        <w:pStyle w:val="texto"/>
        <w:tabs>
          <w:tab w:val="num" w:pos="284"/>
          <w:tab w:val="num" w:pos="720"/>
        </w:tabs>
        <w:spacing w:after="0"/>
        <w:rPr>
          <w:szCs w:val="26"/>
          <w:lang w:eastAsia="es-ES"/>
        </w:rPr>
      </w:pPr>
    </w:p>
    <w:p w:rsidR="00B63BF3" w:rsidRDefault="00B63BF3" w:rsidP="00B63BF3">
      <w:pPr>
        <w:pStyle w:val="texto"/>
        <w:tabs>
          <w:tab w:val="num" w:pos="284"/>
          <w:tab w:val="num" w:pos="720"/>
        </w:tabs>
        <w:rPr>
          <w:szCs w:val="26"/>
          <w:lang w:eastAsia="es-ES"/>
        </w:rPr>
      </w:pPr>
      <w:r>
        <w:rPr>
          <w:szCs w:val="26"/>
          <w:lang w:eastAsia="es-ES"/>
        </w:rPr>
        <w:t>Este importe se incrementará con los correspondientes intereses de demora contemplados en el contrato.</w:t>
      </w:r>
    </w:p>
    <w:p w:rsidR="00B63BF3" w:rsidRPr="00FA7648" w:rsidRDefault="00B63BF3" w:rsidP="00B63BF3">
      <w:pPr>
        <w:pStyle w:val="texto"/>
        <w:tabs>
          <w:tab w:val="num" w:pos="284"/>
          <w:tab w:val="num" w:pos="720"/>
        </w:tabs>
        <w:rPr>
          <w:szCs w:val="26"/>
          <w:lang w:eastAsia="es-ES"/>
        </w:rPr>
      </w:pPr>
      <w:r>
        <w:rPr>
          <w:szCs w:val="26"/>
          <w:lang w:eastAsia="es-ES"/>
        </w:rPr>
        <w:lastRenderedPageBreak/>
        <w:t>Estos importes han sido reclamados por Sodena.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En 2016, l</w:t>
      </w:r>
      <w:r w:rsidRPr="00786D18">
        <w:rPr>
          <w:rFonts w:cs="Arial"/>
        </w:rPr>
        <w:t>a em</w:t>
      </w:r>
      <w:r>
        <w:rPr>
          <w:rFonts w:cs="Arial"/>
        </w:rPr>
        <w:t xml:space="preserve">presa no se encuentra </w:t>
      </w:r>
      <w:r w:rsidRPr="00786D18">
        <w:rPr>
          <w:rFonts w:cs="Arial"/>
        </w:rPr>
        <w:t>al corriente de sus obligaciones fisc</w:t>
      </w:r>
      <w:r w:rsidRPr="00786D18">
        <w:rPr>
          <w:rFonts w:cs="Arial"/>
        </w:rPr>
        <w:t>a</w:t>
      </w:r>
      <w:r w:rsidRPr="00786D18">
        <w:rPr>
          <w:rFonts w:cs="Arial"/>
        </w:rPr>
        <w:t>les y con la Seguridad Social.</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Se aprecia cierto retraso sobre las previsiones planteadas en la fase I del plan de viabilidad respecto a la entrada en funcionamiento comercial de la pr</w:t>
      </w:r>
      <w:r>
        <w:rPr>
          <w:rFonts w:cs="Arial"/>
        </w:rPr>
        <w:t>i</w:t>
      </w:r>
      <w:r>
        <w:rPr>
          <w:rFonts w:cs="Arial"/>
        </w:rPr>
        <w:t>mera EVA instalada en Tudela y a la instalación de las otras seis más previstas en la citada fase.</w:t>
      </w:r>
    </w:p>
    <w:p w:rsidR="00B63BF3" w:rsidRPr="00786D18"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rPr>
          <w:rFonts w:cs="Arial"/>
        </w:rPr>
        <w:t>Se sigue observando una difícil situación financiera de la sociedad.</w:t>
      </w:r>
    </w:p>
    <w:p w:rsidR="00621A26" w:rsidRDefault="00621A26" w:rsidP="00621A26">
      <w:pPr>
        <w:spacing w:after="0"/>
        <w:ind w:firstLine="0"/>
        <w:jc w:val="left"/>
        <w:rPr>
          <w:rFonts w:ascii="Arial" w:hAnsi="Arial"/>
          <w:b/>
          <w:color w:val="000000"/>
          <w:kern w:val="28"/>
          <w:sz w:val="25"/>
          <w:szCs w:val="26"/>
          <w:lang w:val="es-ES" w:eastAsia="es-ES"/>
        </w:rPr>
      </w:pPr>
      <w:r>
        <w:rPr>
          <w:lang w:val="es-ES" w:eastAsia="es-ES"/>
        </w:rPr>
        <w:br w:type="page"/>
      </w:r>
    </w:p>
    <w:p w:rsidR="00621A26" w:rsidRDefault="00621A26" w:rsidP="00621A26">
      <w:pPr>
        <w:pStyle w:val="atitulo1"/>
        <w:rPr>
          <w:lang w:val="es-ES" w:eastAsia="es-ES"/>
        </w:rPr>
      </w:pPr>
      <w:bookmarkStart w:id="22" w:name="_Toc480357324"/>
      <w:bookmarkStart w:id="23" w:name="_Toc483307006"/>
      <w:r>
        <w:rPr>
          <w:lang w:val="es-ES" w:eastAsia="es-ES"/>
        </w:rPr>
        <w:lastRenderedPageBreak/>
        <w:t>IV. Comentarios y observaciones</w:t>
      </w:r>
      <w:bookmarkEnd w:id="22"/>
      <w:bookmarkEnd w:id="23"/>
    </w:p>
    <w:p w:rsidR="00B63BF3" w:rsidRDefault="00B63BF3" w:rsidP="00B63BF3">
      <w:pPr>
        <w:pStyle w:val="texto"/>
        <w:tabs>
          <w:tab w:val="clear" w:pos="2835"/>
          <w:tab w:val="clear" w:pos="3969"/>
          <w:tab w:val="clear" w:pos="5103"/>
          <w:tab w:val="clear" w:pos="6237"/>
          <w:tab w:val="clear" w:pos="7371"/>
        </w:tabs>
        <w:spacing w:after="240"/>
        <w:rPr>
          <w:szCs w:val="26"/>
        </w:rPr>
      </w:pPr>
      <w:r>
        <w:rPr>
          <w:szCs w:val="26"/>
        </w:rPr>
        <w:t>Como parte de la fiscalización realizada, a continuación se incluyen aquellas observaciones y comentarios junto con determinada información adicional que esta Cámara considera que puede ser de interés a los destinatarios y usuarios del informe.</w:t>
      </w:r>
    </w:p>
    <w:p w:rsidR="00B63BF3" w:rsidRPr="0059293C" w:rsidRDefault="00B63BF3" w:rsidP="00B63BF3">
      <w:pPr>
        <w:pStyle w:val="atitulo2"/>
        <w:rPr>
          <w:lang w:val="es-ES" w:eastAsia="es-ES"/>
        </w:rPr>
      </w:pPr>
      <w:bookmarkStart w:id="24" w:name="_Toc480357325"/>
      <w:bookmarkStart w:id="25" w:name="_Toc482355683"/>
      <w:bookmarkStart w:id="26" w:name="_Toc483307007"/>
      <w:r>
        <w:rPr>
          <w:lang w:val="es-ES" w:eastAsia="es-ES"/>
        </w:rPr>
        <w:t>IV.1. Préstamo participativo de un millón de euros</w:t>
      </w:r>
      <w:bookmarkEnd w:id="24"/>
      <w:bookmarkEnd w:id="25"/>
      <w:bookmarkEnd w:id="26"/>
    </w:p>
    <w:p w:rsidR="00B63BF3" w:rsidRDefault="00B63BF3" w:rsidP="00B63BF3">
      <w:pPr>
        <w:pStyle w:val="texto"/>
        <w:tabs>
          <w:tab w:val="num" w:pos="284"/>
          <w:tab w:val="num" w:pos="720"/>
        </w:tabs>
        <w:rPr>
          <w:szCs w:val="26"/>
          <w:lang w:val="es-ES" w:eastAsia="es-ES"/>
        </w:rPr>
      </w:pPr>
      <w:r>
        <w:rPr>
          <w:szCs w:val="26"/>
          <w:lang w:val="es-ES" w:eastAsia="es-ES"/>
        </w:rPr>
        <w:t>En 2012, a través de una empresa de consultoría, se contacta con Sodena p</w:t>
      </w:r>
      <w:r>
        <w:rPr>
          <w:szCs w:val="26"/>
          <w:lang w:val="es-ES" w:eastAsia="es-ES"/>
        </w:rPr>
        <w:t>a</w:t>
      </w:r>
      <w:r>
        <w:rPr>
          <w:szCs w:val="26"/>
          <w:lang w:val="es-ES" w:eastAsia="es-ES"/>
        </w:rPr>
        <w:t>ra que se analice el posible apoyo financiero al proyecto Davalor. Tras un an</w:t>
      </w:r>
      <w:r>
        <w:rPr>
          <w:szCs w:val="26"/>
          <w:lang w:val="es-ES" w:eastAsia="es-ES"/>
        </w:rPr>
        <w:t>á</w:t>
      </w:r>
      <w:r>
        <w:rPr>
          <w:szCs w:val="26"/>
          <w:lang w:val="es-ES" w:eastAsia="es-ES"/>
        </w:rPr>
        <w:t>lisis preliminar, se concluye en no continuar con el estudio ante la fase tempr</w:t>
      </w:r>
      <w:r>
        <w:rPr>
          <w:szCs w:val="26"/>
          <w:lang w:val="es-ES" w:eastAsia="es-ES"/>
        </w:rPr>
        <w:t>a</w:t>
      </w:r>
      <w:r>
        <w:rPr>
          <w:szCs w:val="26"/>
          <w:lang w:val="es-ES" w:eastAsia="es-ES"/>
        </w:rPr>
        <w:t>na de desarrollo del proyecto y la ausencia de un prototipo.</w:t>
      </w:r>
    </w:p>
    <w:p w:rsidR="00B63BF3" w:rsidRDefault="00B63BF3" w:rsidP="00B63BF3">
      <w:pPr>
        <w:pStyle w:val="texto"/>
        <w:tabs>
          <w:tab w:val="num" w:pos="284"/>
          <w:tab w:val="num" w:pos="720"/>
        </w:tabs>
        <w:rPr>
          <w:szCs w:val="26"/>
          <w:lang w:val="es-ES" w:eastAsia="es-ES"/>
        </w:rPr>
      </w:pPr>
      <w:r>
        <w:rPr>
          <w:szCs w:val="26"/>
          <w:lang w:val="es-ES" w:eastAsia="es-ES"/>
        </w:rPr>
        <w:t>En febrero de 2015, se notifica a Sodena que el promotor del proyecto Dav</w:t>
      </w:r>
      <w:r>
        <w:rPr>
          <w:szCs w:val="26"/>
          <w:lang w:val="es-ES" w:eastAsia="es-ES"/>
        </w:rPr>
        <w:t>a</w:t>
      </w:r>
      <w:r>
        <w:rPr>
          <w:szCs w:val="26"/>
          <w:lang w:val="es-ES" w:eastAsia="es-ES"/>
        </w:rPr>
        <w:t>lor se había puesto en contacto con el Gobierno de Navarra para solicitar la concesión de un aval por cuatro millones al objeto de facilitar la obtención de financiación ajena para el proyecto. La sociedad Sodena analiza la concesión de tal aval, concluyendo que tal proyecto no cumplía con los requisitos neces</w:t>
      </w:r>
      <w:r>
        <w:rPr>
          <w:szCs w:val="26"/>
          <w:lang w:val="es-ES" w:eastAsia="es-ES"/>
        </w:rPr>
        <w:t>a</w:t>
      </w:r>
      <w:r>
        <w:rPr>
          <w:szCs w:val="26"/>
          <w:lang w:val="es-ES" w:eastAsia="es-ES"/>
        </w:rPr>
        <w:t>rios para su concesión, fundamentalmente por no ofrecer garantías reales; igualmente se indicaba que, en caso de apoyar tal proyecto, debería hacerse por la fórmula de capital riesgo a través de la toma de participación en el capital. El promotor desestima en principio esta fórmula.</w:t>
      </w:r>
    </w:p>
    <w:p w:rsidR="00B63BF3" w:rsidRDefault="00B63BF3" w:rsidP="00B63BF3">
      <w:pPr>
        <w:pStyle w:val="texto"/>
        <w:tabs>
          <w:tab w:val="num" w:pos="284"/>
          <w:tab w:val="num" w:pos="720"/>
        </w:tabs>
        <w:rPr>
          <w:szCs w:val="26"/>
          <w:lang w:val="es-ES" w:eastAsia="es-ES"/>
        </w:rPr>
      </w:pPr>
      <w:r>
        <w:rPr>
          <w:szCs w:val="26"/>
          <w:lang w:val="es-ES" w:eastAsia="es-ES"/>
        </w:rPr>
        <w:t xml:space="preserve">Posteriormente, y ante la difícil situación financiera de la sociedad, el citado promotor propone que se estudie esa fórmula de apoyo, acordándose en mayo de 2015 el inicio de análisis y estudios por parte de Sodena. </w:t>
      </w:r>
    </w:p>
    <w:p w:rsidR="00B63BF3" w:rsidRPr="00751ABF" w:rsidRDefault="00B63BF3" w:rsidP="00B63BF3">
      <w:pPr>
        <w:pStyle w:val="texto"/>
        <w:tabs>
          <w:tab w:val="num" w:pos="284"/>
          <w:tab w:val="num" w:pos="600"/>
          <w:tab w:val="num" w:pos="720"/>
        </w:tabs>
        <w:rPr>
          <w:rFonts w:cs="Arial"/>
          <w:spacing w:val="4"/>
        </w:rPr>
      </w:pPr>
      <w:r w:rsidRPr="00751ABF">
        <w:rPr>
          <w:rFonts w:cs="Arial"/>
          <w:spacing w:val="4"/>
        </w:rPr>
        <w:t xml:space="preserve">Estos estudios finalizan en junio de 2015 con la elaboración de un informe de Sodena sobre “Análisis de inversión en Davalor Salud, </w:t>
      </w:r>
      <w:r>
        <w:rPr>
          <w:rFonts w:cs="Arial"/>
          <w:spacing w:val="4"/>
        </w:rPr>
        <w:t>SL</w:t>
      </w:r>
      <w:r w:rsidRPr="00751ABF">
        <w:rPr>
          <w:rFonts w:cs="Arial"/>
          <w:spacing w:val="4"/>
        </w:rPr>
        <w:t xml:space="preserve">”, cuyas principales conclusiones relativas a la concesión de </w:t>
      </w:r>
      <w:r>
        <w:rPr>
          <w:rFonts w:cs="Arial"/>
          <w:spacing w:val="4"/>
        </w:rPr>
        <w:t>apoyo financiero</w:t>
      </w:r>
      <w:r w:rsidRPr="00751ABF">
        <w:rPr>
          <w:rFonts w:cs="Arial"/>
          <w:spacing w:val="4"/>
        </w:rPr>
        <w:t xml:space="preserve"> se transcriben a cont</w:t>
      </w:r>
      <w:r w:rsidRPr="00751ABF">
        <w:rPr>
          <w:rFonts w:cs="Arial"/>
          <w:spacing w:val="4"/>
        </w:rPr>
        <w:t>i</w:t>
      </w:r>
      <w:r w:rsidRPr="00751ABF">
        <w:rPr>
          <w:rFonts w:cs="Arial"/>
          <w:spacing w:val="4"/>
        </w:rPr>
        <w:t>nuación:</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sidRPr="00751ABF">
        <w:rPr>
          <w:rFonts w:cs="Arial"/>
          <w:i/>
          <w:sz w:val="22"/>
          <w:szCs w:val="22"/>
        </w:rPr>
        <w:t>“El producto EVA es tecnológicamente innovador y disruptivo y se ajusta a las neces</w:t>
      </w:r>
      <w:r w:rsidRPr="00751ABF">
        <w:rPr>
          <w:rFonts w:cs="Arial"/>
          <w:i/>
          <w:sz w:val="22"/>
          <w:szCs w:val="22"/>
        </w:rPr>
        <w:t>i</w:t>
      </w:r>
      <w:r w:rsidRPr="00751ABF">
        <w:rPr>
          <w:rFonts w:cs="Arial"/>
          <w:i/>
          <w:sz w:val="22"/>
          <w:szCs w:val="22"/>
        </w:rPr>
        <w:t xml:space="preserve">dades de sus potenciales clientes, mejorando los procesos actuales en tiempo y alcance. </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sidRPr="00751ABF">
        <w:rPr>
          <w:rFonts w:cs="Arial"/>
          <w:i/>
          <w:sz w:val="22"/>
          <w:szCs w:val="22"/>
        </w:rPr>
        <w:t xml:space="preserve">EVA es aceptado por sus potenciales clientes y será comercializable en el corto plazo, lo que valida el modelo de negocio de Davalor Salud. </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sidRPr="00751ABF">
        <w:rPr>
          <w:rFonts w:cs="Arial"/>
          <w:i/>
          <w:sz w:val="22"/>
          <w:szCs w:val="22"/>
        </w:rPr>
        <w:t xml:space="preserve">Las estimaciones que prevé la compañía en sus proyecciones económico- financieras distan de ser realistas, si bien, aun alcanzándose un porcentaje muy bajo de las mismas, cuantificado en el 3,9%, el proyecto sería económicamente viable. </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sidRPr="00751ABF">
        <w:rPr>
          <w:rFonts w:cs="Arial"/>
          <w:i/>
          <w:sz w:val="22"/>
          <w:szCs w:val="22"/>
        </w:rPr>
        <w:t xml:space="preserve">La situación financiera actual por la que atraviesa Davalor Salud es crítica. Con una deuda con terceros vencida a fecha actual superior a los 4,6 millones de la que un 78,7% de la misma está vencida desde marzo, dificulta seriamente la continuidad del proyecto. </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sidRPr="00751ABF">
        <w:rPr>
          <w:rFonts w:cs="Arial"/>
          <w:i/>
          <w:sz w:val="22"/>
          <w:szCs w:val="22"/>
        </w:rPr>
        <w:t>Las necesidades financieras cuantificadas por la compañía en 6 millones no cubren ni la deuda actual ni los recursos financieros adicionales que se prevén necesarios para el ejercicio 2015, motivados por retrasos en la finalización del producto, en la firma de contr</w:t>
      </w:r>
      <w:r w:rsidRPr="00751ABF">
        <w:rPr>
          <w:rFonts w:cs="Arial"/>
          <w:i/>
          <w:sz w:val="22"/>
          <w:szCs w:val="22"/>
        </w:rPr>
        <w:t>a</w:t>
      </w:r>
      <w:r w:rsidRPr="00751ABF">
        <w:rPr>
          <w:rFonts w:cs="Arial"/>
          <w:i/>
          <w:sz w:val="22"/>
          <w:szCs w:val="22"/>
        </w:rPr>
        <w:lastRenderedPageBreak/>
        <w:t>tos de ventas, en el impago de deuda a proveedores críticos y por la no disposición de fo</w:t>
      </w:r>
      <w:r w:rsidRPr="00751ABF">
        <w:rPr>
          <w:rFonts w:cs="Arial"/>
          <w:i/>
          <w:sz w:val="22"/>
          <w:szCs w:val="22"/>
        </w:rPr>
        <w:t>n</w:t>
      </w:r>
      <w:r w:rsidRPr="00751ABF">
        <w:rPr>
          <w:rFonts w:cs="Arial"/>
          <w:i/>
          <w:sz w:val="22"/>
          <w:szCs w:val="22"/>
        </w:rPr>
        <w:t>dos adicionales de sus vehículos de inversión colectiva. Sodena ha actualizado sus necesid</w:t>
      </w:r>
      <w:r w:rsidRPr="00751ABF">
        <w:rPr>
          <w:rFonts w:cs="Arial"/>
          <w:i/>
          <w:sz w:val="22"/>
          <w:szCs w:val="22"/>
        </w:rPr>
        <w:t>a</w:t>
      </w:r>
      <w:r w:rsidRPr="00751ABF">
        <w:rPr>
          <w:rFonts w:cs="Arial"/>
          <w:i/>
          <w:sz w:val="22"/>
          <w:szCs w:val="22"/>
        </w:rPr>
        <w:t xml:space="preserve">des de tesorería, sin modificar hipótesis de 2015 y que ascienden a 15 millones. </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sidRPr="00751ABF">
        <w:rPr>
          <w:rFonts w:cs="Arial"/>
          <w:i/>
          <w:sz w:val="22"/>
          <w:szCs w:val="22"/>
        </w:rPr>
        <w:t xml:space="preserve">Para un escenario más prudente elaborado por Sodena, las necesidades de financiación en 2015 ascenderían a 17 millones. </w:t>
      </w:r>
    </w:p>
    <w:p w:rsidR="00B63BF3" w:rsidRPr="00751ABF" w:rsidRDefault="00B63BF3" w:rsidP="00B63BF3">
      <w:pPr>
        <w:pStyle w:val="texto"/>
        <w:numPr>
          <w:ilvl w:val="0"/>
          <w:numId w:val="1"/>
        </w:numPr>
        <w:tabs>
          <w:tab w:val="clear" w:pos="928"/>
          <w:tab w:val="num" w:pos="284"/>
          <w:tab w:val="left" w:pos="480"/>
          <w:tab w:val="num" w:pos="600"/>
          <w:tab w:val="num" w:pos="644"/>
          <w:tab w:val="num" w:pos="720"/>
        </w:tabs>
        <w:ind w:left="0" w:firstLine="290"/>
        <w:rPr>
          <w:rFonts w:cs="Arial"/>
          <w:i/>
          <w:sz w:val="22"/>
          <w:szCs w:val="22"/>
          <w:lang w:val="es-ES"/>
        </w:rPr>
      </w:pPr>
      <w:r w:rsidRPr="00751ABF">
        <w:rPr>
          <w:rFonts w:cs="Arial"/>
          <w:i/>
          <w:sz w:val="22"/>
          <w:szCs w:val="22"/>
          <w:lang w:val="es-ES"/>
        </w:rPr>
        <w:t xml:space="preserve">El apoyo financiero solicitado a Sodena de 4 millones debería de realizarse una vez se haya tenido visibilidad respecto a la deuda actual y al compromiso de aportación de fondos de otros inversores, siempre y cuando se llegue a una cantidad mínima de 10 millones. Se valorará su desembolso con un calendario de aportaciones. </w:t>
      </w:r>
    </w:p>
    <w:p w:rsidR="00B63BF3" w:rsidRPr="00751ABF" w:rsidRDefault="00B63BF3" w:rsidP="00B63BF3">
      <w:pPr>
        <w:pStyle w:val="texto"/>
        <w:numPr>
          <w:ilvl w:val="0"/>
          <w:numId w:val="1"/>
        </w:numPr>
        <w:tabs>
          <w:tab w:val="clear" w:pos="928"/>
          <w:tab w:val="num" w:pos="284"/>
          <w:tab w:val="left" w:pos="480"/>
          <w:tab w:val="num" w:pos="600"/>
          <w:tab w:val="num" w:pos="644"/>
          <w:tab w:val="num" w:pos="720"/>
        </w:tabs>
        <w:ind w:left="0" w:firstLine="290"/>
        <w:rPr>
          <w:rFonts w:cs="Arial"/>
          <w:i/>
          <w:sz w:val="22"/>
          <w:szCs w:val="22"/>
          <w:lang w:val="es-ES"/>
        </w:rPr>
      </w:pPr>
      <w:r w:rsidRPr="00751ABF">
        <w:rPr>
          <w:rFonts w:cs="Arial"/>
          <w:i/>
          <w:sz w:val="22"/>
          <w:szCs w:val="22"/>
          <w:lang w:val="es-ES"/>
        </w:rPr>
        <w:t>La valoración de la compañía para la toma de participación de Sodena en la misma, en ningún caso podrá ser al precio que Davalor Salud ha propuesto y deberá de ser negociada junto con los inversores especializados que se incorporen al proyecto. La propuesta de S</w:t>
      </w:r>
      <w:r w:rsidRPr="00751ABF">
        <w:rPr>
          <w:rFonts w:cs="Arial"/>
          <w:i/>
          <w:sz w:val="22"/>
          <w:szCs w:val="22"/>
          <w:lang w:val="es-ES"/>
        </w:rPr>
        <w:t>o</w:t>
      </w:r>
      <w:r w:rsidRPr="00751ABF">
        <w:rPr>
          <w:rFonts w:cs="Arial"/>
          <w:i/>
          <w:sz w:val="22"/>
          <w:szCs w:val="22"/>
          <w:lang w:val="es-ES"/>
        </w:rPr>
        <w:t>dena será la de determinar un valor cercano al de los fondos ya aportados, previendo cesi</w:t>
      </w:r>
      <w:r w:rsidRPr="00751ABF">
        <w:rPr>
          <w:rFonts w:cs="Arial"/>
          <w:i/>
          <w:sz w:val="22"/>
          <w:szCs w:val="22"/>
          <w:lang w:val="es-ES"/>
        </w:rPr>
        <w:t>o</w:t>
      </w:r>
      <w:r w:rsidRPr="00751ABF">
        <w:rPr>
          <w:rFonts w:cs="Arial"/>
          <w:i/>
          <w:sz w:val="22"/>
          <w:szCs w:val="22"/>
          <w:lang w:val="es-ES"/>
        </w:rPr>
        <w:t xml:space="preserve">nes de participación en función del cumplimiento de hitos del plan de negocio. </w:t>
      </w:r>
    </w:p>
    <w:p w:rsidR="00B63BF3" w:rsidRPr="00751ABF" w:rsidRDefault="00B63BF3" w:rsidP="00B63BF3">
      <w:pPr>
        <w:pStyle w:val="texto"/>
        <w:numPr>
          <w:ilvl w:val="0"/>
          <w:numId w:val="1"/>
        </w:numPr>
        <w:tabs>
          <w:tab w:val="clear" w:pos="928"/>
          <w:tab w:val="num" w:pos="284"/>
          <w:tab w:val="left" w:pos="480"/>
          <w:tab w:val="num" w:pos="600"/>
          <w:tab w:val="num" w:pos="644"/>
          <w:tab w:val="num" w:pos="720"/>
        </w:tabs>
        <w:ind w:left="0" w:firstLine="290"/>
        <w:rPr>
          <w:rFonts w:cs="Arial"/>
          <w:i/>
          <w:sz w:val="22"/>
          <w:szCs w:val="22"/>
          <w:lang w:val="es-ES"/>
        </w:rPr>
      </w:pPr>
      <w:r w:rsidRPr="00751ABF">
        <w:rPr>
          <w:rFonts w:cs="Arial"/>
          <w:i/>
          <w:sz w:val="22"/>
          <w:szCs w:val="22"/>
          <w:lang w:val="es-ES"/>
        </w:rPr>
        <w:t>Asimismo las aportaciones de esta nueva ronda deberán de negociarse con un proced</w:t>
      </w:r>
      <w:r w:rsidRPr="00751ABF">
        <w:rPr>
          <w:rFonts w:cs="Arial"/>
          <w:i/>
          <w:sz w:val="22"/>
          <w:szCs w:val="22"/>
          <w:lang w:val="es-ES"/>
        </w:rPr>
        <w:t>i</w:t>
      </w:r>
      <w:r w:rsidRPr="00751ABF">
        <w:rPr>
          <w:rFonts w:cs="Arial"/>
          <w:i/>
          <w:sz w:val="22"/>
          <w:szCs w:val="22"/>
          <w:lang w:val="es-ES"/>
        </w:rPr>
        <w:t>miento de liquidación preferente frente a los actuales inversores, así como determinados s</w:t>
      </w:r>
      <w:r w:rsidRPr="00751ABF">
        <w:rPr>
          <w:rFonts w:cs="Arial"/>
          <w:i/>
          <w:sz w:val="22"/>
          <w:szCs w:val="22"/>
          <w:lang w:val="es-ES"/>
        </w:rPr>
        <w:t>u</w:t>
      </w:r>
      <w:r w:rsidRPr="00751ABF">
        <w:rPr>
          <w:rFonts w:cs="Arial"/>
          <w:i/>
          <w:sz w:val="22"/>
          <w:szCs w:val="22"/>
          <w:lang w:val="es-ES"/>
        </w:rPr>
        <w:t xml:space="preserve">puestos para los que Sodena exige derecho de veto. </w:t>
      </w:r>
    </w:p>
    <w:p w:rsidR="00B63BF3" w:rsidRPr="008A077A"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Cs w:val="26"/>
        </w:rPr>
      </w:pPr>
      <w:r w:rsidRPr="00751ABF">
        <w:rPr>
          <w:rFonts w:cs="Arial"/>
          <w:i/>
          <w:sz w:val="22"/>
          <w:szCs w:val="22"/>
        </w:rPr>
        <w:t>El periodo de permanencia se ajustará al de maduración del proyecto y no sería pr</w:t>
      </w:r>
      <w:r w:rsidRPr="00751ABF">
        <w:rPr>
          <w:rFonts w:cs="Arial"/>
          <w:i/>
          <w:sz w:val="22"/>
          <w:szCs w:val="22"/>
        </w:rPr>
        <w:t>u</w:t>
      </w:r>
      <w:r w:rsidRPr="00751ABF">
        <w:rPr>
          <w:rFonts w:cs="Arial"/>
          <w:i/>
          <w:sz w:val="22"/>
          <w:szCs w:val="22"/>
        </w:rPr>
        <w:t>dente que excediera de los 6 años, no superando obviamente en ningún caso los 10 años”</w:t>
      </w:r>
      <w:r w:rsidR="002E749D">
        <w:rPr>
          <w:rFonts w:cs="Arial"/>
          <w:i/>
          <w:sz w:val="22"/>
          <w:szCs w:val="22"/>
        </w:rPr>
        <w:t>.</w:t>
      </w:r>
      <w:r w:rsidRPr="00751ABF">
        <w:rPr>
          <w:rFonts w:cs="Arial"/>
          <w:i/>
          <w:sz w:val="22"/>
          <w:szCs w:val="22"/>
        </w:rPr>
        <w:t xml:space="preserve"> </w:t>
      </w:r>
    </w:p>
    <w:p w:rsidR="00B63BF3" w:rsidRDefault="00B63BF3" w:rsidP="00B63BF3">
      <w:pPr>
        <w:pStyle w:val="texto"/>
        <w:tabs>
          <w:tab w:val="num" w:pos="284"/>
          <w:tab w:val="num" w:pos="720"/>
        </w:tabs>
        <w:rPr>
          <w:rFonts w:cs="Arial"/>
        </w:rPr>
      </w:pPr>
      <w:r>
        <w:rPr>
          <w:rFonts w:cs="Arial"/>
        </w:rPr>
        <w:t>Igualmente se incluye una serie de puntos pendientes de aclaración o de i</w:t>
      </w:r>
      <w:r>
        <w:rPr>
          <w:rFonts w:cs="Arial"/>
        </w:rPr>
        <w:t>n</w:t>
      </w:r>
      <w:r>
        <w:rPr>
          <w:rFonts w:cs="Arial"/>
        </w:rPr>
        <w:t>formación adicional relativos fundamentalmente a cuentas anuales, contratos con clientes e inversores, proyecciones financieras más ajustadas, etc.</w:t>
      </w:r>
    </w:p>
    <w:p w:rsidR="00B63BF3" w:rsidRPr="00751ABF" w:rsidRDefault="00B63BF3" w:rsidP="00B63BF3">
      <w:pPr>
        <w:pStyle w:val="texto"/>
        <w:tabs>
          <w:tab w:val="num" w:pos="284"/>
          <w:tab w:val="num" w:pos="720"/>
        </w:tabs>
        <w:rPr>
          <w:rFonts w:cs="Arial"/>
          <w:spacing w:val="0"/>
        </w:rPr>
      </w:pPr>
      <w:r w:rsidRPr="00751ABF">
        <w:rPr>
          <w:rFonts w:cs="Arial"/>
          <w:spacing w:val="0"/>
        </w:rPr>
        <w:t>También destacamos que en dicho informe se indica que Sodena se ha reunido con responsables de ópticas que representan el 23 por ciento del mercado en Esp</w:t>
      </w:r>
      <w:r w:rsidRPr="00751ABF">
        <w:rPr>
          <w:rFonts w:cs="Arial"/>
          <w:spacing w:val="0"/>
        </w:rPr>
        <w:t>a</w:t>
      </w:r>
      <w:r w:rsidRPr="00751ABF">
        <w:rPr>
          <w:rFonts w:cs="Arial"/>
          <w:spacing w:val="0"/>
        </w:rPr>
        <w:t>ña, concluyendo que el producto EVA es una innovación disruptiva, de alta tecn</w:t>
      </w:r>
      <w:r w:rsidRPr="00751ABF">
        <w:rPr>
          <w:rFonts w:cs="Arial"/>
          <w:spacing w:val="0"/>
        </w:rPr>
        <w:t>o</w:t>
      </w:r>
      <w:r w:rsidRPr="00751ABF">
        <w:rPr>
          <w:rFonts w:cs="Arial"/>
          <w:spacing w:val="0"/>
        </w:rPr>
        <w:t>logía y único en el mercado. Asimismo mostraban su disposición a adquirir dete</w:t>
      </w:r>
      <w:r w:rsidRPr="00751ABF">
        <w:rPr>
          <w:rFonts w:cs="Arial"/>
          <w:spacing w:val="0"/>
        </w:rPr>
        <w:t>r</w:t>
      </w:r>
      <w:r w:rsidRPr="00751ABF">
        <w:rPr>
          <w:rFonts w:cs="Arial"/>
          <w:spacing w:val="0"/>
        </w:rPr>
        <w:t xml:space="preserve">minado número de unidades y testear su funcionamiento y respuesta del usuario.  </w:t>
      </w:r>
    </w:p>
    <w:p w:rsidR="00B63BF3" w:rsidRPr="006E2E17" w:rsidRDefault="00B63BF3" w:rsidP="00B63BF3">
      <w:pPr>
        <w:pStyle w:val="texto"/>
        <w:tabs>
          <w:tab w:val="num" w:pos="284"/>
          <w:tab w:val="num" w:pos="720"/>
        </w:tabs>
        <w:rPr>
          <w:rFonts w:cs="Arial"/>
        </w:rPr>
      </w:pPr>
      <w:r>
        <w:rPr>
          <w:rFonts w:cs="Arial"/>
        </w:rPr>
        <w:t>El Consejo de Administración de Sodena, en sesión celebrada el 23 de junio de 2015, acuerda</w:t>
      </w:r>
      <w:r>
        <w:rPr>
          <w:rStyle w:val="Refdenotaalpie"/>
          <w:rFonts w:cs="Arial"/>
        </w:rPr>
        <w:footnoteReference w:id="9"/>
      </w:r>
      <w:r>
        <w:rPr>
          <w:rFonts w:cs="Arial"/>
        </w:rPr>
        <w:t xml:space="preserve">, tras analizar los principales riesgos y debilidades detectadas en el proyecto, lo siguiente: </w:t>
      </w:r>
    </w:p>
    <w:p w:rsidR="00B63BF3" w:rsidRPr="00751ABF" w:rsidRDefault="00B63BF3" w:rsidP="00B63BF3">
      <w:pPr>
        <w:pStyle w:val="texto"/>
        <w:tabs>
          <w:tab w:val="num" w:pos="284"/>
          <w:tab w:val="num" w:pos="720"/>
        </w:tabs>
        <w:spacing w:after="80"/>
        <w:rPr>
          <w:i/>
          <w:sz w:val="22"/>
          <w:szCs w:val="22"/>
          <w:lang w:val="es-ES" w:eastAsia="es-ES"/>
        </w:rPr>
      </w:pPr>
      <w:r w:rsidRPr="00751ABF">
        <w:rPr>
          <w:i/>
          <w:sz w:val="22"/>
          <w:szCs w:val="22"/>
          <w:lang w:val="es-ES" w:eastAsia="es-ES"/>
        </w:rPr>
        <w:t>“Los asistentes valoran positivamente el proyecto presentado y requieren, con carácter previo a una posible consideración de lo solicitado, la aportación por parte de Davalor S</w:t>
      </w:r>
      <w:r w:rsidRPr="00751ABF">
        <w:rPr>
          <w:i/>
          <w:sz w:val="22"/>
          <w:szCs w:val="22"/>
          <w:lang w:val="es-ES" w:eastAsia="es-ES"/>
        </w:rPr>
        <w:t>a</w:t>
      </w:r>
      <w:r w:rsidRPr="00751ABF">
        <w:rPr>
          <w:i/>
          <w:sz w:val="22"/>
          <w:szCs w:val="22"/>
          <w:lang w:val="es-ES" w:eastAsia="es-ES"/>
        </w:rPr>
        <w:t xml:space="preserve">lud </w:t>
      </w:r>
      <w:r>
        <w:rPr>
          <w:i/>
          <w:sz w:val="22"/>
          <w:szCs w:val="22"/>
          <w:lang w:val="es-ES" w:eastAsia="es-ES"/>
        </w:rPr>
        <w:t>SL</w:t>
      </w:r>
      <w:r w:rsidRPr="00751ABF">
        <w:rPr>
          <w:i/>
          <w:sz w:val="22"/>
          <w:szCs w:val="22"/>
          <w:lang w:val="es-ES" w:eastAsia="es-ES"/>
        </w:rPr>
        <w:t xml:space="preserve"> de una justificación de: </w:t>
      </w:r>
    </w:p>
    <w:p w:rsidR="00B63BF3" w:rsidRPr="00751ABF" w:rsidRDefault="00B63BF3" w:rsidP="00B63BF3">
      <w:pPr>
        <w:pStyle w:val="texto"/>
        <w:tabs>
          <w:tab w:val="num" w:pos="284"/>
          <w:tab w:val="num" w:pos="720"/>
        </w:tabs>
        <w:spacing w:after="80"/>
        <w:rPr>
          <w:i/>
          <w:sz w:val="22"/>
          <w:szCs w:val="22"/>
          <w:lang w:val="es-ES" w:eastAsia="es-ES"/>
        </w:rPr>
      </w:pPr>
      <w:r w:rsidRPr="00751ABF">
        <w:rPr>
          <w:i/>
          <w:sz w:val="22"/>
          <w:szCs w:val="22"/>
          <w:lang w:val="es-ES" w:eastAsia="es-ES"/>
        </w:rPr>
        <w:t xml:space="preserve">- Cierre de una inversión adicional de 11 millones de euros proveniente de inversores profesionales de reconocida solvencia y con perfil bien sea industrial o de capital riesgo. </w:t>
      </w:r>
    </w:p>
    <w:p w:rsidR="00B63BF3" w:rsidRPr="00751ABF" w:rsidRDefault="00B63BF3" w:rsidP="00B63BF3">
      <w:pPr>
        <w:pStyle w:val="texto"/>
        <w:tabs>
          <w:tab w:val="num" w:pos="284"/>
          <w:tab w:val="num" w:pos="720"/>
        </w:tabs>
        <w:spacing w:after="80"/>
        <w:rPr>
          <w:i/>
          <w:sz w:val="22"/>
          <w:szCs w:val="22"/>
          <w:lang w:val="es-ES" w:eastAsia="es-ES"/>
        </w:rPr>
      </w:pPr>
      <w:r w:rsidRPr="00751ABF">
        <w:rPr>
          <w:i/>
          <w:sz w:val="22"/>
          <w:szCs w:val="22"/>
          <w:lang w:val="es-ES" w:eastAsia="es-ES"/>
        </w:rPr>
        <w:t xml:space="preserve">- Actualización del Plan de Negocio de Davalor Salud, recogiendo hipótesis más acordes con la situación actual del proyecto. </w:t>
      </w:r>
    </w:p>
    <w:p w:rsidR="00B63BF3" w:rsidRPr="00796E04" w:rsidRDefault="00B63BF3" w:rsidP="00B63BF3">
      <w:pPr>
        <w:pStyle w:val="texto"/>
        <w:tabs>
          <w:tab w:val="num" w:pos="284"/>
          <w:tab w:val="num" w:pos="720"/>
        </w:tabs>
        <w:spacing w:after="80"/>
        <w:rPr>
          <w:i/>
          <w:spacing w:val="-4"/>
          <w:szCs w:val="26"/>
          <w:lang w:val="es-ES" w:eastAsia="es-ES"/>
        </w:rPr>
      </w:pPr>
      <w:r w:rsidRPr="00751ABF">
        <w:rPr>
          <w:i/>
          <w:sz w:val="22"/>
          <w:szCs w:val="22"/>
          <w:lang w:val="es-ES" w:eastAsia="es-ES"/>
        </w:rPr>
        <w:t xml:space="preserve">- </w:t>
      </w:r>
      <w:r w:rsidRPr="00796E04">
        <w:rPr>
          <w:i/>
          <w:spacing w:val="-4"/>
          <w:sz w:val="22"/>
          <w:szCs w:val="22"/>
          <w:lang w:val="es-ES" w:eastAsia="es-ES"/>
        </w:rPr>
        <w:t>Determinación de un valor compañía y en consecuencia un valor previo para la toma de partic</w:t>
      </w:r>
      <w:r w:rsidRPr="00796E04">
        <w:rPr>
          <w:i/>
          <w:spacing w:val="-4"/>
          <w:sz w:val="22"/>
          <w:szCs w:val="22"/>
          <w:lang w:val="es-ES" w:eastAsia="es-ES"/>
        </w:rPr>
        <w:t>i</w:t>
      </w:r>
      <w:r w:rsidRPr="00796E04">
        <w:rPr>
          <w:i/>
          <w:spacing w:val="-4"/>
          <w:sz w:val="22"/>
          <w:szCs w:val="22"/>
          <w:lang w:val="es-ES" w:eastAsia="es-ES"/>
        </w:rPr>
        <w:t>pación de Sodena acorde con el tipo de empresa y el grado de maduración de la misma, estableciendo hitos futuros cuyo cumplimiento permitiera ir reconociendo valor a favor de los promotores.”</w:t>
      </w:r>
      <w:r w:rsidRPr="00796E04">
        <w:rPr>
          <w:i/>
          <w:spacing w:val="-4"/>
          <w:szCs w:val="26"/>
          <w:lang w:val="es-ES" w:eastAsia="es-ES"/>
        </w:rPr>
        <w:t xml:space="preserve"> </w:t>
      </w:r>
    </w:p>
    <w:p w:rsidR="00B63BF3" w:rsidRPr="007910E7" w:rsidRDefault="00B63BF3" w:rsidP="00B63BF3">
      <w:pPr>
        <w:pStyle w:val="texto"/>
        <w:tabs>
          <w:tab w:val="num" w:pos="284"/>
          <w:tab w:val="num" w:pos="720"/>
        </w:tabs>
        <w:rPr>
          <w:lang w:val="es-ES" w:eastAsia="es-ES"/>
        </w:rPr>
      </w:pPr>
      <w:r w:rsidRPr="007910E7">
        <w:rPr>
          <w:lang w:val="es-ES" w:eastAsia="es-ES"/>
        </w:rPr>
        <w:lastRenderedPageBreak/>
        <w:t xml:space="preserve">El 9 de septiembre de 2015, el Gobierno de Navarra acuerda, a propuesta de los Consejeros de Desarrollo Económico y de Hacienda y Política Financiera, lo siguiente: </w:t>
      </w:r>
    </w:p>
    <w:p w:rsidR="00B63BF3" w:rsidRPr="00751ABF" w:rsidRDefault="00B63BF3" w:rsidP="00B63BF3">
      <w:pPr>
        <w:pStyle w:val="texto"/>
        <w:tabs>
          <w:tab w:val="num" w:pos="284"/>
          <w:tab w:val="num" w:pos="720"/>
        </w:tabs>
        <w:rPr>
          <w:i/>
          <w:sz w:val="22"/>
          <w:szCs w:val="22"/>
          <w:lang w:val="es-ES" w:eastAsia="es-ES"/>
        </w:rPr>
      </w:pPr>
      <w:r w:rsidRPr="00751ABF">
        <w:rPr>
          <w:sz w:val="22"/>
          <w:szCs w:val="22"/>
          <w:lang w:val="es-ES" w:eastAsia="es-ES"/>
        </w:rPr>
        <w:t>“</w:t>
      </w:r>
      <w:r w:rsidRPr="00751ABF">
        <w:rPr>
          <w:i/>
          <w:sz w:val="22"/>
          <w:szCs w:val="22"/>
          <w:lang w:val="es-ES" w:eastAsia="es-ES"/>
        </w:rPr>
        <w:t xml:space="preserve">1º. Instar a Sodena para que, en el plazo máximo de 15 días, otorgue apoyo financiero por importe de un millón de euros a Davalor Salud </w:t>
      </w:r>
      <w:r>
        <w:rPr>
          <w:i/>
          <w:sz w:val="22"/>
          <w:szCs w:val="22"/>
          <w:lang w:val="es-ES" w:eastAsia="es-ES"/>
        </w:rPr>
        <w:t>SL</w:t>
      </w:r>
      <w:r w:rsidRPr="00751ABF">
        <w:rPr>
          <w:i/>
          <w:sz w:val="22"/>
          <w:szCs w:val="22"/>
          <w:lang w:val="es-ES" w:eastAsia="es-ES"/>
        </w:rPr>
        <w:t>, en forma de préstamo participativo u otra fórmula que resulte adecuada.</w:t>
      </w:r>
    </w:p>
    <w:p w:rsidR="00B63BF3" w:rsidRPr="00751ABF" w:rsidRDefault="00B63BF3" w:rsidP="00B63BF3">
      <w:pPr>
        <w:pStyle w:val="texto"/>
        <w:tabs>
          <w:tab w:val="num" w:pos="284"/>
          <w:tab w:val="num" w:pos="720"/>
        </w:tabs>
        <w:rPr>
          <w:sz w:val="22"/>
          <w:szCs w:val="22"/>
          <w:lang w:val="es-ES" w:eastAsia="es-ES"/>
        </w:rPr>
      </w:pPr>
      <w:r w:rsidRPr="00751ABF">
        <w:rPr>
          <w:i/>
          <w:sz w:val="22"/>
          <w:szCs w:val="22"/>
          <w:lang w:val="es-ES" w:eastAsia="es-ES"/>
        </w:rPr>
        <w:t>2º. Las condiciones en las que se otorgue el apoyo financiero serán las habituales para ese tipo de operación</w:t>
      </w:r>
      <w:r w:rsidRPr="00751ABF">
        <w:rPr>
          <w:sz w:val="22"/>
          <w:szCs w:val="22"/>
          <w:lang w:val="es-ES" w:eastAsia="es-ES"/>
        </w:rPr>
        <w:t>.”</w:t>
      </w:r>
    </w:p>
    <w:p w:rsidR="00B63BF3" w:rsidRDefault="00B63BF3" w:rsidP="00B63BF3">
      <w:pPr>
        <w:pStyle w:val="texto"/>
        <w:tabs>
          <w:tab w:val="num" w:pos="284"/>
          <w:tab w:val="num" w:pos="720"/>
        </w:tabs>
        <w:rPr>
          <w:lang w:val="es-ES" w:eastAsia="es-ES"/>
        </w:rPr>
      </w:pPr>
      <w:r>
        <w:rPr>
          <w:lang w:val="es-ES" w:eastAsia="es-ES"/>
        </w:rPr>
        <w:t xml:space="preserve">Este acuerdo de Gobierno está respaldado básicamente por: </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lang w:val="es-ES" w:eastAsia="es-ES"/>
        </w:rPr>
      </w:pPr>
      <w:r>
        <w:rPr>
          <w:lang w:val="es-ES" w:eastAsia="es-ES"/>
        </w:rPr>
        <w:t xml:space="preserve">Un </w:t>
      </w:r>
      <w:r w:rsidRPr="00272E6C">
        <w:rPr>
          <w:rFonts w:cs="Arial"/>
        </w:rPr>
        <w:t>informe</w:t>
      </w:r>
      <w:r>
        <w:rPr>
          <w:lang w:val="es-ES" w:eastAsia="es-ES"/>
        </w:rPr>
        <w:t xml:space="preserve"> jurídico elaborado por el Servicio de Asistencia Jurídica y Administrativa del Departamento de Desarrollo Económico,  que concluye que la propuesta de concesión es “</w:t>
      </w:r>
      <w:r w:rsidRPr="00ED51A1">
        <w:rPr>
          <w:i/>
          <w:szCs w:val="26"/>
          <w:lang w:val="es-ES" w:eastAsia="es-ES"/>
        </w:rPr>
        <w:t>ajustada a derecho</w:t>
      </w:r>
      <w:r>
        <w:rPr>
          <w:lang w:val="es-ES" w:eastAsia="es-ES"/>
        </w:rPr>
        <w:t>”.</w:t>
      </w:r>
    </w:p>
    <w:p w:rsidR="00B63BF3" w:rsidRPr="00AE6816"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szCs w:val="26"/>
          <w:lang w:val="es-ES" w:eastAsia="es-ES"/>
        </w:rPr>
      </w:pPr>
      <w:r w:rsidRPr="00AE6816">
        <w:rPr>
          <w:lang w:val="es-ES" w:eastAsia="es-ES"/>
        </w:rPr>
        <w:t xml:space="preserve">Un </w:t>
      </w:r>
      <w:r w:rsidRPr="00272E6C">
        <w:rPr>
          <w:rFonts w:cs="Arial"/>
        </w:rPr>
        <w:t>informe</w:t>
      </w:r>
      <w:r w:rsidRPr="00AE6816">
        <w:rPr>
          <w:lang w:val="es-ES" w:eastAsia="es-ES"/>
        </w:rPr>
        <w:t xml:space="preserve"> de la Dirección General de Política Económica y Empresarial y Trabajo en el que, una vez analizado la situación y documentación relativa a Davalor, se concluye que </w:t>
      </w:r>
      <w:r w:rsidRPr="00751ABF">
        <w:rPr>
          <w:sz w:val="22"/>
          <w:szCs w:val="22"/>
          <w:lang w:val="es-ES" w:eastAsia="es-ES"/>
        </w:rPr>
        <w:t>“</w:t>
      </w:r>
      <w:r w:rsidRPr="00751ABF">
        <w:rPr>
          <w:i/>
          <w:sz w:val="22"/>
          <w:szCs w:val="22"/>
          <w:lang w:val="es-ES" w:eastAsia="es-ES"/>
        </w:rPr>
        <w:t>resulta oportuno que el Gobierno de Navarra exprese su ap</w:t>
      </w:r>
      <w:r w:rsidRPr="00751ABF">
        <w:rPr>
          <w:i/>
          <w:sz w:val="22"/>
          <w:szCs w:val="22"/>
          <w:lang w:val="es-ES" w:eastAsia="es-ES"/>
        </w:rPr>
        <w:t>o</w:t>
      </w:r>
      <w:r w:rsidRPr="00751ABF">
        <w:rPr>
          <w:i/>
          <w:sz w:val="22"/>
          <w:szCs w:val="22"/>
          <w:lang w:val="es-ES" w:eastAsia="es-ES"/>
        </w:rPr>
        <w:t>yo al proyecto. A tal fin</w:t>
      </w:r>
      <w:r w:rsidRPr="00751ABF">
        <w:rPr>
          <w:sz w:val="22"/>
          <w:szCs w:val="22"/>
          <w:lang w:val="es-ES" w:eastAsia="es-ES"/>
        </w:rPr>
        <w:t xml:space="preserve">, </w:t>
      </w:r>
      <w:r w:rsidRPr="00751ABF">
        <w:rPr>
          <w:i/>
          <w:sz w:val="22"/>
          <w:szCs w:val="22"/>
          <w:lang w:val="es-ES" w:eastAsia="es-ES"/>
        </w:rPr>
        <w:t>por un lado, procede instar a Sodena para que preste un apoyo f</w:t>
      </w:r>
      <w:r w:rsidRPr="00751ABF">
        <w:rPr>
          <w:i/>
          <w:sz w:val="22"/>
          <w:szCs w:val="22"/>
          <w:lang w:val="es-ES" w:eastAsia="es-ES"/>
        </w:rPr>
        <w:t>i</w:t>
      </w:r>
      <w:r w:rsidRPr="00751ABF">
        <w:rPr>
          <w:i/>
          <w:sz w:val="22"/>
          <w:szCs w:val="22"/>
          <w:lang w:val="es-ES" w:eastAsia="es-ES"/>
        </w:rPr>
        <w:t>nanciero al proyecto, mediante un préstamo participativo o la fórmula que resulte adecuada, que permita a la compañía disponer de 1.000.000 de euros para atender las necesidades f</w:t>
      </w:r>
      <w:r w:rsidRPr="00751ABF">
        <w:rPr>
          <w:i/>
          <w:sz w:val="22"/>
          <w:szCs w:val="22"/>
          <w:lang w:val="es-ES" w:eastAsia="es-ES"/>
        </w:rPr>
        <w:t>i</w:t>
      </w:r>
      <w:r w:rsidRPr="00751ABF">
        <w:rPr>
          <w:i/>
          <w:sz w:val="22"/>
          <w:szCs w:val="22"/>
          <w:lang w:val="es-ES" w:eastAsia="es-ES"/>
        </w:rPr>
        <w:t>nancieras inmediatas y poder abordar a continuación un proceso que permita acceder a la financiación necesaria para asegurar el éxito del proyecto. Esta aportación financiera será otorgada en las condiciones habituales establecidas por Sodena para este tipo de operaci</w:t>
      </w:r>
      <w:r w:rsidRPr="00751ABF">
        <w:rPr>
          <w:i/>
          <w:sz w:val="22"/>
          <w:szCs w:val="22"/>
          <w:lang w:val="es-ES" w:eastAsia="es-ES"/>
        </w:rPr>
        <w:t>o</w:t>
      </w:r>
      <w:r w:rsidRPr="00751ABF">
        <w:rPr>
          <w:i/>
          <w:sz w:val="22"/>
          <w:szCs w:val="22"/>
          <w:lang w:val="es-ES" w:eastAsia="es-ES"/>
        </w:rPr>
        <w:t>nes”</w:t>
      </w:r>
      <w:r>
        <w:rPr>
          <w:i/>
          <w:szCs w:val="26"/>
          <w:lang w:val="es-ES" w:eastAsia="es-ES"/>
        </w:rPr>
        <w:t>.</w:t>
      </w:r>
      <w:r w:rsidRPr="00AE6816">
        <w:rPr>
          <w:i/>
          <w:szCs w:val="26"/>
          <w:lang w:val="es-ES" w:eastAsia="es-ES"/>
        </w:rPr>
        <w:t xml:space="preserve"> </w:t>
      </w:r>
      <w:r w:rsidRPr="00AE6816">
        <w:rPr>
          <w:szCs w:val="26"/>
          <w:lang w:val="es-ES" w:eastAsia="es-ES"/>
        </w:rPr>
        <w:t>En este informe, se analiza la situación de la empresa y del proyecto, su repercusión en el tejido industrial de Navarra, los contactos mantenidos con p</w:t>
      </w:r>
      <w:r w:rsidRPr="00AE6816">
        <w:rPr>
          <w:szCs w:val="26"/>
          <w:lang w:val="es-ES" w:eastAsia="es-ES"/>
        </w:rPr>
        <w:t>o</w:t>
      </w:r>
      <w:r w:rsidRPr="00AE6816">
        <w:rPr>
          <w:szCs w:val="26"/>
          <w:lang w:val="es-ES" w:eastAsia="es-ES"/>
        </w:rPr>
        <w:t>tenciales clientes y con proveedores estratégicos, el plan de negocio y los i</w:t>
      </w:r>
      <w:r w:rsidRPr="00AE6816">
        <w:rPr>
          <w:szCs w:val="26"/>
          <w:lang w:val="es-ES" w:eastAsia="es-ES"/>
        </w:rPr>
        <w:t>n</w:t>
      </w:r>
      <w:r w:rsidRPr="00AE6816">
        <w:rPr>
          <w:szCs w:val="26"/>
          <w:lang w:val="es-ES" w:eastAsia="es-ES"/>
        </w:rPr>
        <w:t>formes anteriores elaborados por Sodena</w:t>
      </w:r>
      <w:r>
        <w:rPr>
          <w:szCs w:val="26"/>
          <w:lang w:val="es-ES" w:eastAsia="es-ES"/>
        </w:rPr>
        <w:t xml:space="preserve"> así como sus necesidades de financi</w:t>
      </w:r>
      <w:r>
        <w:rPr>
          <w:szCs w:val="26"/>
          <w:lang w:val="es-ES" w:eastAsia="es-ES"/>
        </w:rPr>
        <w:t>a</w:t>
      </w:r>
      <w:r>
        <w:rPr>
          <w:szCs w:val="26"/>
          <w:lang w:val="es-ES" w:eastAsia="es-ES"/>
        </w:rPr>
        <w:t>ción más inmediatas</w:t>
      </w:r>
      <w:r w:rsidRPr="00AE6816">
        <w:rPr>
          <w:szCs w:val="26"/>
          <w:lang w:val="es-ES" w:eastAsia="es-ES"/>
        </w:rPr>
        <w:t>. Respecto al acuerdo último del cons</w:t>
      </w:r>
      <w:r>
        <w:rPr>
          <w:szCs w:val="26"/>
          <w:lang w:val="es-ES" w:eastAsia="es-ES"/>
        </w:rPr>
        <w:t>ejo de administración de Sodena –</w:t>
      </w:r>
      <w:r w:rsidRPr="00AE6816">
        <w:rPr>
          <w:szCs w:val="26"/>
          <w:lang w:val="es-ES" w:eastAsia="es-ES"/>
        </w:rPr>
        <w:t>junio de 2015</w:t>
      </w:r>
      <w:r>
        <w:rPr>
          <w:szCs w:val="26"/>
          <w:lang w:val="es-ES" w:eastAsia="es-ES"/>
        </w:rPr>
        <w:t>–</w:t>
      </w:r>
      <w:r w:rsidRPr="00AE6816">
        <w:rPr>
          <w:szCs w:val="26"/>
          <w:lang w:val="es-ES" w:eastAsia="es-ES"/>
        </w:rPr>
        <w:t xml:space="preserve"> se indica que el hecho de existir una deuda releva</w:t>
      </w:r>
      <w:r w:rsidRPr="00AE6816">
        <w:rPr>
          <w:szCs w:val="26"/>
          <w:lang w:val="es-ES" w:eastAsia="es-ES"/>
        </w:rPr>
        <w:t>n</w:t>
      </w:r>
      <w:r w:rsidRPr="00AE6816">
        <w:rPr>
          <w:szCs w:val="26"/>
          <w:lang w:val="es-ES" w:eastAsia="es-ES"/>
        </w:rPr>
        <w:t>te con proveedores, está siendo una barrera para poder captar los 11 millones de recursos adicionales de inversores profesionales exigidos por Sodena.</w:t>
      </w:r>
    </w:p>
    <w:p w:rsidR="00B63BF3" w:rsidRDefault="00B63BF3" w:rsidP="00B63BF3">
      <w:pPr>
        <w:pStyle w:val="texto"/>
        <w:tabs>
          <w:tab w:val="num" w:pos="284"/>
          <w:tab w:val="num" w:pos="720"/>
        </w:tabs>
        <w:rPr>
          <w:lang w:val="es-ES" w:eastAsia="es-ES"/>
        </w:rPr>
      </w:pPr>
      <w:r>
        <w:rPr>
          <w:lang w:val="es-ES" w:eastAsia="es-ES"/>
        </w:rPr>
        <w:t>El nuevo Consejo de Administración de Sodena</w:t>
      </w:r>
      <w:r>
        <w:rPr>
          <w:rStyle w:val="Refdenotaalpie"/>
          <w:rFonts w:cs="Arial"/>
        </w:rPr>
        <w:footnoteReference w:id="10"/>
      </w:r>
      <w:r>
        <w:rPr>
          <w:lang w:val="es-ES" w:eastAsia="es-ES"/>
        </w:rPr>
        <w:t>, en sesión celebrada el 17 de septiembre de 2015, acuerda sobre el proyecto Davalor:</w:t>
      </w:r>
    </w:p>
    <w:p w:rsidR="00B63BF3" w:rsidRPr="00751ABF" w:rsidRDefault="00B63BF3" w:rsidP="00B63BF3">
      <w:pPr>
        <w:pStyle w:val="texto"/>
        <w:tabs>
          <w:tab w:val="num" w:pos="284"/>
          <w:tab w:val="num" w:pos="720"/>
        </w:tabs>
        <w:rPr>
          <w:i/>
          <w:sz w:val="22"/>
          <w:szCs w:val="22"/>
          <w:lang w:val="es-ES" w:eastAsia="es-ES"/>
        </w:rPr>
      </w:pPr>
      <w:r w:rsidRPr="00751ABF">
        <w:rPr>
          <w:i/>
          <w:sz w:val="22"/>
          <w:szCs w:val="22"/>
          <w:lang w:val="es-ES" w:eastAsia="es-ES"/>
        </w:rPr>
        <w:t>“Visto el Acuerdo de Gobierno de fecha 9 de septiembre de 2015, por el que el Gobierno de Navarra insta a Sodena para que otorgue apoyo financiero por importe de un millón de euros a Davalor Salud en forma de préstamo participativo u otra fórmula que resulte ad</w:t>
      </w:r>
      <w:r w:rsidRPr="00751ABF">
        <w:rPr>
          <w:i/>
          <w:sz w:val="22"/>
          <w:szCs w:val="22"/>
          <w:lang w:val="es-ES" w:eastAsia="es-ES"/>
        </w:rPr>
        <w:t>e</w:t>
      </w:r>
      <w:r w:rsidRPr="00751ABF">
        <w:rPr>
          <w:i/>
          <w:sz w:val="22"/>
          <w:szCs w:val="22"/>
          <w:lang w:val="es-ES" w:eastAsia="es-ES"/>
        </w:rPr>
        <w:t>cuada, en las condiciones habituales para este tipo de operaciones y tras la revisión del plan de negocio del proyecto, los presentes unánimemente, acuerdan:</w:t>
      </w:r>
    </w:p>
    <w:p w:rsidR="00B63BF3" w:rsidRPr="007C5E4F" w:rsidRDefault="00B63BF3" w:rsidP="00B63BF3">
      <w:pPr>
        <w:pStyle w:val="texto"/>
        <w:tabs>
          <w:tab w:val="num" w:pos="284"/>
          <w:tab w:val="num" w:pos="720"/>
        </w:tabs>
        <w:rPr>
          <w:i/>
          <w:sz w:val="22"/>
          <w:szCs w:val="22"/>
          <w:lang w:val="es-ES" w:eastAsia="es-ES"/>
        </w:rPr>
      </w:pPr>
      <w:r w:rsidRPr="007C5E4F">
        <w:rPr>
          <w:i/>
          <w:sz w:val="22"/>
          <w:szCs w:val="22"/>
          <w:lang w:val="es-ES" w:eastAsia="es-ES"/>
        </w:rPr>
        <w:t xml:space="preserve">1º. Otorgar a la compañía Davalor Salud </w:t>
      </w:r>
      <w:r>
        <w:rPr>
          <w:i/>
          <w:sz w:val="22"/>
          <w:szCs w:val="22"/>
          <w:lang w:val="es-ES" w:eastAsia="es-ES"/>
        </w:rPr>
        <w:t>SL</w:t>
      </w:r>
      <w:r w:rsidRPr="007C5E4F">
        <w:rPr>
          <w:i/>
          <w:sz w:val="22"/>
          <w:szCs w:val="22"/>
          <w:lang w:val="es-ES" w:eastAsia="es-ES"/>
        </w:rPr>
        <w:t xml:space="preserve"> un préstamo participativo de un millón de euros con las siguientes condiciones:</w:t>
      </w:r>
    </w:p>
    <w:p w:rsidR="00B63BF3" w:rsidRPr="007C5E4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sidRPr="007C5E4F">
        <w:rPr>
          <w:rFonts w:cs="Arial"/>
          <w:i/>
          <w:sz w:val="22"/>
          <w:szCs w:val="22"/>
        </w:rPr>
        <w:lastRenderedPageBreak/>
        <w:t>Davalor Salud, como garantía de la devolución del préstamo, cederá a Sodena los d</w:t>
      </w:r>
      <w:r w:rsidRPr="007C5E4F">
        <w:rPr>
          <w:rFonts w:cs="Arial"/>
          <w:i/>
          <w:sz w:val="22"/>
          <w:szCs w:val="22"/>
        </w:rPr>
        <w:t>e</w:t>
      </w:r>
      <w:r w:rsidRPr="007C5E4F">
        <w:rPr>
          <w:rFonts w:cs="Arial"/>
          <w:i/>
          <w:sz w:val="22"/>
          <w:szCs w:val="22"/>
        </w:rPr>
        <w:t xml:space="preserve">rechos derivados del acuerdo de licencia suscrito con Davalor Consultoría Estratégica y Tecnológica, </w:t>
      </w:r>
      <w:r>
        <w:rPr>
          <w:rFonts w:cs="Arial"/>
          <w:i/>
          <w:sz w:val="22"/>
          <w:szCs w:val="22"/>
        </w:rPr>
        <w:t>SL</w:t>
      </w:r>
      <w:r w:rsidRPr="007C5E4F">
        <w:rPr>
          <w:rFonts w:cs="Arial"/>
          <w:i/>
          <w:sz w:val="22"/>
          <w:szCs w:val="22"/>
        </w:rPr>
        <w:t>, cediendo esta última de forma exclusiva y gratuita, sin restricciones temp</w:t>
      </w:r>
      <w:r w:rsidRPr="007C5E4F">
        <w:rPr>
          <w:rFonts w:cs="Arial"/>
          <w:i/>
          <w:sz w:val="22"/>
          <w:szCs w:val="22"/>
        </w:rPr>
        <w:t>o</w:t>
      </w:r>
      <w:r w:rsidRPr="007C5E4F">
        <w:rPr>
          <w:rFonts w:cs="Arial"/>
          <w:i/>
          <w:sz w:val="22"/>
          <w:szCs w:val="22"/>
        </w:rPr>
        <w:t xml:space="preserve">rales ni territoriales, la utilización directa de la patente. Así mismo, Davalor Consultoría Estratégica y Tecnológica, </w:t>
      </w:r>
      <w:r>
        <w:rPr>
          <w:rFonts w:cs="Arial"/>
          <w:i/>
          <w:sz w:val="22"/>
          <w:szCs w:val="22"/>
        </w:rPr>
        <w:t>SL</w:t>
      </w:r>
      <w:r w:rsidRPr="007C5E4F">
        <w:rPr>
          <w:rFonts w:cs="Arial"/>
          <w:i/>
          <w:sz w:val="22"/>
          <w:szCs w:val="22"/>
        </w:rPr>
        <w:t xml:space="preserve"> cederá a Sodena los derechos de propiedad, uso y licencia de los elementos de diseño, estructurales, funcionales, ergonómicos y estéticos de la invención (visualización de imagen en 3D verdadero), como partes o como un todo integral, sin re</w:t>
      </w:r>
      <w:r w:rsidRPr="007C5E4F">
        <w:rPr>
          <w:rFonts w:cs="Arial"/>
          <w:i/>
          <w:sz w:val="22"/>
          <w:szCs w:val="22"/>
        </w:rPr>
        <w:t>s</w:t>
      </w:r>
      <w:r w:rsidRPr="007C5E4F">
        <w:rPr>
          <w:rFonts w:cs="Arial"/>
          <w:i/>
          <w:sz w:val="22"/>
          <w:szCs w:val="22"/>
        </w:rPr>
        <w:t>tricción ni limitación alguna en cualesquiera otros campos de actividad diferentes del objeto social de Davalor.</w:t>
      </w:r>
    </w:p>
    <w:p w:rsidR="00B63BF3" w:rsidRPr="007C5E4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pacing w:val="4"/>
          <w:sz w:val="22"/>
          <w:szCs w:val="22"/>
        </w:rPr>
      </w:pPr>
      <w:r w:rsidRPr="007C5E4F">
        <w:rPr>
          <w:rFonts w:cs="Arial"/>
          <w:i/>
          <w:spacing w:val="4"/>
          <w:sz w:val="22"/>
          <w:szCs w:val="22"/>
        </w:rPr>
        <w:t>Las condiciones de retribución del préstamo serán al menos las de mercado, sin perjuicio de que se negocien retribuciones superiores conforme al cumplimiento del plan de negocio.</w:t>
      </w:r>
    </w:p>
    <w:p w:rsidR="00B63BF3" w:rsidRPr="007C5E4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pacing w:val="4"/>
          <w:sz w:val="22"/>
          <w:szCs w:val="22"/>
        </w:rPr>
      </w:pPr>
      <w:r w:rsidRPr="007C5E4F">
        <w:rPr>
          <w:rFonts w:cs="Arial"/>
          <w:i/>
          <w:spacing w:val="4"/>
          <w:sz w:val="22"/>
          <w:szCs w:val="22"/>
        </w:rPr>
        <w:t>Davalor no podrá repartir dividendos hasta que el préstamo esté totalmente amortizado.</w:t>
      </w:r>
    </w:p>
    <w:p w:rsidR="00B63BF3" w:rsidRPr="007C5E4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sidRPr="007C5E4F">
        <w:rPr>
          <w:rFonts w:cs="Arial"/>
          <w:i/>
          <w:sz w:val="22"/>
          <w:szCs w:val="22"/>
        </w:rPr>
        <w:t>La compañía se comprometerá  de acuerdo con su plan de negocio a mantener su ce</w:t>
      </w:r>
      <w:r w:rsidRPr="007C5E4F">
        <w:rPr>
          <w:rFonts w:cs="Arial"/>
          <w:i/>
          <w:sz w:val="22"/>
          <w:szCs w:val="22"/>
        </w:rPr>
        <w:t>n</w:t>
      </w:r>
      <w:r w:rsidRPr="007C5E4F">
        <w:rPr>
          <w:rFonts w:cs="Arial"/>
          <w:i/>
          <w:sz w:val="22"/>
          <w:szCs w:val="22"/>
        </w:rPr>
        <w:t>tro de dirección así como sus departamentos de Ingeniería de Producto, de Videojuegos, de Sistemas, y Calidad en Navarra y a mantener sus previsiones de empleo indirecto en Nav</w:t>
      </w:r>
      <w:r w:rsidRPr="007C5E4F">
        <w:rPr>
          <w:rFonts w:cs="Arial"/>
          <w:i/>
          <w:sz w:val="22"/>
          <w:szCs w:val="22"/>
        </w:rPr>
        <w:t>a</w:t>
      </w:r>
      <w:r w:rsidRPr="007C5E4F">
        <w:rPr>
          <w:rFonts w:cs="Arial"/>
          <w:i/>
          <w:sz w:val="22"/>
          <w:szCs w:val="22"/>
        </w:rPr>
        <w:t>rra, fundamentalmente en el proceso industrial de fabricación de dispositivos.”</w:t>
      </w:r>
    </w:p>
    <w:p w:rsidR="00B63BF3" w:rsidRPr="00A87F5D" w:rsidRDefault="00B63BF3" w:rsidP="00B63BF3">
      <w:pPr>
        <w:pStyle w:val="texto"/>
        <w:tabs>
          <w:tab w:val="num" w:pos="284"/>
          <w:tab w:val="num" w:pos="720"/>
        </w:tabs>
        <w:rPr>
          <w:lang w:val="es-ES" w:eastAsia="es-ES"/>
        </w:rPr>
      </w:pPr>
      <w:r w:rsidRPr="00A87F5D">
        <w:rPr>
          <w:lang w:val="es-ES" w:eastAsia="es-ES"/>
        </w:rPr>
        <w:t>En virtud de este acuerdo del Consejo se redactan y se elevan a escritura p</w:t>
      </w:r>
      <w:r w:rsidRPr="00A87F5D">
        <w:rPr>
          <w:lang w:val="es-ES" w:eastAsia="es-ES"/>
        </w:rPr>
        <w:t>ú</w:t>
      </w:r>
      <w:r w:rsidRPr="00A87F5D">
        <w:rPr>
          <w:lang w:val="es-ES" w:eastAsia="es-ES"/>
        </w:rPr>
        <w:t>blica los siguientes documentos con fecha 9 de octubre de 2015:</w:t>
      </w:r>
    </w:p>
    <w:p w:rsidR="00B63BF3" w:rsidRPr="00A87F5D"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A87F5D">
        <w:rPr>
          <w:rFonts w:cs="Arial"/>
        </w:rPr>
        <w:t>Acuerdo de Consejo Adm</w:t>
      </w:r>
      <w:r>
        <w:rPr>
          <w:rFonts w:cs="Arial"/>
        </w:rPr>
        <w:t>inistración</w:t>
      </w:r>
      <w:r w:rsidRPr="00A87F5D">
        <w:rPr>
          <w:rFonts w:cs="Arial"/>
        </w:rPr>
        <w:t xml:space="preserve"> de SODENA</w:t>
      </w:r>
      <w:bookmarkStart w:id="27" w:name="tm_385744906"/>
      <w:bookmarkStart w:id="28" w:name="tm_385744904"/>
      <w:r w:rsidRPr="00A87F5D">
        <w:rPr>
          <w:rFonts w:cs="Arial"/>
        </w:rPr>
        <w:t xml:space="preserve"> y apoderamiento</w:t>
      </w:r>
      <w:r>
        <w:rPr>
          <w:rFonts w:cs="Arial"/>
        </w:rPr>
        <w:t>.</w:t>
      </w:r>
      <w:r w:rsidRPr="00A87F5D">
        <w:rPr>
          <w:rFonts w:cs="Arial"/>
        </w:rPr>
        <w:t xml:space="preserve"> </w:t>
      </w:r>
      <w:bookmarkStart w:id="29" w:name="tm_385744902"/>
      <w:bookmarkStart w:id="30" w:name="tm_385744903"/>
      <w:bookmarkEnd w:id="27"/>
      <w:bookmarkEnd w:id="28"/>
      <w:bookmarkEnd w:id="29"/>
      <w:bookmarkEnd w:id="30"/>
    </w:p>
    <w:p w:rsidR="00B63BF3" w:rsidRPr="00A87F5D"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A87F5D">
        <w:rPr>
          <w:rFonts w:cs="Arial"/>
        </w:rPr>
        <w:t>Contrato de</w:t>
      </w:r>
      <w:r>
        <w:rPr>
          <w:rFonts w:cs="Arial"/>
        </w:rPr>
        <w:t>l</w:t>
      </w:r>
      <w:r w:rsidRPr="00A87F5D">
        <w:rPr>
          <w:rFonts w:cs="Arial"/>
        </w:rPr>
        <w:t xml:space="preserve"> préstamo</w:t>
      </w:r>
      <w:bookmarkStart w:id="31" w:name="tm_385744905"/>
      <w:r>
        <w:rPr>
          <w:rFonts w:cs="Arial"/>
        </w:rPr>
        <w:t xml:space="preserve"> participativo</w:t>
      </w:r>
      <w:bookmarkEnd w:id="31"/>
      <w:r>
        <w:rPr>
          <w:rFonts w:cs="Arial"/>
        </w:rPr>
        <w:t>.</w:t>
      </w:r>
    </w:p>
    <w:p w:rsidR="00B63BF3" w:rsidRPr="00B62E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A87F5D">
        <w:rPr>
          <w:rFonts w:cs="Arial"/>
        </w:rPr>
        <w:t>Hipoteca mobiliaria</w:t>
      </w:r>
      <w:r>
        <w:rPr>
          <w:rFonts w:cs="Arial"/>
        </w:rPr>
        <w:t xml:space="preserve"> y prenda sin desplazamiento.</w:t>
      </w:r>
    </w:p>
    <w:p w:rsidR="00B63BF3" w:rsidRDefault="00B63BF3" w:rsidP="00B63BF3">
      <w:pPr>
        <w:pStyle w:val="texto"/>
        <w:tabs>
          <w:tab w:val="num" w:pos="284"/>
          <w:tab w:val="num" w:pos="720"/>
        </w:tabs>
        <w:rPr>
          <w:lang w:val="es-ES" w:eastAsia="es-ES"/>
        </w:rPr>
      </w:pPr>
      <w:r w:rsidRPr="00A87F5D">
        <w:rPr>
          <w:lang w:val="es-ES" w:eastAsia="es-ES"/>
        </w:rPr>
        <w:t xml:space="preserve">En </w:t>
      </w:r>
      <w:r>
        <w:rPr>
          <w:lang w:val="es-ES" w:eastAsia="es-ES"/>
        </w:rPr>
        <w:t>relación a las características financieras del préstamo participativo, señ</w:t>
      </w:r>
      <w:r>
        <w:rPr>
          <w:lang w:val="es-ES" w:eastAsia="es-ES"/>
        </w:rPr>
        <w:t>a</w:t>
      </w:r>
      <w:r>
        <w:rPr>
          <w:lang w:val="es-ES" w:eastAsia="es-ES"/>
        </w:rPr>
        <w:t>lamos:</w:t>
      </w:r>
    </w:p>
    <w:p w:rsidR="00B63BF3" w:rsidRPr="00AA3E46"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AA3E46">
        <w:rPr>
          <w:rFonts w:cs="Arial"/>
        </w:rPr>
        <w:t>Importe: un millón de euros</w:t>
      </w:r>
      <w:r>
        <w:rPr>
          <w:rFonts w:cs="Arial"/>
        </w:rP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837438">
        <w:rPr>
          <w:rFonts w:cs="Arial"/>
        </w:rPr>
        <w:t xml:space="preserve">Destino: </w:t>
      </w:r>
      <w:r>
        <w:rPr>
          <w:rFonts w:cs="Arial"/>
        </w:rPr>
        <w:t>detallado e identificado expresamente en un anexo del contrato y destinados a pagar gastos de personal –un 31 por ciento– y de proveedores c</w:t>
      </w:r>
      <w:r>
        <w:rPr>
          <w:rFonts w:cs="Arial"/>
        </w:rPr>
        <w:t>o</w:t>
      </w:r>
      <w:r>
        <w:rPr>
          <w:rFonts w:cs="Arial"/>
        </w:rPr>
        <w:t xml:space="preserve">merciales y acreedores de financiación –un 69 por ciento–. </w:t>
      </w:r>
    </w:p>
    <w:p w:rsidR="00B63BF3" w:rsidRPr="00AA3E46"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AA3E46">
        <w:rPr>
          <w:rFonts w:cs="Arial"/>
        </w:rPr>
        <w:t>Vigencia: hasta el 9 de octubre de 2019, es decir</w:t>
      </w:r>
      <w:r>
        <w:rPr>
          <w:rFonts w:cs="Arial"/>
        </w:rPr>
        <w:t>,</w:t>
      </w:r>
      <w:r w:rsidRPr="00AA3E46">
        <w:rPr>
          <w:rFonts w:cs="Arial"/>
        </w:rPr>
        <w:t xml:space="preserve"> cuatro años.</w:t>
      </w:r>
    </w:p>
    <w:p w:rsidR="00B63BF3" w:rsidRPr="00AA3E46"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AA3E46">
        <w:rPr>
          <w:rFonts w:cs="Arial"/>
        </w:rPr>
        <w:t xml:space="preserve">Calendario de amortizaciones: Los dos primeros años son de carencia y los dos últimos se amortizará 0,5 millones por año. </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 xml:space="preserve">Tipo de interés: </w:t>
      </w:r>
    </w:p>
    <w:p w:rsidR="00B63BF3" w:rsidRDefault="00B63BF3" w:rsidP="00B63BF3">
      <w:pPr>
        <w:pStyle w:val="texto"/>
        <w:tabs>
          <w:tab w:val="num" w:pos="284"/>
          <w:tab w:val="num" w:pos="720"/>
        </w:tabs>
        <w:rPr>
          <w:lang w:eastAsia="es-ES"/>
        </w:rPr>
      </w:pPr>
      <w:r>
        <w:rPr>
          <w:lang w:eastAsia="es-ES"/>
        </w:rPr>
        <w:t>a) Fijo: Euribor a 12 meses más un diferencial del cinco por ciento.</w:t>
      </w:r>
    </w:p>
    <w:p w:rsidR="00B63BF3" w:rsidRDefault="00B63BF3" w:rsidP="00B63BF3">
      <w:pPr>
        <w:pStyle w:val="texto"/>
        <w:tabs>
          <w:tab w:val="num" w:pos="284"/>
          <w:tab w:val="num" w:pos="720"/>
        </w:tabs>
        <w:rPr>
          <w:lang w:eastAsia="es-ES"/>
        </w:rPr>
      </w:pPr>
      <w:r>
        <w:rPr>
          <w:lang w:eastAsia="es-ES"/>
        </w:rPr>
        <w:t>b) Variable participativo: el uno por ciento del resultado positivo de cada ejercicio después de impuestos.</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Liquidación de interés: el fijo, semestral; el variable, anual.</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Tipo de interés de demora: incremento de cinco puntos porcentuales sobre los dos tipos de intereses pactados.</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lastRenderedPageBreak/>
        <w:t>Vencimiento anticipado: se contemplan un total de 11 supuestos, entre los que destacamos los siguientes:</w:t>
      </w:r>
    </w:p>
    <w:p w:rsidR="00B63BF3" w:rsidRDefault="00B63BF3" w:rsidP="00B63BF3">
      <w:pPr>
        <w:pStyle w:val="texto"/>
        <w:tabs>
          <w:tab w:val="num" w:pos="284"/>
          <w:tab w:val="num" w:pos="720"/>
        </w:tabs>
        <w:rPr>
          <w:lang w:eastAsia="es-ES"/>
        </w:rPr>
      </w:pPr>
      <w:r>
        <w:rPr>
          <w:lang w:eastAsia="es-ES"/>
        </w:rPr>
        <w:t>a) Davalor no entregase las cuentas anuales para la determinación del interés variable.</w:t>
      </w:r>
    </w:p>
    <w:p w:rsidR="00B63BF3" w:rsidRDefault="00B63BF3" w:rsidP="00B63BF3">
      <w:pPr>
        <w:pStyle w:val="texto"/>
        <w:tabs>
          <w:tab w:val="num" w:pos="284"/>
          <w:tab w:val="num" w:pos="720"/>
        </w:tabs>
        <w:rPr>
          <w:lang w:eastAsia="es-ES"/>
        </w:rPr>
      </w:pPr>
      <w:r>
        <w:rPr>
          <w:lang w:eastAsia="es-ES"/>
        </w:rPr>
        <w:t>b) Davalor no destinase el importe del préstamo a la finalidad establecida.</w:t>
      </w:r>
    </w:p>
    <w:p w:rsidR="00B63BF3" w:rsidRDefault="00B63BF3" w:rsidP="00B63BF3">
      <w:pPr>
        <w:pStyle w:val="texto"/>
        <w:tabs>
          <w:tab w:val="num" w:pos="284"/>
          <w:tab w:val="num" w:pos="720"/>
        </w:tabs>
        <w:rPr>
          <w:lang w:eastAsia="es-ES"/>
        </w:rPr>
      </w:pPr>
      <w:r>
        <w:rPr>
          <w:lang w:eastAsia="es-ES"/>
        </w:rPr>
        <w:t>c) Falta de pago por Davalor de sus obligaciones tributarias o de seguridad social durante un plazo de tres meses.</w:t>
      </w:r>
    </w:p>
    <w:p w:rsidR="00B63BF3" w:rsidRDefault="00B63BF3" w:rsidP="00B63BF3">
      <w:pPr>
        <w:pStyle w:val="texto"/>
        <w:tabs>
          <w:tab w:val="num" w:pos="284"/>
          <w:tab w:val="num" w:pos="720"/>
        </w:tabs>
        <w:rPr>
          <w:lang w:eastAsia="es-ES"/>
        </w:rPr>
      </w:pPr>
      <w:r>
        <w:rPr>
          <w:lang w:eastAsia="es-ES"/>
        </w:rPr>
        <w:t>d) Falta de pago de las retribuciones derivadas de relaciones de trabajo c</w:t>
      </w:r>
      <w:r>
        <w:rPr>
          <w:lang w:eastAsia="es-ES"/>
        </w:rPr>
        <w:t>o</w:t>
      </w:r>
      <w:r>
        <w:rPr>
          <w:lang w:eastAsia="es-ES"/>
        </w:rPr>
        <w:t>rrespondientes a tres mensualidades</w:t>
      </w:r>
      <w:r w:rsidR="00A831AE">
        <w:rPr>
          <w:lang w:eastAsia="es-ES"/>
        </w:rPr>
        <w:t>.</w:t>
      </w:r>
    </w:p>
    <w:p w:rsidR="00B63BF3" w:rsidRDefault="00B63BF3" w:rsidP="00B63BF3">
      <w:pPr>
        <w:pStyle w:val="texto"/>
        <w:tabs>
          <w:tab w:val="num" w:pos="284"/>
          <w:tab w:val="num" w:pos="720"/>
        </w:tabs>
        <w:rPr>
          <w:lang w:eastAsia="es-ES"/>
        </w:rPr>
      </w:pPr>
      <w:r>
        <w:rPr>
          <w:lang w:eastAsia="es-ES"/>
        </w:rPr>
        <w:t>e) Los órganos de administración de Davalor adoptase algunos de los acue</w:t>
      </w:r>
      <w:r>
        <w:rPr>
          <w:lang w:eastAsia="es-ES"/>
        </w:rPr>
        <w:t>r</w:t>
      </w:r>
      <w:r>
        <w:rPr>
          <w:lang w:eastAsia="es-ES"/>
        </w:rPr>
        <w:t>dos que se relacionan expresamente en un anexo del contrato sin contar con el consentimiento expreso de Sodena (celebración de contratos de alta dirección  cuyo salario supere los 150.000 euros, el reparto de dividendos, modificación sustancial del plan de negocio, etc.)</w:t>
      </w:r>
      <w:r w:rsidR="00A831AE">
        <w:rPr>
          <w:lang w:eastAsia="es-ES"/>
        </w:rPr>
        <w:t>.</w:t>
      </w:r>
    </w:p>
    <w:p w:rsidR="00B63BF3" w:rsidRPr="005B4E93" w:rsidRDefault="00B63BF3" w:rsidP="00B63BF3">
      <w:pPr>
        <w:pStyle w:val="texto"/>
        <w:tabs>
          <w:tab w:val="num" w:pos="284"/>
          <w:tab w:val="num" w:pos="720"/>
        </w:tabs>
        <w:rPr>
          <w:i/>
          <w:lang w:eastAsia="es-ES"/>
        </w:rPr>
      </w:pPr>
      <w:r w:rsidRPr="00B343C6">
        <w:rPr>
          <w:lang w:eastAsia="es-ES"/>
        </w:rPr>
        <w:t>No obstante lo anterior, para neutralizar la concurrencia de causas de venc</w:t>
      </w:r>
      <w:r w:rsidRPr="00B343C6">
        <w:rPr>
          <w:lang w:eastAsia="es-ES"/>
        </w:rPr>
        <w:t>i</w:t>
      </w:r>
      <w:r w:rsidRPr="00B343C6">
        <w:rPr>
          <w:lang w:eastAsia="es-ES"/>
        </w:rPr>
        <w:t xml:space="preserve">miento anticipado también se recoge en el contrato que </w:t>
      </w:r>
      <w:r w:rsidRPr="00B343C6">
        <w:rPr>
          <w:i/>
          <w:lang w:eastAsia="es-ES"/>
        </w:rPr>
        <w:t>“</w:t>
      </w:r>
      <w:r w:rsidRPr="005B4E93">
        <w:rPr>
          <w:rFonts w:cs="Arial"/>
          <w:i/>
          <w:sz w:val="22"/>
          <w:szCs w:val="22"/>
        </w:rPr>
        <w:t>Si una de las Partes, en cualquier momento deja de exigir el estricto y puntual cumplimiento de lo establecido en e</w:t>
      </w:r>
      <w:r w:rsidRPr="005B4E93">
        <w:rPr>
          <w:rFonts w:cs="Arial"/>
          <w:i/>
          <w:sz w:val="22"/>
          <w:szCs w:val="22"/>
        </w:rPr>
        <w:t>s</w:t>
      </w:r>
      <w:r w:rsidRPr="005B4E93">
        <w:rPr>
          <w:rFonts w:cs="Arial"/>
          <w:i/>
          <w:sz w:val="22"/>
          <w:szCs w:val="22"/>
        </w:rPr>
        <w:t>te Contrato, ello no será considerado como renuncia a dicha obligación u obligaciones, ni sustraerá a la parte precitada su derecho a insistir y exigir después su estricto cumplimie</w:t>
      </w:r>
      <w:r w:rsidRPr="005B4E93">
        <w:rPr>
          <w:rFonts w:cs="Arial"/>
          <w:i/>
          <w:sz w:val="22"/>
          <w:szCs w:val="22"/>
        </w:rPr>
        <w:t>n</w:t>
      </w:r>
      <w:r w:rsidRPr="005B4E93">
        <w:rPr>
          <w:rFonts w:cs="Arial"/>
          <w:i/>
          <w:sz w:val="22"/>
          <w:szCs w:val="22"/>
        </w:rPr>
        <w:t>to. Toda renuncia deberá hacerse de forma expresa y escrita”</w:t>
      </w:r>
      <w:r w:rsidR="00A831AE">
        <w:rPr>
          <w:rFonts w:cs="Arial"/>
          <w:i/>
          <w:sz w:val="22"/>
          <w:szCs w:val="22"/>
        </w:rP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Información a presentar por Davalor ante Sodena:</w:t>
      </w:r>
    </w:p>
    <w:p w:rsidR="00B63BF3" w:rsidRDefault="00B63BF3" w:rsidP="00B63BF3">
      <w:pPr>
        <w:pStyle w:val="texto"/>
        <w:tabs>
          <w:tab w:val="num" w:pos="720"/>
        </w:tabs>
        <w:rPr>
          <w:lang w:eastAsia="es-ES"/>
        </w:rPr>
      </w:pPr>
      <w:r>
        <w:rPr>
          <w:lang w:eastAsia="es-ES"/>
        </w:rPr>
        <w:t>a) Cuentas anuales.</w:t>
      </w:r>
    </w:p>
    <w:p w:rsidR="00B63BF3" w:rsidRDefault="00B63BF3" w:rsidP="00B63BF3">
      <w:pPr>
        <w:pStyle w:val="texto"/>
        <w:tabs>
          <w:tab w:val="num" w:pos="284"/>
          <w:tab w:val="num" w:pos="600"/>
          <w:tab w:val="num" w:pos="720"/>
        </w:tabs>
        <w:rPr>
          <w:lang w:eastAsia="es-ES"/>
        </w:rPr>
      </w:pPr>
      <w:r>
        <w:rPr>
          <w:lang w:eastAsia="es-ES"/>
        </w:rPr>
        <w:t>b) Presupuestos anuales con desglose mensual, desviaciones sobre los mi</w:t>
      </w:r>
      <w:r>
        <w:rPr>
          <w:lang w:eastAsia="es-ES"/>
        </w:rPr>
        <w:t>s</w:t>
      </w:r>
      <w:r>
        <w:rPr>
          <w:lang w:eastAsia="es-ES"/>
        </w:rPr>
        <w:t>mos trimestrales.</w:t>
      </w:r>
    </w:p>
    <w:p w:rsidR="00B63BF3" w:rsidRDefault="00B63BF3" w:rsidP="00B63BF3">
      <w:pPr>
        <w:pStyle w:val="texto"/>
        <w:tabs>
          <w:tab w:val="num" w:pos="284"/>
          <w:tab w:val="num" w:pos="600"/>
          <w:tab w:val="num" w:pos="720"/>
        </w:tabs>
        <w:rPr>
          <w:lang w:eastAsia="es-ES"/>
        </w:rPr>
      </w:pPr>
      <w:r>
        <w:rPr>
          <w:lang w:eastAsia="es-ES"/>
        </w:rPr>
        <w:t>c) Información complementaria elaborada por la dirección: datos financieros, tesorería...</w:t>
      </w:r>
    </w:p>
    <w:p w:rsidR="00B63BF3" w:rsidRDefault="00B63BF3" w:rsidP="00B63BF3">
      <w:pPr>
        <w:pStyle w:val="texto"/>
        <w:tabs>
          <w:tab w:val="num" w:pos="284"/>
          <w:tab w:val="num" w:pos="600"/>
          <w:tab w:val="num" w:pos="720"/>
        </w:tabs>
        <w:rPr>
          <w:lang w:eastAsia="es-ES"/>
        </w:rPr>
      </w:pPr>
      <w:r>
        <w:rPr>
          <w:lang w:eastAsia="es-ES"/>
        </w:rPr>
        <w:t>d) Actas de los consejos de administración.</w:t>
      </w:r>
    </w:p>
    <w:p w:rsidR="00B63BF3" w:rsidRDefault="00B63BF3" w:rsidP="00B63BF3">
      <w:pPr>
        <w:pStyle w:val="texto"/>
        <w:tabs>
          <w:tab w:val="num" w:pos="284"/>
          <w:tab w:val="num" w:pos="720"/>
        </w:tabs>
        <w:rPr>
          <w:lang w:eastAsia="es-ES"/>
        </w:rPr>
      </w:pPr>
      <w:r>
        <w:rPr>
          <w:lang w:eastAsia="es-ES"/>
        </w:rPr>
        <w:t>Con la finalidad de garantizar el préstamo se constituyeron los siguientes d</w:t>
      </w:r>
      <w:r>
        <w:rPr>
          <w:lang w:eastAsia="es-ES"/>
        </w:rPr>
        <w:t>e</w:t>
      </w:r>
      <w:r>
        <w:rPr>
          <w:lang w:eastAsia="es-ES"/>
        </w:rPr>
        <w:t>rechos reales a favor de Sodena, previstos en el acuerdo de concesión:</w:t>
      </w:r>
    </w:p>
    <w:p w:rsidR="00B63BF3" w:rsidRPr="00796E04" w:rsidRDefault="00B63BF3" w:rsidP="00796E04">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89"/>
        <w:rPr>
          <w:spacing w:val="-2"/>
          <w:lang w:eastAsia="es-ES"/>
        </w:rPr>
      </w:pPr>
      <w:r w:rsidRPr="00796E04">
        <w:rPr>
          <w:spacing w:val="-2"/>
          <w:lang w:eastAsia="es-ES"/>
        </w:rPr>
        <w:t>Una hipoteca mobiliaria otorgada por Davalor Consultoría Estratégica y Tecn</w:t>
      </w:r>
      <w:r w:rsidRPr="00796E04">
        <w:rPr>
          <w:spacing w:val="-2"/>
          <w:lang w:eastAsia="es-ES"/>
        </w:rPr>
        <w:t>o</w:t>
      </w:r>
      <w:r w:rsidRPr="00796E04">
        <w:rPr>
          <w:spacing w:val="-2"/>
          <w:lang w:eastAsia="es-ES"/>
        </w:rPr>
        <w:t>lógica, S.L a favor de Sodena, sobre los derechos de propiedad industrial (cuatro p</w:t>
      </w:r>
      <w:r w:rsidRPr="00796E04">
        <w:rPr>
          <w:spacing w:val="-2"/>
          <w:lang w:eastAsia="es-ES"/>
        </w:rPr>
        <w:t>a</w:t>
      </w:r>
      <w:r w:rsidRPr="00796E04">
        <w:rPr>
          <w:spacing w:val="-2"/>
          <w:lang w:eastAsia="es-ES"/>
        </w:rPr>
        <w:t>tentes). Esta hipoteca está inscrita en el Registro de Bienes Muebles de Madrid.</w:t>
      </w:r>
    </w:p>
    <w:p w:rsidR="00B63BF3" w:rsidRPr="005B4E9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sidRPr="005B4E93">
        <w:rPr>
          <w:lang w:eastAsia="es-ES"/>
        </w:rPr>
        <w:t>Una prenda sin desplazamiento otorgada por Davalor a favor de Sodena, sobre los derechos de crédito derivados del acuerdo de licencia suscrito entre Davalor Salud y Davalor Consultoría. En la actualidad Sodena está en proceso de subsanar los requerimientos del Registrador al objeto de formalizar su def</w:t>
      </w:r>
      <w:r w:rsidRPr="005B4E93">
        <w:rPr>
          <w:lang w:eastAsia="es-ES"/>
        </w:rPr>
        <w:t>i</w:t>
      </w:r>
      <w:r w:rsidRPr="005B4E93">
        <w:rPr>
          <w:lang w:eastAsia="es-ES"/>
        </w:rPr>
        <w:t>nitiva inscripción en el Registro de Bienes Muebles de Navarra.</w:t>
      </w:r>
    </w:p>
    <w:p w:rsidR="00B63BF3" w:rsidRPr="0059293C" w:rsidRDefault="00B63BF3" w:rsidP="00B63BF3">
      <w:pPr>
        <w:pStyle w:val="atitulo2"/>
        <w:rPr>
          <w:lang w:val="es-ES" w:eastAsia="es-ES"/>
        </w:rPr>
      </w:pPr>
      <w:bookmarkStart w:id="32" w:name="_Toc482355684"/>
      <w:bookmarkStart w:id="33" w:name="_Toc483307008"/>
      <w:bookmarkEnd w:id="9"/>
      <w:r>
        <w:rPr>
          <w:lang w:val="es-ES" w:eastAsia="es-ES"/>
        </w:rPr>
        <w:lastRenderedPageBreak/>
        <w:t>IV.2. Préstamos BEI de 400.000 y de 600.000 euros</w:t>
      </w:r>
      <w:bookmarkEnd w:id="32"/>
      <w:bookmarkEnd w:id="33"/>
    </w:p>
    <w:p w:rsidR="00B63BF3" w:rsidRDefault="00B63BF3" w:rsidP="00B63BF3">
      <w:pPr>
        <w:pStyle w:val="atitulo3"/>
        <w:rPr>
          <w:lang w:eastAsia="es-ES"/>
        </w:rPr>
      </w:pPr>
      <w:r>
        <w:rPr>
          <w:lang w:eastAsia="es-ES"/>
        </w:rPr>
        <w:t>Aspectos generales</w:t>
      </w:r>
    </w:p>
    <w:p w:rsidR="00B63BF3" w:rsidRDefault="00B63BF3" w:rsidP="00B63BF3">
      <w:pPr>
        <w:pStyle w:val="texto"/>
        <w:tabs>
          <w:tab w:val="num" w:pos="284"/>
          <w:tab w:val="num" w:pos="720"/>
        </w:tabs>
        <w:rPr>
          <w:szCs w:val="26"/>
          <w:lang w:eastAsia="es-ES"/>
        </w:rPr>
      </w:pPr>
      <w:r w:rsidRPr="00235B9D">
        <w:rPr>
          <w:szCs w:val="26"/>
          <w:lang w:eastAsia="es-ES"/>
        </w:rPr>
        <w:t>Dentro del acuerdo de financiación y para la financiación de la fase I</w:t>
      </w:r>
      <w:r>
        <w:rPr>
          <w:szCs w:val="26"/>
          <w:lang w:eastAsia="es-ES"/>
        </w:rPr>
        <w:t>.1ª</w:t>
      </w:r>
      <w:r w:rsidRPr="00235B9D">
        <w:rPr>
          <w:szCs w:val="26"/>
          <w:lang w:eastAsia="es-ES"/>
        </w:rPr>
        <w:t xml:space="preserve"> del plan de viabilidad, el consejo de administración de Sodena, en sus reuni</w:t>
      </w:r>
      <w:r>
        <w:rPr>
          <w:szCs w:val="26"/>
          <w:lang w:eastAsia="es-ES"/>
        </w:rPr>
        <w:t>ones</w:t>
      </w:r>
      <w:r w:rsidRPr="00235B9D">
        <w:rPr>
          <w:szCs w:val="26"/>
          <w:lang w:eastAsia="es-ES"/>
        </w:rPr>
        <w:t xml:space="preserve"> del día</w:t>
      </w:r>
      <w:r>
        <w:rPr>
          <w:szCs w:val="26"/>
          <w:lang w:eastAsia="es-ES"/>
        </w:rPr>
        <w:t xml:space="preserve"> 1 de diciembre de 2016 y del 16 de enero de 2017, aprueba la concesión de dos préstamos a Davalor por importe de 0,4 y 0,6 millones respectivamente.</w:t>
      </w:r>
    </w:p>
    <w:p w:rsidR="00B63BF3" w:rsidRPr="00B91679" w:rsidRDefault="00B63BF3" w:rsidP="00B63BF3">
      <w:pPr>
        <w:pStyle w:val="texto"/>
        <w:tabs>
          <w:tab w:val="num" w:pos="284"/>
          <w:tab w:val="num" w:pos="720"/>
        </w:tabs>
        <w:rPr>
          <w:szCs w:val="26"/>
          <w:lang w:eastAsia="es-ES"/>
        </w:rPr>
      </w:pPr>
      <w:r>
        <w:rPr>
          <w:szCs w:val="26"/>
          <w:lang w:eastAsia="es-ES"/>
        </w:rPr>
        <w:t xml:space="preserve">Estos préstamos se conceden a través de la línea del BEI y presentan como característica que son </w:t>
      </w:r>
      <w:r w:rsidRPr="00B91679">
        <w:rPr>
          <w:szCs w:val="26"/>
          <w:lang w:eastAsia="es-ES"/>
        </w:rPr>
        <w:t xml:space="preserve">convertibles </w:t>
      </w:r>
      <w:r>
        <w:rPr>
          <w:szCs w:val="26"/>
          <w:lang w:eastAsia="es-ES"/>
        </w:rPr>
        <w:t>–</w:t>
      </w:r>
      <w:r w:rsidRPr="00B91679">
        <w:rPr>
          <w:szCs w:val="26"/>
          <w:lang w:eastAsia="es-ES"/>
        </w:rPr>
        <w:t>su principal e intereses devengados</w:t>
      </w:r>
      <w:r>
        <w:rPr>
          <w:szCs w:val="26"/>
          <w:lang w:eastAsia="es-ES"/>
        </w:rPr>
        <w:t>–</w:t>
      </w:r>
      <w:r w:rsidRPr="00B91679">
        <w:rPr>
          <w:szCs w:val="26"/>
          <w:lang w:eastAsia="es-ES"/>
        </w:rPr>
        <w:t xml:space="preserve"> de forma total o parcial en préstamos participativos o participaciones en el capital, a decisión de Sodena. Los tipos de interés y calendario de amortizaciones de los mismos se ajustan a las condiciones BEI</w:t>
      </w:r>
      <w:r>
        <w:rPr>
          <w:szCs w:val="26"/>
          <w:lang w:eastAsia="es-ES"/>
        </w:rPr>
        <w:t>.</w:t>
      </w:r>
    </w:p>
    <w:p w:rsidR="00B63BF3" w:rsidRPr="00BA7501" w:rsidRDefault="00B63BF3" w:rsidP="00B63BF3">
      <w:pPr>
        <w:pStyle w:val="texto"/>
        <w:tabs>
          <w:tab w:val="num" w:pos="284"/>
          <w:tab w:val="num" w:pos="720"/>
        </w:tabs>
        <w:rPr>
          <w:szCs w:val="26"/>
          <w:lang w:eastAsia="es-ES"/>
        </w:rPr>
      </w:pPr>
      <w:r>
        <w:rPr>
          <w:szCs w:val="26"/>
          <w:lang w:eastAsia="es-ES"/>
        </w:rPr>
        <w:t>El apoyo financiero de Sodena será desembolsado con un calendario de h</w:t>
      </w:r>
      <w:r>
        <w:rPr>
          <w:szCs w:val="26"/>
          <w:lang w:eastAsia="es-ES"/>
        </w:rPr>
        <w:t>i</w:t>
      </w:r>
      <w:r>
        <w:rPr>
          <w:szCs w:val="26"/>
          <w:lang w:eastAsia="es-ES"/>
        </w:rPr>
        <w:t xml:space="preserve">tos, entre los que se citan las </w:t>
      </w:r>
      <w:r w:rsidRPr="00BA7501">
        <w:rPr>
          <w:szCs w:val="26"/>
          <w:lang w:eastAsia="es-ES"/>
        </w:rPr>
        <w:t>siguientes condiciones de carácter esencial</w:t>
      </w:r>
      <w:r>
        <w:rPr>
          <w:szCs w:val="26"/>
          <w:lang w:eastAsia="es-ES"/>
        </w:rPr>
        <w:t xml:space="preserve"> a cumplir por Davalor</w:t>
      </w:r>
      <w:r w:rsidRPr="00BA7501">
        <w:rPr>
          <w:szCs w:val="26"/>
          <w:lang w:eastAsia="es-ES"/>
        </w:rP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Que la firma consultora haya formalizado el c</w:t>
      </w:r>
      <w:r w:rsidRPr="00BA7501">
        <w:rPr>
          <w:lang w:eastAsia="es-ES"/>
        </w:rPr>
        <w:t xml:space="preserve">ontrato de </w:t>
      </w:r>
      <w:r>
        <w:rPr>
          <w:lang w:eastAsia="es-ES"/>
        </w:rPr>
        <w:t>c</w:t>
      </w:r>
      <w:r w:rsidRPr="00BA7501">
        <w:rPr>
          <w:lang w:eastAsia="es-ES"/>
        </w:rPr>
        <w:t>ogestión</w:t>
      </w:r>
      <w:r>
        <w:rPr>
          <w:lang w:eastAsia="es-ES"/>
        </w:rPr>
        <w:t>, que cómo mínimo, deberá mantenerse en vigor hasta finalizar la fase I del plan de viabilidad.</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sidRPr="00BA7501">
        <w:rPr>
          <w:lang w:eastAsia="es-ES"/>
        </w:rPr>
        <w:t xml:space="preserve">Acompañamiento a la inversión de </w:t>
      </w:r>
      <w:r>
        <w:rPr>
          <w:lang w:eastAsia="es-ES"/>
        </w:rPr>
        <w:t>i</w:t>
      </w:r>
      <w:r w:rsidRPr="00BA7501">
        <w:rPr>
          <w:lang w:eastAsia="es-ES"/>
        </w:rPr>
        <w:t xml:space="preserve">nversores </w:t>
      </w:r>
      <w:r>
        <w:rPr>
          <w:lang w:eastAsia="es-ES"/>
        </w:rPr>
        <w:t>p</w:t>
      </w:r>
      <w:r w:rsidRPr="00BA7501">
        <w:rPr>
          <w:lang w:eastAsia="es-ES"/>
        </w:rPr>
        <w:t>rivados</w:t>
      </w:r>
      <w:r>
        <w:rPr>
          <w:lang w:eastAsia="es-ES"/>
        </w:rPr>
        <w:t xml:space="preserve"> de forma que, una vez finalizada la Fase I, tal inversión se haya realizado</w:t>
      </w:r>
      <w:r w:rsidRPr="005B4E93">
        <w:rPr>
          <w:lang w:eastAsia="es-ES"/>
        </w:rPr>
        <w:t xml:space="preserve"> </w:t>
      </w:r>
      <w:r w:rsidRPr="00BA7501">
        <w:rPr>
          <w:lang w:eastAsia="es-ES"/>
        </w:rPr>
        <w:t>a partes iguales</w:t>
      </w:r>
      <w:r>
        <w:rPr>
          <w:lang w:eastAsia="es-ES"/>
        </w:rP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Que se constituyan las</w:t>
      </w:r>
      <w:r w:rsidRPr="00BA7501">
        <w:rPr>
          <w:lang w:eastAsia="es-ES"/>
        </w:rPr>
        <w:t xml:space="preserve"> garantías </w:t>
      </w:r>
      <w:r>
        <w:rPr>
          <w:lang w:eastAsia="es-ES"/>
        </w:rPr>
        <w:t>pactadas sobre pignoración de las partic</w:t>
      </w:r>
      <w:r>
        <w:rPr>
          <w:lang w:eastAsia="es-ES"/>
        </w:rPr>
        <w:t>i</w:t>
      </w:r>
      <w:r>
        <w:rPr>
          <w:lang w:eastAsia="es-ES"/>
        </w:rPr>
        <w:t>paciones del promotor.</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 xml:space="preserve">Que se hayan formalizado con anterioridad a esta fecha </w:t>
      </w:r>
      <w:r w:rsidRPr="00BA7501">
        <w:rPr>
          <w:lang w:eastAsia="es-ES"/>
        </w:rPr>
        <w:t xml:space="preserve">un compromiso firme de una óptica </w:t>
      </w:r>
      <w:r>
        <w:rPr>
          <w:lang w:eastAsia="es-ES"/>
        </w:rPr>
        <w:t>para la instalación de la primera EVA conforme a lo previ</w:t>
      </w:r>
      <w:r>
        <w:rPr>
          <w:lang w:eastAsia="es-ES"/>
        </w:rPr>
        <w:t>s</w:t>
      </w:r>
      <w:r>
        <w:rPr>
          <w:lang w:eastAsia="es-ES"/>
        </w:rPr>
        <w:t>to en el plan de viabilidad.</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Que se entreguen a Sodena</w:t>
      </w:r>
      <w:r w:rsidRPr="00BA7501">
        <w:rPr>
          <w:lang w:eastAsia="es-ES"/>
        </w:rPr>
        <w:t>, antes del 31 de diciembre de 2016</w:t>
      </w:r>
      <w:r>
        <w:rPr>
          <w:lang w:eastAsia="es-ES"/>
        </w:rPr>
        <w:t xml:space="preserve">, </w:t>
      </w:r>
      <w:r w:rsidRPr="00BA7501">
        <w:rPr>
          <w:lang w:eastAsia="es-ES"/>
        </w:rPr>
        <w:t>nuevos compromisos firmes para la instalación de las</w:t>
      </w:r>
      <w:r>
        <w:rPr>
          <w:lang w:eastAsia="es-ES"/>
        </w:rPr>
        <w:t xml:space="preserve"> tres</w:t>
      </w:r>
      <w:r w:rsidRPr="00BA7501">
        <w:rPr>
          <w:lang w:eastAsia="es-ES"/>
        </w:rPr>
        <w:t xml:space="preserve"> </w:t>
      </w:r>
      <w:proofErr w:type="spellStart"/>
      <w:r w:rsidRPr="00BA7501">
        <w:rPr>
          <w:lang w:eastAsia="es-ES"/>
        </w:rPr>
        <w:t>EVAs</w:t>
      </w:r>
      <w:proofErr w:type="spellEnd"/>
      <w:r w:rsidRPr="00BA7501">
        <w:rPr>
          <w:lang w:eastAsia="es-ES"/>
        </w:rPr>
        <w:t xml:space="preserve"> adicionales </w:t>
      </w:r>
      <w:r>
        <w:rPr>
          <w:lang w:eastAsia="es-ES"/>
        </w:rPr>
        <w:t>conforme a lo previsto en la Fase 1 del Plan de Negocio</w:t>
      </w:r>
      <w:r w:rsidR="002E749D">
        <w:rPr>
          <w:lang w:eastAsia="es-ES"/>
        </w:rP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Que se entreguen a</w:t>
      </w:r>
      <w:r w:rsidRPr="00D16750">
        <w:rPr>
          <w:lang w:eastAsia="es-ES"/>
        </w:rPr>
        <w:t xml:space="preserve"> </w:t>
      </w:r>
      <w:r>
        <w:rPr>
          <w:lang w:eastAsia="es-ES"/>
        </w:rPr>
        <w:t xml:space="preserve">Sodena, </w:t>
      </w:r>
      <w:r w:rsidRPr="00BA7501">
        <w:rPr>
          <w:lang w:eastAsia="es-ES"/>
        </w:rPr>
        <w:t>antes del 31 de enero de 2017, nuevos co</w:t>
      </w:r>
      <w:r w:rsidRPr="00BA7501">
        <w:rPr>
          <w:lang w:eastAsia="es-ES"/>
        </w:rPr>
        <w:t>m</w:t>
      </w:r>
      <w:r w:rsidRPr="00BA7501">
        <w:rPr>
          <w:lang w:eastAsia="es-ES"/>
        </w:rPr>
        <w:t>promisos firmes para la instalación de</w:t>
      </w:r>
      <w:r>
        <w:rPr>
          <w:lang w:eastAsia="es-ES"/>
        </w:rPr>
        <w:t xml:space="preserve"> las tres</w:t>
      </w:r>
      <w:r w:rsidRPr="00BA7501">
        <w:rPr>
          <w:lang w:eastAsia="es-ES"/>
        </w:rPr>
        <w:t xml:space="preserve"> </w:t>
      </w:r>
      <w:proofErr w:type="spellStart"/>
      <w:r w:rsidRPr="00BA7501">
        <w:rPr>
          <w:lang w:eastAsia="es-ES"/>
        </w:rPr>
        <w:t>EVAs</w:t>
      </w:r>
      <w:proofErr w:type="spellEnd"/>
      <w:r w:rsidRPr="00BA7501">
        <w:rPr>
          <w:lang w:eastAsia="es-ES"/>
        </w:rPr>
        <w:t xml:space="preserve"> adicionales, alcanzando un total de 7,</w:t>
      </w:r>
      <w:r>
        <w:rPr>
          <w:lang w:eastAsia="es-ES"/>
        </w:rPr>
        <w:t xml:space="preserve"> conforme a lo previsto en la fase I.</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 xml:space="preserve">Que se entregue </w:t>
      </w:r>
      <w:r w:rsidRPr="00BA7501">
        <w:rPr>
          <w:lang w:eastAsia="es-ES"/>
        </w:rPr>
        <w:t xml:space="preserve">el informe completo y definitivo del </w:t>
      </w:r>
      <w:r>
        <w:rPr>
          <w:lang w:eastAsia="es-ES"/>
        </w:rPr>
        <w:t>p</w:t>
      </w:r>
      <w:r w:rsidRPr="00BA7501">
        <w:rPr>
          <w:lang w:eastAsia="es-ES"/>
        </w:rPr>
        <w:t>lan de</w:t>
      </w:r>
      <w:r>
        <w:rPr>
          <w:lang w:eastAsia="es-ES"/>
        </w:rPr>
        <w:t xml:space="preserve"> viabilidad.</w:t>
      </w:r>
    </w:p>
    <w:p w:rsidR="00B63BF3" w:rsidRPr="007C5E4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spacing w:val="4"/>
          <w:lang w:eastAsia="es-ES"/>
        </w:rPr>
      </w:pPr>
      <w:r w:rsidRPr="007C5E4F">
        <w:rPr>
          <w:spacing w:val="4"/>
          <w:lang w:eastAsia="es-ES"/>
        </w:rPr>
        <w:t>Que el citado informe del plan contenga entre otras, las siguientes premisas:</w:t>
      </w:r>
    </w:p>
    <w:p w:rsidR="00B63BF3" w:rsidRDefault="00B63BF3" w:rsidP="00B63BF3">
      <w:pPr>
        <w:pStyle w:val="texto"/>
        <w:rPr>
          <w:lang w:eastAsia="es-ES"/>
        </w:rPr>
      </w:pPr>
      <w:r>
        <w:rPr>
          <w:lang w:eastAsia="es-ES"/>
        </w:rPr>
        <w:t>a) Una reducción salarial del socio principal.</w:t>
      </w:r>
    </w:p>
    <w:p w:rsidR="00B63BF3" w:rsidRDefault="00B63BF3" w:rsidP="00B63BF3">
      <w:pPr>
        <w:pStyle w:val="texto"/>
        <w:tabs>
          <w:tab w:val="num" w:pos="284"/>
          <w:tab w:val="num" w:pos="720"/>
        </w:tabs>
        <w:rPr>
          <w:lang w:eastAsia="es-ES"/>
        </w:rPr>
      </w:pPr>
      <w:r>
        <w:rPr>
          <w:lang w:eastAsia="es-ES"/>
        </w:rPr>
        <w:t>b) Un calendario y criterios del pago de los salarios adeudados a los trabaj</w:t>
      </w:r>
      <w:r>
        <w:rPr>
          <w:lang w:eastAsia="es-ES"/>
        </w:rPr>
        <w:t>a</w:t>
      </w:r>
      <w:r>
        <w:rPr>
          <w:lang w:eastAsia="es-ES"/>
        </w:rPr>
        <w:t xml:space="preserve">dores y al equipo directivo (meses de agosto, septiembre, octubre y noviembre de 2016).  </w:t>
      </w:r>
    </w:p>
    <w:p w:rsidR="00B63BF3" w:rsidRPr="00BA750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sidRPr="00BA7501">
        <w:rPr>
          <w:lang w:eastAsia="es-ES"/>
        </w:rPr>
        <w:lastRenderedPageBreak/>
        <w:t>Que antes del 20 de enero de 2017</w:t>
      </w:r>
      <w:r>
        <w:rPr>
          <w:lang w:eastAsia="es-ES"/>
        </w:rPr>
        <w:t xml:space="preserve">, </w:t>
      </w:r>
      <w:r w:rsidRPr="00BA7501">
        <w:rPr>
          <w:lang w:eastAsia="es-ES"/>
        </w:rPr>
        <w:t>se formalicen en firme los comprom</w:t>
      </w:r>
      <w:r w:rsidRPr="00BA7501">
        <w:rPr>
          <w:lang w:eastAsia="es-ES"/>
        </w:rPr>
        <w:t>i</w:t>
      </w:r>
      <w:r w:rsidRPr="00BA7501">
        <w:rPr>
          <w:lang w:eastAsia="es-ES"/>
        </w:rPr>
        <w:t>sos irrevocables de aportación por parte de los inversores privados</w:t>
      </w:r>
      <w:r>
        <w:rPr>
          <w:lang w:eastAsia="es-ES"/>
        </w:rP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 xml:space="preserve">Que el </w:t>
      </w:r>
      <w:r w:rsidRPr="00BA7501">
        <w:rPr>
          <w:lang w:eastAsia="es-ES"/>
        </w:rPr>
        <w:t>destino</w:t>
      </w:r>
      <w:r>
        <w:rPr>
          <w:lang w:eastAsia="es-ES"/>
        </w:rPr>
        <w:t xml:space="preserve"> que Davalor Salud pueda dar a cada uno de los préstamos derivados del apoyo financiero de Sodena y del apoyo financiero de inversores privados esté perfectamente detallado en la instrumentación de cada aportación, en coherencia con las previsiones del plan; y que la disposición y destino de los mismos estén gestionados y controlados a través de la consultora, según lo e</w:t>
      </w:r>
      <w:r>
        <w:rPr>
          <w:lang w:eastAsia="es-ES"/>
        </w:rPr>
        <w:t>s</w:t>
      </w:r>
      <w:r>
        <w:rPr>
          <w:lang w:eastAsia="es-ES"/>
        </w:rPr>
        <w:t>tipulado en el contrato de cogestión.</w:t>
      </w:r>
    </w:p>
    <w:p w:rsidR="00B63BF3" w:rsidRPr="00BA750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lang w:eastAsia="es-ES"/>
        </w:rPr>
      </w:pPr>
      <w:r>
        <w:rPr>
          <w:lang w:eastAsia="es-ES"/>
        </w:rPr>
        <w:t xml:space="preserve">Que </w:t>
      </w:r>
      <w:r w:rsidRPr="00BA7501">
        <w:rPr>
          <w:lang w:eastAsia="es-ES"/>
        </w:rPr>
        <w:t>antes del 31 de diciembre de 2016</w:t>
      </w:r>
      <w:r>
        <w:rPr>
          <w:lang w:eastAsia="es-ES"/>
        </w:rPr>
        <w:t xml:space="preserve"> </w:t>
      </w:r>
      <w:r w:rsidRPr="00BA7501">
        <w:rPr>
          <w:lang w:eastAsia="es-ES"/>
        </w:rPr>
        <w:t>se alcance un acuerdo de espera con la mayor parte de los proveedores que son acreedores de la sociedad.</w:t>
      </w:r>
    </w:p>
    <w:p w:rsidR="00B63BF3" w:rsidRDefault="00B63BF3" w:rsidP="00B63BF3">
      <w:pPr>
        <w:pStyle w:val="texto"/>
        <w:tabs>
          <w:tab w:val="num" w:pos="284"/>
          <w:tab w:val="num" w:pos="720"/>
        </w:tabs>
        <w:rPr>
          <w:szCs w:val="26"/>
          <w:lang w:eastAsia="es-ES"/>
        </w:rPr>
      </w:pPr>
      <w:r w:rsidRPr="002B52A8">
        <w:rPr>
          <w:szCs w:val="26"/>
          <w:lang w:eastAsia="es-ES"/>
        </w:rPr>
        <w:t>De acuerdo con la información analizada, se ha confirmado</w:t>
      </w:r>
      <w:r>
        <w:rPr>
          <w:szCs w:val="26"/>
          <w:lang w:eastAsia="es-ES"/>
        </w:rPr>
        <w:t>, en términos g</w:t>
      </w:r>
      <w:r>
        <w:rPr>
          <w:szCs w:val="26"/>
          <w:lang w:eastAsia="es-ES"/>
        </w:rPr>
        <w:t>e</w:t>
      </w:r>
      <w:r>
        <w:rPr>
          <w:szCs w:val="26"/>
          <w:lang w:eastAsia="es-ES"/>
        </w:rPr>
        <w:t>nerales,</w:t>
      </w:r>
      <w:r w:rsidRPr="002B52A8">
        <w:rPr>
          <w:szCs w:val="26"/>
          <w:lang w:eastAsia="es-ES"/>
        </w:rPr>
        <w:t xml:space="preserve"> el cumpl</w:t>
      </w:r>
      <w:r>
        <w:rPr>
          <w:szCs w:val="26"/>
          <w:lang w:eastAsia="es-ES"/>
        </w:rPr>
        <w:t>i</w:t>
      </w:r>
      <w:r w:rsidRPr="002B52A8">
        <w:rPr>
          <w:szCs w:val="26"/>
          <w:lang w:eastAsia="es-ES"/>
        </w:rPr>
        <w:t>miento de las anteriores condiciones esenciales, si bien</w:t>
      </w:r>
      <w:r>
        <w:rPr>
          <w:szCs w:val="26"/>
          <w:lang w:eastAsia="es-ES"/>
        </w:rPr>
        <w:t xml:space="preserve"> se han retrasado los compromisos firmes para la instalación en distintas ópticas de las seis </w:t>
      </w:r>
      <w:proofErr w:type="spellStart"/>
      <w:r>
        <w:rPr>
          <w:szCs w:val="26"/>
          <w:lang w:eastAsia="es-ES"/>
        </w:rPr>
        <w:t>EVAs</w:t>
      </w:r>
      <w:proofErr w:type="spellEnd"/>
      <w:r>
        <w:rPr>
          <w:szCs w:val="26"/>
          <w:lang w:eastAsia="es-ES"/>
        </w:rPr>
        <w:t xml:space="preserve"> adicionales previstas en el plan. </w:t>
      </w:r>
    </w:p>
    <w:p w:rsidR="00B63BF3" w:rsidRDefault="00B63BF3" w:rsidP="00B63BF3">
      <w:pPr>
        <w:pStyle w:val="texto"/>
        <w:tabs>
          <w:tab w:val="num" w:pos="284"/>
          <w:tab w:val="num" w:pos="720"/>
        </w:tabs>
        <w:rPr>
          <w:szCs w:val="26"/>
          <w:lang w:eastAsia="es-ES"/>
        </w:rPr>
      </w:pPr>
      <w:r>
        <w:rPr>
          <w:szCs w:val="26"/>
          <w:lang w:eastAsia="es-ES"/>
        </w:rPr>
        <w:t>Asimismo, Sodena</w:t>
      </w:r>
      <w:r w:rsidRPr="002B52A8">
        <w:rPr>
          <w:szCs w:val="26"/>
          <w:lang w:eastAsia="es-ES"/>
        </w:rPr>
        <w:t xml:space="preserve"> </w:t>
      </w:r>
      <w:r>
        <w:rPr>
          <w:szCs w:val="26"/>
          <w:lang w:eastAsia="es-ES"/>
        </w:rPr>
        <w:t>ha verificado que las aportaciones previstas de los inve</w:t>
      </w:r>
      <w:r>
        <w:rPr>
          <w:szCs w:val="26"/>
          <w:lang w:eastAsia="es-ES"/>
        </w:rPr>
        <w:t>r</w:t>
      </w:r>
      <w:r>
        <w:rPr>
          <w:szCs w:val="26"/>
          <w:lang w:eastAsia="es-ES"/>
        </w:rPr>
        <w:t>sores privados han cumplido las previsiones del plan de viabilidad para su pr</w:t>
      </w:r>
      <w:r>
        <w:rPr>
          <w:szCs w:val="26"/>
          <w:lang w:eastAsia="es-ES"/>
        </w:rPr>
        <w:t>i</w:t>
      </w:r>
      <w:r>
        <w:rPr>
          <w:szCs w:val="26"/>
          <w:lang w:eastAsia="es-ES"/>
        </w:rPr>
        <w:t>mera fase, tanto en su calendario como en la igualdad de la aportación total de éstos y de Sodena</w:t>
      </w:r>
      <w:r w:rsidRPr="00D95F8E">
        <w:rPr>
          <w:szCs w:val="26"/>
          <w:lang w:eastAsia="es-ES"/>
        </w:rPr>
        <w:t>. Esta verificación se ha apoyado en un certificado del adm</w:t>
      </w:r>
      <w:r w:rsidRPr="00D95F8E">
        <w:rPr>
          <w:szCs w:val="26"/>
          <w:lang w:eastAsia="es-ES"/>
        </w:rPr>
        <w:t>i</w:t>
      </w:r>
      <w:r w:rsidRPr="00D95F8E">
        <w:rPr>
          <w:szCs w:val="26"/>
          <w:lang w:eastAsia="es-ES"/>
        </w:rPr>
        <w:t>nistrador de las sociedades de captación de fondos a particulares en el que se indica, además, que los mismos han sido informados del riesgo derivado de tal inversión.</w:t>
      </w:r>
      <w:r>
        <w:rPr>
          <w:szCs w:val="26"/>
          <w:lang w:eastAsia="es-ES"/>
        </w:rPr>
        <w:t xml:space="preserve"> </w:t>
      </w:r>
    </w:p>
    <w:p w:rsidR="00B63BF3" w:rsidRPr="00796E04" w:rsidRDefault="00B63BF3" w:rsidP="00B63BF3">
      <w:pPr>
        <w:pStyle w:val="texto"/>
        <w:tabs>
          <w:tab w:val="num" w:pos="284"/>
          <w:tab w:val="num" w:pos="720"/>
        </w:tabs>
        <w:spacing w:after="240"/>
        <w:rPr>
          <w:spacing w:val="2"/>
          <w:szCs w:val="26"/>
          <w:lang w:eastAsia="es-ES"/>
        </w:rPr>
      </w:pPr>
      <w:r w:rsidRPr="003D735B">
        <w:rPr>
          <w:szCs w:val="26"/>
          <w:lang w:eastAsia="es-ES"/>
        </w:rPr>
        <w:t xml:space="preserve">En garantía del </w:t>
      </w:r>
      <w:r>
        <w:rPr>
          <w:szCs w:val="26"/>
          <w:lang w:eastAsia="es-ES"/>
        </w:rPr>
        <w:t>apoyo financiero, el socio principal</w:t>
      </w:r>
      <w:r w:rsidRPr="003D735B">
        <w:rPr>
          <w:szCs w:val="26"/>
          <w:lang w:eastAsia="es-ES"/>
        </w:rPr>
        <w:t xml:space="preserve"> constituye a favor de S</w:t>
      </w:r>
      <w:r>
        <w:rPr>
          <w:szCs w:val="26"/>
          <w:lang w:eastAsia="es-ES"/>
        </w:rPr>
        <w:t>o</w:t>
      </w:r>
      <w:r>
        <w:rPr>
          <w:szCs w:val="26"/>
          <w:lang w:eastAsia="es-ES"/>
        </w:rPr>
        <w:t>dena</w:t>
      </w:r>
      <w:r w:rsidRPr="003D735B">
        <w:rPr>
          <w:szCs w:val="26"/>
          <w:lang w:eastAsia="es-ES"/>
        </w:rPr>
        <w:t xml:space="preserve"> un dere</w:t>
      </w:r>
      <w:r>
        <w:rPr>
          <w:szCs w:val="26"/>
          <w:lang w:eastAsia="es-ES"/>
        </w:rPr>
        <w:t xml:space="preserve">cho real de prenda sobre </w:t>
      </w:r>
      <w:r w:rsidRPr="003D735B">
        <w:rPr>
          <w:szCs w:val="26"/>
          <w:lang w:eastAsia="es-ES"/>
        </w:rPr>
        <w:t xml:space="preserve">823.240 participaciones sociales de la </w:t>
      </w:r>
      <w:r>
        <w:rPr>
          <w:szCs w:val="26"/>
          <w:lang w:eastAsia="es-ES"/>
        </w:rPr>
        <w:t>s</w:t>
      </w:r>
      <w:r w:rsidRPr="003D735B">
        <w:rPr>
          <w:szCs w:val="26"/>
          <w:lang w:eastAsia="es-ES"/>
        </w:rPr>
        <w:t>o</w:t>
      </w:r>
      <w:r w:rsidRPr="003D735B">
        <w:rPr>
          <w:szCs w:val="26"/>
          <w:lang w:eastAsia="es-ES"/>
        </w:rPr>
        <w:t>ciedad</w:t>
      </w:r>
      <w:r>
        <w:rPr>
          <w:szCs w:val="26"/>
          <w:lang w:eastAsia="es-ES"/>
        </w:rPr>
        <w:t xml:space="preserve"> Davalor con valor nominal unitario de un euro, </w:t>
      </w:r>
      <w:r w:rsidRPr="00796E04">
        <w:rPr>
          <w:spacing w:val="2"/>
          <w:szCs w:val="26"/>
          <w:lang w:eastAsia="es-ES"/>
        </w:rPr>
        <w:t>representativas de los dos tercios del total de participaciones propiedad del citado socio, libre de cargas.</w:t>
      </w:r>
    </w:p>
    <w:p w:rsidR="00B63BF3" w:rsidRDefault="00B63BF3" w:rsidP="00B63BF3">
      <w:pPr>
        <w:pStyle w:val="atitulo3"/>
        <w:rPr>
          <w:lang w:eastAsia="es-ES"/>
        </w:rPr>
      </w:pPr>
      <w:r>
        <w:rPr>
          <w:lang w:eastAsia="es-ES"/>
        </w:rPr>
        <w:t>Préstamo de 400.000 euros</w:t>
      </w:r>
    </w:p>
    <w:p w:rsidR="00B63BF3" w:rsidRPr="001058D1" w:rsidRDefault="00B63BF3" w:rsidP="00B63BF3">
      <w:pPr>
        <w:pStyle w:val="texto"/>
        <w:tabs>
          <w:tab w:val="num" w:pos="284"/>
          <w:tab w:val="num" w:pos="720"/>
        </w:tabs>
        <w:rPr>
          <w:szCs w:val="26"/>
          <w:lang w:eastAsia="es-ES"/>
        </w:rPr>
      </w:pPr>
      <w:r w:rsidRPr="001058D1">
        <w:rPr>
          <w:szCs w:val="26"/>
          <w:lang w:eastAsia="es-ES"/>
        </w:rPr>
        <w:t>Sobre el primero de los préstamos, destacamos:</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1058D1">
        <w:rPr>
          <w:rFonts w:cs="Arial"/>
        </w:rPr>
        <w:t>Importe:</w:t>
      </w:r>
      <w:r>
        <w:rPr>
          <w:rFonts w:cs="Arial"/>
        </w:rPr>
        <w:t xml:space="preserve"> 400.000 euros.</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1058D1">
        <w:rPr>
          <w:rFonts w:cs="Arial"/>
        </w:rPr>
        <w:t>Fecha firma</w:t>
      </w:r>
      <w:r>
        <w:rPr>
          <w:rFonts w:cs="Arial"/>
        </w:rPr>
        <w:t xml:space="preserve"> del contrato, el</w:t>
      </w:r>
      <w:r w:rsidRPr="001058D1">
        <w:rPr>
          <w:rFonts w:cs="Arial"/>
        </w:rPr>
        <w:t xml:space="preserve"> 9 de diciembre de 2016</w:t>
      </w:r>
      <w:r>
        <w:rPr>
          <w:rFonts w:cs="Arial"/>
        </w:rPr>
        <w:t>.</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1058D1">
        <w:rPr>
          <w:rFonts w:cs="Arial"/>
        </w:rPr>
        <w:t xml:space="preserve">Finalidad: El </w:t>
      </w:r>
      <w:r w:rsidR="00487284">
        <w:rPr>
          <w:rFonts w:cs="Arial"/>
        </w:rPr>
        <w:t xml:space="preserve">importe </w:t>
      </w:r>
      <w:r w:rsidRPr="001058D1">
        <w:rPr>
          <w:rFonts w:cs="Arial"/>
        </w:rPr>
        <w:t>total deberá ser destinado y aplicado, única y excl</w:t>
      </w:r>
      <w:r w:rsidRPr="001058D1">
        <w:rPr>
          <w:rFonts w:cs="Arial"/>
        </w:rPr>
        <w:t>u</w:t>
      </w:r>
      <w:r>
        <w:rPr>
          <w:rFonts w:cs="Arial"/>
        </w:rPr>
        <w:t xml:space="preserve">sivamente, </w:t>
      </w:r>
      <w:r w:rsidRPr="001058D1">
        <w:rPr>
          <w:rFonts w:cs="Arial"/>
        </w:rPr>
        <w:t xml:space="preserve">a los pagos que se detallan en </w:t>
      </w:r>
      <w:r>
        <w:rPr>
          <w:rFonts w:cs="Arial"/>
        </w:rPr>
        <w:t>un</w:t>
      </w:r>
      <w:r w:rsidRPr="001058D1">
        <w:rPr>
          <w:rFonts w:cs="Arial"/>
        </w:rPr>
        <w:t xml:space="preserve"> anexo</w:t>
      </w:r>
      <w:r>
        <w:rPr>
          <w:rFonts w:cs="Arial"/>
        </w:rPr>
        <w:t xml:space="preserve"> del contrato y que hacen r</w:t>
      </w:r>
      <w:r>
        <w:rPr>
          <w:rFonts w:cs="Arial"/>
        </w:rPr>
        <w:t>e</w:t>
      </w:r>
      <w:r>
        <w:rPr>
          <w:rFonts w:cs="Arial"/>
        </w:rPr>
        <w:t>ferencia a</w:t>
      </w:r>
      <w:r w:rsidRPr="001058D1">
        <w:rPr>
          <w:rFonts w:cs="Arial"/>
        </w:rPr>
        <w:t xml:space="preserve"> pagos inmediatos al personal y otros gastos corrientes</w:t>
      </w:r>
      <w:r>
        <w:rPr>
          <w:rFonts w:cs="Arial"/>
        </w:rPr>
        <w:t xml:space="preserve"> y operativos.</w:t>
      </w:r>
      <w:r w:rsidRPr="001058D1">
        <w:rPr>
          <w:rFonts w:cs="Arial"/>
        </w:rPr>
        <w:t xml:space="preserve"> </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Pr>
          <w:rFonts w:cs="Arial"/>
        </w:rPr>
        <w:t>Vigencia</w:t>
      </w:r>
      <w:r w:rsidRPr="001058D1">
        <w:rPr>
          <w:rFonts w:cs="Arial"/>
        </w:rPr>
        <w:t xml:space="preserve">: </w:t>
      </w:r>
      <w:r>
        <w:rPr>
          <w:rFonts w:cs="Arial"/>
        </w:rPr>
        <w:t xml:space="preserve">Tres </w:t>
      </w:r>
      <w:r w:rsidRPr="001058D1">
        <w:rPr>
          <w:rFonts w:cs="Arial"/>
        </w:rPr>
        <w:t>años</w:t>
      </w:r>
      <w:r>
        <w:rPr>
          <w:rFonts w:cs="Arial"/>
        </w:rPr>
        <w:t>, siendo su fecha de v</w:t>
      </w:r>
      <w:r w:rsidRPr="001058D1">
        <w:rPr>
          <w:rFonts w:cs="Arial"/>
        </w:rPr>
        <w:t>encimiento</w:t>
      </w:r>
      <w:r>
        <w:rPr>
          <w:rFonts w:cs="Arial"/>
        </w:rPr>
        <w:t xml:space="preserve"> el</w:t>
      </w:r>
      <w:r w:rsidRPr="001058D1">
        <w:rPr>
          <w:rFonts w:cs="Arial"/>
        </w:rPr>
        <w:t xml:space="preserve"> 9 de diciembre de 2019</w:t>
      </w:r>
      <w:r>
        <w:rPr>
          <w:rFonts w:cs="Arial"/>
        </w:rPr>
        <w:t>.</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Pr>
          <w:rFonts w:cs="Arial"/>
        </w:rPr>
        <w:t>Sistema de amortización del principal</w:t>
      </w:r>
      <w:r w:rsidRPr="001058D1">
        <w:rPr>
          <w:rFonts w:cs="Arial"/>
        </w:rPr>
        <w:t xml:space="preserve">: La </w:t>
      </w:r>
      <w:r>
        <w:rPr>
          <w:rFonts w:cs="Arial"/>
        </w:rPr>
        <w:t>s</w:t>
      </w:r>
      <w:r w:rsidRPr="001058D1">
        <w:rPr>
          <w:rFonts w:cs="Arial"/>
        </w:rPr>
        <w:t>ociedad deberá amortizar y d</w:t>
      </w:r>
      <w:r w:rsidRPr="001058D1">
        <w:rPr>
          <w:rFonts w:cs="Arial"/>
        </w:rPr>
        <w:t>e</w:t>
      </w:r>
      <w:r w:rsidRPr="001058D1">
        <w:rPr>
          <w:rFonts w:cs="Arial"/>
        </w:rPr>
        <w:t xml:space="preserve">volver el principal del préstamo en una sola </w:t>
      </w:r>
      <w:r>
        <w:rPr>
          <w:rFonts w:cs="Arial"/>
        </w:rPr>
        <w:t>cuota</w:t>
      </w:r>
      <w:r w:rsidRPr="001058D1">
        <w:rPr>
          <w:rFonts w:cs="Arial"/>
        </w:rPr>
        <w:t xml:space="preserve"> en la</w:t>
      </w:r>
      <w:r>
        <w:rPr>
          <w:rFonts w:cs="Arial"/>
        </w:rPr>
        <w:t xml:space="preserve"> precitada</w:t>
      </w:r>
      <w:r w:rsidRPr="001058D1">
        <w:rPr>
          <w:rFonts w:cs="Arial"/>
        </w:rPr>
        <w:t xml:space="preserve"> fecha de ve</w:t>
      </w:r>
      <w:r w:rsidRPr="001058D1">
        <w:rPr>
          <w:rFonts w:cs="Arial"/>
        </w:rPr>
        <w:t>n</w:t>
      </w:r>
      <w:r w:rsidRPr="001058D1">
        <w:rPr>
          <w:rFonts w:cs="Arial"/>
        </w:rPr>
        <w:t>cimiento</w:t>
      </w:r>
      <w:r>
        <w:rPr>
          <w:rFonts w:cs="Arial"/>
        </w:rPr>
        <w:t>.</w:t>
      </w:r>
    </w:p>
    <w:p w:rsidR="00B63BF3" w:rsidRPr="00CF5FCA"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1058D1">
        <w:rPr>
          <w:rFonts w:cs="Arial"/>
        </w:rPr>
        <w:lastRenderedPageBreak/>
        <w:t xml:space="preserve">Tipos de interés: </w:t>
      </w:r>
      <w:r w:rsidRPr="00CF5FCA">
        <w:rPr>
          <w:rFonts w:cs="Arial"/>
        </w:rPr>
        <w:t xml:space="preserve">El tipo de interés aplicable en cada período </w:t>
      </w:r>
      <w:r>
        <w:rPr>
          <w:rFonts w:cs="Arial"/>
        </w:rPr>
        <w:t>lo</w:t>
      </w:r>
      <w:r w:rsidRPr="00CF5FCA">
        <w:rPr>
          <w:rFonts w:cs="Arial"/>
        </w:rPr>
        <w:t xml:space="preserve"> calculará S</w:t>
      </w:r>
      <w:r>
        <w:rPr>
          <w:rFonts w:cs="Arial"/>
        </w:rPr>
        <w:t>odena</w:t>
      </w:r>
      <w:r w:rsidRPr="00CF5FCA">
        <w:rPr>
          <w:rFonts w:cs="Arial"/>
        </w:rPr>
        <w:t xml:space="preserve"> mediante la adi</w:t>
      </w:r>
      <w:r>
        <w:rPr>
          <w:rFonts w:cs="Arial"/>
        </w:rPr>
        <w:t>ción de un diferencial del cinco por ciento al</w:t>
      </w:r>
      <w:r w:rsidRPr="00CF5FCA">
        <w:rPr>
          <w:rFonts w:cs="Arial"/>
        </w:rPr>
        <w:t xml:space="preserve"> </w:t>
      </w:r>
      <w:r>
        <w:rPr>
          <w:rFonts w:cs="Arial"/>
        </w:rPr>
        <w:t>euribor a 12 meses; e</w:t>
      </w:r>
      <w:r w:rsidRPr="00CF5FCA">
        <w:rPr>
          <w:rFonts w:cs="Arial"/>
        </w:rPr>
        <w:t>l tipo de interés aplicable al primer periodo</w:t>
      </w:r>
      <w:r w:rsidR="0004283C">
        <w:rPr>
          <w:rFonts w:cs="Arial"/>
        </w:rPr>
        <w:t xml:space="preserve"> </w:t>
      </w:r>
      <w:r w:rsidRPr="00CF5FCA">
        <w:rPr>
          <w:rFonts w:cs="Arial"/>
        </w:rPr>
        <w:t>será de</w:t>
      </w:r>
      <w:r>
        <w:rPr>
          <w:rFonts w:cs="Arial"/>
        </w:rPr>
        <w:t>l cinco por cie</w:t>
      </w:r>
      <w:r>
        <w:rPr>
          <w:rFonts w:cs="Arial"/>
        </w:rPr>
        <w:t>n</w:t>
      </w:r>
      <w:r>
        <w:rPr>
          <w:rFonts w:cs="Arial"/>
        </w:rPr>
        <w:t xml:space="preserve">to anual. No se considerará un euribor </w:t>
      </w:r>
      <w:r w:rsidRPr="00CF5FCA">
        <w:rPr>
          <w:rFonts w:cs="Arial"/>
        </w:rPr>
        <w:t>inferior a cero</w:t>
      </w:r>
      <w:r>
        <w:rPr>
          <w:rFonts w:cs="Arial"/>
        </w:rPr>
        <w:t>, es decir,</w:t>
      </w:r>
      <w:r w:rsidRPr="00CF5FCA">
        <w:rPr>
          <w:rFonts w:cs="Arial"/>
        </w:rPr>
        <w:t xml:space="preserve"> en el </w:t>
      </w:r>
      <w:r>
        <w:rPr>
          <w:rFonts w:cs="Arial"/>
        </w:rPr>
        <w:t>supuesto</w:t>
      </w:r>
      <w:r w:rsidRPr="00CF5FCA">
        <w:rPr>
          <w:rFonts w:cs="Arial"/>
        </w:rPr>
        <w:t xml:space="preserve"> </w:t>
      </w:r>
      <w:r w:rsidR="00D82FBA">
        <w:rPr>
          <w:rFonts w:cs="Arial"/>
        </w:rPr>
        <w:t xml:space="preserve">de </w:t>
      </w:r>
      <w:r w:rsidRPr="00CF5FCA">
        <w:rPr>
          <w:rFonts w:cs="Arial"/>
        </w:rPr>
        <w:t xml:space="preserve">que </w:t>
      </w:r>
      <w:r>
        <w:rPr>
          <w:rFonts w:cs="Arial"/>
        </w:rPr>
        <w:t>alcance un</w:t>
      </w:r>
      <w:r w:rsidRPr="00CF5FCA">
        <w:rPr>
          <w:rFonts w:cs="Arial"/>
        </w:rPr>
        <w:t xml:space="preserve"> valor negativo, se considerará que su valor </w:t>
      </w:r>
      <w:r>
        <w:rPr>
          <w:rFonts w:cs="Arial"/>
        </w:rPr>
        <w:t>será</w:t>
      </w:r>
      <w:r w:rsidRPr="00CF5FCA">
        <w:rPr>
          <w:rFonts w:cs="Arial"/>
        </w:rPr>
        <w:t xml:space="preserve"> cero</w:t>
      </w:r>
      <w:r>
        <w:rPr>
          <w:rFonts w:cs="Arial"/>
        </w:rPr>
        <w:t>.</w:t>
      </w:r>
    </w:p>
    <w:p w:rsidR="00B63BF3" w:rsidRPr="00C8198B"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C8198B">
        <w:rPr>
          <w:rFonts w:cs="Arial"/>
        </w:rPr>
        <w:t>Devengo y liquidaci</w:t>
      </w:r>
      <w:r>
        <w:rPr>
          <w:rFonts w:cs="Arial"/>
        </w:rPr>
        <w:t>ón de intereses: Los intereses se liquidar</w:t>
      </w:r>
      <w:r w:rsidR="00D82FBA">
        <w:rPr>
          <w:rFonts w:cs="Arial"/>
        </w:rPr>
        <w:t>á</w:t>
      </w:r>
      <w:r>
        <w:rPr>
          <w:rFonts w:cs="Arial"/>
        </w:rPr>
        <w:t>n anualme</w:t>
      </w:r>
      <w:r>
        <w:rPr>
          <w:rFonts w:cs="Arial"/>
        </w:rPr>
        <w:t>n</w:t>
      </w:r>
      <w:r>
        <w:rPr>
          <w:rFonts w:cs="Arial"/>
        </w:rPr>
        <w:t>te, siendo e</w:t>
      </w:r>
      <w:r w:rsidRPr="00C8198B">
        <w:rPr>
          <w:rFonts w:cs="Arial"/>
        </w:rPr>
        <w:t xml:space="preserve">l primer periodo de </w:t>
      </w:r>
      <w:r>
        <w:rPr>
          <w:rFonts w:cs="Arial"/>
        </w:rPr>
        <w:t>liquidación</w:t>
      </w:r>
      <w:r w:rsidRPr="00C8198B">
        <w:rPr>
          <w:rFonts w:cs="Arial"/>
        </w:rPr>
        <w:t xml:space="preserve"> el 31 de diciembre de 2017</w:t>
      </w:r>
      <w:r>
        <w:rPr>
          <w:rFonts w:cs="Arial"/>
        </w:rPr>
        <w:t>.</w:t>
      </w:r>
      <w:r w:rsidRPr="00C8198B">
        <w:rPr>
          <w:rFonts w:cs="Arial"/>
        </w:rPr>
        <w:t xml:space="preserve"> </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C8198B">
        <w:rPr>
          <w:rFonts w:cs="Arial"/>
        </w:rPr>
        <w:t xml:space="preserve">Tipo de interés de demora: </w:t>
      </w:r>
      <w:r>
        <w:rPr>
          <w:rFonts w:cs="Arial"/>
        </w:rPr>
        <w:t>un tipo</w:t>
      </w:r>
      <w:r w:rsidRPr="00C8198B">
        <w:rPr>
          <w:rFonts w:cs="Arial"/>
        </w:rPr>
        <w:t xml:space="preserve"> anual del 15 por ciento</w:t>
      </w:r>
      <w:r>
        <w:rPr>
          <w:rFonts w:cs="Arial"/>
        </w:rPr>
        <w:t>.</w:t>
      </w:r>
    </w:p>
    <w:p w:rsidR="00B63BF3" w:rsidRPr="00660C4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660C41">
        <w:rPr>
          <w:rFonts w:cs="Arial"/>
        </w:rPr>
        <w:t>Supuestos vencimiento anticipado del préstamo: Un total de 11 supuestos, entre los más importantes, destacamos:</w:t>
      </w:r>
    </w:p>
    <w:p w:rsidR="00B63BF3" w:rsidRDefault="00B63BF3" w:rsidP="00B63BF3">
      <w:pPr>
        <w:pStyle w:val="texto"/>
        <w:rPr>
          <w:lang w:eastAsia="es-ES"/>
        </w:rPr>
      </w:pPr>
      <w:r>
        <w:rPr>
          <w:lang w:eastAsia="es-ES"/>
        </w:rPr>
        <w:t>a) Cuando la Sociedad, sus socios o administradores incumplan total o pa</w:t>
      </w:r>
      <w:r>
        <w:rPr>
          <w:lang w:eastAsia="es-ES"/>
        </w:rPr>
        <w:t>r</w:t>
      </w:r>
      <w:r>
        <w:rPr>
          <w:lang w:eastAsia="es-ES"/>
        </w:rPr>
        <w:t xml:space="preserve">cialmente cualquiera de las obligaciones contraídas en virtud del contrato. </w:t>
      </w:r>
    </w:p>
    <w:p w:rsidR="00B63BF3" w:rsidRPr="00A4694F" w:rsidRDefault="00B63BF3" w:rsidP="00B63BF3">
      <w:pPr>
        <w:pStyle w:val="texto"/>
        <w:rPr>
          <w:spacing w:val="0"/>
          <w:lang w:eastAsia="es-ES"/>
        </w:rPr>
      </w:pPr>
      <w:r w:rsidRPr="00A4694F">
        <w:rPr>
          <w:spacing w:val="0"/>
          <w:lang w:eastAsia="es-ES"/>
        </w:rPr>
        <w:t>b) Cuando Davalor no destine el importe del préstamo a la finalidad establecida.</w:t>
      </w:r>
    </w:p>
    <w:p w:rsidR="00B63BF3" w:rsidRDefault="00B63BF3" w:rsidP="00B63BF3">
      <w:pPr>
        <w:pStyle w:val="texto"/>
        <w:rPr>
          <w:lang w:eastAsia="es-ES"/>
        </w:rPr>
      </w:pPr>
      <w:r>
        <w:rPr>
          <w:lang w:eastAsia="es-ES"/>
        </w:rPr>
        <w:t>c) Cuando se comprobase falseamiento, inexactitud o falta de datos de la s</w:t>
      </w:r>
      <w:r>
        <w:rPr>
          <w:lang w:eastAsia="es-ES"/>
        </w:rPr>
        <w:t>o</w:t>
      </w:r>
      <w:r>
        <w:rPr>
          <w:lang w:eastAsia="es-ES"/>
        </w:rPr>
        <w:t>ciedad en las declaraciones del socio principal y/o en los documentos aportados por éste que hubieran servido de base a la concesión del préstamo.</w:t>
      </w:r>
    </w:p>
    <w:p w:rsidR="00B63BF3" w:rsidRDefault="00B63BF3" w:rsidP="00B63BF3">
      <w:pPr>
        <w:pStyle w:val="texto"/>
        <w:rPr>
          <w:lang w:eastAsia="es-ES"/>
        </w:rPr>
      </w:pPr>
      <w:r>
        <w:rPr>
          <w:lang w:eastAsia="es-ES"/>
        </w:rPr>
        <w:t>d) Si para las fechas previstas no se hubiesen cumplido diversas estipulaci</w:t>
      </w:r>
      <w:r>
        <w:rPr>
          <w:lang w:eastAsia="es-ES"/>
        </w:rPr>
        <w:t>o</w:t>
      </w:r>
      <w:r>
        <w:rPr>
          <w:lang w:eastAsia="es-ES"/>
        </w:rPr>
        <w:t xml:space="preserve">nes relativas a aportación de los socios, a compromisos firmes de instalación de las </w:t>
      </w:r>
      <w:proofErr w:type="spellStart"/>
      <w:r>
        <w:rPr>
          <w:lang w:eastAsia="es-ES"/>
        </w:rPr>
        <w:t>EVAs</w:t>
      </w:r>
      <w:proofErr w:type="spellEnd"/>
      <w:r>
        <w:rPr>
          <w:lang w:eastAsia="es-ES"/>
        </w:rPr>
        <w:t xml:space="preserve"> adicionales, </w:t>
      </w:r>
      <w:r w:rsidR="00740034">
        <w:rPr>
          <w:lang w:eastAsia="es-ES"/>
        </w:rPr>
        <w:t xml:space="preserve">a la </w:t>
      </w:r>
      <w:r>
        <w:rPr>
          <w:lang w:eastAsia="es-ES"/>
        </w:rPr>
        <w:t xml:space="preserve">entrega del plan de viabilidad, etc. </w:t>
      </w:r>
    </w:p>
    <w:p w:rsidR="00B63BF3" w:rsidRDefault="00B63BF3" w:rsidP="00B63BF3">
      <w:pPr>
        <w:pStyle w:val="texto"/>
        <w:rPr>
          <w:lang w:eastAsia="es-ES"/>
        </w:rPr>
      </w:pPr>
      <w:r w:rsidRPr="003D0F4A">
        <w:rPr>
          <w:lang w:eastAsia="es-ES"/>
        </w:rPr>
        <w:t>No obstante lo anterior, para neutralizar la concurrencia de causas de venc</w:t>
      </w:r>
      <w:r w:rsidRPr="003D0F4A">
        <w:rPr>
          <w:lang w:eastAsia="es-ES"/>
        </w:rPr>
        <w:t>i</w:t>
      </w:r>
      <w:r w:rsidRPr="003D0F4A">
        <w:rPr>
          <w:lang w:eastAsia="es-ES"/>
        </w:rPr>
        <w:t>miento anticipado también se recoge en el contrato que “</w:t>
      </w:r>
      <w:r w:rsidRPr="004464B0">
        <w:rPr>
          <w:rFonts w:cs="Arial"/>
          <w:i/>
          <w:sz w:val="22"/>
          <w:szCs w:val="22"/>
        </w:rPr>
        <w:t>el no ejercicio por alguna de las Partes de algún derecho que pudiera corresponderles, de acuerdo con el presente Contrato, no se interpretará como renuncia al mismo”</w:t>
      </w:r>
      <w:r>
        <w:rPr>
          <w:rFonts w:cs="Arial"/>
          <w:i/>
          <w:sz w:val="22"/>
          <w:szCs w:val="22"/>
        </w:rP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Sodena tendrá derecho a disponer de la siguiente información, además de la que se fija en el contrato de cogestión:</w:t>
      </w:r>
    </w:p>
    <w:p w:rsidR="00B63BF3" w:rsidRDefault="00B63BF3" w:rsidP="00B63BF3">
      <w:pPr>
        <w:pStyle w:val="texto"/>
        <w:rPr>
          <w:lang w:eastAsia="es-ES"/>
        </w:rPr>
      </w:pPr>
      <w:r>
        <w:rPr>
          <w:lang w:eastAsia="es-ES"/>
        </w:rPr>
        <w:t>a) Las cuentas anuales de la sociedad y, en su caso, el informe de gestión que estarán disponibles en el plazo de tres meses desde el cierre del ejercicio.</w:t>
      </w:r>
    </w:p>
    <w:p w:rsidR="00B63BF3" w:rsidRDefault="00B63BF3" w:rsidP="00B63BF3">
      <w:pPr>
        <w:pStyle w:val="texto"/>
        <w:rPr>
          <w:lang w:eastAsia="es-ES"/>
        </w:rPr>
      </w:pPr>
      <w:r>
        <w:rPr>
          <w:lang w:eastAsia="es-ES"/>
        </w:rPr>
        <w:t>b) Los estados financieros trimestrales de la sociedad.</w:t>
      </w:r>
    </w:p>
    <w:p w:rsidR="00B63BF3" w:rsidRPr="007C5E4F" w:rsidRDefault="00B63BF3" w:rsidP="00B63BF3">
      <w:pPr>
        <w:pStyle w:val="texto"/>
        <w:rPr>
          <w:spacing w:val="4"/>
          <w:lang w:eastAsia="es-ES"/>
        </w:rPr>
      </w:pPr>
      <w:r>
        <w:rPr>
          <w:lang w:eastAsia="es-ES"/>
        </w:rPr>
        <w:t>c)</w:t>
      </w:r>
      <w:r w:rsidRPr="007C5E4F">
        <w:rPr>
          <w:spacing w:val="4"/>
          <w:lang w:eastAsia="es-ES"/>
        </w:rPr>
        <w:t xml:space="preserve"> Las actas de los consejos de administración y las juntas generales de socios.</w:t>
      </w:r>
    </w:p>
    <w:p w:rsidR="00B63BF3" w:rsidRDefault="00B63BF3" w:rsidP="00B63BF3">
      <w:pPr>
        <w:pStyle w:val="texto"/>
        <w:rPr>
          <w:lang w:eastAsia="es-ES"/>
        </w:rPr>
      </w:pPr>
      <w:r>
        <w:rPr>
          <w:lang w:eastAsia="es-ES"/>
        </w:rPr>
        <w:t>d) Los indicadores de gestión.</w:t>
      </w:r>
    </w:p>
    <w:p w:rsidR="00B63BF3" w:rsidRDefault="00B63BF3" w:rsidP="00B63BF3">
      <w:pPr>
        <w:pStyle w:val="texto"/>
        <w:rPr>
          <w:lang w:eastAsia="es-ES"/>
        </w:rPr>
      </w:pPr>
      <w:r>
        <w:rPr>
          <w:lang w:eastAsia="es-ES"/>
        </w:rPr>
        <w:t>e) Los presupuestos anuales.</w:t>
      </w:r>
    </w:p>
    <w:p w:rsidR="00B63BF3" w:rsidRPr="00660C4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rsidRPr="00660C41">
        <w:t>Mantener el domicilio social y la actividad en Navarra:</w:t>
      </w:r>
      <w:r>
        <w:t xml:space="preserve"> El socio principal se compromete a mantener el domicilio social y el “</w:t>
      </w:r>
      <w:r w:rsidRPr="00ED51A1">
        <w:rPr>
          <w:i/>
        </w:rPr>
        <w:t>grueso</w:t>
      </w:r>
      <w:r>
        <w:t>” de la actividad de la sociedad en la Comunidad Foral de Navarra.</w:t>
      </w:r>
    </w:p>
    <w:p w:rsidR="00B63BF3" w:rsidRDefault="00B63BF3" w:rsidP="00B63BF3">
      <w:pPr>
        <w:pStyle w:val="atitulo3"/>
        <w:rPr>
          <w:lang w:eastAsia="es-ES"/>
        </w:rPr>
      </w:pPr>
      <w:r>
        <w:rPr>
          <w:lang w:eastAsia="es-ES"/>
        </w:rPr>
        <w:lastRenderedPageBreak/>
        <w:t>Préstamo de 600.000 euros</w:t>
      </w:r>
    </w:p>
    <w:p w:rsidR="00B63BF3" w:rsidRPr="00C4028E" w:rsidRDefault="00B63BF3" w:rsidP="00B63BF3">
      <w:pPr>
        <w:pStyle w:val="texto"/>
        <w:rPr>
          <w:lang w:eastAsia="es-ES"/>
        </w:rPr>
      </w:pPr>
      <w:r w:rsidRPr="001646DA">
        <w:rPr>
          <w:lang w:eastAsia="es-ES"/>
        </w:rPr>
        <w:t>Una vez verificado que se han cumplido los hitos previstos</w:t>
      </w:r>
      <w:r>
        <w:rPr>
          <w:lang w:eastAsia="es-ES"/>
        </w:rPr>
        <w:t xml:space="preserve"> en el acuerdo de financiación</w:t>
      </w:r>
      <w:r w:rsidRPr="001646DA">
        <w:rPr>
          <w:lang w:eastAsia="es-ES"/>
        </w:rPr>
        <w:t>, el consejo de administración de Sodena autoriza la concesión del pr</w:t>
      </w:r>
      <w:r>
        <w:rPr>
          <w:lang w:eastAsia="es-ES"/>
        </w:rPr>
        <w:t>é</w:t>
      </w:r>
      <w:r w:rsidRPr="001646DA">
        <w:rPr>
          <w:lang w:eastAsia="es-ES"/>
        </w:rPr>
        <w:t>stamo de 600.00</w:t>
      </w:r>
      <w:r>
        <w:rPr>
          <w:lang w:eastAsia="es-ES"/>
        </w:rPr>
        <w:t>0</w:t>
      </w:r>
      <w:r w:rsidRPr="001646DA">
        <w:rPr>
          <w:lang w:eastAsia="es-ES"/>
        </w:rPr>
        <w:t xml:space="preserve"> euros, </w:t>
      </w:r>
      <w:r>
        <w:rPr>
          <w:lang w:eastAsia="es-ES"/>
        </w:rPr>
        <w:t>destacando</w:t>
      </w:r>
      <w:r w:rsidRPr="001646DA">
        <w:rPr>
          <w:lang w:eastAsia="es-ES"/>
        </w:rPr>
        <w:t xml:space="preserve"> las siguientes </w:t>
      </w:r>
      <w:r>
        <w:rPr>
          <w:lang w:eastAsia="es-ES"/>
        </w:rPr>
        <w:t>características</w:t>
      </w:r>
      <w:r w:rsidRPr="001646DA">
        <w:rPr>
          <w:lang w:eastAsia="es-ES"/>
        </w:rPr>
        <w:t>:</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1058D1">
        <w:rPr>
          <w:rFonts w:cs="Arial"/>
        </w:rPr>
        <w:t>Importe:</w:t>
      </w:r>
      <w:r>
        <w:rPr>
          <w:rFonts w:cs="Arial"/>
        </w:rPr>
        <w:t xml:space="preserve"> 600.000 euros.</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1058D1">
        <w:rPr>
          <w:rFonts w:cs="Arial"/>
        </w:rPr>
        <w:t>Fecha firma</w:t>
      </w:r>
      <w:r>
        <w:rPr>
          <w:rFonts w:cs="Arial"/>
        </w:rPr>
        <w:t xml:space="preserve"> del contrato, el</w:t>
      </w:r>
      <w:r w:rsidRPr="001058D1">
        <w:rPr>
          <w:rFonts w:cs="Arial"/>
        </w:rPr>
        <w:t xml:space="preserve"> </w:t>
      </w:r>
      <w:r>
        <w:rPr>
          <w:rFonts w:cs="Arial"/>
        </w:rPr>
        <w:t>24 de enero de 2017.</w:t>
      </w:r>
    </w:p>
    <w:p w:rsidR="00B63BF3" w:rsidRPr="006E7D2E"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Pr>
          <w:rFonts w:cs="Arial"/>
        </w:rPr>
        <w:t>Disposición de los fondos:</w:t>
      </w:r>
      <w:r w:rsidRPr="006E7D2E">
        <w:rPr>
          <w:rFonts w:cs="Arial"/>
        </w:rPr>
        <w:t xml:space="preserve"> El importe del préstamo será puesto a dispos</w:t>
      </w:r>
      <w:r w:rsidRPr="006E7D2E">
        <w:rPr>
          <w:rFonts w:cs="Arial"/>
        </w:rPr>
        <w:t>i</w:t>
      </w:r>
      <w:r w:rsidRPr="006E7D2E">
        <w:rPr>
          <w:rFonts w:cs="Arial"/>
        </w:rPr>
        <w:t>ción de</w:t>
      </w:r>
      <w:r>
        <w:rPr>
          <w:rFonts w:cs="Arial"/>
        </w:rPr>
        <w:t xml:space="preserve"> Davalor</w:t>
      </w:r>
      <w:r w:rsidRPr="006E7D2E">
        <w:rPr>
          <w:rFonts w:cs="Arial"/>
        </w:rPr>
        <w:t xml:space="preserve"> por parte de S</w:t>
      </w:r>
      <w:r>
        <w:rPr>
          <w:rFonts w:cs="Arial"/>
        </w:rPr>
        <w:t>odena en la cuenta bancaria</w:t>
      </w:r>
      <w:r w:rsidRPr="006E7D2E">
        <w:rPr>
          <w:rFonts w:cs="Arial"/>
        </w:rPr>
        <w:t xml:space="preserve"> abierta a nombre de </w:t>
      </w:r>
      <w:r>
        <w:rPr>
          <w:rFonts w:cs="Arial"/>
        </w:rPr>
        <w:t>la firma consultora</w:t>
      </w:r>
      <w:r w:rsidRPr="006E7D2E">
        <w:rPr>
          <w:rFonts w:cs="Arial"/>
        </w:rPr>
        <w:t>, con el fin de facilitar el control de la gestión y de la tesor</w:t>
      </w:r>
      <w:r w:rsidRPr="006E7D2E">
        <w:rPr>
          <w:rFonts w:cs="Arial"/>
        </w:rPr>
        <w:t>e</w:t>
      </w:r>
      <w:r>
        <w:rPr>
          <w:rFonts w:cs="Arial"/>
        </w:rPr>
        <w:t xml:space="preserve">ría </w:t>
      </w:r>
      <w:r w:rsidRPr="006E7D2E">
        <w:rPr>
          <w:rFonts w:cs="Arial"/>
        </w:rPr>
        <w:t xml:space="preserve">que </w:t>
      </w:r>
      <w:r>
        <w:rPr>
          <w:rFonts w:cs="Arial"/>
        </w:rPr>
        <w:t xml:space="preserve">esta última empresa </w:t>
      </w:r>
      <w:r w:rsidRPr="006E7D2E">
        <w:rPr>
          <w:rFonts w:cs="Arial"/>
        </w:rPr>
        <w:t>tiene encomendad</w:t>
      </w:r>
      <w:r>
        <w:rPr>
          <w:rFonts w:cs="Arial"/>
        </w:rPr>
        <w:t>o.</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1058D1">
        <w:rPr>
          <w:rFonts w:cs="Arial"/>
        </w:rPr>
        <w:t>Finalidad: El total importe deberá ser destinado y aplicado, única y excl</w:t>
      </w:r>
      <w:r w:rsidRPr="001058D1">
        <w:rPr>
          <w:rFonts w:cs="Arial"/>
        </w:rPr>
        <w:t>u</w:t>
      </w:r>
      <w:r>
        <w:rPr>
          <w:rFonts w:cs="Arial"/>
        </w:rPr>
        <w:t xml:space="preserve">sivamente, </w:t>
      </w:r>
      <w:r w:rsidRPr="001058D1">
        <w:rPr>
          <w:rFonts w:cs="Arial"/>
        </w:rPr>
        <w:t xml:space="preserve">a los pagos que se detallan en </w:t>
      </w:r>
      <w:r>
        <w:rPr>
          <w:rFonts w:cs="Arial"/>
        </w:rPr>
        <w:t>un</w:t>
      </w:r>
      <w:r w:rsidRPr="001058D1">
        <w:rPr>
          <w:rFonts w:cs="Arial"/>
        </w:rPr>
        <w:t xml:space="preserve"> anexo </w:t>
      </w:r>
      <w:r>
        <w:rPr>
          <w:rFonts w:cs="Arial"/>
        </w:rPr>
        <w:t>del contrato y que hacen r</w:t>
      </w:r>
      <w:r>
        <w:rPr>
          <w:rFonts w:cs="Arial"/>
        </w:rPr>
        <w:t>e</w:t>
      </w:r>
      <w:r>
        <w:rPr>
          <w:rFonts w:cs="Arial"/>
        </w:rPr>
        <w:t>ferencia a</w:t>
      </w:r>
      <w:r w:rsidRPr="001058D1">
        <w:rPr>
          <w:rFonts w:cs="Arial"/>
        </w:rPr>
        <w:t xml:space="preserve"> pagos inmediatos </w:t>
      </w:r>
      <w:r>
        <w:rPr>
          <w:rFonts w:cs="Arial"/>
        </w:rPr>
        <w:t>a proveedores, nómina de diciembre de 2016, seg</w:t>
      </w:r>
      <w:r>
        <w:rPr>
          <w:rFonts w:cs="Arial"/>
        </w:rPr>
        <w:t>u</w:t>
      </w:r>
      <w:r>
        <w:rPr>
          <w:rFonts w:cs="Arial"/>
        </w:rPr>
        <w:t>ridad social y retenciones de IRPF.</w:t>
      </w:r>
      <w:r w:rsidRPr="001058D1">
        <w:rPr>
          <w:rFonts w:cs="Arial"/>
        </w:rPr>
        <w:t xml:space="preserve"> </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Pr>
          <w:rFonts w:cs="Arial"/>
        </w:rPr>
        <w:t>Vigencia</w:t>
      </w:r>
      <w:r w:rsidRPr="001058D1">
        <w:rPr>
          <w:rFonts w:cs="Arial"/>
        </w:rPr>
        <w:t xml:space="preserve">: </w:t>
      </w:r>
      <w:r>
        <w:rPr>
          <w:rFonts w:cs="Arial"/>
        </w:rPr>
        <w:t>Su fecha de v</w:t>
      </w:r>
      <w:r w:rsidRPr="001058D1">
        <w:rPr>
          <w:rFonts w:cs="Arial"/>
        </w:rPr>
        <w:t>encimiento</w:t>
      </w:r>
      <w:r>
        <w:rPr>
          <w:rFonts w:cs="Arial"/>
        </w:rPr>
        <w:t xml:space="preserve"> es el</w:t>
      </w:r>
      <w:r w:rsidRPr="001058D1">
        <w:rPr>
          <w:rFonts w:cs="Arial"/>
        </w:rPr>
        <w:t xml:space="preserve"> 9 de diciembre de 2019</w:t>
      </w:r>
      <w:r>
        <w:rPr>
          <w:rFonts w:cs="Arial"/>
        </w:rPr>
        <w:t>.</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Pr>
          <w:rFonts w:cs="Arial"/>
        </w:rPr>
        <w:t>Sistema de amortización del principal</w:t>
      </w:r>
      <w:r w:rsidRPr="001058D1">
        <w:rPr>
          <w:rFonts w:cs="Arial"/>
        </w:rPr>
        <w:t xml:space="preserve">: La </w:t>
      </w:r>
      <w:r>
        <w:rPr>
          <w:rFonts w:cs="Arial"/>
        </w:rPr>
        <w:t>s</w:t>
      </w:r>
      <w:r w:rsidRPr="001058D1">
        <w:rPr>
          <w:rFonts w:cs="Arial"/>
        </w:rPr>
        <w:t>ociedad deberá amortizar y d</w:t>
      </w:r>
      <w:r w:rsidRPr="001058D1">
        <w:rPr>
          <w:rFonts w:cs="Arial"/>
        </w:rPr>
        <w:t>e</w:t>
      </w:r>
      <w:r w:rsidRPr="001058D1">
        <w:rPr>
          <w:rFonts w:cs="Arial"/>
        </w:rPr>
        <w:t xml:space="preserve">volver el principal del préstamo en una sola </w:t>
      </w:r>
      <w:r>
        <w:rPr>
          <w:rFonts w:cs="Arial"/>
        </w:rPr>
        <w:t>cuota</w:t>
      </w:r>
      <w:r w:rsidRPr="001058D1">
        <w:rPr>
          <w:rFonts w:cs="Arial"/>
        </w:rPr>
        <w:t xml:space="preserve"> en la</w:t>
      </w:r>
      <w:r>
        <w:rPr>
          <w:rFonts w:cs="Arial"/>
        </w:rPr>
        <w:t xml:space="preserve"> precitada</w:t>
      </w:r>
      <w:r w:rsidRPr="001058D1">
        <w:rPr>
          <w:rFonts w:cs="Arial"/>
        </w:rPr>
        <w:t xml:space="preserve"> fecha de ve</w:t>
      </w:r>
      <w:r w:rsidRPr="001058D1">
        <w:rPr>
          <w:rFonts w:cs="Arial"/>
        </w:rPr>
        <w:t>n</w:t>
      </w:r>
      <w:r w:rsidRPr="001058D1">
        <w:rPr>
          <w:rFonts w:cs="Arial"/>
        </w:rPr>
        <w:t>cimiento</w:t>
      </w:r>
      <w:r>
        <w:rPr>
          <w:rFonts w:cs="Arial"/>
        </w:rPr>
        <w:t>.</w:t>
      </w:r>
    </w:p>
    <w:p w:rsidR="00B63BF3" w:rsidRPr="00CF5FCA"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1058D1">
        <w:rPr>
          <w:rFonts w:cs="Arial"/>
        </w:rPr>
        <w:t xml:space="preserve">Tipos de interés: </w:t>
      </w:r>
      <w:r w:rsidRPr="00CF5FCA">
        <w:rPr>
          <w:rFonts w:cs="Arial"/>
        </w:rPr>
        <w:t>El tipo de interés aplicable en cada período se calculará por S</w:t>
      </w:r>
      <w:r>
        <w:rPr>
          <w:rFonts w:cs="Arial"/>
        </w:rPr>
        <w:t>odena</w:t>
      </w:r>
      <w:r w:rsidRPr="00CF5FCA">
        <w:rPr>
          <w:rFonts w:cs="Arial"/>
        </w:rPr>
        <w:t xml:space="preserve"> mediante la adi</w:t>
      </w:r>
      <w:r>
        <w:rPr>
          <w:rFonts w:cs="Arial"/>
        </w:rPr>
        <w:t>ción de un diferencial del cinco por ciento al</w:t>
      </w:r>
      <w:r w:rsidRPr="00CF5FCA">
        <w:rPr>
          <w:rFonts w:cs="Arial"/>
        </w:rPr>
        <w:t xml:space="preserve"> </w:t>
      </w:r>
      <w:r>
        <w:rPr>
          <w:rFonts w:cs="Arial"/>
        </w:rPr>
        <w:t>Eur</w:t>
      </w:r>
      <w:r>
        <w:rPr>
          <w:rFonts w:cs="Arial"/>
        </w:rPr>
        <w:t>i</w:t>
      </w:r>
      <w:r>
        <w:rPr>
          <w:rFonts w:cs="Arial"/>
        </w:rPr>
        <w:t>bor a 12 meses; e</w:t>
      </w:r>
      <w:r w:rsidRPr="00CF5FCA">
        <w:rPr>
          <w:rFonts w:cs="Arial"/>
        </w:rPr>
        <w:t>l tipo de interés aplicable al primer periodo será de</w:t>
      </w:r>
      <w:r>
        <w:rPr>
          <w:rFonts w:cs="Arial"/>
        </w:rPr>
        <w:t xml:space="preserve">l cinco por ciento anual. No se considerará un euribor </w:t>
      </w:r>
      <w:r w:rsidRPr="00CF5FCA">
        <w:rPr>
          <w:rFonts w:cs="Arial"/>
        </w:rPr>
        <w:t>inferior a cero</w:t>
      </w:r>
      <w:r>
        <w:rPr>
          <w:rFonts w:cs="Arial"/>
        </w:rPr>
        <w:t>, es decir,</w:t>
      </w:r>
      <w:r w:rsidRPr="00CF5FCA">
        <w:rPr>
          <w:rFonts w:cs="Arial"/>
        </w:rPr>
        <w:t xml:space="preserve"> en el </w:t>
      </w:r>
      <w:r>
        <w:rPr>
          <w:rFonts w:cs="Arial"/>
        </w:rPr>
        <w:t>s</w:t>
      </w:r>
      <w:r>
        <w:rPr>
          <w:rFonts w:cs="Arial"/>
        </w:rPr>
        <w:t>u</w:t>
      </w:r>
      <w:r>
        <w:rPr>
          <w:rFonts w:cs="Arial"/>
        </w:rPr>
        <w:t>puesto</w:t>
      </w:r>
      <w:r w:rsidRPr="00CF5FCA">
        <w:rPr>
          <w:rFonts w:cs="Arial"/>
        </w:rPr>
        <w:t xml:space="preserve"> </w:t>
      </w:r>
      <w:r w:rsidR="00740034">
        <w:rPr>
          <w:rFonts w:cs="Arial"/>
        </w:rPr>
        <w:t xml:space="preserve">de </w:t>
      </w:r>
      <w:r w:rsidRPr="00CF5FCA">
        <w:rPr>
          <w:rFonts w:cs="Arial"/>
        </w:rPr>
        <w:t xml:space="preserve">que </w:t>
      </w:r>
      <w:r>
        <w:rPr>
          <w:rFonts w:cs="Arial"/>
        </w:rPr>
        <w:t>alcance un</w:t>
      </w:r>
      <w:r w:rsidRPr="00CF5FCA">
        <w:rPr>
          <w:rFonts w:cs="Arial"/>
        </w:rPr>
        <w:t xml:space="preserve"> valor negativo, se considerará que su valor </w:t>
      </w:r>
      <w:r>
        <w:rPr>
          <w:rFonts w:cs="Arial"/>
        </w:rPr>
        <w:t>será</w:t>
      </w:r>
      <w:r w:rsidRPr="00CF5FCA">
        <w:rPr>
          <w:rFonts w:cs="Arial"/>
        </w:rPr>
        <w:t xml:space="preserve"> cero</w:t>
      </w:r>
      <w:r>
        <w:rPr>
          <w:rFonts w:cs="Arial"/>
        </w:rPr>
        <w:t>.</w:t>
      </w:r>
    </w:p>
    <w:p w:rsidR="00B63BF3" w:rsidRPr="00C8198B"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C8198B">
        <w:rPr>
          <w:rFonts w:cs="Arial"/>
        </w:rPr>
        <w:t>Devengo y liquidaci</w:t>
      </w:r>
      <w:r>
        <w:rPr>
          <w:rFonts w:cs="Arial"/>
        </w:rPr>
        <w:t>ón de intereses: Los intereses se liquidaran anualme</w:t>
      </w:r>
      <w:r>
        <w:rPr>
          <w:rFonts w:cs="Arial"/>
        </w:rPr>
        <w:t>n</w:t>
      </w:r>
      <w:r>
        <w:rPr>
          <w:rFonts w:cs="Arial"/>
        </w:rPr>
        <w:t>te, siendo e</w:t>
      </w:r>
      <w:r w:rsidRPr="00C8198B">
        <w:rPr>
          <w:rFonts w:cs="Arial"/>
        </w:rPr>
        <w:t xml:space="preserve">l primer periodo de </w:t>
      </w:r>
      <w:r>
        <w:rPr>
          <w:rFonts w:cs="Arial"/>
        </w:rPr>
        <w:t>liquidación</w:t>
      </w:r>
      <w:r w:rsidRPr="00C8198B">
        <w:rPr>
          <w:rFonts w:cs="Arial"/>
        </w:rPr>
        <w:t xml:space="preserve"> el 31 de diciembre de 2017</w:t>
      </w:r>
      <w:r>
        <w:rPr>
          <w:rFonts w:cs="Arial"/>
        </w:rPr>
        <w:t>.</w:t>
      </w:r>
      <w:r w:rsidRPr="00C8198B">
        <w:rPr>
          <w:rFonts w:cs="Arial"/>
        </w:rPr>
        <w:t xml:space="preserve"> </w:t>
      </w:r>
    </w:p>
    <w:p w:rsidR="00B63BF3" w:rsidRPr="0076275D"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C8198B">
        <w:rPr>
          <w:rFonts w:cs="Arial"/>
        </w:rPr>
        <w:t xml:space="preserve">Tipo de interés de demora: </w:t>
      </w:r>
      <w:r>
        <w:rPr>
          <w:rFonts w:cs="Arial"/>
        </w:rPr>
        <w:t>un tipo</w:t>
      </w:r>
      <w:r w:rsidRPr="00C8198B">
        <w:rPr>
          <w:rFonts w:cs="Arial"/>
        </w:rPr>
        <w:t xml:space="preserve"> anual del 15 por ciento</w:t>
      </w:r>
      <w:r>
        <w:rPr>
          <w:rFonts w:cs="Arial"/>
        </w:rP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sidRPr="006E7D2E">
        <w:rPr>
          <w:rFonts w:cs="Arial"/>
        </w:rPr>
        <w:t xml:space="preserve">Extensión de la </w:t>
      </w:r>
      <w:r>
        <w:rPr>
          <w:rFonts w:cs="Arial"/>
        </w:rPr>
        <w:t>p</w:t>
      </w:r>
      <w:r w:rsidRPr="006E7D2E">
        <w:rPr>
          <w:rFonts w:cs="Arial"/>
        </w:rPr>
        <w:t xml:space="preserve">renda: En consonancia con lo dispuesto en el </w:t>
      </w:r>
      <w:r>
        <w:rPr>
          <w:rFonts w:cs="Arial"/>
        </w:rPr>
        <w:t>c</w:t>
      </w:r>
      <w:r w:rsidRPr="006E7D2E">
        <w:rPr>
          <w:rFonts w:cs="Arial"/>
        </w:rPr>
        <w:t xml:space="preserve">ontrato, las </w:t>
      </w:r>
      <w:r>
        <w:rPr>
          <w:rFonts w:cs="Arial"/>
        </w:rPr>
        <w:t>p</w:t>
      </w:r>
      <w:r w:rsidRPr="006E7D2E">
        <w:rPr>
          <w:rFonts w:cs="Arial"/>
        </w:rPr>
        <w:t xml:space="preserve">artes declaran y aceptan la extensión de la garantía prendaria </w:t>
      </w:r>
      <w:r>
        <w:rPr>
          <w:rFonts w:cs="Arial"/>
        </w:rPr>
        <w:t>sobre las partic</w:t>
      </w:r>
      <w:r>
        <w:rPr>
          <w:rFonts w:cs="Arial"/>
        </w:rPr>
        <w:t>i</w:t>
      </w:r>
      <w:r>
        <w:rPr>
          <w:rFonts w:cs="Arial"/>
        </w:rPr>
        <w:t xml:space="preserve">paciones del socio principal </w:t>
      </w:r>
      <w:r w:rsidRPr="006E7D2E">
        <w:rPr>
          <w:rFonts w:cs="Arial"/>
        </w:rPr>
        <w:t>a todas las obligaciones derivadas de la concesión del presente préstamo.</w:t>
      </w:r>
    </w:p>
    <w:p w:rsidR="00B63BF3" w:rsidRPr="006E7D2E"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rPr>
          <w:rFonts w:cs="Arial"/>
        </w:rPr>
        <w:t>Como compromisos adicionales se establecen:</w:t>
      </w:r>
    </w:p>
    <w:p w:rsidR="00B63BF3" w:rsidRPr="00A0206C" w:rsidRDefault="00B63BF3" w:rsidP="00B63BF3">
      <w:pPr>
        <w:pStyle w:val="texto"/>
        <w:rPr>
          <w:lang w:eastAsia="es-ES"/>
        </w:rPr>
      </w:pPr>
      <w:r>
        <w:rPr>
          <w:lang w:eastAsia="es-ES"/>
        </w:rPr>
        <w:t>a) Davalor</w:t>
      </w:r>
      <w:r w:rsidRPr="00A0206C">
        <w:rPr>
          <w:lang w:eastAsia="es-ES"/>
        </w:rPr>
        <w:t xml:space="preserve"> se compromete y obliga a no trasladar su centro efectivo de d</w:t>
      </w:r>
      <w:r w:rsidRPr="00A0206C">
        <w:rPr>
          <w:lang w:eastAsia="es-ES"/>
        </w:rPr>
        <w:t>i</w:t>
      </w:r>
      <w:r w:rsidRPr="00A0206C">
        <w:rPr>
          <w:lang w:eastAsia="es-ES"/>
        </w:rPr>
        <w:t>rección/decisión ni sus departamentos de Ingeniería de Producto, de Videoju</w:t>
      </w:r>
      <w:r w:rsidRPr="00A0206C">
        <w:rPr>
          <w:lang w:eastAsia="es-ES"/>
        </w:rPr>
        <w:t>e</w:t>
      </w:r>
      <w:r w:rsidRPr="00A0206C">
        <w:rPr>
          <w:lang w:eastAsia="es-ES"/>
        </w:rPr>
        <w:t xml:space="preserve">gos, de Sistemas ni de Calidad actualmente ubicados en la Comunidad Foral de Navarra, fuera de la misma. </w:t>
      </w:r>
    </w:p>
    <w:p w:rsidR="00B63BF3" w:rsidRDefault="00B63BF3" w:rsidP="00B63BF3">
      <w:pPr>
        <w:pStyle w:val="texto"/>
        <w:rPr>
          <w:lang w:eastAsia="es-ES"/>
        </w:rPr>
      </w:pPr>
      <w:r>
        <w:rPr>
          <w:lang w:eastAsia="es-ES"/>
        </w:rPr>
        <w:lastRenderedPageBreak/>
        <w:t xml:space="preserve">b) </w:t>
      </w:r>
      <w:r w:rsidRPr="00A0206C">
        <w:rPr>
          <w:lang w:eastAsia="es-ES"/>
        </w:rPr>
        <w:t xml:space="preserve">Durante toda la vigencia del </w:t>
      </w:r>
      <w:r>
        <w:rPr>
          <w:lang w:eastAsia="es-ES"/>
        </w:rPr>
        <w:t>c</w:t>
      </w:r>
      <w:r w:rsidRPr="00A0206C">
        <w:rPr>
          <w:lang w:eastAsia="es-ES"/>
        </w:rPr>
        <w:t>ontrato y con carácter adicional a las obl</w:t>
      </w:r>
      <w:r w:rsidRPr="00A0206C">
        <w:rPr>
          <w:lang w:eastAsia="es-ES"/>
        </w:rPr>
        <w:t>i</w:t>
      </w:r>
      <w:r w:rsidRPr="00A0206C">
        <w:rPr>
          <w:lang w:eastAsia="es-ES"/>
        </w:rPr>
        <w:t xml:space="preserve">gaciones de información asumidas por parte de la </w:t>
      </w:r>
      <w:r>
        <w:rPr>
          <w:lang w:eastAsia="es-ES"/>
        </w:rPr>
        <w:t>s</w:t>
      </w:r>
      <w:r w:rsidRPr="00A0206C">
        <w:rPr>
          <w:lang w:eastAsia="es-ES"/>
        </w:rPr>
        <w:t xml:space="preserve">ociedad y del </w:t>
      </w:r>
      <w:r>
        <w:rPr>
          <w:lang w:eastAsia="es-ES"/>
        </w:rPr>
        <w:t>s</w:t>
      </w:r>
      <w:r w:rsidRPr="00A0206C">
        <w:rPr>
          <w:lang w:eastAsia="es-ES"/>
        </w:rPr>
        <w:t xml:space="preserve">ocio </w:t>
      </w:r>
      <w:r>
        <w:rPr>
          <w:lang w:eastAsia="es-ES"/>
        </w:rPr>
        <w:t>p</w:t>
      </w:r>
      <w:r w:rsidRPr="00A0206C">
        <w:rPr>
          <w:lang w:eastAsia="es-ES"/>
        </w:rPr>
        <w:t>rincipal en virtud del mismo, D</w:t>
      </w:r>
      <w:r>
        <w:rPr>
          <w:lang w:eastAsia="es-ES"/>
        </w:rPr>
        <w:t>avalor</w:t>
      </w:r>
      <w:r w:rsidRPr="00A0206C">
        <w:rPr>
          <w:lang w:eastAsia="es-ES"/>
        </w:rPr>
        <w:t xml:space="preserve"> deberá enviar a S</w:t>
      </w:r>
      <w:r>
        <w:rPr>
          <w:lang w:eastAsia="es-ES"/>
        </w:rPr>
        <w:t>odena</w:t>
      </w:r>
      <w:r w:rsidRPr="00A0206C">
        <w:rPr>
          <w:lang w:eastAsia="es-ES"/>
        </w:rPr>
        <w:t xml:space="preserve"> con carácter quincenal un informe en el que se describa detalladamente cualquier incidencia técnica o h</w:t>
      </w:r>
      <w:r w:rsidRPr="00A0206C">
        <w:rPr>
          <w:lang w:eastAsia="es-ES"/>
        </w:rPr>
        <w:t>e</w:t>
      </w:r>
      <w:r w:rsidRPr="00A0206C">
        <w:rPr>
          <w:lang w:eastAsia="es-ES"/>
        </w:rPr>
        <w:t xml:space="preserve">cho relevante que se produzca en relación a la EVA instalada en Tudela o a cualesquiera otras </w:t>
      </w:r>
      <w:proofErr w:type="spellStart"/>
      <w:r w:rsidRPr="00A0206C">
        <w:rPr>
          <w:lang w:eastAsia="es-ES"/>
        </w:rPr>
        <w:t>EVAs</w:t>
      </w:r>
      <w:proofErr w:type="spellEnd"/>
      <w:r w:rsidRPr="00A0206C">
        <w:rPr>
          <w:lang w:eastAsia="es-ES"/>
        </w:rPr>
        <w:t xml:space="preserve"> que sean instaladas por la </w:t>
      </w:r>
      <w:r>
        <w:rPr>
          <w:lang w:eastAsia="es-ES"/>
        </w:rPr>
        <w:t>s</w:t>
      </w:r>
      <w:r w:rsidRPr="00A0206C">
        <w:rPr>
          <w:lang w:eastAsia="es-ES"/>
        </w:rPr>
        <w:t xml:space="preserve">ociedad. </w:t>
      </w:r>
    </w:p>
    <w:p w:rsidR="00B63BF3" w:rsidRPr="00D82FBA" w:rsidRDefault="00B63BF3" w:rsidP="00796E04">
      <w:pPr>
        <w:pStyle w:val="texto"/>
        <w:rPr>
          <w:spacing w:val="2"/>
          <w:lang w:eastAsia="es-ES"/>
        </w:rPr>
      </w:pPr>
      <w:r>
        <w:rPr>
          <w:lang w:eastAsia="es-ES"/>
        </w:rPr>
        <w:t xml:space="preserve">c) </w:t>
      </w:r>
      <w:r w:rsidRPr="00A0206C">
        <w:rPr>
          <w:lang w:eastAsia="es-ES"/>
        </w:rPr>
        <w:t>Igualmente S</w:t>
      </w:r>
      <w:r>
        <w:rPr>
          <w:lang w:eastAsia="es-ES"/>
        </w:rPr>
        <w:t>odena</w:t>
      </w:r>
      <w:r w:rsidRPr="00A0206C">
        <w:rPr>
          <w:lang w:eastAsia="es-ES"/>
        </w:rPr>
        <w:t>, como parte del seguimiento a efectuar sobre el cu</w:t>
      </w:r>
      <w:r w:rsidRPr="00A0206C">
        <w:rPr>
          <w:lang w:eastAsia="es-ES"/>
        </w:rPr>
        <w:t>m</w:t>
      </w:r>
      <w:r w:rsidRPr="00A0206C">
        <w:rPr>
          <w:lang w:eastAsia="es-ES"/>
        </w:rPr>
        <w:t xml:space="preserve">plimiento de las actuaciones a llevar a cabo según lo establecido en el </w:t>
      </w:r>
      <w:r>
        <w:rPr>
          <w:lang w:eastAsia="es-ES"/>
        </w:rPr>
        <w:t>plan</w:t>
      </w:r>
      <w:r w:rsidRPr="00A0206C">
        <w:rPr>
          <w:lang w:eastAsia="es-ES"/>
        </w:rPr>
        <w:t xml:space="preserve">, tendrá derecho a designar </w:t>
      </w:r>
      <w:r w:rsidR="00D82FBA">
        <w:rPr>
          <w:lang w:eastAsia="es-ES"/>
        </w:rPr>
        <w:t>a</w:t>
      </w:r>
      <w:r w:rsidR="00D82FBA" w:rsidRPr="0040225B">
        <w:rPr>
          <w:lang w:eastAsia="es-ES"/>
        </w:rPr>
        <w:t xml:space="preserve"> </w:t>
      </w:r>
      <w:r w:rsidRPr="0040225B">
        <w:rPr>
          <w:lang w:eastAsia="es-ES"/>
        </w:rPr>
        <w:t xml:space="preserve">un profesional que realice un seguimiento técnico del proyecto y, en su caso, de las incidencias y </w:t>
      </w:r>
      <w:r w:rsidR="0040225B" w:rsidRPr="0040225B">
        <w:rPr>
          <w:lang w:eastAsia="es-ES"/>
        </w:rPr>
        <w:t xml:space="preserve">retrasos, así como de los </w:t>
      </w:r>
      <w:r w:rsidRPr="0040225B">
        <w:rPr>
          <w:lang w:eastAsia="es-ES"/>
        </w:rPr>
        <w:t>info</w:t>
      </w:r>
      <w:r w:rsidRPr="0040225B">
        <w:rPr>
          <w:lang w:eastAsia="es-ES"/>
        </w:rPr>
        <w:t>r</w:t>
      </w:r>
      <w:r w:rsidRPr="0040225B">
        <w:rPr>
          <w:lang w:eastAsia="es-ES"/>
        </w:rPr>
        <w:t>mes</w:t>
      </w:r>
      <w:r w:rsidR="0040225B" w:rsidRPr="0040225B">
        <w:rPr>
          <w:lang w:eastAsia="es-ES"/>
        </w:rPr>
        <w:t xml:space="preserve"> citados en la letra b)</w:t>
      </w:r>
      <w:r w:rsidRPr="0040225B">
        <w:rPr>
          <w:lang w:eastAsia="es-ES"/>
        </w:rPr>
        <w:t>. A est</w:t>
      </w:r>
      <w:r w:rsidRPr="00BF06DB">
        <w:rPr>
          <w:lang w:eastAsia="es-ES"/>
        </w:rPr>
        <w:t>os efectos, la sociedad y el socio principal se comprometen y obligan a facilitar y favorecer la labor del referido técnico, permitiéndole exa</w:t>
      </w:r>
      <w:r w:rsidRPr="00A0206C">
        <w:rPr>
          <w:lang w:eastAsia="es-ES"/>
        </w:rPr>
        <w:t xml:space="preserve">minar in situ las </w:t>
      </w:r>
      <w:proofErr w:type="spellStart"/>
      <w:r w:rsidRPr="00A0206C">
        <w:rPr>
          <w:lang w:eastAsia="es-ES"/>
        </w:rPr>
        <w:t>EVAs</w:t>
      </w:r>
      <w:proofErr w:type="spellEnd"/>
      <w:r w:rsidRPr="00A0206C">
        <w:rPr>
          <w:lang w:eastAsia="es-ES"/>
        </w:rPr>
        <w:t xml:space="preserve"> instaladas y entregándole toda la d</w:t>
      </w:r>
      <w:r w:rsidRPr="00A0206C">
        <w:rPr>
          <w:lang w:eastAsia="es-ES"/>
        </w:rPr>
        <w:t>o</w:t>
      </w:r>
      <w:r w:rsidRPr="00A0206C">
        <w:rPr>
          <w:lang w:eastAsia="es-ES"/>
        </w:rPr>
        <w:t>cumentación y/o información que éste solicite a los efectos de realizar el ref</w:t>
      </w:r>
      <w:r w:rsidRPr="00A0206C">
        <w:rPr>
          <w:lang w:eastAsia="es-ES"/>
        </w:rPr>
        <w:t>e</w:t>
      </w:r>
      <w:r w:rsidRPr="00A0206C">
        <w:rPr>
          <w:lang w:eastAsia="es-ES"/>
        </w:rPr>
        <w:t xml:space="preserve">rido seguimiento. </w:t>
      </w:r>
      <w:r>
        <w:rPr>
          <w:lang w:eastAsia="es-ES"/>
        </w:rPr>
        <w:t>Sodena</w:t>
      </w:r>
      <w:r w:rsidRPr="00A0206C">
        <w:rPr>
          <w:lang w:eastAsia="es-ES"/>
        </w:rPr>
        <w:t xml:space="preserve"> contratará al profesional que considere conveniente en su propio no</w:t>
      </w:r>
      <w:r>
        <w:rPr>
          <w:lang w:eastAsia="es-ES"/>
        </w:rPr>
        <w:t>mbre, pudiendo repercutir a la s</w:t>
      </w:r>
      <w:r w:rsidRPr="00A0206C">
        <w:rPr>
          <w:lang w:eastAsia="es-ES"/>
        </w:rPr>
        <w:t>ociedad los costes que dicha prestación de servicios le ocasione</w:t>
      </w:r>
      <w:r>
        <w:rPr>
          <w:lang w:eastAsia="es-ES"/>
        </w:rPr>
        <w:t xml:space="preserve">. </w:t>
      </w:r>
      <w:r w:rsidRPr="00D82FBA">
        <w:rPr>
          <w:spacing w:val="2"/>
          <w:lang w:eastAsia="es-ES"/>
        </w:rPr>
        <w:t>Resultado de esta última previsión, el 8 de febrero de 2017 Sodena contrata a un profesional externo para una duración pr</w:t>
      </w:r>
      <w:r w:rsidRPr="00D82FBA">
        <w:rPr>
          <w:spacing w:val="2"/>
          <w:lang w:eastAsia="es-ES"/>
        </w:rPr>
        <w:t>e</w:t>
      </w:r>
      <w:r w:rsidRPr="00D82FBA">
        <w:rPr>
          <w:spacing w:val="2"/>
          <w:lang w:eastAsia="es-ES"/>
        </w:rPr>
        <w:t>vista de dos meses.</w:t>
      </w:r>
    </w:p>
    <w:p w:rsidR="00B63BF3" w:rsidRDefault="00B63BF3" w:rsidP="00B63BF3">
      <w:pPr>
        <w:pStyle w:val="texto"/>
        <w:tabs>
          <w:tab w:val="left" w:pos="708"/>
        </w:tabs>
        <w:spacing w:after="0"/>
        <w:rPr>
          <w:szCs w:val="26"/>
        </w:rPr>
      </w:pPr>
      <w:r>
        <w:rPr>
          <w:szCs w:val="26"/>
        </w:rPr>
        <w:t>Informe que se emite a propuesta del auditor Ignacio Cabeza Del Salvador, responsable de la realización de este trabajo, una vez cumplimentados los tr</w:t>
      </w:r>
      <w:r>
        <w:rPr>
          <w:szCs w:val="26"/>
        </w:rPr>
        <w:t>á</w:t>
      </w:r>
      <w:r>
        <w:rPr>
          <w:szCs w:val="26"/>
        </w:rPr>
        <w:t>mites previstos por la normativa vigente.</w:t>
      </w:r>
    </w:p>
    <w:p w:rsidR="00B63BF3" w:rsidRDefault="00B63BF3" w:rsidP="00B63BF3">
      <w:pPr>
        <w:spacing w:after="0"/>
        <w:ind w:firstLine="0"/>
        <w:jc w:val="center"/>
        <w:rPr>
          <w:sz w:val="26"/>
          <w:szCs w:val="26"/>
          <w:lang w:val="es-ES"/>
        </w:rPr>
      </w:pPr>
    </w:p>
    <w:p w:rsidR="00B63BF3" w:rsidRDefault="00B63BF3" w:rsidP="00B63BF3">
      <w:pPr>
        <w:pStyle w:val="texto"/>
        <w:tabs>
          <w:tab w:val="clear" w:pos="2835"/>
          <w:tab w:val="clear" w:pos="3969"/>
          <w:tab w:val="clear" w:pos="5103"/>
          <w:tab w:val="clear" w:pos="6237"/>
          <w:tab w:val="clear" w:pos="7371"/>
        </w:tabs>
        <w:jc w:val="center"/>
        <w:rPr>
          <w:rFonts w:eastAsia="Calibri"/>
          <w:szCs w:val="26"/>
          <w:lang w:eastAsia="es-ES"/>
        </w:rPr>
      </w:pPr>
      <w:r>
        <w:rPr>
          <w:rFonts w:eastAsia="Calibri"/>
          <w:szCs w:val="26"/>
          <w:lang w:eastAsia="es-ES"/>
        </w:rPr>
        <w:t xml:space="preserve">Pamplona, </w:t>
      </w:r>
      <w:r w:rsidR="0098415C">
        <w:rPr>
          <w:rFonts w:eastAsia="Calibri"/>
          <w:szCs w:val="26"/>
          <w:lang w:eastAsia="es-ES"/>
        </w:rPr>
        <w:t>2</w:t>
      </w:r>
      <w:r w:rsidR="0021608E">
        <w:rPr>
          <w:rFonts w:eastAsia="Calibri"/>
          <w:szCs w:val="26"/>
          <w:lang w:eastAsia="es-ES"/>
        </w:rPr>
        <w:t>4</w:t>
      </w:r>
      <w:r>
        <w:rPr>
          <w:rFonts w:eastAsia="Calibri"/>
          <w:szCs w:val="26"/>
          <w:lang w:eastAsia="es-ES"/>
        </w:rPr>
        <w:t xml:space="preserve"> de mayo de 2017</w:t>
      </w:r>
    </w:p>
    <w:p w:rsidR="00B63BF3" w:rsidRDefault="00B63BF3" w:rsidP="00B63BF3">
      <w:pPr>
        <w:pStyle w:val="texto"/>
        <w:tabs>
          <w:tab w:val="clear" w:pos="2835"/>
          <w:tab w:val="clear" w:pos="3969"/>
          <w:tab w:val="clear" w:pos="5103"/>
          <w:tab w:val="clear" w:pos="6237"/>
          <w:tab w:val="clear" w:pos="7371"/>
        </w:tabs>
        <w:jc w:val="center"/>
        <w:rPr>
          <w:rFonts w:eastAsia="Calibri"/>
          <w:szCs w:val="26"/>
          <w:lang w:eastAsia="es-ES"/>
        </w:rPr>
      </w:pPr>
      <w:r>
        <w:rPr>
          <w:rFonts w:eastAsia="Calibri"/>
          <w:szCs w:val="26"/>
          <w:lang w:eastAsia="es-ES"/>
        </w:rPr>
        <w:t>La presidenta,</w:t>
      </w:r>
    </w:p>
    <w:p w:rsidR="00DF7305" w:rsidRDefault="00B63BF3" w:rsidP="00B63BF3">
      <w:pPr>
        <w:pStyle w:val="texto"/>
        <w:tabs>
          <w:tab w:val="clear" w:pos="2835"/>
          <w:tab w:val="clear" w:pos="3969"/>
          <w:tab w:val="clear" w:pos="5103"/>
          <w:tab w:val="clear" w:pos="6237"/>
          <w:tab w:val="clear" w:pos="7371"/>
        </w:tabs>
        <w:jc w:val="center"/>
        <w:rPr>
          <w:rFonts w:eastAsia="Calibri"/>
          <w:szCs w:val="26"/>
          <w:lang w:eastAsia="es-ES"/>
        </w:rPr>
      </w:pPr>
      <w:r>
        <w:rPr>
          <w:rFonts w:eastAsia="Calibri"/>
          <w:szCs w:val="26"/>
          <w:lang w:eastAsia="es-ES"/>
        </w:rPr>
        <w:t>Asunción Olaechea Estanga</w:t>
      </w:r>
    </w:p>
    <w:p w:rsidR="00DF7305" w:rsidRDefault="00DF7305">
      <w:pPr>
        <w:spacing w:after="0"/>
        <w:ind w:firstLine="0"/>
        <w:jc w:val="left"/>
        <w:rPr>
          <w:rFonts w:eastAsia="Calibri"/>
          <w:spacing w:val="6"/>
          <w:sz w:val="26"/>
          <w:szCs w:val="26"/>
          <w:lang w:eastAsia="es-ES"/>
        </w:rPr>
      </w:pPr>
      <w:r>
        <w:rPr>
          <w:rFonts w:eastAsia="Calibri"/>
          <w:szCs w:val="26"/>
          <w:lang w:eastAsia="es-ES"/>
        </w:rPr>
        <w:br w:type="page"/>
      </w:r>
    </w:p>
    <w:p w:rsidR="00DF7305" w:rsidRDefault="00DF7305" w:rsidP="00DF7305">
      <w:pPr>
        <w:pStyle w:val="atitulo1"/>
        <w:ind w:left="3402"/>
        <w:rPr>
          <w:sz w:val="32"/>
          <w:szCs w:val="32"/>
        </w:rPr>
      </w:pPr>
    </w:p>
    <w:p w:rsidR="00DF7305" w:rsidRDefault="00DF7305" w:rsidP="00DF7305">
      <w:pPr>
        <w:pStyle w:val="atitulo1"/>
        <w:ind w:left="3402"/>
        <w:rPr>
          <w:sz w:val="32"/>
          <w:szCs w:val="32"/>
        </w:rPr>
      </w:pPr>
    </w:p>
    <w:p w:rsidR="00DF7305" w:rsidRDefault="00DF7305" w:rsidP="00DF7305">
      <w:pPr>
        <w:pStyle w:val="atitulo1"/>
        <w:ind w:left="3402"/>
        <w:rPr>
          <w:sz w:val="32"/>
          <w:szCs w:val="32"/>
        </w:rPr>
      </w:pPr>
    </w:p>
    <w:p w:rsidR="00DF7305" w:rsidRDefault="00DF7305" w:rsidP="00DF7305">
      <w:pPr>
        <w:pStyle w:val="atitulo1"/>
        <w:ind w:left="3402"/>
        <w:rPr>
          <w:sz w:val="32"/>
          <w:szCs w:val="32"/>
        </w:rPr>
      </w:pPr>
    </w:p>
    <w:p w:rsidR="00DF7305" w:rsidRPr="002D6E07" w:rsidRDefault="00DF7305" w:rsidP="00A527FD">
      <w:pPr>
        <w:pStyle w:val="atitulo1"/>
        <w:rPr>
          <w:sz w:val="32"/>
          <w:szCs w:val="32"/>
        </w:rPr>
      </w:pPr>
      <w:bookmarkStart w:id="34" w:name="_Toc425926960"/>
      <w:bookmarkStart w:id="35" w:name="_Toc483307009"/>
      <w:r w:rsidRPr="002D6E07">
        <w:rPr>
          <w:sz w:val="32"/>
          <w:szCs w:val="32"/>
        </w:rPr>
        <w:t xml:space="preserve">Alegaciones formuladas </w:t>
      </w:r>
      <w:r w:rsidR="00A527FD">
        <w:rPr>
          <w:sz w:val="32"/>
          <w:szCs w:val="32"/>
        </w:rPr>
        <w:t xml:space="preserve">por Davalor Salud, </w:t>
      </w:r>
      <w:proofErr w:type="spellStart"/>
      <w:r w:rsidR="00A527FD">
        <w:rPr>
          <w:sz w:val="32"/>
          <w:szCs w:val="32"/>
        </w:rPr>
        <w:t>SL</w:t>
      </w:r>
      <w:proofErr w:type="spellEnd"/>
      <w:r w:rsidR="00A527FD">
        <w:rPr>
          <w:sz w:val="32"/>
          <w:szCs w:val="32"/>
        </w:rPr>
        <w:t xml:space="preserve"> </w:t>
      </w:r>
      <w:r w:rsidRPr="002D6E07">
        <w:rPr>
          <w:sz w:val="32"/>
          <w:szCs w:val="32"/>
        </w:rPr>
        <w:t>al informe provisional</w:t>
      </w:r>
      <w:bookmarkEnd w:id="34"/>
      <w:bookmarkEnd w:id="35"/>
      <w:r w:rsidRPr="002D6E07">
        <w:rPr>
          <w:sz w:val="32"/>
          <w:szCs w:val="32"/>
        </w:rPr>
        <w:t xml:space="preserve"> </w:t>
      </w:r>
    </w:p>
    <w:p w:rsidR="00B63BF3" w:rsidRDefault="00B63BF3" w:rsidP="00B63BF3">
      <w:pPr>
        <w:pStyle w:val="texto"/>
        <w:tabs>
          <w:tab w:val="clear" w:pos="2835"/>
          <w:tab w:val="clear" w:pos="3969"/>
          <w:tab w:val="clear" w:pos="5103"/>
          <w:tab w:val="clear" w:pos="6237"/>
          <w:tab w:val="clear" w:pos="7371"/>
        </w:tabs>
        <w:jc w:val="center"/>
        <w:rPr>
          <w:rFonts w:eastAsia="Calibri"/>
          <w:szCs w:val="26"/>
          <w:lang w:eastAsia="es-ES"/>
        </w:rPr>
      </w:pPr>
    </w:p>
    <w:p w:rsidR="00DF7305" w:rsidRDefault="00DF7305" w:rsidP="00B63BF3">
      <w:pPr>
        <w:pStyle w:val="texto"/>
        <w:tabs>
          <w:tab w:val="clear" w:pos="2835"/>
          <w:tab w:val="clear" w:pos="3969"/>
          <w:tab w:val="clear" w:pos="5103"/>
          <w:tab w:val="clear" w:pos="6237"/>
          <w:tab w:val="clear" w:pos="7371"/>
        </w:tabs>
        <w:jc w:val="center"/>
        <w:rPr>
          <w:rFonts w:eastAsia="Calibri"/>
          <w:szCs w:val="26"/>
          <w:lang w:eastAsia="es-ES"/>
        </w:rPr>
      </w:pPr>
    </w:p>
    <w:p w:rsidR="00DF7305" w:rsidRDefault="00DF7305" w:rsidP="00B63BF3">
      <w:pPr>
        <w:pStyle w:val="texto"/>
        <w:tabs>
          <w:tab w:val="clear" w:pos="2835"/>
          <w:tab w:val="clear" w:pos="3969"/>
          <w:tab w:val="clear" w:pos="5103"/>
          <w:tab w:val="clear" w:pos="6237"/>
          <w:tab w:val="clear" w:pos="7371"/>
        </w:tabs>
        <w:jc w:val="center"/>
        <w:rPr>
          <w:rFonts w:eastAsia="Calibri"/>
          <w:szCs w:val="26"/>
          <w:lang w:eastAsia="es-ES"/>
        </w:rPr>
      </w:pPr>
    </w:p>
    <w:p w:rsidR="00DF7305" w:rsidRDefault="00DF7305">
      <w:pPr>
        <w:spacing w:after="0"/>
        <w:ind w:firstLine="0"/>
        <w:jc w:val="left"/>
        <w:rPr>
          <w:rFonts w:eastAsia="Calibri"/>
          <w:spacing w:val="6"/>
          <w:sz w:val="26"/>
          <w:szCs w:val="26"/>
          <w:lang w:eastAsia="es-ES"/>
        </w:rPr>
      </w:pPr>
      <w:r>
        <w:rPr>
          <w:rFonts w:eastAsia="Calibri"/>
          <w:szCs w:val="26"/>
          <w:lang w:eastAsia="es-ES"/>
        </w:rPr>
        <w:br w:type="page"/>
      </w:r>
    </w:p>
    <w:p w:rsidR="00DF7305" w:rsidRDefault="00DF7305" w:rsidP="00DF7305">
      <w:pPr>
        <w:pStyle w:val="texto"/>
        <w:tabs>
          <w:tab w:val="num" w:pos="300"/>
          <w:tab w:val="num" w:pos="4920"/>
        </w:tabs>
        <w:rPr>
          <w:szCs w:val="26"/>
        </w:rPr>
      </w:pPr>
      <w:r w:rsidRPr="00595B5F">
        <w:rPr>
          <w:szCs w:val="26"/>
        </w:rPr>
        <w:lastRenderedPageBreak/>
        <w:t>Dentro del plazo concedido,</w:t>
      </w:r>
      <w:r>
        <w:rPr>
          <w:szCs w:val="26"/>
        </w:rPr>
        <w:t xml:space="preserve"> ha presentado</w:t>
      </w:r>
      <w:r w:rsidRPr="00595B5F">
        <w:rPr>
          <w:szCs w:val="26"/>
        </w:rPr>
        <w:t xml:space="preserve"> alegaciones</w:t>
      </w:r>
      <w:r>
        <w:rPr>
          <w:szCs w:val="26"/>
        </w:rPr>
        <w:t xml:space="preserve"> al informe provisi</w:t>
      </w:r>
      <w:r>
        <w:rPr>
          <w:szCs w:val="26"/>
        </w:rPr>
        <w:t>o</w:t>
      </w:r>
      <w:r>
        <w:rPr>
          <w:szCs w:val="26"/>
        </w:rPr>
        <w:t>nal</w:t>
      </w:r>
      <w:r w:rsidRPr="00595B5F">
        <w:rPr>
          <w:szCs w:val="26"/>
        </w:rPr>
        <w:t xml:space="preserve"> </w:t>
      </w:r>
      <w:r>
        <w:rPr>
          <w:szCs w:val="26"/>
        </w:rPr>
        <w:t>la empresa Davalor Salud SL. Parte de estas alegaciones se han incorporado al informe definitivo, por lo que no se transcriben; en el texto del citado info</w:t>
      </w:r>
      <w:r>
        <w:rPr>
          <w:szCs w:val="26"/>
        </w:rPr>
        <w:t>r</w:t>
      </w:r>
      <w:r>
        <w:rPr>
          <w:szCs w:val="26"/>
        </w:rPr>
        <w:t>me se indica expresamente los párrafos modificados de acuerdo con dichas al</w:t>
      </w:r>
      <w:r>
        <w:rPr>
          <w:szCs w:val="26"/>
        </w:rPr>
        <w:t>e</w:t>
      </w:r>
      <w:r>
        <w:rPr>
          <w:szCs w:val="26"/>
        </w:rPr>
        <w:t xml:space="preserve">gaciones. </w:t>
      </w:r>
    </w:p>
    <w:p w:rsidR="00DF7305" w:rsidRDefault="00DF7305" w:rsidP="00DF7305">
      <w:pPr>
        <w:pStyle w:val="texto"/>
        <w:tabs>
          <w:tab w:val="num" w:pos="300"/>
          <w:tab w:val="num" w:pos="4920"/>
        </w:tabs>
        <w:rPr>
          <w:szCs w:val="26"/>
        </w:rPr>
      </w:pPr>
      <w:r>
        <w:rPr>
          <w:szCs w:val="26"/>
        </w:rPr>
        <w:t>A continuación se adjunta la alegación que no se incorpora al texto del i</w:t>
      </w:r>
      <w:r>
        <w:rPr>
          <w:szCs w:val="26"/>
        </w:rPr>
        <w:t>n</w:t>
      </w:r>
      <w:r>
        <w:rPr>
          <w:szCs w:val="26"/>
        </w:rPr>
        <w:t>forme</w:t>
      </w:r>
      <w:r w:rsidR="00A527FD">
        <w:rPr>
          <w:szCs w:val="26"/>
        </w:rPr>
        <w:t>,</w:t>
      </w:r>
      <w:r>
        <w:rPr>
          <w:szCs w:val="26"/>
        </w:rPr>
        <w:t xml:space="preserve"> dado que se refiere a precisiones o matizaciones que no afectan al mi</w:t>
      </w:r>
      <w:r>
        <w:rPr>
          <w:szCs w:val="26"/>
        </w:rPr>
        <w:t>s</w:t>
      </w:r>
      <w:r>
        <w:rPr>
          <w:szCs w:val="26"/>
        </w:rPr>
        <w:t>mo.</w:t>
      </w:r>
    </w:p>
    <w:p w:rsidR="00DF7305" w:rsidRDefault="00DF7305" w:rsidP="00B63BF3">
      <w:pPr>
        <w:pStyle w:val="texto"/>
        <w:tabs>
          <w:tab w:val="clear" w:pos="2835"/>
          <w:tab w:val="clear" w:pos="3969"/>
          <w:tab w:val="clear" w:pos="5103"/>
          <w:tab w:val="clear" w:pos="6237"/>
          <w:tab w:val="clear" w:pos="7371"/>
        </w:tabs>
        <w:jc w:val="center"/>
        <w:rPr>
          <w:rFonts w:eastAsia="Calibri"/>
          <w:szCs w:val="26"/>
          <w:lang w:eastAsia="es-ES"/>
        </w:rPr>
      </w:pPr>
    </w:p>
    <w:p w:rsidR="00F065DE" w:rsidRPr="00F065DE" w:rsidRDefault="00F065DE" w:rsidP="00F065DE">
      <w:pPr>
        <w:ind w:firstLine="284"/>
        <w:rPr>
          <w:rFonts w:ascii="Helvetica LT Std" w:hAnsi="Helvetica LT Std"/>
          <w:b/>
          <w:sz w:val="19"/>
          <w:szCs w:val="19"/>
        </w:rPr>
      </w:pPr>
      <w:bookmarkStart w:id="36" w:name="_GoBack"/>
      <w:r w:rsidRPr="00F065DE">
        <w:rPr>
          <w:rFonts w:ascii="Helvetica LT Std" w:hAnsi="Helvetica LT Std"/>
          <w:b/>
          <w:sz w:val="19"/>
          <w:szCs w:val="19"/>
        </w:rPr>
        <w:t xml:space="preserve">Alegaciones al informe provisiona: Préstamos de la sociedad pública </w:t>
      </w:r>
      <w:proofErr w:type="spellStart"/>
      <w:r w:rsidRPr="00F065DE">
        <w:rPr>
          <w:rFonts w:ascii="Helvetica LT Std" w:hAnsi="Helvetica LT Std"/>
          <w:b/>
          <w:sz w:val="19"/>
          <w:szCs w:val="19"/>
        </w:rPr>
        <w:t>Sodena</w:t>
      </w:r>
      <w:proofErr w:type="spellEnd"/>
      <w:r w:rsidRPr="00F065DE">
        <w:rPr>
          <w:rFonts w:ascii="Helvetica LT Std" w:hAnsi="Helvetica LT Std"/>
          <w:b/>
          <w:sz w:val="19"/>
          <w:szCs w:val="19"/>
        </w:rPr>
        <w:t>, S.L., a la e</w:t>
      </w:r>
      <w:r w:rsidRPr="00F065DE">
        <w:rPr>
          <w:rFonts w:ascii="Helvetica LT Std" w:hAnsi="Helvetica LT Std"/>
          <w:b/>
          <w:sz w:val="19"/>
          <w:szCs w:val="19"/>
        </w:rPr>
        <w:t>m</w:t>
      </w:r>
      <w:r w:rsidRPr="00F065DE">
        <w:rPr>
          <w:rFonts w:ascii="Helvetica LT Std" w:hAnsi="Helvetica LT Std"/>
          <w:b/>
          <w:sz w:val="19"/>
          <w:szCs w:val="19"/>
        </w:rPr>
        <w:t xml:space="preserve">presa </w:t>
      </w:r>
      <w:proofErr w:type="spellStart"/>
      <w:r w:rsidRPr="00F065DE">
        <w:rPr>
          <w:rFonts w:ascii="Helvetica LT Std" w:hAnsi="Helvetica LT Std"/>
          <w:b/>
          <w:sz w:val="19"/>
          <w:szCs w:val="19"/>
        </w:rPr>
        <w:t>Davalor</w:t>
      </w:r>
      <w:proofErr w:type="spellEnd"/>
      <w:r w:rsidRPr="00F065DE">
        <w:rPr>
          <w:rFonts w:ascii="Helvetica LT Std" w:hAnsi="Helvetica LT Std"/>
          <w:b/>
          <w:sz w:val="19"/>
          <w:szCs w:val="19"/>
        </w:rPr>
        <w:t xml:space="preserve"> Salud, S.L.</w:t>
      </w:r>
    </w:p>
    <w:bookmarkEnd w:id="36"/>
    <w:p w:rsidR="00F065DE" w:rsidRPr="006C4189" w:rsidRDefault="00F065DE" w:rsidP="00F065DE">
      <w:pPr>
        <w:ind w:firstLine="284"/>
        <w:rPr>
          <w:rFonts w:ascii="Helvetica LT Std" w:hAnsi="Helvetica LT Std"/>
          <w:sz w:val="19"/>
          <w:szCs w:val="19"/>
        </w:rPr>
      </w:pPr>
      <w:r w:rsidRPr="006C4189">
        <w:rPr>
          <w:rFonts w:ascii="Helvetica LT Std" w:hAnsi="Helvetica LT Std"/>
          <w:sz w:val="19"/>
          <w:szCs w:val="19"/>
        </w:rPr>
        <w:t>Habiendo recibido del Secretario de la Cámara de Comptos el informe provisional del asunto para su examen y formulación de alegaciones hasta el día 22 de mayo, pongo en su conocimiento lo siguiente:</w:t>
      </w:r>
    </w:p>
    <w:p w:rsidR="00F065DE" w:rsidRPr="006C4189" w:rsidRDefault="00F065DE" w:rsidP="00F065DE">
      <w:pPr>
        <w:ind w:firstLine="284"/>
        <w:rPr>
          <w:rFonts w:ascii="Helvetica LT Std" w:hAnsi="Helvetica LT Std"/>
          <w:sz w:val="19"/>
          <w:szCs w:val="19"/>
        </w:rPr>
      </w:pPr>
      <w:r w:rsidRPr="006C4189">
        <w:rPr>
          <w:rFonts w:ascii="Helvetica LT Std" w:hAnsi="Helvetica LT Std"/>
          <w:sz w:val="19"/>
          <w:szCs w:val="19"/>
          <w:u w:val="single"/>
        </w:rPr>
        <w:t>Primero:</w:t>
      </w:r>
      <w:r w:rsidRPr="006C4189">
        <w:rPr>
          <w:rFonts w:ascii="Helvetica LT Std" w:hAnsi="Helvetica LT Std"/>
          <w:sz w:val="19"/>
          <w:szCs w:val="19"/>
        </w:rPr>
        <w:t xml:space="preserve"> mostramos nuestra conformidad con lo descrito en el informe, con la excepción de las o</w:t>
      </w:r>
      <w:r w:rsidRPr="006C4189">
        <w:rPr>
          <w:rFonts w:ascii="Helvetica LT Std" w:hAnsi="Helvetica LT Std"/>
          <w:sz w:val="19"/>
          <w:szCs w:val="19"/>
        </w:rPr>
        <w:t>b</w:t>
      </w:r>
      <w:r w:rsidRPr="006C4189">
        <w:rPr>
          <w:rFonts w:ascii="Helvetica LT Std" w:hAnsi="Helvetica LT Std"/>
          <w:sz w:val="19"/>
          <w:szCs w:val="19"/>
        </w:rPr>
        <w:t>servaciones y comentarios siguientes.</w:t>
      </w:r>
    </w:p>
    <w:p w:rsidR="00F065DE" w:rsidRPr="006C4189" w:rsidRDefault="00F065DE" w:rsidP="00F065DE">
      <w:pPr>
        <w:ind w:firstLine="284"/>
        <w:rPr>
          <w:rFonts w:ascii="Helvetica LT Std" w:hAnsi="Helvetica LT Std"/>
          <w:sz w:val="19"/>
          <w:szCs w:val="19"/>
        </w:rPr>
      </w:pPr>
      <w:r w:rsidRPr="006C4189">
        <w:rPr>
          <w:rFonts w:ascii="Helvetica LT Std" w:hAnsi="Helvetica LT Std"/>
          <w:sz w:val="19"/>
          <w:szCs w:val="19"/>
          <w:u w:val="single"/>
        </w:rPr>
        <w:t>Segundo:</w:t>
      </w:r>
      <w:r w:rsidRPr="006C4189">
        <w:rPr>
          <w:rFonts w:ascii="Helvetica LT Std" w:hAnsi="Helvetica LT Std"/>
          <w:sz w:val="19"/>
          <w:szCs w:val="19"/>
        </w:rPr>
        <w:t xml:space="preserve"> Excepciones mayores en orden de relevancia.</w:t>
      </w:r>
    </w:p>
    <w:p w:rsidR="00F065DE" w:rsidRPr="006C4189" w:rsidRDefault="00F065DE" w:rsidP="00F065DE">
      <w:pPr>
        <w:ind w:firstLine="284"/>
        <w:rPr>
          <w:rFonts w:ascii="Helvetica LT Std" w:hAnsi="Helvetica LT Std"/>
          <w:sz w:val="19"/>
          <w:szCs w:val="19"/>
        </w:rPr>
      </w:pPr>
      <w:r w:rsidRPr="006C4189">
        <w:rPr>
          <w:rFonts w:ascii="Helvetica LT Std" w:hAnsi="Helvetica LT Std"/>
          <w:sz w:val="19"/>
          <w:szCs w:val="19"/>
        </w:rPr>
        <w:t>P</w:t>
      </w:r>
      <w:r>
        <w:rPr>
          <w:rFonts w:ascii="Helvetica LT Std" w:hAnsi="Helvetica LT Std"/>
          <w:sz w:val="19"/>
          <w:szCs w:val="19"/>
        </w:rPr>
        <w:t>á</w:t>
      </w:r>
      <w:r w:rsidRPr="006C4189">
        <w:rPr>
          <w:rFonts w:ascii="Helvetica LT Std" w:hAnsi="Helvetica LT Std"/>
          <w:sz w:val="19"/>
          <w:szCs w:val="19"/>
        </w:rPr>
        <w:t>g. 21: Dice: "La empresa ha operado con una estructura asimilable a un proyecto que ya estaba en el mercado - con elevado coste -, cuando efectivamente está en fase de lanzamiento".</w:t>
      </w:r>
    </w:p>
    <w:p w:rsidR="00F065DE" w:rsidRPr="006C4189" w:rsidRDefault="00F065DE" w:rsidP="00F065DE">
      <w:pPr>
        <w:ind w:firstLine="284"/>
        <w:rPr>
          <w:rFonts w:ascii="Helvetica LT Std" w:hAnsi="Helvetica LT Std"/>
          <w:sz w:val="19"/>
          <w:szCs w:val="19"/>
        </w:rPr>
      </w:pPr>
      <w:r w:rsidRPr="006C4189">
        <w:rPr>
          <w:rFonts w:ascii="Helvetica LT Std" w:hAnsi="Helvetica LT Std"/>
          <w:sz w:val="19"/>
          <w:szCs w:val="19"/>
        </w:rPr>
        <w:t xml:space="preserve">En el organigrama de </w:t>
      </w:r>
      <w:proofErr w:type="spellStart"/>
      <w:r>
        <w:rPr>
          <w:rFonts w:ascii="Helvetica LT Std" w:hAnsi="Helvetica LT Std"/>
          <w:sz w:val="19"/>
          <w:szCs w:val="19"/>
        </w:rPr>
        <w:t>Davalor</w:t>
      </w:r>
      <w:proofErr w:type="spellEnd"/>
      <w:r w:rsidRPr="006C4189">
        <w:rPr>
          <w:rFonts w:ascii="Helvetica LT Std" w:hAnsi="Helvetica LT Std"/>
          <w:sz w:val="19"/>
          <w:szCs w:val="19"/>
        </w:rPr>
        <w:t xml:space="preserve"> Salud se definen tres áreas principales: ingeniería, servicios corpor</w:t>
      </w:r>
      <w:r w:rsidRPr="006C4189">
        <w:rPr>
          <w:rFonts w:ascii="Helvetica LT Std" w:hAnsi="Helvetica LT Std"/>
          <w:sz w:val="19"/>
          <w:szCs w:val="19"/>
        </w:rPr>
        <w:t>a</w:t>
      </w:r>
      <w:r w:rsidRPr="006C4189">
        <w:rPr>
          <w:rFonts w:ascii="Helvetica LT Std" w:hAnsi="Helvetica LT Std"/>
          <w:sz w:val="19"/>
          <w:szCs w:val="19"/>
        </w:rPr>
        <w:t>tivos (calidad, administración y finanzas) y operaciones, que se han tratado como sigue:</w:t>
      </w:r>
    </w:p>
    <w:p w:rsidR="00F065DE" w:rsidRPr="006C4189" w:rsidRDefault="00F065DE" w:rsidP="00F065DE">
      <w:pPr>
        <w:ind w:firstLine="284"/>
        <w:rPr>
          <w:rFonts w:ascii="Helvetica LT Std" w:hAnsi="Helvetica LT Std"/>
          <w:sz w:val="19"/>
          <w:szCs w:val="19"/>
        </w:rPr>
      </w:pPr>
      <w:r w:rsidRPr="006C4189">
        <w:rPr>
          <w:rFonts w:ascii="Helvetica LT Std" w:hAnsi="Helvetica LT Std"/>
          <w:sz w:val="19"/>
          <w:szCs w:val="19"/>
        </w:rPr>
        <w:t xml:space="preserve">– </w:t>
      </w:r>
      <w:r w:rsidRPr="0014257A">
        <w:rPr>
          <w:rFonts w:ascii="Helvetica LT Std" w:hAnsi="Helvetica LT Std"/>
          <w:b/>
          <w:sz w:val="19"/>
          <w:szCs w:val="19"/>
        </w:rPr>
        <w:t>Ingeniería</w:t>
      </w:r>
      <w:r w:rsidRPr="006C4189">
        <w:rPr>
          <w:rFonts w:ascii="Helvetica LT Std" w:hAnsi="Helvetica LT Std"/>
          <w:sz w:val="19"/>
          <w:szCs w:val="19"/>
        </w:rPr>
        <w:t xml:space="preserve">: </w:t>
      </w:r>
      <w:proofErr w:type="spellStart"/>
      <w:r w:rsidRPr="006C4189">
        <w:rPr>
          <w:rFonts w:ascii="Helvetica LT Std" w:hAnsi="Helvetica LT Std"/>
          <w:sz w:val="19"/>
          <w:szCs w:val="19"/>
        </w:rPr>
        <w:t>Davalor</w:t>
      </w:r>
      <w:proofErr w:type="spellEnd"/>
      <w:r w:rsidRPr="006C4189">
        <w:rPr>
          <w:rFonts w:ascii="Helvetica LT Std" w:hAnsi="Helvetica LT Std"/>
          <w:sz w:val="19"/>
          <w:szCs w:val="19"/>
        </w:rPr>
        <w:t xml:space="preserve"> Salud ha afrontado un desarrollo tecnológico de gran envergadura y ha nec</w:t>
      </w:r>
      <w:r w:rsidRPr="006C4189">
        <w:rPr>
          <w:rFonts w:ascii="Helvetica LT Std" w:hAnsi="Helvetica LT Std"/>
          <w:sz w:val="19"/>
          <w:szCs w:val="19"/>
        </w:rPr>
        <w:t>e</w:t>
      </w:r>
      <w:r w:rsidRPr="006C4189">
        <w:rPr>
          <w:rFonts w:ascii="Helvetica LT Std" w:hAnsi="Helvetica LT Std"/>
          <w:sz w:val="19"/>
          <w:szCs w:val="19"/>
        </w:rPr>
        <w:t>sitado los recursos necesarios para ello. Es de notar que:</w:t>
      </w:r>
    </w:p>
    <w:p w:rsidR="00F065DE" w:rsidRPr="006C4189" w:rsidRDefault="00F065DE" w:rsidP="00F065DE">
      <w:pPr>
        <w:pStyle w:val="Prrafodelista"/>
        <w:numPr>
          <w:ilvl w:val="0"/>
          <w:numId w:val="6"/>
        </w:numPr>
        <w:spacing w:after="200" w:line="276" w:lineRule="auto"/>
        <w:jc w:val="left"/>
        <w:rPr>
          <w:rFonts w:ascii="Helvetica LT Std" w:hAnsi="Helvetica LT Std"/>
          <w:sz w:val="19"/>
          <w:szCs w:val="19"/>
        </w:rPr>
      </w:pPr>
      <w:r w:rsidRPr="006C4189">
        <w:rPr>
          <w:rFonts w:ascii="Helvetica LT Std" w:hAnsi="Helvetica LT Std"/>
          <w:sz w:val="19"/>
          <w:szCs w:val="19"/>
        </w:rPr>
        <w:t>Cada una de los más de 3.000 componentes del producto EVA (mencionado en página 12) han requerido trabajo individualizado de ingeniería (requerimientos especificaciones, dis</w:t>
      </w:r>
      <w:r w:rsidRPr="006C4189">
        <w:rPr>
          <w:rFonts w:ascii="Helvetica LT Std" w:hAnsi="Helvetica LT Std"/>
          <w:sz w:val="19"/>
          <w:szCs w:val="19"/>
        </w:rPr>
        <w:t>e</w:t>
      </w:r>
      <w:r>
        <w:rPr>
          <w:rFonts w:ascii="Helvetica LT Std" w:hAnsi="Helvetica LT Std"/>
          <w:sz w:val="19"/>
          <w:szCs w:val="19"/>
        </w:rPr>
        <w:t>ñ</w:t>
      </w:r>
      <w:r w:rsidRPr="006C4189">
        <w:rPr>
          <w:rFonts w:ascii="Helvetica LT Std" w:hAnsi="Helvetica LT Std"/>
          <w:sz w:val="19"/>
          <w:szCs w:val="19"/>
        </w:rPr>
        <w:t>o, búsqueda y selección de proveedores, negociación de contratos, construcción y ensayo de prototipos, etc.). Lo mismo aplica a cada uno de los múltiples subsistemas de EVA Este esfuerzo de ingeniería requiere no solo cierto número de trabajadores, sean en plantilla o subcontratados, sino también un conjunto de especialidades de conocimiento que no suelen encontrarse en el mercado en un único perfil (diseño, mecatrónica, electrónica y program</w:t>
      </w:r>
      <w:r w:rsidRPr="006C4189">
        <w:rPr>
          <w:rFonts w:ascii="Helvetica LT Std" w:hAnsi="Helvetica LT Std"/>
          <w:sz w:val="19"/>
          <w:szCs w:val="19"/>
        </w:rPr>
        <w:t>a</w:t>
      </w:r>
      <w:r w:rsidRPr="006C4189">
        <w:rPr>
          <w:rFonts w:ascii="Helvetica LT Std" w:hAnsi="Helvetica LT Std"/>
          <w:sz w:val="19"/>
          <w:szCs w:val="19"/>
        </w:rPr>
        <w:t xml:space="preserve">ción de bajo nivel, programación de </w:t>
      </w:r>
      <w:proofErr w:type="spellStart"/>
      <w:r w:rsidRPr="006C4189">
        <w:rPr>
          <w:rFonts w:ascii="Helvetica LT Std" w:hAnsi="Helvetica LT Std"/>
          <w:sz w:val="19"/>
          <w:szCs w:val="19"/>
        </w:rPr>
        <w:t>PLCs</w:t>
      </w:r>
      <w:proofErr w:type="spellEnd"/>
      <w:r w:rsidRPr="006C4189">
        <w:rPr>
          <w:rFonts w:ascii="Helvetica LT Std" w:hAnsi="Helvetica LT Std"/>
          <w:sz w:val="19"/>
          <w:szCs w:val="19"/>
        </w:rPr>
        <w:t>, óptica, óptica visual, simulación mecánica, sim</w:t>
      </w:r>
      <w:r w:rsidRPr="006C4189">
        <w:rPr>
          <w:rFonts w:ascii="Helvetica LT Std" w:hAnsi="Helvetica LT Std"/>
          <w:sz w:val="19"/>
          <w:szCs w:val="19"/>
        </w:rPr>
        <w:t>u</w:t>
      </w:r>
      <w:r w:rsidRPr="006C4189">
        <w:rPr>
          <w:rFonts w:ascii="Helvetica LT Std" w:hAnsi="Helvetica LT Std"/>
          <w:sz w:val="19"/>
          <w:szCs w:val="19"/>
        </w:rPr>
        <w:t>lación óptica, etc.).</w:t>
      </w:r>
    </w:p>
    <w:p w:rsidR="00F065DE" w:rsidRPr="006C4189" w:rsidRDefault="00F065DE" w:rsidP="00F065DE">
      <w:pPr>
        <w:pStyle w:val="Prrafodelista"/>
        <w:numPr>
          <w:ilvl w:val="0"/>
          <w:numId w:val="6"/>
        </w:numPr>
        <w:spacing w:after="200" w:line="276" w:lineRule="auto"/>
        <w:jc w:val="left"/>
        <w:rPr>
          <w:rFonts w:ascii="Helvetica LT Std" w:hAnsi="Helvetica LT Std"/>
          <w:sz w:val="19"/>
          <w:szCs w:val="19"/>
        </w:rPr>
      </w:pPr>
      <w:r w:rsidRPr="006C4189">
        <w:rPr>
          <w:rFonts w:ascii="Helvetica LT Std" w:hAnsi="Helvetica LT Std"/>
          <w:sz w:val="19"/>
          <w:szCs w:val="19"/>
        </w:rPr>
        <w:t xml:space="preserve">La infraestructura de los sistemas informáticos de </w:t>
      </w:r>
      <w:proofErr w:type="spellStart"/>
      <w:r w:rsidRPr="006C4189">
        <w:rPr>
          <w:rFonts w:ascii="Helvetica LT Std" w:hAnsi="Helvetica LT Std"/>
          <w:sz w:val="19"/>
          <w:szCs w:val="19"/>
        </w:rPr>
        <w:t>Davalor</w:t>
      </w:r>
      <w:proofErr w:type="spellEnd"/>
      <w:r w:rsidRPr="006C4189">
        <w:rPr>
          <w:rFonts w:ascii="Helvetica LT Std" w:hAnsi="Helvetica LT Std"/>
          <w:sz w:val="19"/>
          <w:szCs w:val="19"/>
        </w:rPr>
        <w:t xml:space="preserve"> Salud (Centro de Proceso de D</w:t>
      </w:r>
      <w:r w:rsidRPr="006C4189">
        <w:rPr>
          <w:rFonts w:ascii="Helvetica LT Std" w:hAnsi="Helvetica LT Std"/>
          <w:sz w:val="19"/>
          <w:szCs w:val="19"/>
        </w:rPr>
        <w:t>a</w:t>
      </w:r>
      <w:r w:rsidRPr="006C4189">
        <w:rPr>
          <w:rFonts w:ascii="Helvetica LT Std" w:hAnsi="Helvetica LT Std"/>
          <w:sz w:val="19"/>
          <w:szCs w:val="19"/>
        </w:rPr>
        <w:t xml:space="preserve">tos </w:t>
      </w:r>
      <w:r>
        <w:rPr>
          <w:rFonts w:ascii="Helvetica LT Std" w:hAnsi="Helvetica LT Std"/>
          <w:sz w:val="19"/>
          <w:szCs w:val="19"/>
        </w:rPr>
        <w:t>–</w:t>
      </w:r>
      <w:proofErr w:type="spellStart"/>
      <w:r>
        <w:rPr>
          <w:rFonts w:ascii="Helvetica LT Std" w:hAnsi="Helvetica LT Std"/>
          <w:sz w:val="19"/>
          <w:szCs w:val="19"/>
        </w:rPr>
        <w:t>CPD</w:t>
      </w:r>
      <w:proofErr w:type="spellEnd"/>
      <w:r>
        <w:rPr>
          <w:rFonts w:ascii="Helvetica LT Std" w:hAnsi="Helvetica LT Std"/>
          <w:sz w:val="19"/>
          <w:szCs w:val="19"/>
        </w:rPr>
        <w:t>–</w:t>
      </w:r>
      <w:r w:rsidRPr="006C4189">
        <w:rPr>
          <w:rFonts w:ascii="Helvetica LT Std" w:hAnsi="Helvetica LT Std"/>
          <w:sz w:val="19"/>
          <w:szCs w:val="19"/>
        </w:rPr>
        <w:t xml:space="preserve"> interno en Pamplona; </w:t>
      </w:r>
      <w:proofErr w:type="spellStart"/>
      <w:r w:rsidRPr="006C4189">
        <w:rPr>
          <w:rFonts w:ascii="Helvetica LT Std" w:hAnsi="Helvetica LT Std"/>
          <w:sz w:val="19"/>
          <w:szCs w:val="19"/>
        </w:rPr>
        <w:t>CPD</w:t>
      </w:r>
      <w:proofErr w:type="spellEnd"/>
      <w:r w:rsidRPr="006C4189">
        <w:rPr>
          <w:rFonts w:ascii="Helvetica LT Std" w:hAnsi="Helvetica LT Std"/>
          <w:sz w:val="19"/>
          <w:szCs w:val="19"/>
        </w:rPr>
        <w:t xml:space="preserve"> general de gran capacidad, seguridad y disponibil</w:t>
      </w:r>
      <w:r w:rsidRPr="006C4189">
        <w:rPr>
          <w:rFonts w:ascii="Helvetica LT Std" w:hAnsi="Helvetica LT Std"/>
          <w:sz w:val="19"/>
          <w:szCs w:val="19"/>
        </w:rPr>
        <w:t>i</w:t>
      </w:r>
      <w:r w:rsidRPr="006C4189">
        <w:rPr>
          <w:rFonts w:ascii="Helvetica LT Std" w:hAnsi="Helvetica LT Std"/>
          <w:sz w:val="19"/>
          <w:szCs w:val="19"/>
        </w:rPr>
        <w:t>dad en Alcalá de Henares; centros de servicios remotos de diagnóstico en Terrassa y de monitorización técnica y despliegues de software en Pamplona) han requerido también un trabajo específico de ingeniería. De nuevo, este esfuerzo de ingeniería requiere no solo cierto número de trabajadores, sean en plantilla o subcontratados, sino también un conjunto de especialidades de conocimiento que no suelen encontrarse en el mercado en un único perfil (diseño de infraestructuras, licitación de infraestructuras y aplicaciones, implement</w:t>
      </w:r>
      <w:r w:rsidRPr="006C4189">
        <w:rPr>
          <w:rFonts w:ascii="Helvetica LT Std" w:hAnsi="Helvetica LT Std"/>
          <w:sz w:val="19"/>
          <w:szCs w:val="19"/>
        </w:rPr>
        <w:t>a</w:t>
      </w:r>
      <w:r w:rsidRPr="006C4189">
        <w:rPr>
          <w:rFonts w:ascii="Helvetica LT Std" w:hAnsi="Helvetica LT Std"/>
          <w:sz w:val="19"/>
          <w:szCs w:val="19"/>
        </w:rPr>
        <w:t xml:space="preserve">ción de </w:t>
      </w:r>
      <w:proofErr w:type="spellStart"/>
      <w:r w:rsidRPr="006C4189">
        <w:rPr>
          <w:rFonts w:ascii="Helvetica LT Std" w:hAnsi="Helvetica LT Std"/>
          <w:sz w:val="19"/>
          <w:szCs w:val="19"/>
        </w:rPr>
        <w:t>CPD</w:t>
      </w:r>
      <w:proofErr w:type="spellEnd"/>
      <w:r w:rsidRPr="006C4189">
        <w:rPr>
          <w:rFonts w:ascii="Helvetica LT Std" w:hAnsi="Helvetica LT Std"/>
          <w:sz w:val="19"/>
          <w:szCs w:val="19"/>
        </w:rPr>
        <w:t>, ingeniería de comunicaciones, microinformática, etc.).</w:t>
      </w:r>
    </w:p>
    <w:p w:rsidR="00F065DE" w:rsidRPr="006C4189" w:rsidRDefault="00F065DE" w:rsidP="00F065DE">
      <w:pPr>
        <w:pStyle w:val="Prrafodelista"/>
        <w:numPr>
          <w:ilvl w:val="0"/>
          <w:numId w:val="6"/>
        </w:numPr>
        <w:spacing w:after="200" w:line="276" w:lineRule="auto"/>
        <w:jc w:val="left"/>
        <w:rPr>
          <w:rFonts w:ascii="Helvetica LT Std" w:hAnsi="Helvetica LT Std"/>
          <w:sz w:val="19"/>
          <w:szCs w:val="19"/>
        </w:rPr>
      </w:pPr>
      <w:r w:rsidRPr="006C4189">
        <w:rPr>
          <w:rFonts w:ascii="Helvetica LT Std" w:hAnsi="Helvetica LT Std"/>
          <w:sz w:val="19"/>
          <w:szCs w:val="19"/>
        </w:rPr>
        <w:t>Las aplicaciones informáticas que permiten operar el negocio incluyen, entre otras, el sof</w:t>
      </w:r>
      <w:r w:rsidRPr="006C4189">
        <w:rPr>
          <w:rFonts w:ascii="Helvetica LT Std" w:hAnsi="Helvetica LT Std"/>
          <w:sz w:val="19"/>
          <w:szCs w:val="19"/>
        </w:rPr>
        <w:t>t</w:t>
      </w:r>
      <w:r w:rsidRPr="006C4189">
        <w:rPr>
          <w:rFonts w:ascii="Helvetica LT Std" w:hAnsi="Helvetica LT Std"/>
          <w:sz w:val="19"/>
          <w:szCs w:val="19"/>
        </w:rPr>
        <w:t>ware de control de EVA (parte de su mecatrónica) en varios niveles y lenguajes de progr</w:t>
      </w:r>
      <w:r w:rsidRPr="006C4189">
        <w:rPr>
          <w:rFonts w:ascii="Helvetica LT Std" w:hAnsi="Helvetica LT Std"/>
          <w:sz w:val="19"/>
          <w:szCs w:val="19"/>
        </w:rPr>
        <w:t>a</w:t>
      </w:r>
      <w:r w:rsidRPr="006C4189">
        <w:rPr>
          <w:rFonts w:ascii="Helvetica LT Std" w:hAnsi="Helvetica LT Std"/>
          <w:sz w:val="19"/>
          <w:szCs w:val="19"/>
        </w:rPr>
        <w:t>mación; el software de análisis de imagen en tiempo real; el software de árbol diagnóstico con sus múltiples ramificaciones respondiendo a los diferentes casos de fisiología y compo</w:t>
      </w:r>
      <w:r w:rsidRPr="006C4189">
        <w:rPr>
          <w:rFonts w:ascii="Helvetica LT Std" w:hAnsi="Helvetica LT Std"/>
          <w:sz w:val="19"/>
          <w:szCs w:val="19"/>
        </w:rPr>
        <w:t>r</w:t>
      </w:r>
      <w:r w:rsidRPr="006C4189">
        <w:rPr>
          <w:rFonts w:ascii="Helvetica LT Std" w:hAnsi="Helvetica LT Std"/>
          <w:sz w:val="19"/>
          <w:szCs w:val="19"/>
        </w:rPr>
        <w:t xml:space="preserve">tamiento de usuarios; el software de </w:t>
      </w:r>
      <w:proofErr w:type="spellStart"/>
      <w:r w:rsidRPr="006C4189">
        <w:rPr>
          <w:rFonts w:ascii="Helvetica LT Std" w:hAnsi="Helvetica LT Std"/>
          <w:sz w:val="19"/>
          <w:szCs w:val="19"/>
        </w:rPr>
        <w:t>gamificación</w:t>
      </w:r>
      <w:proofErr w:type="spellEnd"/>
      <w:r w:rsidRPr="006C4189">
        <w:rPr>
          <w:rFonts w:ascii="Helvetica LT Std" w:hAnsi="Helvetica LT Std"/>
          <w:sz w:val="19"/>
          <w:szCs w:val="19"/>
        </w:rPr>
        <w:t xml:space="preserve"> de las pruebas optométricas y videoju</w:t>
      </w:r>
      <w:r w:rsidRPr="006C4189">
        <w:rPr>
          <w:rFonts w:ascii="Helvetica LT Std" w:hAnsi="Helvetica LT Std"/>
          <w:sz w:val="19"/>
          <w:szCs w:val="19"/>
        </w:rPr>
        <w:t>e</w:t>
      </w:r>
      <w:r w:rsidRPr="006C4189">
        <w:rPr>
          <w:rFonts w:ascii="Helvetica LT Std" w:hAnsi="Helvetica LT Std"/>
          <w:sz w:val="19"/>
          <w:szCs w:val="19"/>
        </w:rPr>
        <w:t xml:space="preserve">gos 30 en interacción en tiempo real con los anteriores; el motor de videojuegos; el software </w:t>
      </w:r>
      <w:r w:rsidRPr="006C4189">
        <w:rPr>
          <w:rFonts w:ascii="Helvetica LT Std" w:hAnsi="Helvetica LT Std"/>
          <w:sz w:val="19"/>
          <w:szCs w:val="19"/>
        </w:rPr>
        <w:lastRenderedPageBreak/>
        <w:t xml:space="preserve">de </w:t>
      </w:r>
      <w:proofErr w:type="spellStart"/>
      <w:r w:rsidRPr="006C4189">
        <w:rPr>
          <w:rFonts w:ascii="Helvetica LT Std" w:hAnsi="Helvetica LT Std"/>
          <w:sz w:val="19"/>
          <w:szCs w:val="19"/>
        </w:rPr>
        <w:t>ticketing</w:t>
      </w:r>
      <w:proofErr w:type="spellEnd"/>
      <w:r w:rsidRPr="006C4189">
        <w:rPr>
          <w:rFonts w:ascii="Helvetica LT Std" w:hAnsi="Helvetica LT Std"/>
          <w:sz w:val="19"/>
          <w:szCs w:val="19"/>
        </w:rPr>
        <w:t xml:space="preserve"> en el servicio de diagnóstico remoto; el software de </w:t>
      </w:r>
      <w:proofErr w:type="spellStart"/>
      <w:r w:rsidRPr="006C4189">
        <w:rPr>
          <w:rFonts w:ascii="Helvetica LT Std" w:hAnsi="Helvetica LT Std"/>
          <w:sz w:val="19"/>
          <w:szCs w:val="19"/>
        </w:rPr>
        <w:t>ticketing</w:t>
      </w:r>
      <w:proofErr w:type="spellEnd"/>
      <w:r w:rsidRPr="006C4189">
        <w:rPr>
          <w:rFonts w:ascii="Helvetica LT Std" w:hAnsi="Helvetica LT Std"/>
          <w:sz w:val="19"/>
          <w:szCs w:val="19"/>
        </w:rPr>
        <w:t xml:space="preserve"> de incidencias y el software de control de despliegues en el servicio de monitorización remota; los portales s</w:t>
      </w:r>
      <w:r w:rsidRPr="006C4189">
        <w:rPr>
          <w:rFonts w:ascii="Helvetica LT Std" w:hAnsi="Helvetica LT Std"/>
          <w:sz w:val="19"/>
          <w:szCs w:val="19"/>
        </w:rPr>
        <w:t>e</w:t>
      </w:r>
      <w:r w:rsidRPr="006C4189">
        <w:rPr>
          <w:rFonts w:ascii="Helvetica LT Std" w:hAnsi="Helvetica LT Std"/>
          <w:sz w:val="19"/>
          <w:szCs w:val="19"/>
        </w:rPr>
        <w:t>guros de internet para dar acceso a los datos al profesional y al cliente final; la web corpor</w:t>
      </w:r>
      <w:r w:rsidRPr="006C4189">
        <w:rPr>
          <w:rFonts w:ascii="Helvetica LT Std" w:hAnsi="Helvetica LT Std"/>
          <w:sz w:val="19"/>
          <w:szCs w:val="19"/>
        </w:rPr>
        <w:t>a</w:t>
      </w:r>
      <w:r w:rsidRPr="006C4189">
        <w:rPr>
          <w:rFonts w:ascii="Helvetica LT Std" w:hAnsi="Helvetica LT Std"/>
          <w:sz w:val="19"/>
          <w:szCs w:val="19"/>
        </w:rPr>
        <w:t>tiva; etc.</w:t>
      </w:r>
    </w:p>
    <w:p w:rsidR="00F065DE" w:rsidRPr="006C4189" w:rsidRDefault="00F065DE" w:rsidP="00F065DE">
      <w:pPr>
        <w:pStyle w:val="Prrafodelista"/>
        <w:numPr>
          <w:ilvl w:val="0"/>
          <w:numId w:val="6"/>
        </w:numPr>
        <w:spacing w:after="200" w:line="276" w:lineRule="auto"/>
        <w:jc w:val="left"/>
        <w:rPr>
          <w:rFonts w:ascii="Helvetica LT Std" w:hAnsi="Helvetica LT Std"/>
          <w:sz w:val="19"/>
          <w:szCs w:val="19"/>
        </w:rPr>
      </w:pPr>
      <w:r w:rsidRPr="006C4189">
        <w:rPr>
          <w:rFonts w:ascii="Helvetica LT Std" w:hAnsi="Helvetica LT Std"/>
          <w:sz w:val="19"/>
          <w:szCs w:val="19"/>
        </w:rPr>
        <w:t>La Clínica de Investigación, imprescindible para el desarrollo de los servicios clínicos, requ</w:t>
      </w:r>
      <w:r w:rsidRPr="006C4189">
        <w:rPr>
          <w:rFonts w:ascii="Helvetica LT Std" w:hAnsi="Helvetica LT Std"/>
          <w:sz w:val="19"/>
          <w:szCs w:val="19"/>
        </w:rPr>
        <w:t>i</w:t>
      </w:r>
      <w:r w:rsidRPr="006C4189">
        <w:rPr>
          <w:rFonts w:ascii="Helvetica LT Std" w:hAnsi="Helvetica LT Std"/>
          <w:sz w:val="19"/>
          <w:szCs w:val="19"/>
        </w:rPr>
        <w:t>rió perfiles específicos en el ámbito clínico tanto para asegurar el influjo de conocimiento, como para dar servicios clínicos que permitieran el necesario aprendizaje. Estos servicios requería alguna figura exigida por ley para este fin (Director Técnico de la Clínica), como personal suficiente para atender al volumen imprescindible de clientes.</w:t>
      </w:r>
    </w:p>
    <w:p w:rsidR="00F065DE" w:rsidRPr="0014257A" w:rsidRDefault="00F065DE" w:rsidP="00F065DE">
      <w:pPr>
        <w:pStyle w:val="Prrafodelista"/>
        <w:numPr>
          <w:ilvl w:val="0"/>
          <w:numId w:val="6"/>
        </w:numPr>
        <w:spacing w:after="200" w:line="276" w:lineRule="auto"/>
        <w:jc w:val="left"/>
        <w:rPr>
          <w:rFonts w:ascii="Helvetica LT Std" w:hAnsi="Helvetica LT Std"/>
          <w:sz w:val="19"/>
          <w:szCs w:val="19"/>
        </w:rPr>
      </w:pPr>
      <w:r w:rsidRPr="006C4189">
        <w:rPr>
          <w:rFonts w:ascii="Helvetica LT Std" w:hAnsi="Helvetica LT Std"/>
          <w:sz w:val="19"/>
          <w:szCs w:val="19"/>
        </w:rPr>
        <w:t>La captación de capital en modo inversión colectiva (mencionada en página 13) ha requer</w:t>
      </w:r>
      <w:r w:rsidRPr="006C4189">
        <w:rPr>
          <w:rFonts w:ascii="Helvetica LT Std" w:hAnsi="Helvetica LT Std"/>
          <w:sz w:val="19"/>
          <w:szCs w:val="19"/>
        </w:rPr>
        <w:t>i</w:t>
      </w:r>
      <w:r w:rsidRPr="006C4189">
        <w:rPr>
          <w:rFonts w:ascii="Helvetica LT Std" w:hAnsi="Helvetica LT Std"/>
          <w:sz w:val="19"/>
          <w:szCs w:val="19"/>
        </w:rPr>
        <w:t>do de recursos específicos para el desarrollo, mantenimiento y uso de la plataforma web de apoyo, como, sobre todo, para la interacción intensiva con más de</w:t>
      </w:r>
      <w:r>
        <w:rPr>
          <w:rFonts w:ascii="Helvetica LT Std" w:hAnsi="Helvetica LT Std"/>
          <w:sz w:val="19"/>
          <w:szCs w:val="19"/>
        </w:rPr>
        <w:t xml:space="preserve"> </w:t>
      </w:r>
      <w:r w:rsidRPr="0014257A">
        <w:rPr>
          <w:rFonts w:ascii="Helvetica LT Std" w:hAnsi="Helvetica LT Std"/>
          <w:sz w:val="19"/>
          <w:szCs w:val="19"/>
        </w:rPr>
        <w:t>3.000 inversores colect</w:t>
      </w:r>
      <w:r w:rsidRPr="0014257A">
        <w:rPr>
          <w:rFonts w:ascii="Helvetica LT Std" w:hAnsi="Helvetica LT Std"/>
          <w:sz w:val="19"/>
          <w:szCs w:val="19"/>
        </w:rPr>
        <w:t>i</w:t>
      </w:r>
      <w:r w:rsidRPr="0014257A">
        <w:rPr>
          <w:rFonts w:ascii="Helvetica LT Std" w:hAnsi="Helvetica LT Std"/>
          <w:sz w:val="19"/>
          <w:szCs w:val="19"/>
        </w:rPr>
        <w:t xml:space="preserve">vos. </w:t>
      </w:r>
    </w:p>
    <w:p w:rsidR="00F065DE" w:rsidRPr="006C4189" w:rsidRDefault="00F065DE" w:rsidP="00F065DE">
      <w:pPr>
        <w:pStyle w:val="Prrafodelista"/>
        <w:numPr>
          <w:ilvl w:val="0"/>
          <w:numId w:val="6"/>
        </w:numPr>
        <w:spacing w:after="200" w:line="276" w:lineRule="auto"/>
        <w:jc w:val="left"/>
        <w:rPr>
          <w:rFonts w:ascii="Helvetica LT Std" w:hAnsi="Helvetica LT Std"/>
          <w:sz w:val="19"/>
          <w:szCs w:val="19"/>
        </w:rPr>
      </w:pPr>
      <w:r w:rsidRPr="006C4189">
        <w:rPr>
          <w:rFonts w:ascii="Helvetica LT Std" w:hAnsi="Helvetica LT Std"/>
          <w:sz w:val="19"/>
          <w:szCs w:val="19"/>
        </w:rPr>
        <w:t>Etc.</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xml:space="preserve">– </w:t>
      </w:r>
      <w:r w:rsidRPr="0014257A">
        <w:rPr>
          <w:rFonts w:ascii="Helvetica LT Std" w:hAnsi="Helvetica LT Std"/>
          <w:b/>
          <w:sz w:val="19"/>
          <w:szCs w:val="19"/>
        </w:rPr>
        <w:t>Servicios corporativos</w:t>
      </w:r>
      <w:r w:rsidRPr="006C4189">
        <w:rPr>
          <w:rFonts w:ascii="Helvetica LT Std" w:hAnsi="Helvetica LT Std"/>
          <w:sz w:val="19"/>
          <w:szCs w:val="19"/>
        </w:rPr>
        <w:t xml:space="preserve">. </w:t>
      </w:r>
      <w:proofErr w:type="spellStart"/>
      <w:r>
        <w:rPr>
          <w:rFonts w:ascii="Helvetica LT Std" w:hAnsi="Helvetica LT Std"/>
          <w:sz w:val="19"/>
          <w:szCs w:val="19"/>
        </w:rPr>
        <w:t>Davalor</w:t>
      </w:r>
      <w:proofErr w:type="spellEnd"/>
      <w:r w:rsidRPr="006C4189">
        <w:rPr>
          <w:rFonts w:ascii="Helvetica LT Std" w:hAnsi="Helvetica LT Std"/>
          <w:sz w:val="19"/>
          <w:szCs w:val="19"/>
        </w:rPr>
        <w:t xml:space="preserve"> Salud ha necesitado c</w:t>
      </w:r>
      <w:r>
        <w:rPr>
          <w:rFonts w:ascii="Helvetica LT Std" w:hAnsi="Helvetica LT Std"/>
          <w:sz w:val="19"/>
          <w:szCs w:val="19"/>
        </w:rPr>
        <w:t>i</w:t>
      </w:r>
      <w:r w:rsidRPr="006C4189">
        <w:rPr>
          <w:rFonts w:ascii="Helvetica LT Std" w:hAnsi="Helvetica LT Std"/>
          <w:sz w:val="19"/>
          <w:szCs w:val="19"/>
        </w:rPr>
        <w:t>ertos recursos en Calidad, para afrontar el proceso de certificació</w:t>
      </w:r>
      <w:r>
        <w:rPr>
          <w:rFonts w:ascii="Helvetica LT Std" w:hAnsi="Helvetica LT Std"/>
          <w:sz w:val="19"/>
          <w:szCs w:val="19"/>
        </w:rPr>
        <w:t>n CE: implantar y certificar los sistemas internos de calidad,</w:t>
      </w:r>
      <w:r w:rsidRPr="006C4189">
        <w:rPr>
          <w:rFonts w:ascii="Helvetica LT Std" w:hAnsi="Helvetica LT Std"/>
          <w:sz w:val="19"/>
          <w:szCs w:val="19"/>
        </w:rPr>
        <w:t xml:space="preserve"> auditar los sistemas de calidad de proveedores, documentar el </w:t>
      </w:r>
      <w:proofErr w:type="spellStart"/>
      <w:r w:rsidRPr="006C4189">
        <w:rPr>
          <w:rFonts w:ascii="Helvetica LT Std" w:hAnsi="Helvetica LT Std"/>
          <w:sz w:val="19"/>
          <w:szCs w:val="19"/>
        </w:rPr>
        <w:t>Technical</w:t>
      </w:r>
      <w:proofErr w:type="spellEnd"/>
      <w:r w:rsidRPr="006C4189">
        <w:rPr>
          <w:rFonts w:ascii="Helvetica LT Std" w:hAnsi="Helvetica LT Std"/>
          <w:sz w:val="19"/>
          <w:szCs w:val="19"/>
        </w:rPr>
        <w:t xml:space="preserve"> File (m</w:t>
      </w:r>
      <w:r>
        <w:rPr>
          <w:rFonts w:ascii="Helvetica LT Std" w:hAnsi="Helvetica LT Std"/>
          <w:sz w:val="19"/>
          <w:szCs w:val="19"/>
        </w:rPr>
        <w:t>á</w:t>
      </w:r>
      <w:r w:rsidRPr="006C4189">
        <w:rPr>
          <w:rFonts w:ascii="Helvetica LT Std" w:hAnsi="Helvetica LT Std"/>
          <w:sz w:val="19"/>
          <w:szCs w:val="19"/>
        </w:rPr>
        <w:t>s de 2.000 páginas), etc. También ha n</w:t>
      </w:r>
      <w:r w:rsidRPr="006C4189">
        <w:rPr>
          <w:rFonts w:ascii="Helvetica LT Std" w:hAnsi="Helvetica LT Std"/>
          <w:sz w:val="19"/>
          <w:szCs w:val="19"/>
        </w:rPr>
        <w:t>e</w:t>
      </w:r>
      <w:r w:rsidRPr="006C4189">
        <w:rPr>
          <w:rFonts w:ascii="Helvetica LT Std" w:hAnsi="Helvetica LT Std"/>
          <w:sz w:val="19"/>
          <w:szCs w:val="19"/>
        </w:rPr>
        <w:t xml:space="preserve">cesitado personal en el </w:t>
      </w:r>
      <w:r>
        <w:rPr>
          <w:rFonts w:ascii="Helvetica LT Std" w:hAnsi="Helvetica LT Std"/>
          <w:sz w:val="19"/>
          <w:szCs w:val="19"/>
        </w:rPr>
        <w:t>á</w:t>
      </w:r>
      <w:r w:rsidRPr="006C4189">
        <w:rPr>
          <w:rFonts w:ascii="Helvetica LT Std" w:hAnsi="Helvetica LT Std"/>
          <w:sz w:val="19"/>
          <w:szCs w:val="19"/>
        </w:rPr>
        <w:t>rea de administración y finanzas, y en el área de marketing estratégico, etc.</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xml:space="preserve">– </w:t>
      </w:r>
      <w:r w:rsidRPr="0014257A">
        <w:rPr>
          <w:rFonts w:ascii="Helvetica LT Std" w:hAnsi="Helvetica LT Std"/>
          <w:b/>
          <w:sz w:val="19"/>
          <w:szCs w:val="19"/>
        </w:rPr>
        <w:t>Operaciones</w:t>
      </w:r>
      <w:r w:rsidRPr="006C4189">
        <w:rPr>
          <w:rFonts w:ascii="Helvetica LT Std" w:hAnsi="Helvetica LT Std"/>
          <w:sz w:val="19"/>
          <w:szCs w:val="19"/>
        </w:rPr>
        <w:t xml:space="preserve">. </w:t>
      </w:r>
      <w:proofErr w:type="spellStart"/>
      <w:r>
        <w:rPr>
          <w:rFonts w:ascii="Helvetica LT Std" w:hAnsi="Helvetica LT Std"/>
          <w:sz w:val="19"/>
          <w:szCs w:val="19"/>
        </w:rPr>
        <w:t>Davalor</w:t>
      </w:r>
      <w:proofErr w:type="spellEnd"/>
      <w:r w:rsidRPr="006C4189">
        <w:rPr>
          <w:rFonts w:ascii="Helvetica LT Std" w:hAnsi="Helvetica LT Std"/>
          <w:sz w:val="19"/>
          <w:szCs w:val="19"/>
        </w:rPr>
        <w:t xml:space="preserve"> Salud </w:t>
      </w:r>
      <w:r w:rsidRPr="0014257A">
        <w:rPr>
          <w:rFonts w:ascii="Helvetica LT Std" w:hAnsi="Helvetica LT Std"/>
          <w:sz w:val="19"/>
          <w:szCs w:val="19"/>
          <w:u w:val="single"/>
        </w:rPr>
        <w:t>no ha contratado plantilla en esta área</w:t>
      </w:r>
      <w:r w:rsidRPr="006C4189">
        <w:rPr>
          <w:rFonts w:ascii="Helvetica LT Std" w:hAnsi="Helvetica LT Std"/>
          <w:sz w:val="19"/>
          <w:szCs w:val="19"/>
        </w:rPr>
        <w:t xml:space="preserve"> ni lo hizo incluso cuando in</w:t>
      </w:r>
      <w:r w:rsidRPr="006C4189">
        <w:rPr>
          <w:rFonts w:ascii="Helvetica LT Std" w:hAnsi="Helvetica LT Std"/>
          <w:sz w:val="19"/>
          <w:szCs w:val="19"/>
        </w:rPr>
        <w:t>s</w:t>
      </w:r>
      <w:r w:rsidRPr="006C4189">
        <w:rPr>
          <w:rFonts w:ascii="Helvetica LT Std" w:hAnsi="Helvetica LT Std"/>
          <w:sz w:val="19"/>
          <w:szCs w:val="19"/>
        </w:rPr>
        <w:t>taló la primera EVA en el mercado en diciembre de 2016, puesto que aún ten</w:t>
      </w:r>
      <w:r>
        <w:rPr>
          <w:rFonts w:ascii="Helvetica LT Std" w:hAnsi="Helvetica LT Std"/>
          <w:sz w:val="19"/>
          <w:szCs w:val="19"/>
        </w:rPr>
        <w:t>í</w:t>
      </w:r>
      <w:r w:rsidRPr="006C4189">
        <w:rPr>
          <w:rFonts w:ascii="Helvetica LT Std" w:hAnsi="Helvetica LT Std"/>
          <w:sz w:val="19"/>
          <w:szCs w:val="19"/>
        </w:rPr>
        <w:t>a un carácter de exper</w:t>
      </w:r>
      <w:r w:rsidRPr="006C4189">
        <w:rPr>
          <w:rFonts w:ascii="Helvetica LT Std" w:hAnsi="Helvetica LT Std"/>
          <w:sz w:val="19"/>
          <w:szCs w:val="19"/>
        </w:rPr>
        <w:t>i</w:t>
      </w:r>
      <w:r w:rsidRPr="006C4189">
        <w:rPr>
          <w:rFonts w:ascii="Helvetica LT Std" w:hAnsi="Helvetica LT Std"/>
          <w:sz w:val="19"/>
          <w:szCs w:val="19"/>
        </w:rPr>
        <w:t>mentación comercial.</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xml:space="preserve">– </w:t>
      </w:r>
      <w:r w:rsidRPr="006C4189">
        <w:rPr>
          <w:rFonts w:ascii="Helvetica LT Std" w:hAnsi="Helvetica LT Std"/>
          <w:sz w:val="19"/>
          <w:szCs w:val="19"/>
        </w:rPr>
        <w:t>De todo ello, entendemos que:</w:t>
      </w:r>
    </w:p>
    <w:p w:rsidR="00F065DE" w:rsidRPr="0014257A" w:rsidRDefault="00F065DE" w:rsidP="00F065DE">
      <w:pPr>
        <w:pStyle w:val="Prrafodelista"/>
        <w:numPr>
          <w:ilvl w:val="0"/>
          <w:numId w:val="7"/>
        </w:numPr>
        <w:spacing w:after="200" w:line="276" w:lineRule="auto"/>
        <w:jc w:val="left"/>
        <w:rPr>
          <w:rFonts w:ascii="Helvetica LT Std" w:hAnsi="Helvetica LT Std"/>
          <w:sz w:val="19"/>
          <w:szCs w:val="19"/>
        </w:rPr>
      </w:pPr>
      <w:proofErr w:type="spellStart"/>
      <w:r w:rsidRPr="0014257A">
        <w:rPr>
          <w:rFonts w:ascii="Helvetica LT Std" w:hAnsi="Helvetica LT Std"/>
          <w:sz w:val="19"/>
          <w:szCs w:val="19"/>
        </w:rPr>
        <w:t>Davalor</w:t>
      </w:r>
      <w:proofErr w:type="spellEnd"/>
      <w:r>
        <w:rPr>
          <w:rFonts w:ascii="Helvetica LT Std" w:hAnsi="Helvetica LT Std"/>
          <w:sz w:val="19"/>
          <w:szCs w:val="19"/>
        </w:rPr>
        <w:t xml:space="preserve"> Salud ha utili</w:t>
      </w:r>
      <w:r w:rsidRPr="0014257A">
        <w:rPr>
          <w:rFonts w:ascii="Helvetica LT Std" w:hAnsi="Helvetica LT Std"/>
          <w:sz w:val="19"/>
          <w:szCs w:val="19"/>
        </w:rPr>
        <w:t>zado los recursos que ha necesitado para su desarrollo de producto y negocio tanto en la modalidad de contratación en plantilla (cuando uno de los objetivos era retener el conocimiento), como en la de subcontratación.</w:t>
      </w:r>
    </w:p>
    <w:p w:rsidR="00F065DE" w:rsidRPr="0014257A" w:rsidRDefault="00F065DE" w:rsidP="00F065DE">
      <w:pPr>
        <w:pStyle w:val="Prrafodelista"/>
        <w:numPr>
          <w:ilvl w:val="0"/>
          <w:numId w:val="7"/>
        </w:numPr>
        <w:spacing w:after="200" w:line="276" w:lineRule="auto"/>
        <w:jc w:val="left"/>
        <w:rPr>
          <w:rFonts w:ascii="Helvetica LT Std" w:hAnsi="Helvetica LT Std"/>
          <w:sz w:val="19"/>
          <w:szCs w:val="19"/>
        </w:rPr>
      </w:pPr>
      <w:r w:rsidRPr="0014257A">
        <w:rPr>
          <w:rFonts w:ascii="Helvetica LT Std" w:hAnsi="Helvetica LT Std"/>
          <w:sz w:val="19"/>
          <w:szCs w:val="19"/>
        </w:rPr>
        <w:t>Asumimos que afrontando un desarrollo de alta tecnología en múltiples dimensiones y en un ámbito de novedad radical mundial, hem</w:t>
      </w:r>
      <w:r>
        <w:rPr>
          <w:rFonts w:ascii="Helvetica LT Std" w:hAnsi="Helvetica LT Std"/>
          <w:sz w:val="19"/>
          <w:szCs w:val="19"/>
        </w:rPr>
        <w:t>os podido acumular más decisio</w:t>
      </w:r>
      <w:r w:rsidRPr="0014257A">
        <w:rPr>
          <w:rFonts w:ascii="Helvetica LT Std" w:hAnsi="Helvetica LT Std"/>
          <w:sz w:val="19"/>
          <w:szCs w:val="19"/>
        </w:rPr>
        <w:t>nes erróneas que en ámbitos más sencillos y mejor conocidos. Estas decisiones erróneas habrán reducido nuestra eficiencia de utilización de recursos, pero, hasta el</w:t>
      </w:r>
      <w:r>
        <w:rPr>
          <w:rFonts w:ascii="Helvetica LT Std" w:hAnsi="Helvetica LT Std"/>
          <w:sz w:val="19"/>
          <w:szCs w:val="19"/>
        </w:rPr>
        <w:t xml:space="preserve"> </w:t>
      </w:r>
      <w:r w:rsidRPr="0014257A">
        <w:rPr>
          <w:rFonts w:ascii="Helvetica LT Std" w:hAnsi="Helvetica LT Std"/>
          <w:sz w:val="19"/>
          <w:szCs w:val="19"/>
        </w:rPr>
        <w:t>momento, no han comprometido la eficacia del desarrollo técnico y comercial.</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xml:space="preserve">– </w:t>
      </w:r>
      <w:r w:rsidRPr="006C4189">
        <w:rPr>
          <w:rFonts w:ascii="Helvetica LT Std" w:hAnsi="Helvetica LT Std"/>
          <w:sz w:val="19"/>
          <w:szCs w:val="19"/>
        </w:rPr>
        <w:t>El hecho de afrontar un gran desarrollo tecnológico con muchas especialidades de conocimiento, junto al hecho de las posibles ineficiencias de gestión por la propia naturaleza disruptiva de dicho des</w:t>
      </w:r>
      <w:r w:rsidRPr="006C4189">
        <w:rPr>
          <w:rFonts w:ascii="Helvetica LT Std" w:hAnsi="Helvetica LT Std"/>
          <w:sz w:val="19"/>
          <w:szCs w:val="19"/>
        </w:rPr>
        <w:t>a</w:t>
      </w:r>
      <w:r w:rsidRPr="006C4189">
        <w:rPr>
          <w:rFonts w:ascii="Helvetica LT Std" w:hAnsi="Helvetica LT Std"/>
          <w:sz w:val="19"/>
          <w:szCs w:val="19"/>
        </w:rPr>
        <w:t>rrollo han implicado, como menciona el informe "un gasto elevado". Consideramos, sin embargo, que la expresión utilizada en el informe "la empresa ha operado con una estructura asimilable a un proyecto que ya estaba en</w:t>
      </w:r>
      <w:r>
        <w:rPr>
          <w:rFonts w:ascii="Helvetica LT Std" w:hAnsi="Helvetica LT Std"/>
          <w:sz w:val="19"/>
          <w:szCs w:val="19"/>
        </w:rPr>
        <w:t xml:space="preserve"> el mercado –con elevado coste–</w:t>
      </w:r>
      <w:r w:rsidRPr="006C4189">
        <w:rPr>
          <w:rFonts w:ascii="Helvetica LT Std" w:hAnsi="Helvetica LT Std"/>
          <w:sz w:val="19"/>
          <w:szCs w:val="19"/>
        </w:rPr>
        <w:t>, cuando efectivamente está en fase de lanzamiento" no refleja la realidad:</w:t>
      </w:r>
    </w:p>
    <w:p w:rsidR="00F065DE" w:rsidRPr="0014257A" w:rsidRDefault="00F065DE" w:rsidP="00F065DE">
      <w:pPr>
        <w:pStyle w:val="Prrafodelista"/>
        <w:numPr>
          <w:ilvl w:val="0"/>
          <w:numId w:val="8"/>
        </w:numPr>
        <w:spacing w:after="200" w:line="276" w:lineRule="auto"/>
        <w:jc w:val="left"/>
        <w:rPr>
          <w:rFonts w:ascii="Helvetica LT Std" w:hAnsi="Helvetica LT Std"/>
          <w:sz w:val="19"/>
          <w:szCs w:val="19"/>
        </w:rPr>
      </w:pPr>
      <w:r w:rsidRPr="0014257A">
        <w:rPr>
          <w:rFonts w:ascii="Helvetica LT Std" w:hAnsi="Helvetica LT Std"/>
          <w:sz w:val="19"/>
          <w:szCs w:val="19"/>
        </w:rPr>
        <w:t xml:space="preserve">El esquema indicado "empresa en lanzamiento" versus "empresa en el mercado" omite el concepto de "empresa en desarrollo de producto y del negocio" que, en el caso de </w:t>
      </w:r>
      <w:proofErr w:type="spellStart"/>
      <w:r w:rsidRPr="0014257A">
        <w:rPr>
          <w:rFonts w:ascii="Helvetica LT Std" w:hAnsi="Helvetica LT Std"/>
          <w:sz w:val="19"/>
          <w:szCs w:val="19"/>
        </w:rPr>
        <w:t>Davalor</w:t>
      </w:r>
      <w:proofErr w:type="spellEnd"/>
      <w:r w:rsidRPr="0014257A">
        <w:rPr>
          <w:rFonts w:ascii="Helvetica LT Std" w:hAnsi="Helvetica LT Std"/>
          <w:sz w:val="19"/>
          <w:szCs w:val="19"/>
        </w:rPr>
        <w:t xml:space="preserve"> Salud, ha sido de gran envergadura. Sin ese desarrollo previo, no tendría sentido el lanz</w:t>
      </w:r>
      <w:r w:rsidRPr="0014257A">
        <w:rPr>
          <w:rFonts w:ascii="Helvetica LT Std" w:hAnsi="Helvetica LT Std"/>
          <w:sz w:val="19"/>
          <w:szCs w:val="19"/>
        </w:rPr>
        <w:t>a</w:t>
      </w:r>
      <w:r w:rsidRPr="0014257A">
        <w:rPr>
          <w:rFonts w:ascii="Helvetica LT Std" w:hAnsi="Helvetica LT Std"/>
          <w:sz w:val="19"/>
          <w:szCs w:val="19"/>
        </w:rPr>
        <w:t>miento ni sería posible estar en el mercado.</w:t>
      </w:r>
    </w:p>
    <w:p w:rsidR="00F065DE" w:rsidRDefault="00F065DE" w:rsidP="00F065DE">
      <w:pPr>
        <w:pStyle w:val="Prrafodelista"/>
        <w:numPr>
          <w:ilvl w:val="0"/>
          <w:numId w:val="8"/>
        </w:numPr>
        <w:spacing w:after="200" w:line="276" w:lineRule="auto"/>
        <w:jc w:val="left"/>
        <w:rPr>
          <w:rFonts w:ascii="Helvetica LT Std" w:hAnsi="Helvetica LT Std"/>
          <w:sz w:val="19"/>
          <w:szCs w:val="19"/>
        </w:rPr>
      </w:pPr>
      <w:r w:rsidRPr="0014257A">
        <w:rPr>
          <w:rFonts w:ascii="Helvetica LT Std" w:hAnsi="Helvetica LT Std"/>
          <w:sz w:val="19"/>
          <w:szCs w:val="19"/>
        </w:rPr>
        <w:t>Si el gasto ha sido alto o bajo en términos absolutos no puede juzgarse por comparación con estar o no en el mercado, sino comparán</w:t>
      </w:r>
      <w:r>
        <w:rPr>
          <w:rFonts w:ascii="Helvetica LT Std" w:hAnsi="Helvetica LT Std"/>
          <w:sz w:val="19"/>
          <w:szCs w:val="19"/>
        </w:rPr>
        <w:t>dolo con el esfuerzo proyectado.</w:t>
      </w:r>
    </w:p>
    <w:p w:rsidR="00F065DE" w:rsidRDefault="00F065DE" w:rsidP="00F065DE">
      <w:pPr>
        <w:pStyle w:val="Prrafodelista"/>
        <w:ind w:left="1004"/>
        <w:rPr>
          <w:rFonts w:ascii="Helvetica LT Std" w:hAnsi="Helvetica LT Std"/>
          <w:sz w:val="19"/>
          <w:szCs w:val="19"/>
        </w:rPr>
      </w:pPr>
    </w:p>
    <w:p w:rsidR="00F065DE" w:rsidRPr="006C4189" w:rsidRDefault="00F065DE" w:rsidP="00F065DE">
      <w:pPr>
        <w:pStyle w:val="Prrafodelista"/>
        <w:ind w:left="0" w:firstLine="284"/>
        <w:rPr>
          <w:rFonts w:ascii="Helvetica LT Std" w:hAnsi="Helvetica LT Std"/>
          <w:sz w:val="19"/>
          <w:szCs w:val="19"/>
        </w:rPr>
      </w:pPr>
      <w:r>
        <w:rPr>
          <w:rFonts w:ascii="Helvetica LT Std" w:hAnsi="Helvetica LT Std"/>
          <w:sz w:val="19"/>
          <w:szCs w:val="19"/>
        </w:rPr>
        <w:t>20 de julio de 2017</w:t>
      </w:r>
    </w:p>
    <w:p w:rsidR="00F065DE" w:rsidRPr="006C4189" w:rsidRDefault="00F065DE" w:rsidP="00F065DE">
      <w:pPr>
        <w:ind w:firstLine="284"/>
        <w:rPr>
          <w:rFonts w:ascii="Helvetica LT Std" w:hAnsi="Helvetica LT Std"/>
          <w:sz w:val="19"/>
          <w:szCs w:val="19"/>
        </w:rPr>
      </w:pPr>
      <w:r w:rsidRPr="006C4189">
        <w:rPr>
          <w:rFonts w:ascii="Helvetica LT Std" w:hAnsi="Helvetica LT Std"/>
          <w:sz w:val="19"/>
          <w:szCs w:val="19"/>
        </w:rPr>
        <w:t>Juan José Marcos Muñoz</w:t>
      </w:r>
      <w:r>
        <w:rPr>
          <w:rFonts w:ascii="Helvetica LT Std" w:hAnsi="Helvetica LT Std"/>
          <w:sz w:val="19"/>
          <w:szCs w:val="19"/>
        </w:rPr>
        <w:t xml:space="preserve">, </w:t>
      </w:r>
      <w:proofErr w:type="spellStart"/>
      <w:r>
        <w:rPr>
          <w:rFonts w:ascii="Helvetica LT Std" w:hAnsi="Helvetica LT Std"/>
          <w:sz w:val="19"/>
          <w:szCs w:val="19"/>
        </w:rPr>
        <w:t>Davalor</w:t>
      </w:r>
      <w:proofErr w:type="spellEnd"/>
      <w:r w:rsidRPr="006C4189">
        <w:rPr>
          <w:rFonts w:ascii="Helvetica LT Std" w:hAnsi="Helvetica LT Std"/>
          <w:sz w:val="19"/>
          <w:szCs w:val="19"/>
        </w:rPr>
        <w:t xml:space="preserve"> Salud S.L.</w:t>
      </w:r>
    </w:p>
    <w:p w:rsidR="00F065DE" w:rsidRDefault="00F065DE" w:rsidP="00F065DE">
      <w:pPr>
        <w:pStyle w:val="texto"/>
        <w:tabs>
          <w:tab w:val="clear" w:pos="2835"/>
          <w:tab w:val="clear" w:pos="3969"/>
          <w:tab w:val="clear" w:pos="5103"/>
          <w:tab w:val="clear" w:pos="6237"/>
          <w:tab w:val="clear" w:pos="7371"/>
        </w:tabs>
        <w:jc w:val="left"/>
        <w:rPr>
          <w:rFonts w:eastAsia="Calibri"/>
          <w:szCs w:val="26"/>
          <w:lang w:eastAsia="es-ES"/>
        </w:rPr>
      </w:pPr>
    </w:p>
    <w:sectPr w:rsidR="00F065DE" w:rsidSect="00D5352C">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2CD" w:rsidRDefault="00C062CD">
      <w:r>
        <w:separator/>
      </w:r>
    </w:p>
    <w:p w:rsidR="00C062CD" w:rsidRDefault="00C062CD"/>
    <w:p w:rsidR="00C062CD" w:rsidRDefault="00C062CD"/>
    <w:p w:rsidR="00C062CD" w:rsidRDefault="00C062CD"/>
  </w:endnote>
  <w:endnote w:type="continuationSeparator" w:id="0">
    <w:p w:rsidR="00C062CD" w:rsidRDefault="00C062CD">
      <w:r>
        <w:continuationSeparator/>
      </w:r>
    </w:p>
    <w:p w:rsidR="00C062CD" w:rsidRDefault="00C062CD"/>
    <w:p w:rsidR="00C062CD" w:rsidRDefault="00C062CD"/>
    <w:p w:rsidR="00C062CD" w:rsidRDefault="00C06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Default="00C062C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62CD" w:rsidRDefault="00C062C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Pr="00F03814" w:rsidRDefault="00C062C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6857BE2" wp14:editId="19EE4D05">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C062CD" w:rsidRPr="00F74E38" w:rsidRDefault="00C062CD"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Default="00C062C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32584"/>
      <w:docPartObj>
        <w:docPartGallery w:val="Page Numbers (Bottom of Page)"/>
        <w:docPartUnique/>
      </w:docPartObj>
    </w:sdtPr>
    <w:sdtEndPr>
      <w:rPr>
        <w:b/>
        <w:color w:val="808080" w:themeColor="background1" w:themeShade="80"/>
        <w:sz w:val="36"/>
        <w:szCs w:val="36"/>
      </w:rPr>
    </w:sdtEndPr>
    <w:sdtContent>
      <w:p w:rsidR="00C062CD" w:rsidRDefault="00C062CD" w:rsidP="00621A26">
        <w:pPr>
          <w:pStyle w:val="Piedepgina"/>
          <w:jc w:val="center"/>
        </w:pPr>
        <w:r>
          <w:rPr>
            <w:rFonts w:ascii="GillSans" w:hAnsi="GillSans"/>
            <w:noProof/>
            <w:lang w:val="es-ES" w:eastAsia="es-ES"/>
          </w:rPr>
          <w:drawing>
            <wp:anchor distT="0" distB="0" distL="114300" distR="114300" simplePos="0" relativeHeight="251663360" behindDoc="0" locked="0" layoutInCell="1" allowOverlap="1" wp14:anchorId="1F50CFA0" wp14:editId="7A39FABF">
              <wp:simplePos x="0" y="0"/>
              <wp:positionH relativeFrom="column">
                <wp:posOffset>-216535</wp:posOffset>
              </wp:positionH>
              <wp:positionV relativeFrom="paragraph">
                <wp:posOffset>10160</wp:posOffset>
              </wp:positionV>
              <wp:extent cx="219075" cy="371475"/>
              <wp:effectExtent l="0" t="0" r="9525" b="9525"/>
              <wp:wrapSquare wrapText="bothSides"/>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2CD" w:rsidRPr="00621A26" w:rsidRDefault="00C062CD">
        <w:pPr>
          <w:pStyle w:val="Piedepgina"/>
          <w:jc w:val="center"/>
          <w:rPr>
            <w:sz w:val="22"/>
            <w:szCs w:val="22"/>
          </w:rPr>
        </w:pPr>
        <w:r>
          <w:t xml:space="preserve">- </w:t>
        </w:r>
        <w:r w:rsidRPr="00621A26">
          <w:rPr>
            <w:sz w:val="22"/>
            <w:szCs w:val="22"/>
          </w:rPr>
          <w:fldChar w:fldCharType="begin"/>
        </w:r>
        <w:r w:rsidRPr="00621A26">
          <w:rPr>
            <w:sz w:val="22"/>
            <w:szCs w:val="22"/>
          </w:rPr>
          <w:instrText>PAGE   \* MERGEFORMAT</w:instrText>
        </w:r>
        <w:r w:rsidRPr="00621A26">
          <w:rPr>
            <w:sz w:val="22"/>
            <w:szCs w:val="22"/>
          </w:rPr>
          <w:fldChar w:fldCharType="separate"/>
        </w:r>
        <w:r w:rsidR="00F065DE" w:rsidRPr="00F065DE">
          <w:rPr>
            <w:noProof/>
            <w:sz w:val="22"/>
            <w:szCs w:val="22"/>
            <w:lang w:val="es-ES"/>
          </w:rPr>
          <w:t>35</w:t>
        </w:r>
        <w:r w:rsidRPr="00621A26">
          <w:rPr>
            <w:sz w:val="22"/>
            <w:szCs w:val="22"/>
          </w:rPr>
          <w:fldChar w:fldCharType="end"/>
        </w:r>
        <w:r>
          <w:rPr>
            <w:sz w:val="22"/>
            <w:szCs w:val="22"/>
          </w:rPr>
          <w:t xml:space="preserve"> -</w:t>
        </w:r>
      </w:p>
      <w:p w:rsidR="00C062CD" w:rsidRPr="006A2A0A" w:rsidRDefault="00F065DE" w:rsidP="00621A26">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b/>
            <w:color w:val="808080" w:themeColor="background1" w:themeShade="80"/>
            <w:sz w:val="36"/>
            <w:szCs w:val="3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2CD" w:rsidRDefault="00C062CD" w:rsidP="001F2A05">
      <w:pPr>
        <w:ind w:firstLine="0"/>
      </w:pPr>
      <w:r>
        <w:separator/>
      </w:r>
    </w:p>
  </w:footnote>
  <w:footnote w:type="continuationSeparator" w:id="0">
    <w:p w:rsidR="00C062CD" w:rsidRDefault="00C062CD" w:rsidP="00A5319B">
      <w:pPr>
        <w:ind w:firstLine="0"/>
      </w:pPr>
      <w:r>
        <w:continuationSeparator/>
      </w:r>
    </w:p>
  </w:footnote>
  <w:footnote w:id="1">
    <w:p w:rsidR="00C062CD" w:rsidRDefault="00C062CD" w:rsidP="00B63BF3">
      <w:pPr>
        <w:pStyle w:val="Textonotapie"/>
        <w:ind w:firstLine="0"/>
      </w:pPr>
      <w:r>
        <w:rPr>
          <w:rStyle w:val="Refdenotaalpie"/>
        </w:rPr>
        <w:footnoteRef/>
      </w:r>
      <w:r>
        <w:t xml:space="preserve"> Sociedad gestionada por Sodena.</w:t>
      </w:r>
    </w:p>
  </w:footnote>
  <w:footnote w:id="2">
    <w:p w:rsidR="00C062CD" w:rsidRDefault="00C062CD" w:rsidP="00114CA2">
      <w:pPr>
        <w:pStyle w:val="Textonotapie"/>
        <w:spacing w:after="120"/>
        <w:ind w:firstLine="0"/>
      </w:pPr>
      <w:r>
        <w:rPr>
          <w:rStyle w:val="Refdenotaalpie"/>
        </w:rPr>
        <w:footnoteRef/>
      </w:r>
      <w:r>
        <w:t xml:space="preserve"> Se consideran Pymes a las empresas que emplean hasta 250 trabajadores; “</w:t>
      </w:r>
      <w:proofErr w:type="spellStart"/>
      <w:r>
        <w:t>Midcap</w:t>
      </w:r>
      <w:proofErr w:type="spellEnd"/>
      <w:r>
        <w:t>”, empresa de mediana capitalización, de menos de 3.000 empleados.</w:t>
      </w:r>
    </w:p>
  </w:footnote>
  <w:footnote w:id="3">
    <w:p w:rsidR="00C062CD" w:rsidRDefault="00C062CD" w:rsidP="00483647">
      <w:pPr>
        <w:pStyle w:val="Textonotapie"/>
        <w:ind w:firstLine="0"/>
      </w:pPr>
      <w:r>
        <w:rPr>
          <w:rStyle w:val="Refdenotaalpie"/>
        </w:rPr>
        <w:footnoteRef/>
      </w:r>
      <w:r>
        <w:t xml:space="preserve"> Párrafo modificado según alegación presentada por Davalor Salud, SL.</w:t>
      </w:r>
    </w:p>
  </w:footnote>
  <w:footnote w:id="4">
    <w:p w:rsidR="00C062CD" w:rsidRDefault="00C062CD" w:rsidP="00A527FD">
      <w:pPr>
        <w:pStyle w:val="Textonotapie"/>
        <w:spacing w:after="60"/>
        <w:ind w:firstLine="0"/>
      </w:pPr>
      <w:r>
        <w:rPr>
          <w:rStyle w:val="Refdenotaalpie"/>
        </w:rPr>
        <w:footnoteRef/>
      </w:r>
      <w:r>
        <w:t xml:space="preserve"> Párrafo modificado según alegación presentada por Davalor Salud, SL.</w:t>
      </w:r>
    </w:p>
  </w:footnote>
  <w:footnote w:id="5">
    <w:p w:rsidR="00C062CD" w:rsidRDefault="00C062CD" w:rsidP="00695DB2">
      <w:pPr>
        <w:pStyle w:val="Textonotapie"/>
        <w:spacing w:after="0"/>
        <w:ind w:firstLine="0"/>
      </w:pPr>
      <w:r>
        <w:rPr>
          <w:rStyle w:val="Refdenotaalpie"/>
        </w:rPr>
        <w:footnoteRef/>
      </w:r>
      <w:r>
        <w:t xml:space="preserve"> Importe indicado en la alegación presentada por Davalor Salud, SL.</w:t>
      </w:r>
    </w:p>
  </w:footnote>
  <w:footnote w:id="6">
    <w:p w:rsidR="00C062CD" w:rsidRDefault="00C062CD" w:rsidP="00695DB2">
      <w:pPr>
        <w:pStyle w:val="Textonotapie"/>
        <w:ind w:firstLine="0"/>
      </w:pPr>
      <w:r>
        <w:rPr>
          <w:rStyle w:val="Refdenotaalpie"/>
        </w:rPr>
        <w:footnoteRef/>
      </w:r>
      <w:r>
        <w:t xml:space="preserve"> Párrafo modificado según alegación presentada por Davalor Salud, SL.</w:t>
      </w:r>
    </w:p>
  </w:footnote>
  <w:footnote w:id="7">
    <w:p w:rsidR="00C062CD" w:rsidRDefault="00C062CD" w:rsidP="00A527FD">
      <w:pPr>
        <w:pStyle w:val="Textonotapie"/>
        <w:ind w:firstLine="0"/>
      </w:pPr>
      <w:r>
        <w:rPr>
          <w:rStyle w:val="Refdenotaalpie"/>
        </w:rPr>
        <w:footnoteRef/>
      </w:r>
      <w:r>
        <w:t xml:space="preserve"> Párrafo modificado según alegación presentada por Davalor Salud, SL.</w:t>
      </w:r>
    </w:p>
  </w:footnote>
  <w:footnote w:id="8">
    <w:p w:rsidR="00C062CD" w:rsidRDefault="00C062CD" w:rsidP="00B63BF3">
      <w:pPr>
        <w:pStyle w:val="Textonotapie"/>
        <w:spacing w:after="0"/>
        <w:ind w:firstLine="0"/>
      </w:pPr>
      <w:r>
        <w:rPr>
          <w:rStyle w:val="Refdenotaalpie"/>
        </w:rPr>
        <w:footnoteRef/>
      </w:r>
      <w:r>
        <w:t xml:space="preserve"> Inicialmente, Davalor solicitaba la concesión de un aval de cuatro millones; posteriormente, y ante la neg</w:t>
      </w:r>
      <w:r>
        <w:t>a</w:t>
      </w:r>
      <w:r>
        <w:t>tiva de Sodena a tal concesión, se le ofrece a la misma la fórmula de apoyo mediante la toma de participación en el capital.</w:t>
      </w:r>
    </w:p>
  </w:footnote>
  <w:footnote w:id="9">
    <w:p w:rsidR="00C062CD" w:rsidRDefault="00C062CD" w:rsidP="00B63BF3">
      <w:pPr>
        <w:pStyle w:val="Textonotapie"/>
        <w:spacing w:after="0"/>
        <w:ind w:firstLine="0"/>
      </w:pPr>
      <w:r>
        <w:rPr>
          <w:rStyle w:val="Refdenotaalpie"/>
        </w:rPr>
        <w:footnoteRef/>
      </w:r>
      <w:r>
        <w:t xml:space="preserve"> Según el acta de dicha sesión, el tema también fue tratado en la reunión del Consejo de 19 de mayo de 2015, sin adoptarse ningún acuerdo al respecto.</w:t>
      </w:r>
    </w:p>
  </w:footnote>
  <w:footnote w:id="10">
    <w:p w:rsidR="00C062CD" w:rsidRDefault="00C062CD" w:rsidP="00B63BF3">
      <w:pPr>
        <w:pStyle w:val="Textonotapie"/>
        <w:ind w:firstLine="0"/>
      </w:pPr>
      <w:r>
        <w:rPr>
          <w:rStyle w:val="Refdenotaalpie"/>
        </w:rPr>
        <w:footnoteRef/>
      </w:r>
      <w:r>
        <w:t xml:space="preserve"> El Consejo de Administración de Sodena fue renovado, como resultado del cambio de Gobierno Foral, el 14 de septiembre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Pr="0059650E" w:rsidRDefault="00C062CD" w:rsidP="00422598">
    <w:pPr>
      <w:pStyle w:val="Encabezado"/>
      <w:pBdr>
        <w:bottom w:val="single" w:sz="4" w:space="1" w:color="auto"/>
      </w:pBdr>
      <w:spacing w:after="40"/>
      <w:ind w:firstLine="0"/>
      <w:jc w:val="left"/>
      <w:rPr>
        <w:lang w:val="es-ES"/>
      </w:rPr>
    </w:pPr>
    <w:r>
      <w:rPr>
        <w:b/>
        <w:noProof/>
        <w:lang w:val="es-ES" w:eastAsia="es-ES"/>
      </w:rPr>
      <w:drawing>
        <wp:inline distT="0" distB="0" distL="0" distR="0" wp14:anchorId="1385A6A0" wp14:editId="0955F10B">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t>informe de fiscalización sobre los préstamos concedidos por Sodena, Sl a Davalor Salud, SL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Default="00C062CD" w:rsidP="006A2D41">
    <w:pPr>
      <w:pStyle w:val="Encabezado"/>
      <w:ind w:firstLine="0"/>
      <w:jc w:val="left"/>
    </w:pPr>
    <w:r>
      <w:rPr>
        <w:noProof/>
        <w:lang w:val="es-ES" w:eastAsia="es-ES"/>
      </w:rPr>
      <w:drawing>
        <wp:inline distT="0" distB="0" distL="0" distR="0" wp14:anchorId="660D69F8" wp14:editId="2BA72EE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Default="00C062CD" w:rsidP="002B46AD">
    <w:pPr>
      <w:pStyle w:val="Encabezado"/>
      <w:pBdr>
        <w:bottom w:val="single" w:sz="4" w:space="1" w:color="auto"/>
      </w:pBdr>
      <w:spacing w:after="40"/>
      <w:ind w:firstLine="0"/>
      <w:jc w:val="left"/>
      <w:rPr>
        <w:lang w:val="es-ES"/>
      </w:rPr>
    </w:pPr>
    <w:r>
      <w:rPr>
        <w:b/>
        <w:noProof/>
        <w:lang w:val="es-ES" w:eastAsia="es-ES"/>
      </w:rPr>
      <w:drawing>
        <wp:anchor distT="0" distB="0" distL="114300" distR="114300" simplePos="0" relativeHeight="251661312" behindDoc="0" locked="0" layoutInCell="1" allowOverlap="1" wp14:anchorId="58BA3D3E" wp14:editId="7BCC493D">
          <wp:simplePos x="0" y="0"/>
          <wp:positionH relativeFrom="column">
            <wp:posOffset>3810</wp:posOffset>
          </wp:positionH>
          <wp:positionV relativeFrom="paragraph">
            <wp:posOffset>3810</wp:posOffset>
          </wp:positionV>
          <wp:extent cx="714375" cy="705485"/>
          <wp:effectExtent l="0" t="0" r="9525" b="0"/>
          <wp:wrapSquare wrapText="bothSides"/>
          <wp:docPr id="13" name="Imagen 1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     </w:t>
    </w:r>
  </w:p>
  <w:p w:rsidR="00C062CD" w:rsidRDefault="00C062CD" w:rsidP="002B46AD">
    <w:pPr>
      <w:pStyle w:val="Encabezado"/>
      <w:pBdr>
        <w:bottom w:val="single" w:sz="4" w:space="1" w:color="auto"/>
      </w:pBdr>
      <w:spacing w:after="40"/>
      <w:ind w:firstLine="0"/>
      <w:jc w:val="left"/>
      <w:rPr>
        <w:lang w:val="es-ES"/>
      </w:rPr>
    </w:pPr>
  </w:p>
  <w:p w:rsidR="00C062CD" w:rsidRDefault="00C062CD" w:rsidP="002B46AD">
    <w:pPr>
      <w:pStyle w:val="Encabezado"/>
      <w:pBdr>
        <w:bottom w:val="single" w:sz="4" w:space="1" w:color="auto"/>
      </w:pBdr>
      <w:spacing w:after="40"/>
      <w:ind w:firstLine="0"/>
      <w:jc w:val="left"/>
      <w:rPr>
        <w:lang w:val="es-ES"/>
      </w:rPr>
    </w:pPr>
  </w:p>
  <w:p w:rsidR="00C062CD" w:rsidRDefault="00C062CD" w:rsidP="002B46AD">
    <w:pPr>
      <w:pStyle w:val="Encabezado"/>
      <w:pBdr>
        <w:bottom w:val="single" w:sz="4" w:space="1" w:color="auto"/>
      </w:pBdr>
      <w:spacing w:after="40"/>
      <w:ind w:firstLine="0"/>
      <w:jc w:val="left"/>
      <w:rPr>
        <w:lang w:val="es-ES"/>
      </w:rPr>
    </w:pPr>
  </w:p>
  <w:p w:rsidR="00C062CD" w:rsidRDefault="00C062CD" w:rsidP="002B46AD">
    <w:pPr>
      <w:pStyle w:val="Encabezado"/>
      <w:pBdr>
        <w:bottom w:val="single" w:sz="4" w:space="1" w:color="auto"/>
      </w:pBdr>
      <w:spacing w:after="40"/>
      <w:ind w:firstLine="0"/>
      <w:jc w:val="left"/>
      <w:rPr>
        <w:lang w:val="es-ES"/>
      </w:rPr>
    </w:pPr>
  </w:p>
  <w:p w:rsidR="00C062CD" w:rsidRPr="0059650E" w:rsidRDefault="00C062CD" w:rsidP="002B46AD">
    <w:pPr>
      <w:pStyle w:val="Encabezado"/>
      <w:pBdr>
        <w:bottom w:val="single" w:sz="4" w:space="1" w:color="auto"/>
      </w:pBdr>
      <w:spacing w:after="40"/>
      <w:ind w:firstLine="0"/>
      <w:jc w:val="left"/>
      <w:rPr>
        <w:lang w:val="es-ES"/>
      </w:rPr>
    </w:pPr>
    <w:r>
      <w:rPr>
        <w:lang w:val="es-ES"/>
      </w:rPr>
      <w:t xml:space="preserve">                                         informe de fiscalicación sobre los préstamos concedidos por Sodena, Sl a Davalor Salud, SL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5799"/>
    <w:multiLevelType w:val="hybridMultilevel"/>
    <w:tmpl w:val="800E20B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91674E9"/>
    <w:multiLevelType w:val="hybridMultilevel"/>
    <w:tmpl w:val="CC72AC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48D97DD8"/>
    <w:multiLevelType w:val="hybridMultilevel"/>
    <w:tmpl w:val="5C1C2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928"/>
        </w:tabs>
        <w:ind w:left="398" w:firstLine="170"/>
      </w:pPr>
      <w:rPr>
        <w:rFonts w:ascii="Wingdings" w:hAnsi="Wingdings" w:hint="default"/>
      </w:rPr>
    </w:lvl>
  </w:abstractNum>
  <w:abstractNum w:abstractNumId="6">
    <w:nsid w:val="6825183D"/>
    <w:multiLevelType w:val="hybridMultilevel"/>
    <w:tmpl w:val="60681252"/>
    <w:lvl w:ilvl="0" w:tplc="AF82825A">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7">
    <w:nsid w:val="798B1724"/>
    <w:multiLevelType w:val="hybridMultilevel"/>
    <w:tmpl w:val="E49483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0"/>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6BD"/>
    <w:rsid w:val="00000781"/>
    <w:rsid w:val="00000AAA"/>
    <w:rsid w:val="00000DD3"/>
    <w:rsid w:val="000019D8"/>
    <w:rsid w:val="00002221"/>
    <w:rsid w:val="00002640"/>
    <w:rsid w:val="00003073"/>
    <w:rsid w:val="00004162"/>
    <w:rsid w:val="000041F9"/>
    <w:rsid w:val="00004203"/>
    <w:rsid w:val="00004531"/>
    <w:rsid w:val="0000499E"/>
    <w:rsid w:val="00004E87"/>
    <w:rsid w:val="00005082"/>
    <w:rsid w:val="000055A2"/>
    <w:rsid w:val="00005604"/>
    <w:rsid w:val="00005A48"/>
    <w:rsid w:val="00005AAD"/>
    <w:rsid w:val="00005E98"/>
    <w:rsid w:val="00006736"/>
    <w:rsid w:val="00006A97"/>
    <w:rsid w:val="00006F99"/>
    <w:rsid w:val="00007069"/>
    <w:rsid w:val="00010F4B"/>
    <w:rsid w:val="00011172"/>
    <w:rsid w:val="0001123B"/>
    <w:rsid w:val="00011662"/>
    <w:rsid w:val="00011CCB"/>
    <w:rsid w:val="000120F8"/>
    <w:rsid w:val="0001223E"/>
    <w:rsid w:val="00012A7F"/>
    <w:rsid w:val="00012EC4"/>
    <w:rsid w:val="000132E9"/>
    <w:rsid w:val="00013553"/>
    <w:rsid w:val="00013752"/>
    <w:rsid w:val="000148C4"/>
    <w:rsid w:val="00014941"/>
    <w:rsid w:val="00015585"/>
    <w:rsid w:val="00015835"/>
    <w:rsid w:val="000165A4"/>
    <w:rsid w:val="00016A0C"/>
    <w:rsid w:val="00016A0F"/>
    <w:rsid w:val="00016CE7"/>
    <w:rsid w:val="0001781F"/>
    <w:rsid w:val="00017A3A"/>
    <w:rsid w:val="00017A48"/>
    <w:rsid w:val="00017BF7"/>
    <w:rsid w:val="000205D4"/>
    <w:rsid w:val="00020941"/>
    <w:rsid w:val="00020CD1"/>
    <w:rsid w:val="000212A1"/>
    <w:rsid w:val="000212A5"/>
    <w:rsid w:val="00021912"/>
    <w:rsid w:val="00021BF6"/>
    <w:rsid w:val="00021E2A"/>
    <w:rsid w:val="00021E3B"/>
    <w:rsid w:val="00022611"/>
    <w:rsid w:val="00022B43"/>
    <w:rsid w:val="00022FCE"/>
    <w:rsid w:val="00023062"/>
    <w:rsid w:val="00023842"/>
    <w:rsid w:val="00023EED"/>
    <w:rsid w:val="00023F3E"/>
    <w:rsid w:val="00024922"/>
    <w:rsid w:val="00024D15"/>
    <w:rsid w:val="0002530F"/>
    <w:rsid w:val="000253A5"/>
    <w:rsid w:val="00025E9B"/>
    <w:rsid w:val="00025F0D"/>
    <w:rsid w:val="00025FDF"/>
    <w:rsid w:val="00026242"/>
    <w:rsid w:val="00026720"/>
    <w:rsid w:val="00026779"/>
    <w:rsid w:val="00027034"/>
    <w:rsid w:val="00027092"/>
    <w:rsid w:val="0002788A"/>
    <w:rsid w:val="000301DB"/>
    <w:rsid w:val="000305E6"/>
    <w:rsid w:val="00030B06"/>
    <w:rsid w:val="00030EB6"/>
    <w:rsid w:val="00031839"/>
    <w:rsid w:val="00031B45"/>
    <w:rsid w:val="00032B64"/>
    <w:rsid w:val="00032BD6"/>
    <w:rsid w:val="00032D0F"/>
    <w:rsid w:val="0003340A"/>
    <w:rsid w:val="00033A91"/>
    <w:rsid w:val="00033BB1"/>
    <w:rsid w:val="00034301"/>
    <w:rsid w:val="00034399"/>
    <w:rsid w:val="000344EC"/>
    <w:rsid w:val="000349F5"/>
    <w:rsid w:val="000351F6"/>
    <w:rsid w:val="00035492"/>
    <w:rsid w:val="00035A3C"/>
    <w:rsid w:val="00036215"/>
    <w:rsid w:val="00036341"/>
    <w:rsid w:val="0003648B"/>
    <w:rsid w:val="000368F1"/>
    <w:rsid w:val="00036B82"/>
    <w:rsid w:val="00036C0F"/>
    <w:rsid w:val="00036E42"/>
    <w:rsid w:val="00036F10"/>
    <w:rsid w:val="00037F6A"/>
    <w:rsid w:val="000401DA"/>
    <w:rsid w:val="0004089C"/>
    <w:rsid w:val="00040911"/>
    <w:rsid w:val="00040DF4"/>
    <w:rsid w:val="00040FE1"/>
    <w:rsid w:val="00041D7D"/>
    <w:rsid w:val="00041F12"/>
    <w:rsid w:val="00042056"/>
    <w:rsid w:val="00042314"/>
    <w:rsid w:val="0004256B"/>
    <w:rsid w:val="00042714"/>
    <w:rsid w:val="0004283C"/>
    <w:rsid w:val="0004305C"/>
    <w:rsid w:val="0004325C"/>
    <w:rsid w:val="0004373B"/>
    <w:rsid w:val="00043A0C"/>
    <w:rsid w:val="00043C21"/>
    <w:rsid w:val="00043F9C"/>
    <w:rsid w:val="00044875"/>
    <w:rsid w:val="000448FA"/>
    <w:rsid w:val="00044A08"/>
    <w:rsid w:val="00044F0F"/>
    <w:rsid w:val="00044F35"/>
    <w:rsid w:val="00046373"/>
    <w:rsid w:val="000464A4"/>
    <w:rsid w:val="000468C3"/>
    <w:rsid w:val="000468D3"/>
    <w:rsid w:val="00046ADB"/>
    <w:rsid w:val="00047167"/>
    <w:rsid w:val="00047297"/>
    <w:rsid w:val="000478F4"/>
    <w:rsid w:val="000504A6"/>
    <w:rsid w:val="00050708"/>
    <w:rsid w:val="00050D8C"/>
    <w:rsid w:val="00050F35"/>
    <w:rsid w:val="000521D0"/>
    <w:rsid w:val="000528F8"/>
    <w:rsid w:val="000531FF"/>
    <w:rsid w:val="00053575"/>
    <w:rsid w:val="00053783"/>
    <w:rsid w:val="000537FA"/>
    <w:rsid w:val="00053A42"/>
    <w:rsid w:val="00053AA1"/>
    <w:rsid w:val="000545CB"/>
    <w:rsid w:val="00054E9A"/>
    <w:rsid w:val="0005517D"/>
    <w:rsid w:val="000553F7"/>
    <w:rsid w:val="00055968"/>
    <w:rsid w:val="0005601A"/>
    <w:rsid w:val="000561FF"/>
    <w:rsid w:val="00056408"/>
    <w:rsid w:val="00057461"/>
    <w:rsid w:val="00057914"/>
    <w:rsid w:val="000605A2"/>
    <w:rsid w:val="00060BEE"/>
    <w:rsid w:val="00060E69"/>
    <w:rsid w:val="0006133D"/>
    <w:rsid w:val="0006193A"/>
    <w:rsid w:val="000619FD"/>
    <w:rsid w:val="00061AA9"/>
    <w:rsid w:val="00062575"/>
    <w:rsid w:val="00063585"/>
    <w:rsid w:val="00063A9B"/>
    <w:rsid w:val="00064240"/>
    <w:rsid w:val="00064667"/>
    <w:rsid w:val="000649A0"/>
    <w:rsid w:val="00066838"/>
    <w:rsid w:val="000668B0"/>
    <w:rsid w:val="00066A20"/>
    <w:rsid w:val="00066FA6"/>
    <w:rsid w:val="000676C4"/>
    <w:rsid w:val="00067C61"/>
    <w:rsid w:val="00067F08"/>
    <w:rsid w:val="00070183"/>
    <w:rsid w:val="000702E1"/>
    <w:rsid w:val="000702E9"/>
    <w:rsid w:val="00071558"/>
    <w:rsid w:val="0007168C"/>
    <w:rsid w:val="00071CD0"/>
    <w:rsid w:val="00071F6B"/>
    <w:rsid w:val="00071FC3"/>
    <w:rsid w:val="00072413"/>
    <w:rsid w:val="000728EB"/>
    <w:rsid w:val="0007293A"/>
    <w:rsid w:val="00072B53"/>
    <w:rsid w:val="00073840"/>
    <w:rsid w:val="00073DA0"/>
    <w:rsid w:val="00073EAF"/>
    <w:rsid w:val="0007453D"/>
    <w:rsid w:val="00074C75"/>
    <w:rsid w:val="00074E22"/>
    <w:rsid w:val="00074ECC"/>
    <w:rsid w:val="000754B7"/>
    <w:rsid w:val="00075692"/>
    <w:rsid w:val="00075A0F"/>
    <w:rsid w:val="00075DC5"/>
    <w:rsid w:val="00075E69"/>
    <w:rsid w:val="0007622A"/>
    <w:rsid w:val="00076450"/>
    <w:rsid w:val="00076947"/>
    <w:rsid w:val="00076979"/>
    <w:rsid w:val="00076D92"/>
    <w:rsid w:val="00077297"/>
    <w:rsid w:val="000775FC"/>
    <w:rsid w:val="00077848"/>
    <w:rsid w:val="00077853"/>
    <w:rsid w:val="00080099"/>
    <w:rsid w:val="00080725"/>
    <w:rsid w:val="00080934"/>
    <w:rsid w:val="00080D16"/>
    <w:rsid w:val="000811B8"/>
    <w:rsid w:val="00081261"/>
    <w:rsid w:val="00081FE3"/>
    <w:rsid w:val="00082080"/>
    <w:rsid w:val="00082453"/>
    <w:rsid w:val="0008248E"/>
    <w:rsid w:val="000828E5"/>
    <w:rsid w:val="00082A28"/>
    <w:rsid w:val="000831B6"/>
    <w:rsid w:val="00083928"/>
    <w:rsid w:val="000839F5"/>
    <w:rsid w:val="00083ADC"/>
    <w:rsid w:val="00084177"/>
    <w:rsid w:val="0008442F"/>
    <w:rsid w:val="00084893"/>
    <w:rsid w:val="0008507E"/>
    <w:rsid w:val="00085687"/>
    <w:rsid w:val="00085937"/>
    <w:rsid w:val="00085A30"/>
    <w:rsid w:val="00085FE3"/>
    <w:rsid w:val="000862A3"/>
    <w:rsid w:val="00086A1F"/>
    <w:rsid w:val="00086F19"/>
    <w:rsid w:val="0008748F"/>
    <w:rsid w:val="00087624"/>
    <w:rsid w:val="00087B8D"/>
    <w:rsid w:val="00087E89"/>
    <w:rsid w:val="0009040B"/>
    <w:rsid w:val="00090905"/>
    <w:rsid w:val="00090988"/>
    <w:rsid w:val="00090E15"/>
    <w:rsid w:val="00092097"/>
    <w:rsid w:val="0009232E"/>
    <w:rsid w:val="0009240A"/>
    <w:rsid w:val="00092434"/>
    <w:rsid w:val="00092DF2"/>
    <w:rsid w:val="000930A1"/>
    <w:rsid w:val="00093D67"/>
    <w:rsid w:val="00093E60"/>
    <w:rsid w:val="000940D7"/>
    <w:rsid w:val="0009411D"/>
    <w:rsid w:val="00094A47"/>
    <w:rsid w:val="00094E3B"/>
    <w:rsid w:val="00094FCF"/>
    <w:rsid w:val="00095932"/>
    <w:rsid w:val="00095941"/>
    <w:rsid w:val="00095BE9"/>
    <w:rsid w:val="000969AF"/>
    <w:rsid w:val="00096E69"/>
    <w:rsid w:val="00096EDB"/>
    <w:rsid w:val="000A01FA"/>
    <w:rsid w:val="000A08FC"/>
    <w:rsid w:val="000A09EF"/>
    <w:rsid w:val="000A0AC8"/>
    <w:rsid w:val="000A0FCD"/>
    <w:rsid w:val="000A12A7"/>
    <w:rsid w:val="000A149D"/>
    <w:rsid w:val="000A1792"/>
    <w:rsid w:val="000A18B7"/>
    <w:rsid w:val="000A2061"/>
    <w:rsid w:val="000A225D"/>
    <w:rsid w:val="000A264F"/>
    <w:rsid w:val="000A26BE"/>
    <w:rsid w:val="000A27A2"/>
    <w:rsid w:val="000A29D0"/>
    <w:rsid w:val="000A2C1E"/>
    <w:rsid w:val="000A2DDE"/>
    <w:rsid w:val="000A34D8"/>
    <w:rsid w:val="000A35C1"/>
    <w:rsid w:val="000A39A9"/>
    <w:rsid w:val="000A3FAC"/>
    <w:rsid w:val="000A4219"/>
    <w:rsid w:val="000A42F6"/>
    <w:rsid w:val="000A4697"/>
    <w:rsid w:val="000A46F3"/>
    <w:rsid w:val="000A4A9C"/>
    <w:rsid w:val="000A4EDD"/>
    <w:rsid w:val="000A4FCC"/>
    <w:rsid w:val="000A51EE"/>
    <w:rsid w:val="000A5222"/>
    <w:rsid w:val="000A525A"/>
    <w:rsid w:val="000A5621"/>
    <w:rsid w:val="000A5AD2"/>
    <w:rsid w:val="000A5B88"/>
    <w:rsid w:val="000A65EC"/>
    <w:rsid w:val="000A6C4D"/>
    <w:rsid w:val="000A7623"/>
    <w:rsid w:val="000B0434"/>
    <w:rsid w:val="000B0B1E"/>
    <w:rsid w:val="000B0D4C"/>
    <w:rsid w:val="000B0E1E"/>
    <w:rsid w:val="000B0EB1"/>
    <w:rsid w:val="000B1536"/>
    <w:rsid w:val="000B1558"/>
    <w:rsid w:val="000B1576"/>
    <w:rsid w:val="000B16D4"/>
    <w:rsid w:val="000B18ED"/>
    <w:rsid w:val="000B1AB6"/>
    <w:rsid w:val="000B23DF"/>
    <w:rsid w:val="000B2728"/>
    <w:rsid w:val="000B2764"/>
    <w:rsid w:val="000B27A1"/>
    <w:rsid w:val="000B3943"/>
    <w:rsid w:val="000B429B"/>
    <w:rsid w:val="000B4477"/>
    <w:rsid w:val="000B4696"/>
    <w:rsid w:val="000B4CF6"/>
    <w:rsid w:val="000B5023"/>
    <w:rsid w:val="000B5065"/>
    <w:rsid w:val="000B526F"/>
    <w:rsid w:val="000B55D6"/>
    <w:rsid w:val="000B59B9"/>
    <w:rsid w:val="000B6896"/>
    <w:rsid w:val="000B6F64"/>
    <w:rsid w:val="000B770E"/>
    <w:rsid w:val="000B7D3A"/>
    <w:rsid w:val="000B7D8D"/>
    <w:rsid w:val="000C03E8"/>
    <w:rsid w:val="000C03F5"/>
    <w:rsid w:val="000C0704"/>
    <w:rsid w:val="000C0828"/>
    <w:rsid w:val="000C0E93"/>
    <w:rsid w:val="000C17DD"/>
    <w:rsid w:val="000C19FC"/>
    <w:rsid w:val="000C2411"/>
    <w:rsid w:val="000C2B07"/>
    <w:rsid w:val="000C30E9"/>
    <w:rsid w:val="000C3451"/>
    <w:rsid w:val="000C3495"/>
    <w:rsid w:val="000C3678"/>
    <w:rsid w:val="000C398A"/>
    <w:rsid w:val="000C39CC"/>
    <w:rsid w:val="000C3C0D"/>
    <w:rsid w:val="000C429F"/>
    <w:rsid w:val="000C4AB2"/>
    <w:rsid w:val="000C55C3"/>
    <w:rsid w:val="000C585C"/>
    <w:rsid w:val="000C6073"/>
    <w:rsid w:val="000C631F"/>
    <w:rsid w:val="000C6499"/>
    <w:rsid w:val="000C64D6"/>
    <w:rsid w:val="000C64F5"/>
    <w:rsid w:val="000C6B54"/>
    <w:rsid w:val="000C6EE2"/>
    <w:rsid w:val="000C6F3D"/>
    <w:rsid w:val="000C7225"/>
    <w:rsid w:val="000C7566"/>
    <w:rsid w:val="000C775B"/>
    <w:rsid w:val="000C78EA"/>
    <w:rsid w:val="000C7B2B"/>
    <w:rsid w:val="000C7C8D"/>
    <w:rsid w:val="000D07B1"/>
    <w:rsid w:val="000D09F6"/>
    <w:rsid w:val="000D0A95"/>
    <w:rsid w:val="000D0D34"/>
    <w:rsid w:val="000D0E71"/>
    <w:rsid w:val="000D0F6C"/>
    <w:rsid w:val="000D13D3"/>
    <w:rsid w:val="000D188E"/>
    <w:rsid w:val="000D1F16"/>
    <w:rsid w:val="000D2040"/>
    <w:rsid w:val="000D22D5"/>
    <w:rsid w:val="000D2601"/>
    <w:rsid w:val="000D2954"/>
    <w:rsid w:val="000D29E9"/>
    <w:rsid w:val="000D2A9F"/>
    <w:rsid w:val="000D302A"/>
    <w:rsid w:val="000D3959"/>
    <w:rsid w:val="000D3BAB"/>
    <w:rsid w:val="000D3E76"/>
    <w:rsid w:val="000D4327"/>
    <w:rsid w:val="000D47A6"/>
    <w:rsid w:val="000D48B4"/>
    <w:rsid w:val="000D4B4D"/>
    <w:rsid w:val="000D4D73"/>
    <w:rsid w:val="000D4F72"/>
    <w:rsid w:val="000D5178"/>
    <w:rsid w:val="000D5335"/>
    <w:rsid w:val="000D67E8"/>
    <w:rsid w:val="000D707C"/>
    <w:rsid w:val="000D70E5"/>
    <w:rsid w:val="000D713E"/>
    <w:rsid w:val="000D7B14"/>
    <w:rsid w:val="000D7C4A"/>
    <w:rsid w:val="000D7CB3"/>
    <w:rsid w:val="000E0F69"/>
    <w:rsid w:val="000E1030"/>
    <w:rsid w:val="000E167E"/>
    <w:rsid w:val="000E1981"/>
    <w:rsid w:val="000E1A1D"/>
    <w:rsid w:val="000E2297"/>
    <w:rsid w:val="000E283B"/>
    <w:rsid w:val="000E287F"/>
    <w:rsid w:val="000E2E81"/>
    <w:rsid w:val="000E2E9B"/>
    <w:rsid w:val="000E2F4C"/>
    <w:rsid w:val="000E361E"/>
    <w:rsid w:val="000E3C4F"/>
    <w:rsid w:val="000E3EF5"/>
    <w:rsid w:val="000E472F"/>
    <w:rsid w:val="000E4927"/>
    <w:rsid w:val="000E495B"/>
    <w:rsid w:val="000E4E1D"/>
    <w:rsid w:val="000E4F75"/>
    <w:rsid w:val="000E5894"/>
    <w:rsid w:val="000E5BB3"/>
    <w:rsid w:val="000E600D"/>
    <w:rsid w:val="000E6060"/>
    <w:rsid w:val="000E6102"/>
    <w:rsid w:val="000E6404"/>
    <w:rsid w:val="000E64FF"/>
    <w:rsid w:val="000E6630"/>
    <w:rsid w:val="000E6AE1"/>
    <w:rsid w:val="000E76BF"/>
    <w:rsid w:val="000E79F9"/>
    <w:rsid w:val="000E7B86"/>
    <w:rsid w:val="000E7C62"/>
    <w:rsid w:val="000E7EE8"/>
    <w:rsid w:val="000F000D"/>
    <w:rsid w:val="000F04AF"/>
    <w:rsid w:val="000F0DD0"/>
    <w:rsid w:val="000F0E7E"/>
    <w:rsid w:val="000F1931"/>
    <w:rsid w:val="000F1E67"/>
    <w:rsid w:val="000F23E5"/>
    <w:rsid w:val="000F2A2A"/>
    <w:rsid w:val="000F2B17"/>
    <w:rsid w:val="000F2B66"/>
    <w:rsid w:val="000F3371"/>
    <w:rsid w:val="000F3452"/>
    <w:rsid w:val="000F3478"/>
    <w:rsid w:val="000F3D83"/>
    <w:rsid w:val="000F442E"/>
    <w:rsid w:val="000F465E"/>
    <w:rsid w:val="000F49BE"/>
    <w:rsid w:val="000F4BCF"/>
    <w:rsid w:val="000F5424"/>
    <w:rsid w:val="000F58DA"/>
    <w:rsid w:val="000F5C5C"/>
    <w:rsid w:val="000F5EFF"/>
    <w:rsid w:val="000F6922"/>
    <w:rsid w:val="000F69EE"/>
    <w:rsid w:val="000F6BF1"/>
    <w:rsid w:val="000F7088"/>
    <w:rsid w:val="000F73EA"/>
    <w:rsid w:val="00100119"/>
    <w:rsid w:val="0010013F"/>
    <w:rsid w:val="00100476"/>
    <w:rsid w:val="00100A4A"/>
    <w:rsid w:val="00100E07"/>
    <w:rsid w:val="00100F12"/>
    <w:rsid w:val="00101B81"/>
    <w:rsid w:val="00101E1C"/>
    <w:rsid w:val="00102392"/>
    <w:rsid w:val="00102F39"/>
    <w:rsid w:val="00103489"/>
    <w:rsid w:val="00103589"/>
    <w:rsid w:val="0010370B"/>
    <w:rsid w:val="00103B8A"/>
    <w:rsid w:val="001045C9"/>
    <w:rsid w:val="00104FD5"/>
    <w:rsid w:val="001058CE"/>
    <w:rsid w:val="00105CF0"/>
    <w:rsid w:val="00105D2E"/>
    <w:rsid w:val="00105DA1"/>
    <w:rsid w:val="00106B98"/>
    <w:rsid w:val="00106FDC"/>
    <w:rsid w:val="00107585"/>
    <w:rsid w:val="001075C1"/>
    <w:rsid w:val="00107863"/>
    <w:rsid w:val="00107B90"/>
    <w:rsid w:val="00107CC1"/>
    <w:rsid w:val="00107CC7"/>
    <w:rsid w:val="00107F61"/>
    <w:rsid w:val="0011009E"/>
    <w:rsid w:val="00110483"/>
    <w:rsid w:val="00110545"/>
    <w:rsid w:val="00110AC5"/>
    <w:rsid w:val="001111E9"/>
    <w:rsid w:val="0011163B"/>
    <w:rsid w:val="00111A92"/>
    <w:rsid w:val="00111D80"/>
    <w:rsid w:val="00111FC7"/>
    <w:rsid w:val="001121D8"/>
    <w:rsid w:val="001122DF"/>
    <w:rsid w:val="00112AAA"/>
    <w:rsid w:val="00112BEB"/>
    <w:rsid w:val="001131A9"/>
    <w:rsid w:val="00113466"/>
    <w:rsid w:val="00113A5C"/>
    <w:rsid w:val="00113FC9"/>
    <w:rsid w:val="00114412"/>
    <w:rsid w:val="001145C3"/>
    <w:rsid w:val="00114751"/>
    <w:rsid w:val="00114978"/>
    <w:rsid w:val="00114CA2"/>
    <w:rsid w:val="00115624"/>
    <w:rsid w:val="001158AB"/>
    <w:rsid w:val="001159E2"/>
    <w:rsid w:val="00115E06"/>
    <w:rsid w:val="00116150"/>
    <w:rsid w:val="001161D2"/>
    <w:rsid w:val="00117573"/>
    <w:rsid w:val="001176AA"/>
    <w:rsid w:val="0011788E"/>
    <w:rsid w:val="00117E2F"/>
    <w:rsid w:val="00120085"/>
    <w:rsid w:val="001207A4"/>
    <w:rsid w:val="00120A8B"/>
    <w:rsid w:val="00120C02"/>
    <w:rsid w:val="00120C91"/>
    <w:rsid w:val="00120CBD"/>
    <w:rsid w:val="00120D31"/>
    <w:rsid w:val="001212CD"/>
    <w:rsid w:val="001215DC"/>
    <w:rsid w:val="00121E13"/>
    <w:rsid w:val="00122828"/>
    <w:rsid w:val="0012354F"/>
    <w:rsid w:val="00123574"/>
    <w:rsid w:val="001237FE"/>
    <w:rsid w:val="00123FC5"/>
    <w:rsid w:val="001246C8"/>
    <w:rsid w:val="00124AFE"/>
    <w:rsid w:val="00124B38"/>
    <w:rsid w:val="00124E7F"/>
    <w:rsid w:val="00125013"/>
    <w:rsid w:val="00125497"/>
    <w:rsid w:val="001255CD"/>
    <w:rsid w:val="00125FD4"/>
    <w:rsid w:val="00126284"/>
    <w:rsid w:val="00126702"/>
    <w:rsid w:val="001267D2"/>
    <w:rsid w:val="00126818"/>
    <w:rsid w:val="00126917"/>
    <w:rsid w:val="00126E34"/>
    <w:rsid w:val="00127D8C"/>
    <w:rsid w:val="00127FFD"/>
    <w:rsid w:val="001300A7"/>
    <w:rsid w:val="0013026C"/>
    <w:rsid w:val="00130480"/>
    <w:rsid w:val="001304F7"/>
    <w:rsid w:val="00130686"/>
    <w:rsid w:val="0013092A"/>
    <w:rsid w:val="00130F3E"/>
    <w:rsid w:val="0013107B"/>
    <w:rsid w:val="001310C0"/>
    <w:rsid w:val="00131899"/>
    <w:rsid w:val="00131DF1"/>
    <w:rsid w:val="001328E4"/>
    <w:rsid w:val="00132C38"/>
    <w:rsid w:val="00132DC3"/>
    <w:rsid w:val="00132DCA"/>
    <w:rsid w:val="001330B7"/>
    <w:rsid w:val="00133984"/>
    <w:rsid w:val="00133A1E"/>
    <w:rsid w:val="00133BB9"/>
    <w:rsid w:val="00135050"/>
    <w:rsid w:val="001359C4"/>
    <w:rsid w:val="00135B2C"/>
    <w:rsid w:val="00135DF2"/>
    <w:rsid w:val="0013633B"/>
    <w:rsid w:val="00136350"/>
    <w:rsid w:val="001365C4"/>
    <w:rsid w:val="00136768"/>
    <w:rsid w:val="00136C3B"/>
    <w:rsid w:val="001370C3"/>
    <w:rsid w:val="0013728E"/>
    <w:rsid w:val="00137666"/>
    <w:rsid w:val="00137870"/>
    <w:rsid w:val="001405F7"/>
    <w:rsid w:val="00140739"/>
    <w:rsid w:val="0014080D"/>
    <w:rsid w:val="00140EFC"/>
    <w:rsid w:val="00141052"/>
    <w:rsid w:val="0014147D"/>
    <w:rsid w:val="00141689"/>
    <w:rsid w:val="00141A82"/>
    <w:rsid w:val="00141C69"/>
    <w:rsid w:val="00141D29"/>
    <w:rsid w:val="00141D4A"/>
    <w:rsid w:val="00142181"/>
    <w:rsid w:val="001428A3"/>
    <w:rsid w:val="00143390"/>
    <w:rsid w:val="00143E85"/>
    <w:rsid w:val="0014471F"/>
    <w:rsid w:val="00144D15"/>
    <w:rsid w:val="00144DF9"/>
    <w:rsid w:val="0014506A"/>
    <w:rsid w:val="001458C3"/>
    <w:rsid w:val="00145A9D"/>
    <w:rsid w:val="001460F6"/>
    <w:rsid w:val="00146151"/>
    <w:rsid w:val="00146342"/>
    <w:rsid w:val="00146343"/>
    <w:rsid w:val="00146881"/>
    <w:rsid w:val="0014728F"/>
    <w:rsid w:val="00147EE0"/>
    <w:rsid w:val="00150983"/>
    <w:rsid w:val="00150B10"/>
    <w:rsid w:val="00151194"/>
    <w:rsid w:val="00151243"/>
    <w:rsid w:val="001521A2"/>
    <w:rsid w:val="00152358"/>
    <w:rsid w:val="00153382"/>
    <w:rsid w:val="00153539"/>
    <w:rsid w:val="00153678"/>
    <w:rsid w:val="0015367A"/>
    <w:rsid w:val="00153708"/>
    <w:rsid w:val="001537AF"/>
    <w:rsid w:val="0015461F"/>
    <w:rsid w:val="00154A81"/>
    <w:rsid w:val="0015558D"/>
    <w:rsid w:val="001556A3"/>
    <w:rsid w:val="00155BFF"/>
    <w:rsid w:val="001571B5"/>
    <w:rsid w:val="00157A5B"/>
    <w:rsid w:val="00157C59"/>
    <w:rsid w:val="00157CF0"/>
    <w:rsid w:val="001600BF"/>
    <w:rsid w:val="00160123"/>
    <w:rsid w:val="001602E6"/>
    <w:rsid w:val="00160327"/>
    <w:rsid w:val="00160AEA"/>
    <w:rsid w:val="00160B7A"/>
    <w:rsid w:val="00160F66"/>
    <w:rsid w:val="00161184"/>
    <w:rsid w:val="001611BD"/>
    <w:rsid w:val="00161B4F"/>
    <w:rsid w:val="00161E7D"/>
    <w:rsid w:val="0016213F"/>
    <w:rsid w:val="001622C0"/>
    <w:rsid w:val="00162587"/>
    <w:rsid w:val="001633AF"/>
    <w:rsid w:val="00163D75"/>
    <w:rsid w:val="00164155"/>
    <w:rsid w:val="001648C8"/>
    <w:rsid w:val="00164B0F"/>
    <w:rsid w:val="001654A0"/>
    <w:rsid w:val="001655D4"/>
    <w:rsid w:val="00165691"/>
    <w:rsid w:val="00165FD7"/>
    <w:rsid w:val="001668AB"/>
    <w:rsid w:val="00166A6C"/>
    <w:rsid w:val="00167371"/>
    <w:rsid w:val="00167A64"/>
    <w:rsid w:val="00167B41"/>
    <w:rsid w:val="001708D2"/>
    <w:rsid w:val="00171448"/>
    <w:rsid w:val="0017161E"/>
    <w:rsid w:val="00171A4E"/>
    <w:rsid w:val="00171B1C"/>
    <w:rsid w:val="001720EB"/>
    <w:rsid w:val="001729F2"/>
    <w:rsid w:val="00172E5B"/>
    <w:rsid w:val="001732F3"/>
    <w:rsid w:val="00173EDD"/>
    <w:rsid w:val="0017402B"/>
    <w:rsid w:val="001744B3"/>
    <w:rsid w:val="0017459B"/>
    <w:rsid w:val="00174606"/>
    <w:rsid w:val="00174909"/>
    <w:rsid w:val="00174933"/>
    <w:rsid w:val="00174E4E"/>
    <w:rsid w:val="00175A69"/>
    <w:rsid w:val="00175DF0"/>
    <w:rsid w:val="00175E9A"/>
    <w:rsid w:val="001761C3"/>
    <w:rsid w:val="0017645F"/>
    <w:rsid w:val="00176B06"/>
    <w:rsid w:val="00176BC5"/>
    <w:rsid w:val="00177149"/>
    <w:rsid w:val="0017760B"/>
    <w:rsid w:val="00177EC9"/>
    <w:rsid w:val="00177FFA"/>
    <w:rsid w:val="0018077E"/>
    <w:rsid w:val="00180C53"/>
    <w:rsid w:val="00180D21"/>
    <w:rsid w:val="0018107F"/>
    <w:rsid w:val="0018128E"/>
    <w:rsid w:val="00181AB5"/>
    <w:rsid w:val="00181D37"/>
    <w:rsid w:val="00181DA3"/>
    <w:rsid w:val="00181E9C"/>
    <w:rsid w:val="001829FB"/>
    <w:rsid w:val="00182DB2"/>
    <w:rsid w:val="00183412"/>
    <w:rsid w:val="001835B7"/>
    <w:rsid w:val="001838DC"/>
    <w:rsid w:val="001841D5"/>
    <w:rsid w:val="0018426B"/>
    <w:rsid w:val="0018440D"/>
    <w:rsid w:val="001847DE"/>
    <w:rsid w:val="00184DB2"/>
    <w:rsid w:val="00184F43"/>
    <w:rsid w:val="00185192"/>
    <w:rsid w:val="00185445"/>
    <w:rsid w:val="00185A37"/>
    <w:rsid w:val="001863D2"/>
    <w:rsid w:val="00186777"/>
    <w:rsid w:val="001868A4"/>
    <w:rsid w:val="00187E05"/>
    <w:rsid w:val="00190007"/>
    <w:rsid w:val="001908B4"/>
    <w:rsid w:val="00190C2F"/>
    <w:rsid w:val="001915D6"/>
    <w:rsid w:val="00191B74"/>
    <w:rsid w:val="00191C78"/>
    <w:rsid w:val="00191DD7"/>
    <w:rsid w:val="001923A8"/>
    <w:rsid w:val="00192BFC"/>
    <w:rsid w:val="0019331F"/>
    <w:rsid w:val="001933A0"/>
    <w:rsid w:val="00193748"/>
    <w:rsid w:val="001937E5"/>
    <w:rsid w:val="00194309"/>
    <w:rsid w:val="00194D8A"/>
    <w:rsid w:val="00194E92"/>
    <w:rsid w:val="00195084"/>
    <w:rsid w:val="001952B5"/>
    <w:rsid w:val="00195455"/>
    <w:rsid w:val="0019628D"/>
    <w:rsid w:val="001964B5"/>
    <w:rsid w:val="0019660E"/>
    <w:rsid w:val="00196953"/>
    <w:rsid w:val="00196F5E"/>
    <w:rsid w:val="00197172"/>
    <w:rsid w:val="001973E0"/>
    <w:rsid w:val="0019759C"/>
    <w:rsid w:val="00197A23"/>
    <w:rsid w:val="00197CF6"/>
    <w:rsid w:val="001A0239"/>
    <w:rsid w:val="001A0E4A"/>
    <w:rsid w:val="001A0E67"/>
    <w:rsid w:val="001A112F"/>
    <w:rsid w:val="001A1799"/>
    <w:rsid w:val="001A197F"/>
    <w:rsid w:val="001A1E32"/>
    <w:rsid w:val="001A2C0D"/>
    <w:rsid w:val="001A3578"/>
    <w:rsid w:val="001A37B3"/>
    <w:rsid w:val="001A3864"/>
    <w:rsid w:val="001A426D"/>
    <w:rsid w:val="001A428F"/>
    <w:rsid w:val="001A45C2"/>
    <w:rsid w:val="001A4A78"/>
    <w:rsid w:val="001A4B1E"/>
    <w:rsid w:val="001A517A"/>
    <w:rsid w:val="001A52F1"/>
    <w:rsid w:val="001A5FF0"/>
    <w:rsid w:val="001A6511"/>
    <w:rsid w:val="001A6D61"/>
    <w:rsid w:val="001A74B1"/>
    <w:rsid w:val="001A756A"/>
    <w:rsid w:val="001B0417"/>
    <w:rsid w:val="001B0451"/>
    <w:rsid w:val="001B0597"/>
    <w:rsid w:val="001B06A2"/>
    <w:rsid w:val="001B06DE"/>
    <w:rsid w:val="001B0A10"/>
    <w:rsid w:val="001B0DFE"/>
    <w:rsid w:val="001B13ED"/>
    <w:rsid w:val="001B1D89"/>
    <w:rsid w:val="001B2055"/>
    <w:rsid w:val="001B21FC"/>
    <w:rsid w:val="001B3046"/>
    <w:rsid w:val="001B30BC"/>
    <w:rsid w:val="001B3470"/>
    <w:rsid w:val="001B3685"/>
    <w:rsid w:val="001B39E2"/>
    <w:rsid w:val="001B39F8"/>
    <w:rsid w:val="001B3BE5"/>
    <w:rsid w:val="001B4089"/>
    <w:rsid w:val="001B47E5"/>
    <w:rsid w:val="001B4C48"/>
    <w:rsid w:val="001B5078"/>
    <w:rsid w:val="001B5891"/>
    <w:rsid w:val="001B5B58"/>
    <w:rsid w:val="001B5CBC"/>
    <w:rsid w:val="001B6455"/>
    <w:rsid w:val="001B64AB"/>
    <w:rsid w:val="001B673D"/>
    <w:rsid w:val="001B6A84"/>
    <w:rsid w:val="001B712E"/>
    <w:rsid w:val="001B7412"/>
    <w:rsid w:val="001B7DB1"/>
    <w:rsid w:val="001B7DFF"/>
    <w:rsid w:val="001C0E1D"/>
    <w:rsid w:val="001C102A"/>
    <w:rsid w:val="001C1062"/>
    <w:rsid w:val="001C147F"/>
    <w:rsid w:val="001C16A2"/>
    <w:rsid w:val="001C1B78"/>
    <w:rsid w:val="001C1D99"/>
    <w:rsid w:val="001C24DD"/>
    <w:rsid w:val="001C2B26"/>
    <w:rsid w:val="001C2C55"/>
    <w:rsid w:val="001C2DF7"/>
    <w:rsid w:val="001C3096"/>
    <w:rsid w:val="001C3129"/>
    <w:rsid w:val="001C34A7"/>
    <w:rsid w:val="001C3A2B"/>
    <w:rsid w:val="001C3A32"/>
    <w:rsid w:val="001C3AD6"/>
    <w:rsid w:val="001C3C5A"/>
    <w:rsid w:val="001C40FA"/>
    <w:rsid w:val="001C4B6F"/>
    <w:rsid w:val="001C4B7F"/>
    <w:rsid w:val="001C628B"/>
    <w:rsid w:val="001C6484"/>
    <w:rsid w:val="001C661A"/>
    <w:rsid w:val="001C681C"/>
    <w:rsid w:val="001C72D5"/>
    <w:rsid w:val="001C750E"/>
    <w:rsid w:val="001C79DC"/>
    <w:rsid w:val="001C7B9F"/>
    <w:rsid w:val="001C7C66"/>
    <w:rsid w:val="001C7EAA"/>
    <w:rsid w:val="001D02D9"/>
    <w:rsid w:val="001D02F9"/>
    <w:rsid w:val="001D068E"/>
    <w:rsid w:val="001D0B9B"/>
    <w:rsid w:val="001D0F67"/>
    <w:rsid w:val="001D1165"/>
    <w:rsid w:val="001D11FE"/>
    <w:rsid w:val="001D2BCA"/>
    <w:rsid w:val="001D2FFC"/>
    <w:rsid w:val="001D3D28"/>
    <w:rsid w:val="001D3E8D"/>
    <w:rsid w:val="001D4BF2"/>
    <w:rsid w:val="001D4F09"/>
    <w:rsid w:val="001D5B7A"/>
    <w:rsid w:val="001D5C1B"/>
    <w:rsid w:val="001D5EBE"/>
    <w:rsid w:val="001D68AA"/>
    <w:rsid w:val="001D6968"/>
    <w:rsid w:val="001E06D8"/>
    <w:rsid w:val="001E0E24"/>
    <w:rsid w:val="001E0F99"/>
    <w:rsid w:val="001E108E"/>
    <w:rsid w:val="001E115A"/>
    <w:rsid w:val="001E1411"/>
    <w:rsid w:val="001E17CB"/>
    <w:rsid w:val="001E18FB"/>
    <w:rsid w:val="001E1B94"/>
    <w:rsid w:val="001E1CE2"/>
    <w:rsid w:val="001E1D08"/>
    <w:rsid w:val="001E1D5C"/>
    <w:rsid w:val="001E2871"/>
    <w:rsid w:val="001E2A02"/>
    <w:rsid w:val="001E3D82"/>
    <w:rsid w:val="001E3F9B"/>
    <w:rsid w:val="001E4B93"/>
    <w:rsid w:val="001E4F02"/>
    <w:rsid w:val="001E55DC"/>
    <w:rsid w:val="001E5D69"/>
    <w:rsid w:val="001E6108"/>
    <w:rsid w:val="001E6672"/>
    <w:rsid w:val="001E6741"/>
    <w:rsid w:val="001E6F0C"/>
    <w:rsid w:val="001E7063"/>
    <w:rsid w:val="001E7189"/>
    <w:rsid w:val="001E77FC"/>
    <w:rsid w:val="001E7AE7"/>
    <w:rsid w:val="001E7C86"/>
    <w:rsid w:val="001F0092"/>
    <w:rsid w:val="001F022D"/>
    <w:rsid w:val="001F02EF"/>
    <w:rsid w:val="001F09F1"/>
    <w:rsid w:val="001F0C73"/>
    <w:rsid w:val="001F0D85"/>
    <w:rsid w:val="001F118D"/>
    <w:rsid w:val="001F1482"/>
    <w:rsid w:val="001F1B25"/>
    <w:rsid w:val="001F1E20"/>
    <w:rsid w:val="001F1E22"/>
    <w:rsid w:val="001F20D7"/>
    <w:rsid w:val="001F2304"/>
    <w:rsid w:val="001F2418"/>
    <w:rsid w:val="001F26C6"/>
    <w:rsid w:val="001F2A05"/>
    <w:rsid w:val="001F3165"/>
    <w:rsid w:val="001F323F"/>
    <w:rsid w:val="001F325D"/>
    <w:rsid w:val="001F3851"/>
    <w:rsid w:val="001F3B76"/>
    <w:rsid w:val="001F4548"/>
    <w:rsid w:val="001F4865"/>
    <w:rsid w:val="001F52CA"/>
    <w:rsid w:val="001F534D"/>
    <w:rsid w:val="001F55DC"/>
    <w:rsid w:val="001F59E1"/>
    <w:rsid w:val="001F6503"/>
    <w:rsid w:val="001F69EA"/>
    <w:rsid w:val="001F6AA3"/>
    <w:rsid w:val="001F7056"/>
    <w:rsid w:val="001F709B"/>
    <w:rsid w:val="001F75FD"/>
    <w:rsid w:val="001F7744"/>
    <w:rsid w:val="001F7D17"/>
    <w:rsid w:val="002001CE"/>
    <w:rsid w:val="00200324"/>
    <w:rsid w:val="0020097B"/>
    <w:rsid w:val="00201178"/>
    <w:rsid w:val="002014EB"/>
    <w:rsid w:val="00201729"/>
    <w:rsid w:val="0020183F"/>
    <w:rsid w:val="0020222C"/>
    <w:rsid w:val="00202A0B"/>
    <w:rsid w:val="00202B1A"/>
    <w:rsid w:val="002030F4"/>
    <w:rsid w:val="0020383A"/>
    <w:rsid w:val="002041EE"/>
    <w:rsid w:val="00204745"/>
    <w:rsid w:val="00204979"/>
    <w:rsid w:val="00204DEB"/>
    <w:rsid w:val="00205AC9"/>
    <w:rsid w:val="0020636F"/>
    <w:rsid w:val="00206D3B"/>
    <w:rsid w:val="0020716D"/>
    <w:rsid w:val="00207942"/>
    <w:rsid w:val="002079CB"/>
    <w:rsid w:val="00207D58"/>
    <w:rsid w:val="00211452"/>
    <w:rsid w:val="002118CC"/>
    <w:rsid w:val="00211905"/>
    <w:rsid w:val="00211C61"/>
    <w:rsid w:val="00211D69"/>
    <w:rsid w:val="00211EE5"/>
    <w:rsid w:val="002129DF"/>
    <w:rsid w:val="00212B59"/>
    <w:rsid w:val="00212CCD"/>
    <w:rsid w:val="00212E0E"/>
    <w:rsid w:val="002138B1"/>
    <w:rsid w:val="00213B95"/>
    <w:rsid w:val="00213C27"/>
    <w:rsid w:val="00213E98"/>
    <w:rsid w:val="00213FE7"/>
    <w:rsid w:val="0021409C"/>
    <w:rsid w:val="00214F6C"/>
    <w:rsid w:val="0021545A"/>
    <w:rsid w:val="002154BD"/>
    <w:rsid w:val="00215553"/>
    <w:rsid w:val="0021572B"/>
    <w:rsid w:val="0021587E"/>
    <w:rsid w:val="0021608E"/>
    <w:rsid w:val="00216C70"/>
    <w:rsid w:val="0021726F"/>
    <w:rsid w:val="002176E2"/>
    <w:rsid w:val="002179DB"/>
    <w:rsid w:val="00217C03"/>
    <w:rsid w:val="0022040C"/>
    <w:rsid w:val="00220DAF"/>
    <w:rsid w:val="00220F9D"/>
    <w:rsid w:val="00220FB5"/>
    <w:rsid w:val="00221630"/>
    <w:rsid w:val="002217E1"/>
    <w:rsid w:val="00221A4F"/>
    <w:rsid w:val="00221CCA"/>
    <w:rsid w:val="002228E8"/>
    <w:rsid w:val="00222AE6"/>
    <w:rsid w:val="00223A71"/>
    <w:rsid w:val="00224A7E"/>
    <w:rsid w:val="00224E50"/>
    <w:rsid w:val="00225058"/>
    <w:rsid w:val="0022523A"/>
    <w:rsid w:val="00225B2C"/>
    <w:rsid w:val="002261A0"/>
    <w:rsid w:val="002263B7"/>
    <w:rsid w:val="00226540"/>
    <w:rsid w:val="00226C3E"/>
    <w:rsid w:val="002270BD"/>
    <w:rsid w:val="00227161"/>
    <w:rsid w:val="002273FB"/>
    <w:rsid w:val="00227A03"/>
    <w:rsid w:val="00227A1D"/>
    <w:rsid w:val="00227E48"/>
    <w:rsid w:val="00230577"/>
    <w:rsid w:val="002305E0"/>
    <w:rsid w:val="00230A7F"/>
    <w:rsid w:val="00230B18"/>
    <w:rsid w:val="00231437"/>
    <w:rsid w:val="002317FE"/>
    <w:rsid w:val="0023209D"/>
    <w:rsid w:val="002322B4"/>
    <w:rsid w:val="00232338"/>
    <w:rsid w:val="002323EF"/>
    <w:rsid w:val="002333F8"/>
    <w:rsid w:val="0023383B"/>
    <w:rsid w:val="002338F8"/>
    <w:rsid w:val="00233A58"/>
    <w:rsid w:val="00233BB6"/>
    <w:rsid w:val="00233D79"/>
    <w:rsid w:val="0023439D"/>
    <w:rsid w:val="00234D86"/>
    <w:rsid w:val="00235152"/>
    <w:rsid w:val="002355BC"/>
    <w:rsid w:val="0023568C"/>
    <w:rsid w:val="002357BE"/>
    <w:rsid w:val="00236415"/>
    <w:rsid w:val="00236ADF"/>
    <w:rsid w:val="00236CD6"/>
    <w:rsid w:val="0023744B"/>
    <w:rsid w:val="0023751E"/>
    <w:rsid w:val="00237657"/>
    <w:rsid w:val="0024059F"/>
    <w:rsid w:val="00240670"/>
    <w:rsid w:val="0024068F"/>
    <w:rsid w:val="002406E1"/>
    <w:rsid w:val="00242177"/>
    <w:rsid w:val="00242257"/>
    <w:rsid w:val="00242651"/>
    <w:rsid w:val="002428AA"/>
    <w:rsid w:val="00242981"/>
    <w:rsid w:val="00242985"/>
    <w:rsid w:val="00242BA7"/>
    <w:rsid w:val="002433A2"/>
    <w:rsid w:val="002435FA"/>
    <w:rsid w:val="0024377D"/>
    <w:rsid w:val="002437B5"/>
    <w:rsid w:val="002437BD"/>
    <w:rsid w:val="00243BFA"/>
    <w:rsid w:val="00244532"/>
    <w:rsid w:val="002448C1"/>
    <w:rsid w:val="00244BB0"/>
    <w:rsid w:val="00244EF1"/>
    <w:rsid w:val="00245167"/>
    <w:rsid w:val="0024516C"/>
    <w:rsid w:val="002453C8"/>
    <w:rsid w:val="00245725"/>
    <w:rsid w:val="002457D9"/>
    <w:rsid w:val="002458C5"/>
    <w:rsid w:val="00246173"/>
    <w:rsid w:val="002461EC"/>
    <w:rsid w:val="0024658E"/>
    <w:rsid w:val="00246600"/>
    <w:rsid w:val="00246F21"/>
    <w:rsid w:val="002473F8"/>
    <w:rsid w:val="00247777"/>
    <w:rsid w:val="00247C07"/>
    <w:rsid w:val="0025028C"/>
    <w:rsid w:val="002502E8"/>
    <w:rsid w:val="002506A1"/>
    <w:rsid w:val="00250C74"/>
    <w:rsid w:val="00250E5B"/>
    <w:rsid w:val="00251342"/>
    <w:rsid w:val="002516BD"/>
    <w:rsid w:val="00251C95"/>
    <w:rsid w:val="00251EB4"/>
    <w:rsid w:val="002529B1"/>
    <w:rsid w:val="00252B24"/>
    <w:rsid w:val="00252B96"/>
    <w:rsid w:val="00252EB2"/>
    <w:rsid w:val="00252FC1"/>
    <w:rsid w:val="0025369E"/>
    <w:rsid w:val="0025381A"/>
    <w:rsid w:val="0025383C"/>
    <w:rsid w:val="00253E78"/>
    <w:rsid w:val="00254123"/>
    <w:rsid w:val="00254522"/>
    <w:rsid w:val="00254ACE"/>
    <w:rsid w:val="00254E1C"/>
    <w:rsid w:val="00255305"/>
    <w:rsid w:val="00255797"/>
    <w:rsid w:val="002561A0"/>
    <w:rsid w:val="0025620F"/>
    <w:rsid w:val="0025639B"/>
    <w:rsid w:val="002563C9"/>
    <w:rsid w:val="00256690"/>
    <w:rsid w:val="00256A0F"/>
    <w:rsid w:val="00257714"/>
    <w:rsid w:val="00257743"/>
    <w:rsid w:val="002577D1"/>
    <w:rsid w:val="00257FE1"/>
    <w:rsid w:val="00260A0C"/>
    <w:rsid w:val="00260A5D"/>
    <w:rsid w:val="00260B2B"/>
    <w:rsid w:val="00260E80"/>
    <w:rsid w:val="002610BB"/>
    <w:rsid w:val="0026160E"/>
    <w:rsid w:val="0026192B"/>
    <w:rsid w:val="00261D0D"/>
    <w:rsid w:val="00262A6F"/>
    <w:rsid w:val="00262B16"/>
    <w:rsid w:val="00262C3C"/>
    <w:rsid w:val="00262F79"/>
    <w:rsid w:val="00263CC9"/>
    <w:rsid w:val="0026400E"/>
    <w:rsid w:val="0026465D"/>
    <w:rsid w:val="00264C88"/>
    <w:rsid w:val="00264DF2"/>
    <w:rsid w:val="0026532C"/>
    <w:rsid w:val="0026539B"/>
    <w:rsid w:val="0026575D"/>
    <w:rsid w:val="00265E74"/>
    <w:rsid w:val="00265FD0"/>
    <w:rsid w:val="00266201"/>
    <w:rsid w:val="00266312"/>
    <w:rsid w:val="002665CC"/>
    <w:rsid w:val="00266753"/>
    <w:rsid w:val="002667F5"/>
    <w:rsid w:val="0026682B"/>
    <w:rsid w:val="00266EA5"/>
    <w:rsid w:val="00267229"/>
    <w:rsid w:val="002705B0"/>
    <w:rsid w:val="002712B3"/>
    <w:rsid w:val="002717A6"/>
    <w:rsid w:val="00271B05"/>
    <w:rsid w:val="00272015"/>
    <w:rsid w:val="00272540"/>
    <w:rsid w:val="00272621"/>
    <w:rsid w:val="00272DD8"/>
    <w:rsid w:val="00272E6C"/>
    <w:rsid w:val="002734C6"/>
    <w:rsid w:val="002736A0"/>
    <w:rsid w:val="00273B97"/>
    <w:rsid w:val="00273C10"/>
    <w:rsid w:val="002741D4"/>
    <w:rsid w:val="002747C7"/>
    <w:rsid w:val="0027487F"/>
    <w:rsid w:val="00274B4C"/>
    <w:rsid w:val="00274D80"/>
    <w:rsid w:val="00275596"/>
    <w:rsid w:val="0027559A"/>
    <w:rsid w:val="00275E4F"/>
    <w:rsid w:val="0027612E"/>
    <w:rsid w:val="00276264"/>
    <w:rsid w:val="002771FD"/>
    <w:rsid w:val="0027722B"/>
    <w:rsid w:val="00277631"/>
    <w:rsid w:val="00277A3C"/>
    <w:rsid w:val="00280EF7"/>
    <w:rsid w:val="00281ABD"/>
    <w:rsid w:val="00281DCA"/>
    <w:rsid w:val="00282906"/>
    <w:rsid w:val="00282E52"/>
    <w:rsid w:val="0028329B"/>
    <w:rsid w:val="00283B5C"/>
    <w:rsid w:val="00283C28"/>
    <w:rsid w:val="0028444E"/>
    <w:rsid w:val="002846A5"/>
    <w:rsid w:val="002848E5"/>
    <w:rsid w:val="00284993"/>
    <w:rsid w:val="00284A2C"/>
    <w:rsid w:val="00284C02"/>
    <w:rsid w:val="00284DA7"/>
    <w:rsid w:val="00284F9A"/>
    <w:rsid w:val="00285041"/>
    <w:rsid w:val="00285220"/>
    <w:rsid w:val="0028543E"/>
    <w:rsid w:val="00285655"/>
    <w:rsid w:val="00285678"/>
    <w:rsid w:val="002857BD"/>
    <w:rsid w:val="0028594B"/>
    <w:rsid w:val="00285985"/>
    <w:rsid w:val="00285D4F"/>
    <w:rsid w:val="002861F3"/>
    <w:rsid w:val="002865F0"/>
    <w:rsid w:val="002871DD"/>
    <w:rsid w:val="0028725F"/>
    <w:rsid w:val="00287D7E"/>
    <w:rsid w:val="00287EF9"/>
    <w:rsid w:val="0029006F"/>
    <w:rsid w:val="002903FF"/>
    <w:rsid w:val="00290593"/>
    <w:rsid w:val="0029063C"/>
    <w:rsid w:val="002908F2"/>
    <w:rsid w:val="00290902"/>
    <w:rsid w:val="00290B83"/>
    <w:rsid w:val="00290F34"/>
    <w:rsid w:val="002914C9"/>
    <w:rsid w:val="00292455"/>
    <w:rsid w:val="0029248A"/>
    <w:rsid w:val="002924F3"/>
    <w:rsid w:val="00292C08"/>
    <w:rsid w:val="00292C5A"/>
    <w:rsid w:val="00292D96"/>
    <w:rsid w:val="00293378"/>
    <w:rsid w:val="00294079"/>
    <w:rsid w:val="0029449C"/>
    <w:rsid w:val="0029475E"/>
    <w:rsid w:val="00294D00"/>
    <w:rsid w:val="0029555E"/>
    <w:rsid w:val="002960D0"/>
    <w:rsid w:val="0029660C"/>
    <w:rsid w:val="002967BA"/>
    <w:rsid w:val="0029699C"/>
    <w:rsid w:val="002969C8"/>
    <w:rsid w:val="00296E2B"/>
    <w:rsid w:val="002972C9"/>
    <w:rsid w:val="00297637"/>
    <w:rsid w:val="00297706"/>
    <w:rsid w:val="00297AB0"/>
    <w:rsid w:val="00297B04"/>
    <w:rsid w:val="002A002A"/>
    <w:rsid w:val="002A0255"/>
    <w:rsid w:val="002A0352"/>
    <w:rsid w:val="002A056C"/>
    <w:rsid w:val="002A05CF"/>
    <w:rsid w:val="002A17A8"/>
    <w:rsid w:val="002A1A5B"/>
    <w:rsid w:val="002A20CF"/>
    <w:rsid w:val="002A24A1"/>
    <w:rsid w:val="002A25E0"/>
    <w:rsid w:val="002A298F"/>
    <w:rsid w:val="002A2EFA"/>
    <w:rsid w:val="002A33FE"/>
    <w:rsid w:val="002A3864"/>
    <w:rsid w:val="002A3BB1"/>
    <w:rsid w:val="002A3BF0"/>
    <w:rsid w:val="002A3C6A"/>
    <w:rsid w:val="002A3CF8"/>
    <w:rsid w:val="002A413B"/>
    <w:rsid w:val="002A462C"/>
    <w:rsid w:val="002A4676"/>
    <w:rsid w:val="002A4B4A"/>
    <w:rsid w:val="002A537D"/>
    <w:rsid w:val="002A585A"/>
    <w:rsid w:val="002A5A43"/>
    <w:rsid w:val="002A5CCD"/>
    <w:rsid w:val="002A66A5"/>
    <w:rsid w:val="002A6EBB"/>
    <w:rsid w:val="002A76F7"/>
    <w:rsid w:val="002A771D"/>
    <w:rsid w:val="002A7D99"/>
    <w:rsid w:val="002A7EB4"/>
    <w:rsid w:val="002B0232"/>
    <w:rsid w:val="002B0A1D"/>
    <w:rsid w:val="002B12E4"/>
    <w:rsid w:val="002B13ED"/>
    <w:rsid w:val="002B1798"/>
    <w:rsid w:val="002B1B8E"/>
    <w:rsid w:val="002B1F9B"/>
    <w:rsid w:val="002B21E9"/>
    <w:rsid w:val="002B254E"/>
    <w:rsid w:val="002B2891"/>
    <w:rsid w:val="002B2A49"/>
    <w:rsid w:val="002B2B87"/>
    <w:rsid w:val="002B3260"/>
    <w:rsid w:val="002B34FC"/>
    <w:rsid w:val="002B3FEF"/>
    <w:rsid w:val="002B46AD"/>
    <w:rsid w:val="002B4D49"/>
    <w:rsid w:val="002B4E0F"/>
    <w:rsid w:val="002B501E"/>
    <w:rsid w:val="002B5190"/>
    <w:rsid w:val="002B5754"/>
    <w:rsid w:val="002B5840"/>
    <w:rsid w:val="002B5AF8"/>
    <w:rsid w:val="002B5F68"/>
    <w:rsid w:val="002B6745"/>
    <w:rsid w:val="002B67E6"/>
    <w:rsid w:val="002B6E3C"/>
    <w:rsid w:val="002B72D7"/>
    <w:rsid w:val="002B74A8"/>
    <w:rsid w:val="002B7F63"/>
    <w:rsid w:val="002C0414"/>
    <w:rsid w:val="002C0E9C"/>
    <w:rsid w:val="002C1485"/>
    <w:rsid w:val="002C16B7"/>
    <w:rsid w:val="002C1BE4"/>
    <w:rsid w:val="002C1DB2"/>
    <w:rsid w:val="002C1E9F"/>
    <w:rsid w:val="002C2A43"/>
    <w:rsid w:val="002C301E"/>
    <w:rsid w:val="002C44AB"/>
    <w:rsid w:val="002C4721"/>
    <w:rsid w:val="002C48AE"/>
    <w:rsid w:val="002C4A57"/>
    <w:rsid w:val="002C4ED9"/>
    <w:rsid w:val="002C55DC"/>
    <w:rsid w:val="002C581F"/>
    <w:rsid w:val="002C5A1A"/>
    <w:rsid w:val="002C60B7"/>
    <w:rsid w:val="002C6370"/>
    <w:rsid w:val="002C6882"/>
    <w:rsid w:val="002C69DD"/>
    <w:rsid w:val="002C6BF0"/>
    <w:rsid w:val="002C6D2A"/>
    <w:rsid w:val="002C7026"/>
    <w:rsid w:val="002C71CD"/>
    <w:rsid w:val="002C7494"/>
    <w:rsid w:val="002C789A"/>
    <w:rsid w:val="002C7BC0"/>
    <w:rsid w:val="002C7CCC"/>
    <w:rsid w:val="002C7DD1"/>
    <w:rsid w:val="002C7E08"/>
    <w:rsid w:val="002D0099"/>
    <w:rsid w:val="002D0530"/>
    <w:rsid w:val="002D05D6"/>
    <w:rsid w:val="002D06E5"/>
    <w:rsid w:val="002D089F"/>
    <w:rsid w:val="002D0DFA"/>
    <w:rsid w:val="002D1B2A"/>
    <w:rsid w:val="002D1ECE"/>
    <w:rsid w:val="002D210E"/>
    <w:rsid w:val="002D2313"/>
    <w:rsid w:val="002D240B"/>
    <w:rsid w:val="002D3031"/>
    <w:rsid w:val="002D387D"/>
    <w:rsid w:val="002D388B"/>
    <w:rsid w:val="002D3A3E"/>
    <w:rsid w:val="002D3B2F"/>
    <w:rsid w:val="002D3E0C"/>
    <w:rsid w:val="002D4169"/>
    <w:rsid w:val="002D4269"/>
    <w:rsid w:val="002D443A"/>
    <w:rsid w:val="002D465A"/>
    <w:rsid w:val="002D46D8"/>
    <w:rsid w:val="002D48DB"/>
    <w:rsid w:val="002D4BA7"/>
    <w:rsid w:val="002D5057"/>
    <w:rsid w:val="002D5635"/>
    <w:rsid w:val="002D5F7F"/>
    <w:rsid w:val="002D5FAF"/>
    <w:rsid w:val="002D65E8"/>
    <w:rsid w:val="002D6D12"/>
    <w:rsid w:val="002D7B7E"/>
    <w:rsid w:val="002D7CF9"/>
    <w:rsid w:val="002D7D32"/>
    <w:rsid w:val="002E02E5"/>
    <w:rsid w:val="002E0478"/>
    <w:rsid w:val="002E0791"/>
    <w:rsid w:val="002E0A46"/>
    <w:rsid w:val="002E0EA0"/>
    <w:rsid w:val="002E155D"/>
    <w:rsid w:val="002E1AF0"/>
    <w:rsid w:val="002E1B92"/>
    <w:rsid w:val="002E22CF"/>
    <w:rsid w:val="002E27C3"/>
    <w:rsid w:val="002E2DAA"/>
    <w:rsid w:val="002E2E5F"/>
    <w:rsid w:val="002E3038"/>
    <w:rsid w:val="002E399F"/>
    <w:rsid w:val="002E3FA8"/>
    <w:rsid w:val="002E4C02"/>
    <w:rsid w:val="002E5022"/>
    <w:rsid w:val="002E5089"/>
    <w:rsid w:val="002E510A"/>
    <w:rsid w:val="002E5286"/>
    <w:rsid w:val="002E52E2"/>
    <w:rsid w:val="002E5E76"/>
    <w:rsid w:val="002E5F07"/>
    <w:rsid w:val="002E62E9"/>
    <w:rsid w:val="002E6534"/>
    <w:rsid w:val="002E6E76"/>
    <w:rsid w:val="002E749D"/>
    <w:rsid w:val="002E75BE"/>
    <w:rsid w:val="002E7B81"/>
    <w:rsid w:val="002F0012"/>
    <w:rsid w:val="002F0456"/>
    <w:rsid w:val="002F0875"/>
    <w:rsid w:val="002F08A5"/>
    <w:rsid w:val="002F09FB"/>
    <w:rsid w:val="002F0D85"/>
    <w:rsid w:val="002F0DD8"/>
    <w:rsid w:val="002F0FE3"/>
    <w:rsid w:val="002F10F1"/>
    <w:rsid w:val="002F122E"/>
    <w:rsid w:val="002F1240"/>
    <w:rsid w:val="002F1AF0"/>
    <w:rsid w:val="002F1E01"/>
    <w:rsid w:val="002F23C9"/>
    <w:rsid w:val="002F2530"/>
    <w:rsid w:val="002F272A"/>
    <w:rsid w:val="002F2CB9"/>
    <w:rsid w:val="002F2DA7"/>
    <w:rsid w:val="002F30DF"/>
    <w:rsid w:val="002F3225"/>
    <w:rsid w:val="002F39F7"/>
    <w:rsid w:val="002F3DB6"/>
    <w:rsid w:val="002F479A"/>
    <w:rsid w:val="002F5038"/>
    <w:rsid w:val="002F53B4"/>
    <w:rsid w:val="002F5424"/>
    <w:rsid w:val="002F595C"/>
    <w:rsid w:val="002F61E9"/>
    <w:rsid w:val="002F6F8D"/>
    <w:rsid w:val="002F712F"/>
    <w:rsid w:val="002F74D8"/>
    <w:rsid w:val="002F76D6"/>
    <w:rsid w:val="002F7A38"/>
    <w:rsid w:val="00300419"/>
    <w:rsid w:val="003006DF"/>
    <w:rsid w:val="00300A33"/>
    <w:rsid w:val="003010A2"/>
    <w:rsid w:val="003010A5"/>
    <w:rsid w:val="003010E9"/>
    <w:rsid w:val="00301E9A"/>
    <w:rsid w:val="003026C5"/>
    <w:rsid w:val="00302A1C"/>
    <w:rsid w:val="00302CAA"/>
    <w:rsid w:val="00303506"/>
    <w:rsid w:val="00303B0F"/>
    <w:rsid w:val="00303E2A"/>
    <w:rsid w:val="00304017"/>
    <w:rsid w:val="00304181"/>
    <w:rsid w:val="003041FD"/>
    <w:rsid w:val="00304861"/>
    <w:rsid w:val="00305A86"/>
    <w:rsid w:val="00305B4B"/>
    <w:rsid w:val="00306EF0"/>
    <w:rsid w:val="00307057"/>
    <w:rsid w:val="003079B4"/>
    <w:rsid w:val="00307A0D"/>
    <w:rsid w:val="00307FEA"/>
    <w:rsid w:val="0031045A"/>
    <w:rsid w:val="00310712"/>
    <w:rsid w:val="00311751"/>
    <w:rsid w:val="00311B39"/>
    <w:rsid w:val="003124EC"/>
    <w:rsid w:val="00312819"/>
    <w:rsid w:val="00312E9C"/>
    <w:rsid w:val="00313875"/>
    <w:rsid w:val="0031394C"/>
    <w:rsid w:val="00313F4D"/>
    <w:rsid w:val="00314378"/>
    <w:rsid w:val="0031486F"/>
    <w:rsid w:val="00314A0E"/>
    <w:rsid w:val="00314A3E"/>
    <w:rsid w:val="00314AEB"/>
    <w:rsid w:val="00314CCA"/>
    <w:rsid w:val="0031546E"/>
    <w:rsid w:val="00315545"/>
    <w:rsid w:val="003161F2"/>
    <w:rsid w:val="00316389"/>
    <w:rsid w:val="00316EA7"/>
    <w:rsid w:val="0031743A"/>
    <w:rsid w:val="0031787A"/>
    <w:rsid w:val="003178D4"/>
    <w:rsid w:val="0031798E"/>
    <w:rsid w:val="00317C06"/>
    <w:rsid w:val="00317FE4"/>
    <w:rsid w:val="003203BF"/>
    <w:rsid w:val="003205FB"/>
    <w:rsid w:val="00320BEF"/>
    <w:rsid w:val="00321369"/>
    <w:rsid w:val="00321AB9"/>
    <w:rsid w:val="00321FBE"/>
    <w:rsid w:val="003222BE"/>
    <w:rsid w:val="00322DE9"/>
    <w:rsid w:val="00322E81"/>
    <w:rsid w:val="003235F5"/>
    <w:rsid w:val="003236D7"/>
    <w:rsid w:val="00323899"/>
    <w:rsid w:val="0032415E"/>
    <w:rsid w:val="00324C16"/>
    <w:rsid w:val="003252ED"/>
    <w:rsid w:val="0032532A"/>
    <w:rsid w:val="00325502"/>
    <w:rsid w:val="00326099"/>
    <w:rsid w:val="0032664F"/>
    <w:rsid w:val="00326CAE"/>
    <w:rsid w:val="0032742E"/>
    <w:rsid w:val="00327C96"/>
    <w:rsid w:val="00330028"/>
    <w:rsid w:val="0033004F"/>
    <w:rsid w:val="003303C0"/>
    <w:rsid w:val="00330787"/>
    <w:rsid w:val="0033080E"/>
    <w:rsid w:val="003309D6"/>
    <w:rsid w:val="00330E56"/>
    <w:rsid w:val="00331017"/>
    <w:rsid w:val="003315E6"/>
    <w:rsid w:val="00331819"/>
    <w:rsid w:val="00331AF7"/>
    <w:rsid w:val="00331E90"/>
    <w:rsid w:val="003324F4"/>
    <w:rsid w:val="003328C3"/>
    <w:rsid w:val="00332DC1"/>
    <w:rsid w:val="00333046"/>
    <w:rsid w:val="003334CC"/>
    <w:rsid w:val="0033377C"/>
    <w:rsid w:val="00333F72"/>
    <w:rsid w:val="0033419F"/>
    <w:rsid w:val="003341E2"/>
    <w:rsid w:val="00334416"/>
    <w:rsid w:val="00334951"/>
    <w:rsid w:val="00335087"/>
    <w:rsid w:val="00335342"/>
    <w:rsid w:val="003353C5"/>
    <w:rsid w:val="00335763"/>
    <w:rsid w:val="00335D3F"/>
    <w:rsid w:val="00335EF7"/>
    <w:rsid w:val="00336641"/>
    <w:rsid w:val="00336738"/>
    <w:rsid w:val="003370A3"/>
    <w:rsid w:val="00337488"/>
    <w:rsid w:val="00337493"/>
    <w:rsid w:val="003375AA"/>
    <w:rsid w:val="003376EB"/>
    <w:rsid w:val="0033770F"/>
    <w:rsid w:val="00337CF7"/>
    <w:rsid w:val="003403B8"/>
    <w:rsid w:val="003409EF"/>
    <w:rsid w:val="00340D11"/>
    <w:rsid w:val="00340EA7"/>
    <w:rsid w:val="003410EB"/>
    <w:rsid w:val="00341F45"/>
    <w:rsid w:val="0034226A"/>
    <w:rsid w:val="003422E5"/>
    <w:rsid w:val="0034263D"/>
    <w:rsid w:val="0034285F"/>
    <w:rsid w:val="00342B31"/>
    <w:rsid w:val="00343639"/>
    <w:rsid w:val="00343CE7"/>
    <w:rsid w:val="00343DC0"/>
    <w:rsid w:val="00344091"/>
    <w:rsid w:val="00344102"/>
    <w:rsid w:val="003441EF"/>
    <w:rsid w:val="00344209"/>
    <w:rsid w:val="00344444"/>
    <w:rsid w:val="003445A2"/>
    <w:rsid w:val="00344656"/>
    <w:rsid w:val="0034477F"/>
    <w:rsid w:val="0034495F"/>
    <w:rsid w:val="00345219"/>
    <w:rsid w:val="00345A9E"/>
    <w:rsid w:val="00345FCC"/>
    <w:rsid w:val="00346135"/>
    <w:rsid w:val="003464A4"/>
    <w:rsid w:val="00346745"/>
    <w:rsid w:val="00346A61"/>
    <w:rsid w:val="00346C37"/>
    <w:rsid w:val="00346F8E"/>
    <w:rsid w:val="0034780B"/>
    <w:rsid w:val="003478D0"/>
    <w:rsid w:val="0034795E"/>
    <w:rsid w:val="00347B38"/>
    <w:rsid w:val="0035007A"/>
    <w:rsid w:val="003503C0"/>
    <w:rsid w:val="00350708"/>
    <w:rsid w:val="00350BCA"/>
    <w:rsid w:val="00351634"/>
    <w:rsid w:val="00351684"/>
    <w:rsid w:val="003518BC"/>
    <w:rsid w:val="003519C0"/>
    <w:rsid w:val="00351CB5"/>
    <w:rsid w:val="00351E8F"/>
    <w:rsid w:val="003525B3"/>
    <w:rsid w:val="003526B2"/>
    <w:rsid w:val="00352E7A"/>
    <w:rsid w:val="00352EF4"/>
    <w:rsid w:val="00353655"/>
    <w:rsid w:val="003538CE"/>
    <w:rsid w:val="00353B85"/>
    <w:rsid w:val="00353C00"/>
    <w:rsid w:val="00353C01"/>
    <w:rsid w:val="003543FA"/>
    <w:rsid w:val="00354458"/>
    <w:rsid w:val="00354B28"/>
    <w:rsid w:val="00354E82"/>
    <w:rsid w:val="00355001"/>
    <w:rsid w:val="0035512A"/>
    <w:rsid w:val="0035519C"/>
    <w:rsid w:val="0035588B"/>
    <w:rsid w:val="00355F49"/>
    <w:rsid w:val="00356D0D"/>
    <w:rsid w:val="00357326"/>
    <w:rsid w:val="00357735"/>
    <w:rsid w:val="00357737"/>
    <w:rsid w:val="003579CE"/>
    <w:rsid w:val="00357AF8"/>
    <w:rsid w:val="00360750"/>
    <w:rsid w:val="00360CBA"/>
    <w:rsid w:val="00360F45"/>
    <w:rsid w:val="003611D3"/>
    <w:rsid w:val="00361751"/>
    <w:rsid w:val="003618AF"/>
    <w:rsid w:val="00361937"/>
    <w:rsid w:val="00361B11"/>
    <w:rsid w:val="00361D0B"/>
    <w:rsid w:val="00361D89"/>
    <w:rsid w:val="00361F78"/>
    <w:rsid w:val="00361F9E"/>
    <w:rsid w:val="00362493"/>
    <w:rsid w:val="0036275A"/>
    <w:rsid w:val="003627C0"/>
    <w:rsid w:val="0036287C"/>
    <w:rsid w:val="003630EE"/>
    <w:rsid w:val="00363653"/>
    <w:rsid w:val="003636BE"/>
    <w:rsid w:val="00363874"/>
    <w:rsid w:val="00363929"/>
    <w:rsid w:val="003639DE"/>
    <w:rsid w:val="00363ECA"/>
    <w:rsid w:val="003640F7"/>
    <w:rsid w:val="003647B0"/>
    <w:rsid w:val="0036509D"/>
    <w:rsid w:val="00365C57"/>
    <w:rsid w:val="003665A9"/>
    <w:rsid w:val="003665CC"/>
    <w:rsid w:val="0036661A"/>
    <w:rsid w:val="003672FF"/>
    <w:rsid w:val="00367848"/>
    <w:rsid w:val="0036790D"/>
    <w:rsid w:val="0037102A"/>
    <w:rsid w:val="00371081"/>
    <w:rsid w:val="00371383"/>
    <w:rsid w:val="003713EF"/>
    <w:rsid w:val="00371635"/>
    <w:rsid w:val="00371661"/>
    <w:rsid w:val="0037168B"/>
    <w:rsid w:val="00371DF5"/>
    <w:rsid w:val="00371ED5"/>
    <w:rsid w:val="003721DB"/>
    <w:rsid w:val="00372241"/>
    <w:rsid w:val="0037228C"/>
    <w:rsid w:val="00372B99"/>
    <w:rsid w:val="00372BE5"/>
    <w:rsid w:val="003737A7"/>
    <w:rsid w:val="003738FD"/>
    <w:rsid w:val="00373BB0"/>
    <w:rsid w:val="00373CB5"/>
    <w:rsid w:val="00374287"/>
    <w:rsid w:val="00374363"/>
    <w:rsid w:val="00374A52"/>
    <w:rsid w:val="00374DE0"/>
    <w:rsid w:val="00374E35"/>
    <w:rsid w:val="00375153"/>
    <w:rsid w:val="00375BD4"/>
    <w:rsid w:val="00375DC0"/>
    <w:rsid w:val="00376451"/>
    <w:rsid w:val="00376B49"/>
    <w:rsid w:val="00376CDC"/>
    <w:rsid w:val="00377128"/>
    <w:rsid w:val="003775B8"/>
    <w:rsid w:val="003775E8"/>
    <w:rsid w:val="00377C66"/>
    <w:rsid w:val="00377FCF"/>
    <w:rsid w:val="00380F70"/>
    <w:rsid w:val="003810BE"/>
    <w:rsid w:val="0038122A"/>
    <w:rsid w:val="003812CC"/>
    <w:rsid w:val="003826B5"/>
    <w:rsid w:val="003837C8"/>
    <w:rsid w:val="00384FC0"/>
    <w:rsid w:val="003859FD"/>
    <w:rsid w:val="00385A94"/>
    <w:rsid w:val="00385AB8"/>
    <w:rsid w:val="003861C7"/>
    <w:rsid w:val="00386F6C"/>
    <w:rsid w:val="00387621"/>
    <w:rsid w:val="00387675"/>
    <w:rsid w:val="00387709"/>
    <w:rsid w:val="00387719"/>
    <w:rsid w:val="00387794"/>
    <w:rsid w:val="003878E7"/>
    <w:rsid w:val="00387904"/>
    <w:rsid w:val="00387C4D"/>
    <w:rsid w:val="00390147"/>
    <w:rsid w:val="00390379"/>
    <w:rsid w:val="003905B5"/>
    <w:rsid w:val="0039090A"/>
    <w:rsid w:val="00390B06"/>
    <w:rsid w:val="003912CC"/>
    <w:rsid w:val="00391DA7"/>
    <w:rsid w:val="00393628"/>
    <w:rsid w:val="003937DB"/>
    <w:rsid w:val="00393A2A"/>
    <w:rsid w:val="003940F4"/>
    <w:rsid w:val="0039414D"/>
    <w:rsid w:val="003946E4"/>
    <w:rsid w:val="003947DC"/>
    <w:rsid w:val="00394B06"/>
    <w:rsid w:val="00395C8C"/>
    <w:rsid w:val="0039610F"/>
    <w:rsid w:val="003962A1"/>
    <w:rsid w:val="00396989"/>
    <w:rsid w:val="00396B9F"/>
    <w:rsid w:val="00397162"/>
    <w:rsid w:val="003A060B"/>
    <w:rsid w:val="003A1A84"/>
    <w:rsid w:val="003A2790"/>
    <w:rsid w:val="003A2934"/>
    <w:rsid w:val="003A2B8D"/>
    <w:rsid w:val="003A2F01"/>
    <w:rsid w:val="003A303A"/>
    <w:rsid w:val="003A335E"/>
    <w:rsid w:val="003A381F"/>
    <w:rsid w:val="003A3DD2"/>
    <w:rsid w:val="003A445E"/>
    <w:rsid w:val="003A44DE"/>
    <w:rsid w:val="003A478E"/>
    <w:rsid w:val="003A4B0C"/>
    <w:rsid w:val="003A4DD8"/>
    <w:rsid w:val="003A515E"/>
    <w:rsid w:val="003A57B3"/>
    <w:rsid w:val="003A5D6A"/>
    <w:rsid w:val="003A5FFE"/>
    <w:rsid w:val="003A6260"/>
    <w:rsid w:val="003A63F5"/>
    <w:rsid w:val="003A6B3C"/>
    <w:rsid w:val="003A732C"/>
    <w:rsid w:val="003A761F"/>
    <w:rsid w:val="003A7C47"/>
    <w:rsid w:val="003A7D03"/>
    <w:rsid w:val="003B0779"/>
    <w:rsid w:val="003B0791"/>
    <w:rsid w:val="003B10E2"/>
    <w:rsid w:val="003B1120"/>
    <w:rsid w:val="003B1514"/>
    <w:rsid w:val="003B1A82"/>
    <w:rsid w:val="003B1EF2"/>
    <w:rsid w:val="003B253D"/>
    <w:rsid w:val="003B2AF5"/>
    <w:rsid w:val="003B2BC6"/>
    <w:rsid w:val="003B2FC4"/>
    <w:rsid w:val="003B312F"/>
    <w:rsid w:val="003B334F"/>
    <w:rsid w:val="003B3573"/>
    <w:rsid w:val="003B35A5"/>
    <w:rsid w:val="003B3699"/>
    <w:rsid w:val="003B3E45"/>
    <w:rsid w:val="003B3F53"/>
    <w:rsid w:val="003B40C4"/>
    <w:rsid w:val="003B4183"/>
    <w:rsid w:val="003B4931"/>
    <w:rsid w:val="003B4C93"/>
    <w:rsid w:val="003B53E5"/>
    <w:rsid w:val="003B57BB"/>
    <w:rsid w:val="003B5813"/>
    <w:rsid w:val="003B5BED"/>
    <w:rsid w:val="003B6564"/>
    <w:rsid w:val="003B66CB"/>
    <w:rsid w:val="003B699E"/>
    <w:rsid w:val="003B6DCB"/>
    <w:rsid w:val="003B7081"/>
    <w:rsid w:val="003B79FB"/>
    <w:rsid w:val="003B7B30"/>
    <w:rsid w:val="003B7B65"/>
    <w:rsid w:val="003B7CE7"/>
    <w:rsid w:val="003C0050"/>
    <w:rsid w:val="003C03EA"/>
    <w:rsid w:val="003C0689"/>
    <w:rsid w:val="003C0CE6"/>
    <w:rsid w:val="003C1284"/>
    <w:rsid w:val="003C196B"/>
    <w:rsid w:val="003C1986"/>
    <w:rsid w:val="003C1BF9"/>
    <w:rsid w:val="003C1CB3"/>
    <w:rsid w:val="003C209B"/>
    <w:rsid w:val="003C2B44"/>
    <w:rsid w:val="003C315E"/>
    <w:rsid w:val="003C32F6"/>
    <w:rsid w:val="003C3609"/>
    <w:rsid w:val="003C360F"/>
    <w:rsid w:val="003C3AD4"/>
    <w:rsid w:val="003C3B73"/>
    <w:rsid w:val="003C3FAC"/>
    <w:rsid w:val="003C402B"/>
    <w:rsid w:val="003C42AA"/>
    <w:rsid w:val="003C447D"/>
    <w:rsid w:val="003C454C"/>
    <w:rsid w:val="003C4D81"/>
    <w:rsid w:val="003C4E9C"/>
    <w:rsid w:val="003C51AE"/>
    <w:rsid w:val="003C52B8"/>
    <w:rsid w:val="003C55B2"/>
    <w:rsid w:val="003C58A4"/>
    <w:rsid w:val="003C5916"/>
    <w:rsid w:val="003C5BB0"/>
    <w:rsid w:val="003C5E11"/>
    <w:rsid w:val="003C5F92"/>
    <w:rsid w:val="003C614A"/>
    <w:rsid w:val="003C69D9"/>
    <w:rsid w:val="003C6E1D"/>
    <w:rsid w:val="003C7495"/>
    <w:rsid w:val="003C7784"/>
    <w:rsid w:val="003C7B82"/>
    <w:rsid w:val="003C7D5C"/>
    <w:rsid w:val="003D058C"/>
    <w:rsid w:val="003D05C3"/>
    <w:rsid w:val="003D1006"/>
    <w:rsid w:val="003D14EF"/>
    <w:rsid w:val="003D1771"/>
    <w:rsid w:val="003D1F78"/>
    <w:rsid w:val="003D2634"/>
    <w:rsid w:val="003D2A3C"/>
    <w:rsid w:val="003D2B41"/>
    <w:rsid w:val="003D343A"/>
    <w:rsid w:val="003D34A9"/>
    <w:rsid w:val="003D36F8"/>
    <w:rsid w:val="003D403A"/>
    <w:rsid w:val="003D40BB"/>
    <w:rsid w:val="003D439D"/>
    <w:rsid w:val="003D45B2"/>
    <w:rsid w:val="003D4A18"/>
    <w:rsid w:val="003D51BA"/>
    <w:rsid w:val="003D5A2E"/>
    <w:rsid w:val="003D5DBD"/>
    <w:rsid w:val="003D6089"/>
    <w:rsid w:val="003D6384"/>
    <w:rsid w:val="003D6668"/>
    <w:rsid w:val="003D6C1C"/>
    <w:rsid w:val="003D6E22"/>
    <w:rsid w:val="003D72B0"/>
    <w:rsid w:val="003D76B1"/>
    <w:rsid w:val="003D7ECD"/>
    <w:rsid w:val="003E0672"/>
    <w:rsid w:val="003E08C6"/>
    <w:rsid w:val="003E0D8C"/>
    <w:rsid w:val="003E0F33"/>
    <w:rsid w:val="003E1212"/>
    <w:rsid w:val="003E1429"/>
    <w:rsid w:val="003E1594"/>
    <w:rsid w:val="003E17A6"/>
    <w:rsid w:val="003E17EE"/>
    <w:rsid w:val="003E1DDA"/>
    <w:rsid w:val="003E1ECB"/>
    <w:rsid w:val="003E20A6"/>
    <w:rsid w:val="003E2164"/>
    <w:rsid w:val="003E2A35"/>
    <w:rsid w:val="003E2C45"/>
    <w:rsid w:val="003E2D89"/>
    <w:rsid w:val="003E3BCC"/>
    <w:rsid w:val="003E3D2D"/>
    <w:rsid w:val="003E417E"/>
    <w:rsid w:val="003E4639"/>
    <w:rsid w:val="003E4AA5"/>
    <w:rsid w:val="003E4C43"/>
    <w:rsid w:val="003E4F46"/>
    <w:rsid w:val="003E53DC"/>
    <w:rsid w:val="003E54C5"/>
    <w:rsid w:val="003E5562"/>
    <w:rsid w:val="003E5DD6"/>
    <w:rsid w:val="003E624D"/>
    <w:rsid w:val="003E631C"/>
    <w:rsid w:val="003E6566"/>
    <w:rsid w:val="003E68EF"/>
    <w:rsid w:val="003E6B3A"/>
    <w:rsid w:val="003E7748"/>
    <w:rsid w:val="003E7B6D"/>
    <w:rsid w:val="003E7B6F"/>
    <w:rsid w:val="003E7BB8"/>
    <w:rsid w:val="003E7E48"/>
    <w:rsid w:val="003F04A6"/>
    <w:rsid w:val="003F07AC"/>
    <w:rsid w:val="003F13E8"/>
    <w:rsid w:val="003F172F"/>
    <w:rsid w:val="003F19E7"/>
    <w:rsid w:val="003F1CCD"/>
    <w:rsid w:val="003F1CEC"/>
    <w:rsid w:val="003F2693"/>
    <w:rsid w:val="003F2AF8"/>
    <w:rsid w:val="003F2C11"/>
    <w:rsid w:val="003F3963"/>
    <w:rsid w:val="003F4080"/>
    <w:rsid w:val="003F43BF"/>
    <w:rsid w:val="003F4432"/>
    <w:rsid w:val="003F4EC2"/>
    <w:rsid w:val="003F5312"/>
    <w:rsid w:val="003F6A72"/>
    <w:rsid w:val="003F6B64"/>
    <w:rsid w:val="003F6BE4"/>
    <w:rsid w:val="003F6BF5"/>
    <w:rsid w:val="003F6CB8"/>
    <w:rsid w:val="003F6D87"/>
    <w:rsid w:val="003F765F"/>
    <w:rsid w:val="003F76A1"/>
    <w:rsid w:val="003F7AB4"/>
    <w:rsid w:val="00400030"/>
    <w:rsid w:val="00400738"/>
    <w:rsid w:val="00400773"/>
    <w:rsid w:val="00400868"/>
    <w:rsid w:val="00400986"/>
    <w:rsid w:val="0040098A"/>
    <w:rsid w:val="00400C4F"/>
    <w:rsid w:val="00400E0B"/>
    <w:rsid w:val="00400F2E"/>
    <w:rsid w:val="004011C4"/>
    <w:rsid w:val="004016D5"/>
    <w:rsid w:val="004017F3"/>
    <w:rsid w:val="00401DAF"/>
    <w:rsid w:val="0040225B"/>
    <w:rsid w:val="00402735"/>
    <w:rsid w:val="0040303A"/>
    <w:rsid w:val="00403365"/>
    <w:rsid w:val="0040399F"/>
    <w:rsid w:val="00403CF8"/>
    <w:rsid w:val="00403E3F"/>
    <w:rsid w:val="004040E3"/>
    <w:rsid w:val="00405DCB"/>
    <w:rsid w:val="00406777"/>
    <w:rsid w:val="00407459"/>
    <w:rsid w:val="00407746"/>
    <w:rsid w:val="004078B2"/>
    <w:rsid w:val="004079A9"/>
    <w:rsid w:val="00407BF0"/>
    <w:rsid w:val="00407EAE"/>
    <w:rsid w:val="00410523"/>
    <w:rsid w:val="004108B7"/>
    <w:rsid w:val="004109E2"/>
    <w:rsid w:val="00410F93"/>
    <w:rsid w:val="0041180E"/>
    <w:rsid w:val="004120D4"/>
    <w:rsid w:val="00412338"/>
    <w:rsid w:val="004123EA"/>
    <w:rsid w:val="004124E1"/>
    <w:rsid w:val="00412720"/>
    <w:rsid w:val="004133E4"/>
    <w:rsid w:val="00413509"/>
    <w:rsid w:val="0041441D"/>
    <w:rsid w:val="00414782"/>
    <w:rsid w:val="00414907"/>
    <w:rsid w:val="00414D01"/>
    <w:rsid w:val="00414E8C"/>
    <w:rsid w:val="00415EB5"/>
    <w:rsid w:val="0041655A"/>
    <w:rsid w:val="00416D98"/>
    <w:rsid w:val="00416D9B"/>
    <w:rsid w:val="00416FC7"/>
    <w:rsid w:val="004170FE"/>
    <w:rsid w:val="004174B8"/>
    <w:rsid w:val="00420576"/>
    <w:rsid w:val="0042072F"/>
    <w:rsid w:val="004209E6"/>
    <w:rsid w:val="00420A0A"/>
    <w:rsid w:val="00420E41"/>
    <w:rsid w:val="00420FC5"/>
    <w:rsid w:val="004212B3"/>
    <w:rsid w:val="004214D6"/>
    <w:rsid w:val="00421575"/>
    <w:rsid w:val="00421E67"/>
    <w:rsid w:val="00422598"/>
    <w:rsid w:val="004225FA"/>
    <w:rsid w:val="00422892"/>
    <w:rsid w:val="00422D69"/>
    <w:rsid w:val="0042324B"/>
    <w:rsid w:val="004234E8"/>
    <w:rsid w:val="0042359C"/>
    <w:rsid w:val="00423D92"/>
    <w:rsid w:val="00424631"/>
    <w:rsid w:val="00425025"/>
    <w:rsid w:val="00425100"/>
    <w:rsid w:val="004251AD"/>
    <w:rsid w:val="0042584A"/>
    <w:rsid w:val="004259B1"/>
    <w:rsid w:val="00425A1F"/>
    <w:rsid w:val="00425CF6"/>
    <w:rsid w:val="00425EB1"/>
    <w:rsid w:val="00426805"/>
    <w:rsid w:val="00426A5C"/>
    <w:rsid w:val="00427049"/>
    <w:rsid w:val="0042739B"/>
    <w:rsid w:val="004275DE"/>
    <w:rsid w:val="00427B5E"/>
    <w:rsid w:val="00427FED"/>
    <w:rsid w:val="00430150"/>
    <w:rsid w:val="004302F9"/>
    <w:rsid w:val="004304CC"/>
    <w:rsid w:val="00430669"/>
    <w:rsid w:val="0043091F"/>
    <w:rsid w:val="00430E84"/>
    <w:rsid w:val="00431190"/>
    <w:rsid w:val="004315AD"/>
    <w:rsid w:val="004317DF"/>
    <w:rsid w:val="004319FA"/>
    <w:rsid w:val="0043229B"/>
    <w:rsid w:val="00432531"/>
    <w:rsid w:val="004325F2"/>
    <w:rsid w:val="00432A9B"/>
    <w:rsid w:val="00432E52"/>
    <w:rsid w:val="00432EAF"/>
    <w:rsid w:val="00432F23"/>
    <w:rsid w:val="00433163"/>
    <w:rsid w:val="0043373F"/>
    <w:rsid w:val="004342B2"/>
    <w:rsid w:val="004348E3"/>
    <w:rsid w:val="00434A2E"/>
    <w:rsid w:val="004351F2"/>
    <w:rsid w:val="0043523B"/>
    <w:rsid w:val="00435287"/>
    <w:rsid w:val="004354B4"/>
    <w:rsid w:val="004365ED"/>
    <w:rsid w:val="00436E43"/>
    <w:rsid w:val="00436EDB"/>
    <w:rsid w:val="00436F5D"/>
    <w:rsid w:val="00437777"/>
    <w:rsid w:val="00437809"/>
    <w:rsid w:val="00437A81"/>
    <w:rsid w:val="00437EFF"/>
    <w:rsid w:val="004400D7"/>
    <w:rsid w:val="004405E8"/>
    <w:rsid w:val="00440761"/>
    <w:rsid w:val="00440A22"/>
    <w:rsid w:val="00440A5E"/>
    <w:rsid w:val="00440A8F"/>
    <w:rsid w:val="00440B08"/>
    <w:rsid w:val="00441093"/>
    <w:rsid w:val="00441518"/>
    <w:rsid w:val="004416AE"/>
    <w:rsid w:val="004426FC"/>
    <w:rsid w:val="00442857"/>
    <w:rsid w:val="004428FA"/>
    <w:rsid w:val="00443FC2"/>
    <w:rsid w:val="00444E1C"/>
    <w:rsid w:val="00445135"/>
    <w:rsid w:val="0044559B"/>
    <w:rsid w:val="004455FA"/>
    <w:rsid w:val="004468AA"/>
    <w:rsid w:val="004469B7"/>
    <w:rsid w:val="00446ACF"/>
    <w:rsid w:val="00446B46"/>
    <w:rsid w:val="004470E8"/>
    <w:rsid w:val="0044752F"/>
    <w:rsid w:val="00447AA4"/>
    <w:rsid w:val="00447EA0"/>
    <w:rsid w:val="00450F0C"/>
    <w:rsid w:val="0045114E"/>
    <w:rsid w:val="00451AA0"/>
    <w:rsid w:val="0045212B"/>
    <w:rsid w:val="0045218A"/>
    <w:rsid w:val="004523DA"/>
    <w:rsid w:val="00452859"/>
    <w:rsid w:val="00452B44"/>
    <w:rsid w:val="00452BA8"/>
    <w:rsid w:val="004530DA"/>
    <w:rsid w:val="00453282"/>
    <w:rsid w:val="004533E6"/>
    <w:rsid w:val="00453487"/>
    <w:rsid w:val="0045406E"/>
    <w:rsid w:val="004543DA"/>
    <w:rsid w:val="004546EB"/>
    <w:rsid w:val="00454874"/>
    <w:rsid w:val="00455158"/>
    <w:rsid w:val="0045531A"/>
    <w:rsid w:val="00455464"/>
    <w:rsid w:val="0045550E"/>
    <w:rsid w:val="00455847"/>
    <w:rsid w:val="00455A06"/>
    <w:rsid w:val="00455B1C"/>
    <w:rsid w:val="00455C56"/>
    <w:rsid w:val="00455DA4"/>
    <w:rsid w:val="00456456"/>
    <w:rsid w:val="004565A7"/>
    <w:rsid w:val="00456BB3"/>
    <w:rsid w:val="00456D57"/>
    <w:rsid w:val="00456E4F"/>
    <w:rsid w:val="00457A55"/>
    <w:rsid w:val="00457B64"/>
    <w:rsid w:val="00457B86"/>
    <w:rsid w:val="00457F1D"/>
    <w:rsid w:val="00460357"/>
    <w:rsid w:val="00460963"/>
    <w:rsid w:val="00460AE0"/>
    <w:rsid w:val="00460DCA"/>
    <w:rsid w:val="0046190B"/>
    <w:rsid w:val="004619CC"/>
    <w:rsid w:val="00461A5F"/>
    <w:rsid w:val="00461E28"/>
    <w:rsid w:val="00462367"/>
    <w:rsid w:val="004637AA"/>
    <w:rsid w:val="004638ED"/>
    <w:rsid w:val="0046490C"/>
    <w:rsid w:val="00464B43"/>
    <w:rsid w:val="0046566E"/>
    <w:rsid w:val="004656F8"/>
    <w:rsid w:val="00466E5A"/>
    <w:rsid w:val="00466F95"/>
    <w:rsid w:val="0046712B"/>
    <w:rsid w:val="00467B02"/>
    <w:rsid w:val="00470287"/>
    <w:rsid w:val="00470288"/>
    <w:rsid w:val="004702FA"/>
    <w:rsid w:val="004704BF"/>
    <w:rsid w:val="00470733"/>
    <w:rsid w:val="00470A85"/>
    <w:rsid w:val="0047113C"/>
    <w:rsid w:val="00471491"/>
    <w:rsid w:val="0047193C"/>
    <w:rsid w:val="00471EB5"/>
    <w:rsid w:val="004724C7"/>
    <w:rsid w:val="00473714"/>
    <w:rsid w:val="00473880"/>
    <w:rsid w:val="004739B1"/>
    <w:rsid w:val="00473AF9"/>
    <w:rsid w:val="00473DDE"/>
    <w:rsid w:val="0047420E"/>
    <w:rsid w:val="004744DF"/>
    <w:rsid w:val="0047493B"/>
    <w:rsid w:val="00474F71"/>
    <w:rsid w:val="004750A1"/>
    <w:rsid w:val="00475478"/>
    <w:rsid w:val="004757B4"/>
    <w:rsid w:val="00475880"/>
    <w:rsid w:val="00476642"/>
    <w:rsid w:val="004772AA"/>
    <w:rsid w:val="004773D3"/>
    <w:rsid w:val="0047746B"/>
    <w:rsid w:val="00477C53"/>
    <w:rsid w:val="00480DCC"/>
    <w:rsid w:val="00480EC4"/>
    <w:rsid w:val="0048127A"/>
    <w:rsid w:val="004818E3"/>
    <w:rsid w:val="00481E0C"/>
    <w:rsid w:val="0048278E"/>
    <w:rsid w:val="004827D3"/>
    <w:rsid w:val="00482CFA"/>
    <w:rsid w:val="00482E73"/>
    <w:rsid w:val="00482F67"/>
    <w:rsid w:val="00482FB0"/>
    <w:rsid w:val="00483575"/>
    <w:rsid w:val="00483647"/>
    <w:rsid w:val="00483BEA"/>
    <w:rsid w:val="004847DD"/>
    <w:rsid w:val="004850F5"/>
    <w:rsid w:val="004851CA"/>
    <w:rsid w:val="00485380"/>
    <w:rsid w:val="0048595A"/>
    <w:rsid w:val="00485A86"/>
    <w:rsid w:val="00485CD2"/>
    <w:rsid w:val="00485FD9"/>
    <w:rsid w:val="004862FB"/>
    <w:rsid w:val="0048692D"/>
    <w:rsid w:val="00486A22"/>
    <w:rsid w:val="0048719C"/>
    <w:rsid w:val="00487284"/>
    <w:rsid w:val="004874DB"/>
    <w:rsid w:val="004877F2"/>
    <w:rsid w:val="004878EA"/>
    <w:rsid w:val="00487C4C"/>
    <w:rsid w:val="00490322"/>
    <w:rsid w:val="0049033C"/>
    <w:rsid w:val="004907BE"/>
    <w:rsid w:val="004908D0"/>
    <w:rsid w:val="00490B06"/>
    <w:rsid w:val="004912D4"/>
    <w:rsid w:val="00491391"/>
    <w:rsid w:val="004919FF"/>
    <w:rsid w:val="00491EDB"/>
    <w:rsid w:val="0049231A"/>
    <w:rsid w:val="00492461"/>
    <w:rsid w:val="004928C1"/>
    <w:rsid w:val="004933C8"/>
    <w:rsid w:val="00493500"/>
    <w:rsid w:val="004935A7"/>
    <w:rsid w:val="00493762"/>
    <w:rsid w:val="00493AC8"/>
    <w:rsid w:val="00493D87"/>
    <w:rsid w:val="00493E30"/>
    <w:rsid w:val="00493E6A"/>
    <w:rsid w:val="0049418F"/>
    <w:rsid w:val="00494381"/>
    <w:rsid w:val="004950CC"/>
    <w:rsid w:val="004950D4"/>
    <w:rsid w:val="00495A33"/>
    <w:rsid w:val="00495E05"/>
    <w:rsid w:val="004962C4"/>
    <w:rsid w:val="00496F1B"/>
    <w:rsid w:val="004971A9"/>
    <w:rsid w:val="004972A2"/>
    <w:rsid w:val="00497839"/>
    <w:rsid w:val="0049799C"/>
    <w:rsid w:val="004A018C"/>
    <w:rsid w:val="004A0506"/>
    <w:rsid w:val="004A0599"/>
    <w:rsid w:val="004A0B4D"/>
    <w:rsid w:val="004A0C15"/>
    <w:rsid w:val="004A0E00"/>
    <w:rsid w:val="004A13EB"/>
    <w:rsid w:val="004A14F0"/>
    <w:rsid w:val="004A1B58"/>
    <w:rsid w:val="004A1F85"/>
    <w:rsid w:val="004A22BB"/>
    <w:rsid w:val="004A2342"/>
    <w:rsid w:val="004A251B"/>
    <w:rsid w:val="004A2B3E"/>
    <w:rsid w:val="004A2B88"/>
    <w:rsid w:val="004A2F62"/>
    <w:rsid w:val="004A33F3"/>
    <w:rsid w:val="004A39B8"/>
    <w:rsid w:val="004A3B4E"/>
    <w:rsid w:val="004A3BA2"/>
    <w:rsid w:val="004A3FC6"/>
    <w:rsid w:val="004A4AE5"/>
    <w:rsid w:val="004A549E"/>
    <w:rsid w:val="004A5D7F"/>
    <w:rsid w:val="004A65F1"/>
    <w:rsid w:val="004A669A"/>
    <w:rsid w:val="004A694F"/>
    <w:rsid w:val="004A69DD"/>
    <w:rsid w:val="004A6FE5"/>
    <w:rsid w:val="004A7042"/>
    <w:rsid w:val="004A7294"/>
    <w:rsid w:val="004A7328"/>
    <w:rsid w:val="004A7647"/>
    <w:rsid w:val="004A7D1B"/>
    <w:rsid w:val="004B05AD"/>
    <w:rsid w:val="004B0900"/>
    <w:rsid w:val="004B0D73"/>
    <w:rsid w:val="004B12E1"/>
    <w:rsid w:val="004B15C9"/>
    <w:rsid w:val="004B1BD3"/>
    <w:rsid w:val="004B1DB8"/>
    <w:rsid w:val="004B24B7"/>
    <w:rsid w:val="004B29EE"/>
    <w:rsid w:val="004B2E82"/>
    <w:rsid w:val="004B2EB6"/>
    <w:rsid w:val="004B2F01"/>
    <w:rsid w:val="004B3039"/>
    <w:rsid w:val="004B316D"/>
    <w:rsid w:val="004B33C3"/>
    <w:rsid w:val="004B33E1"/>
    <w:rsid w:val="004B355C"/>
    <w:rsid w:val="004B37CB"/>
    <w:rsid w:val="004B4182"/>
    <w:rsid w:val="004B4538"/>
    <w:rsid w:val="004B482C"/>
    <w:rsid w:val="004B48F0"/>
    <w:rsid w:val="004B4AC6"/>
    <w:rsid w:val="004B4E77"/>
    <w:rsid w:val="004B5E75"/>
    <w:rsid w:val="004B6670"/>
    <w:rsid w:val="004B6C20"/>
    <w:rsid w:val="004B6FB6"/>
    <w:rsid w:val="004C012F"/>
    <w:rsid w:val="004C0296"/>
    <w:rsid w:val="004C0786"/>
    <w:rsid w:val="004C0AC9"/>
    <w:rsid w:val="004C0BF7"/>
    <w:rsid w:val="004C0DE9"/>
    <w:rsid w:val="004C1186"/>
    <w:rsid w:val="004C11CA"/>
    <w:rsid w:val="004C17F0"/>
    <w:rsid w:val="004C1B78"/>
    <w:rsid w:val="004C1FE2"/>
    <w:rsid w:val="004C2263"/>
    <w:rsid w:val="004C2306"/>
    <w:rsid w:val="004C2D74"/>
    <w:rsid w:val="004C3851"/>
    <w:rsid w:val="004C3ABC"/>
    <w:rsid w:val="004C3AFE"/>
    <w:rsid w:val="004C3AFF"/>
    <w:rsid w:val="004C4182"/>
    <w:rsid w:val="004C4D2E"/>
    <w:rsid w:val="004C5006"/>
    <w:rsid w:val="004C54B2"/>
    <w:rsid w:val="004C571D"/>
    <w:rsid w:val="004C5A9B"/>
    <w:rsid w:val="004C5BE7"/>
    <w:rsid w:val="004C6682"/>
    <w:rsid w:val="004C6745"/>
    <w:rsid w:val="004C68D5"/>
    <w:rsid w:val="004C72A5"/>
    <w:rsid w:val="004C7675"/>
    <w:rsid w:val="004C7DC3"/>
    <w:rsid w:val="004D004E"/>
    <w:rsid w:val="004D0B92"/>
    <w:rsid w:val="004D0FAC"/>
    <w:rsid w:val="004D12B6"/>
    <w:rsid w:val="004D16A5"/>
    <w:rsid w:val="004D1831"/>
    <w:rsid w:val="004D1A7F"/>
    <w:rsid w:val="004D1CBF"/>
    <w:rsid w:val="004D24EB"/>
    <w:rsid w:val="004D2C51"/>
    <w:rsid w:val="004D32BB"/>
    <w:rsid w:val="004D34FC"/>
    <w:rsid w:val="004D35A2"/>
    <w:rsid w:val="004D39C3"/>
    <w:rsid w:val="004D473F"/>
    <w:rsid w:val="004D47CA"/>
    <w:rsid w:val="004D4921"/>
    <w:rsid w:val="004D4A02"/>
    <w:rsid w:val="004D4D07"/>
    <w:rsid w:val="004D52CC"/>
    <w:rsid w:val="004D5E20"/>
    <w:rsid w:val="004D5FD1"/>
    <w:rsid w:val="004D6035"/>
    <w:rsid w:val="004D6443"/>
    <w:rsid w:val="004D6689"/>
    <w:rsid w:val="004D674C"/>
    <w:rsid w:val="004D6933"/>
    <w:rsid w:val="004D6972"/>
    <w:rsid w:val="004D6BA0"/>
    <w:rsid w:val="004E0480"/>
    <w:rsid w:val="004E04E7"/>
    <w:rsid w:val="004E0C5C"/>
    <w:rsid w:val="004E0E58"/>
    <w:rsid w:val="004E124B"/>
    <w:rsid w:val="004E1BD0"/>
    <w:rsid w:val="004E1D88"/>
    <w:rsid w:val="004E1E02"/>
    <w:rsid w:val="004E22A7"/>
    <w:rsid w:val="004E25D3"/>
    <w:rsid w:val="004E28D0"/>
    <w:rsid w:val="004E2DEC"/>
    <w:rsid w:val="004E2FAA"/>
    <w:rsid w:val="004E38E3"/>
    <w:rsid w:val="004E3B0B"/>
    <w:rsid w:val="004E433B"/>
    <w:rsid w:val="004E4604"/>
    <w:rsid w:val="004E4A28"/>
    <w:rsid w:val="004E52C3"/>
    <w:rsid w:val="004E5565"/>
    <w:rsid w:val="004E59A6"/>
    <w:rsid w:val="004E6350"/>
    <w:rsid w:val="004E67D1"/>
    <w:rsid w:val="004E69E0"/>
    <w:rsid w:val="004E6F6E"/>
    <w:rsid w:val="004E75F6"/>
    <w:rsid w:val="004F0008"/>
    <w:rsid w:val="004F0032"/>
    <w:rsid w:val="004F0B9A"/>
    <w:rsid w:val="004F1627"/>
    <w:rsid w:val="004F21F5"/>
    <w:rsid w:val="004F232C"/>
    <w:rsid w:val="004F26FB"/>
    <w:rsid w:val="004F29BF"/>
    <w:rsid w:val="004F2DF5"/>
    <w:rsid w:val="004F2E22"/>
    <w:rsid w:val="004F2E36"/>
    <w:rsid w:val="004F43C7"/>
    <w:rsid w:val="004F5247"/>
    <w:rsid w:val="004F5B85"/>
    <w:rsid w:val="004F5E53"/>
    <w:rsid w:val="004F6158"/>
    <w:rsid w:val="004F6250"/>
    <w:rsid w:val="004F6544"/>
    <w:rsid w:val="004F665B"/>
    <w:rsid w:val="004F6F16"/>
    <w:rsid w:val="004F71AD"/>
    <w:rsid w:val="004F75EF"/>
    <w:rsid w:val="004F7756"/>
    <w:rsid w:val="004F7C93"/>
    <w:rsid w:val="004F7EA7"/>
    <w:rsid w:val="00500258"/>
    <w:rsid w:val="00500C25"/>
    <w:rsid w:val="00500D3E"/>
    <w:rsid w:val="005016AE"/>
    <w:rsid w:val="00501C69"/>
    <w:rsid w:val="00501F38"/>
    <w:rsid w:val="0050206D"/>
    <w:rsid w:val="00502091"/>
    <w:rsid w:val="00502796"/>
    <w:rsid w:val="00502C48"/>
    <w:rsid w:val="00503215"/>
    <w:rsid w:val="00503373"/>
    <w:rsid w:val="00503934"/>
    <w:rsid w:val="00503D82"/>
    <w:rsid w:val="00503F5E"/>
    <w:rsid w:val="00503FB4"/>
    <w:rsid w:val="005040C2"/>
    <w:rsid w:val="0050462F"/>
    <w:rsid w:val="00504987"/>
    <w:rsid w:val="00505415"/>
    <w:rsid w:val="00505460"/>
    <w:rsid w:val="00506105"/>
    <w:rsid w:val="005064DB"/>
    <w:rsid w:val="005067AF"/>
    <w:rsid w:val="00506931"/>
    <w:rsid w:val="00506CFF"/>
    <w:rsid w:val="00506FD1"/>
    <w:rsid w:val="00507232"/>
    <w:rsid w:val="00507563"/>
    <w:rsid w:val="00507B7E"/>
    <w:rsid w:val="005104A6"/>
    <w:rsid w:val="005107AE"/>
    <w:rsid w:val="005109A7"/>
    <w:rsid w:val="00510DCC"/>
    <w:rsid w:val="00510EEA"/>
    <w:rsid w:val="0051114F"/>
    <w:rsid w:val="0051124C"/>
    <w:rsid w:val="0051140E"/>
    <w:rsid w:val="0051171F"/>
    <w:rsid w:val="00511CA0"/>
    <w:rsid w:val="00511D5B"/>
    <w:rsid w:val="00511D94"/>
    <w:rsid w:val="005124D7"/>
    <w:rsid w:val="00512856"/>
    <w:rsid w:val="00512C56"/>
    <w:rsid w:val="00512D2E"/>
    <w:rsid w:val="00513162"/>
    <w:rsid w:val="00513B14"/>
    <w:rsid w:val="00513C54"/>
    <w:rsid w:val="0051430C"/>
    <w:rsid w:val="00514548"/>
    <w:rsid w:val="005147A2"/>
    <w:rsid w:val="005153F6"/>
    <w:rsid w:val="005157DB"/>
    <w:rsid w:val="00515A06"/>
    <w:rsid w:val="00516101"/>
    <w:rsid w:val="0051696F"/>
    <w:rsid w:val="00516B03"/>
    <w:rsid w:val="00516CAF"/>
    <w:rsid w:val="00516D10"/>
    <w:rsid w:val="005171A1"/>
    <w:rsid w:val="0051736D"/>
    <w:rsid w:val="0052035F"/>
    <w:rsid w:val="00520A3B"/>
    <w:rsid w:val="00520B3D"/>
    <w:rsid w:val="00520D4E"/>
    <w:rsid w:val="00520E80"/>
    <w:rsid w:val="00521243"/>
    <w:rsid w:val="005212FE"/>
    <w:rsid w:val="00521555"/>
    <w:rsid w:val="00521853"/>
    <w:rsid w:val="00521960"/>
    <w:rsid w:val="00521CE7"/>
    <w:rsid w:val="00521CF3"/>
    <w:rsid w:val="005222F0"/>
    <w:rsid w:val="00522C4A"/>
    <w:rsid w:val="00523064"/>
    <w:rsid w:val="00523691"/>
    <w:rsid w:val="00523F1D"/>
    <w:rsid w:val="005247B3"/>
    <w:rsid w:val="00524C82"/>
    <w:rsid w:val="00525809"/>
    <w:rsid w:val="005264B6"/>
    <w:rsid w:val="0052666E"/>
    <w:rsid w:val="005267F6"/>
    <w:rsid w:val="005269D3"/>
    <w:rsid w:val="00526B08"/>
    <w:rsid w:val="00526DF3"/>
    <w:rsid w:val="00526E8A"/>
    <w:rsid w:val="0052716B"/>
    <w:rsid w:val="005277F2"/>
    <w:rsid w:val="00527BDA"/>
    <w:rsid w:val="00527EAA"/>
    <w:rsid w:val="00530734"/>
    <w:rsid w:val="005314C6"/>
    <w:rsid w:val="00531715"/>
    <w:rsid w:val="005319F3"/>
    <w:rsid w:val="005321EE"/>
    <w:rsid w:val="00532C9E"/>
    <w:rsid w:val="00532DF2"/>
    <w:rsid w:val="00534072"/>
    <w:rsid w:val="00534307"/>
    <w:rsid w:val="005343CA"/>
    <w:rsid w:val="0053502C"/>
    <w:rsid w:val="00535130"/>
    <w:rsid w:val="005354A6"/>
    <w:rsid w:val="00536006"/>
    <w:rsid w:val="0053606A"/>
    <w:rsid w:val="00536094"/>
    <w:rsid w:val="00536756"/>
    <w:rsid w:val="00537302"/>
    <w:rsid w:val="0053738C"/>
    <w:rsid w:val="005400A0"/>
    <w:rsid w:val="0054038F"/>
    <w:rsid w:val="005406FC"/>
    <w:rsid w:val="005416F8"/>
    <w:rsid w:val="005418C4"/>
    <w:rsid w:val="00541928"/>
    <w:rsid w:val="00541B11"/>
    <w:rsid w:val="00541BD3"/>
    <w:rsid w:val="00542901"/>
    <w:rsid w:val="00542B93"/>
    <w:rsid w:val="00542D3C"/>
    <w:rsid w:val="00543952"/>
    <w:rsid w:val="005441BD"/>
    <w:rsid w:val="00544559"/>
    <w:rsid w:val="005445A7"/>
    <w:rsid w:val="00545D1F"/>
    <w:rsid w:val="00545D3E"/>
    <w:rsid w:val="005466D8"/>
    <w:rsid w:val="00547220"/>
    <w:rsid w:val="0054780C"/>
    <w:rsid w:val="00547848"/>
    <w:rsid w:val="00550386"/>
    <w:rsid w:val="005505A6"/>
    <w:rsid w:val="005508CB"/>
    <w:rsid w:val="00550BC7"/>
    <w:rsid w:val="00551347"/>
    <w:rsid w:val="00551473"/>
    <w:rsid w:val="00551B33"/>
    <w:rsid w:val="00551F13"/>
    <w:rsid w:val="00551FFD"/>
    <w:rsid w:val="00552411"/>
    <w:rsid w:val="0055261D"/>
    <w:rsid w:val="00552C42"/>
    <w:rsid w:val="00553358"/>
    <w:rsid w:val="0055345C"/>
    <w:rsid w:val="00553AB5"/>
    <w:rsid w:val="00553F16"/>
    <w:rsid w:val="005543D1"/>
    <w:rsid w:val="00554573"/>
    <w:rsid w:val="0055473D"/>
    <w:rsid w:val="005549A3"/>
    <w:rsid w:val="00554DB2"/>
    <w:rsid w:val="00554DEF"/>
    <w:rsid w:val="00554EF2"/>
    <w:rsid w:val="00555509"/>
    <w:rsid w:val="00555940"/>
    <w:rsid w:val="00555B02"/>
    <w:rsid w:val="00556BF4"/>
    <w:rsid w:val="00557083"/>
    <w:rsid w:val="0055747D"/>
    <w:rsid w:val="0055757B"/>
    <w:rsid w:val="00557A22"/>
    <w:rsid w:val="00557A74"/>
    <w:rsid w:val="00560102"/>
    <w:rsid w:val="00560605"/>
    <w:rsid w:val="00560876"/>
    <w:rsid w:val="00560953"/>
    <w:rsid w:val="00560F74"/>
    <w:rsid w:val="00561066"/>
    <w:rsid w:val="00561476"/>
    <w:rsid w:val="00561912"/>
    <w:rsid w:val="00561C5B"/>
    <w:rsid w:val="005621C9"/>
    <w:rsid w:val="005622BB"/>
    <w:rsid w:val="005639E3"/>
    <w:rsid w:val="00563BD9"/>
    <w:rsid w:val="00563D61"/>
    <w:rsid w:val="0056438B"/>
    <w:rsid w:val="005644D4"/>
    <w:rsid w:val="00564F2D"/>
    <w:rsid w:val="005650B9"/>
    <w:rsid w:val="005653E1"/>
    <w:rsid w:val="005654ED"/>
    <w:rsid w:val="0056594C"/>
    <w:rsid w:val="005661FF"/>
    <w:rsid w:val="00566357"/>
    <w:rsid w:val="005664A2"/>
    <w:rsid w:val="00566CDA"/>
    <w:rsid w:val="0056727E"/>
    <w:rsid w:val="00567468"/>
    <w:rsid w:val="00567490"/>
    <w:rsid w:val="00567BA6"/>
    <w:rsid w:val="00567DBA"/>
    <w:rsid w:val="00570033"/>
    <w:rsid w:val="00570147"/>
    <w:rsid w:val="00570247"/>
    <w:rsid w:val="00570477"/>
    <w:rsid w:val="005706FB"/>
    <w:rsid w:val="005709EF"/>
    <w:rsid w:val="0057103C"/>
    <w:rsid w:val="005713D3"/>
    <w:rsid w:val="005716D8"/>
    <w:rsid w:val="0057182B"/>
    <w:rsid w:val="00571E23"/>
    <w:rsid w:val="00572942"/>
    <w:rsid w:val="00572BC0"/>
    <w:rsid w:val="0057307E"/>
    <w:rsid w:val="005737D4"/>
    <w:rsid w:val="005737FF"/>
    <w:rsid w:val="00573955"/>
    <w:rsid w:val="00573A4C"/>
    <w:rsid w:val="00573DBE"/>
    <w:rsid w:val="00573FFA"/>
    <w:rsid w:val="0057405B"/>
    <w:rsid w:val="005749CE"/>
    <w:rsid w:val="00574A3D"/>
    <w:rsid w:val="00574A77"/>
    <w:rsid w:val="00574B79"/>
    <w:rsid w:val="00574C2D"/>
    <w:rsid w:val="00574D12"/>
    <w:rsid w:val="00575B42"/>
    <w:rsid w:val="00576223"/>
    <w:rsid w:val="00576345"/>
    <w:rsid w:val="005763F6"/>
    <w:rsid w:val="00576545"/>
    <w:rsid w:val="005765CA"/>
    <w:rsid w:val="005766B7"/>
    <w:rsid w:val="005768A2"/>
    <w:rsid w:val="00577A7F"/>
    <w:rsid w:val="00577F7E"/>
    <w:rsid w:val="005800B4"/>
    <w:rsid w:val="00580436"/>
    <w:rsid w:val="0058052A"/>
    <w:rsid w:val="0058070B"/>
    <w:rsid w:val="00580AE0"/>
    <w:rsid w:val="00581068"/>
    <w:rsid w:val="0058131B"/>
    <w:rsid w:val="005818D3"/>
    <w:rsid w:val="00581E91"/>
    <w:rsid w:val="00581F55"/>
    <w:rsid w:val="005820DA"/>
    <w:rsid w:val="0058296F"/>
    <w:rsid w:val="005829E5"/>
    <w:rsid w:val="00582A73"/>
    <w:rsid w:val="00582B04"/>
    <w:rsid w:val="00582B1E"/>
    <w:rsid w:val="00582BC4"/>
    <w:rsid w:val="00583104"/>
    <w:rsid w:val="00583D35"/>
    <w:rsid w:val="00584013"/>
    <w:rsid w:val="005841C2"/>
    <w:rsid w:val="0058463B"/>
    <w:rsid w:val="005846EA"/>
    <w:rsid w:val="00584A8A"/>
    <w:rsid w:val="00584E9D"/>
    <w:rsid w:val="00584E9F"/>
    <w:rsid w:val="00585263"/>
    <w:rsid w:val="005852E0"/>
    <w:rsid w:val="005856AB"/>
    <w:rsid w:val="00585BD7"/>
    <w:rsid w:val="005860E6"/>
    <w:rsid w:val="00586197"/>
    <w:rsid w:val="00586A16"/>
    <w:rsid w:val="00586CD1"/>
    <w:rsid w:val="0058715A"/>
    <w:rsid w:val="00587AC6"/>
    <w:rsid w:val="005905D7"/>
    <w:rsid w:val="005908A8"/>
    <w:rsid w:val="00590C2C"/>
    <w:rsid w:val="00590D7F"/>
    <w:rsid w:val="0059113E"/>
    <w:rsid w:val="005915BF"/>
    <w:rsid w:val="00591841"/>
    <w:rsid w:val="00592917"/>
    <w:rsid w:val="00593ABE"/>
    <w:rsid w:val="00593DCC"/>
    <w:rsid w:val="005942EE"/>
    <w:rsid w:val="00594D2B"/>
    <w:rsid w:val="005957C8"/>
    <w:rsid w:val="00595E80"/>
    <w:rsid w:val="005963E0"/>
    <w:rsid w:val="0059650E"/>
    <w:rsid w:val="005966CB"/>
    <w:rsid w:val="00596953"/>
    <w:rsid w:val="00596ABB"/>
    <w:rsid w:val="00596AF4"/>
    <w:rsid w:val="005970E3"/>
    <w:rsid w:val="0059719E"/>
    <w:rsid w:val="005973F2"/>
    <w:rsid w:val="005978EC"/>
    <w:rsid w:val="00597A0B"/>
    <w:rsid w:val="00597F7B"/>
    <w:rsid w:val="005A01ED"/>
    <w:rsid w:val="005A1493"/>
    <w:rsid w:val="005A1B1F"/>
    <w:rsid w:val="005A1D37"/>
    <w:rsid w:val="005A1E20"/>
    <w:rsid w:val="005A1E86"/>
    <w:rsid w:val="005A247A"/>
    <w:rsid w:val="005A3474"/>
    <w:rsid w:val="005A3575"/>
    <w:rsid w:val="005A3912"/>
    <w:rsid w:val="005A3B89"/>
    <w:rsid w:val="005A3F18"/>
    <w:rsid w:val="005A444D"/>
    <w:rsid w:val="005A4C85"/>
    <w:rsid w:val="005A4EA4"/>
    <w:rsid w:val="005A4F40"/>
    <w:rsid w:val="005A581C"/>
    <w:rsid w:val="005A5CFB"/>
    <w:rsid w:val="005A5D7D"/>
    <w:rsid w:val="005A5FBA"/>
    <w:rsid w:val="005A6030"/>
    <w:rsid w:val="005A66C3"/>
    <w:rsid w:val="005A6930"/>
    <w:rsid w:val="005A6970"/>
    <w:rsid w:val="005A7191"/>
    <w:rsid w:val="005A7AF5"/>
    <w:rsid w:val="005B008A"/>
    <w:rsid w:val="005B04B8"/>
    <w:rsid w:val="005B06E4"/>
    <w:rsid w:val="005B0711"/>
    <w:rsid w:val="005B1530"/>
    <w:rsid w:val="005B29CF"/>
    <w:rsid w:val="005B340D"/>
    <w:rsid w:val="005B398D"/>
    <w:rsid w:val="005B4014"/>
    <w:rsid w:val="005B4182"/>
    <w:rsid w:val="005B4218"/>
    <w:rsid w:val="005B46EA"/>
    <w:rsid w:val="005B4F60"/>
    <w:rsid w:val="005B53B1"/>
    <w:rsid w:val="005B57AD"/>
    <w:rsid w:val="005B58A0"/>
    <w:rsid w:val="005B5F2B"/>
    <w:rsid w:val="005B62EF"/>
    <w:rsid w:val="005B6618"/>
    <w:rsid w:val="005B69EE"/>
    <w:rsid w:val="005B6A82"/>
    <w:rsid w:val="005B6D8A"/>
    <w:rsid w:val="005B7012"/>
    <w:rsid w:val="005B70AB"/>
    <w:rsid w:val="005B722E"/>
    <w:rsid w:val="005B7996"/>
    <w:rsid w:val="005C02FE"/>
    <w:rsid w:val="005C03BB"/>
    <w:rsid w:val="005C04D1"/>
    <w:rsid w:val="005C0D9E"/>
    <w:rsid w:val="005C10A1"/>
    <w:rsid w:val="005C1397"/>
    <w:rsid w:val="005C13DE"/>
    <w:rsid w:val="005C1432"/>
    <w:rsid w:val="005C1A34"/>
    <w:rsid w:val="005C2285"/>
    <w:rsid w:val="005C2A20"/>
    <w:rsid w:val="005C3046"/>
    <w:rsid w:val="005C31ED"/>
    <w:rsid w:val="005C37EB"/>
    <w:rsid w:val="005C3D45"/>
    <w:rsid w:val="005C40B1"/>
    <w:rsid w:val="005C42E7"/>
    <w:rsid w:val="005C4B48"/>
    <w:rsid w:val="005C50AC"/>
    <w:rsid w:val="005C5279"/>
    <w:rsid w:val="005C540E"/>
    <w:rsid w:val="005C54EE"/>
    <w:rsid w:val="005C5534"/>
    <w:rsid w:val="005C5878"/>
    <w:rsid w:val="005C5D66"/>
    <w:rsid w:val="005C605B"/>
    <w:rsid w:val="005C622C"/>
    <w:rsid w:val="005C6406"/>
    <w:rsid w:val="005C6601"/>
    <w:rsid w:val="005C6F22"/>
    <w:rsid w:val="005D00E4"/>
    <w:rsid w:val="005D019A"/>
    <w:rsid w:val="005D0E6A"/>
    <w:rsid w:val="005D16DB"/>
    <w:rsid w:val="005D2476"/>
    <w:rsid w:val="005D2737"/>
    <w:rsid w:val="005D2DFA"/>
    <w:rsid w:val="005D2F96"/>
    <w:rsid w:val="005D3573"/>
    <w:rsid w:val="005D3D24"/>
    <w:rsid w:val="005D42C4"/>
    <w:rsid w:val="005D4B8A"/>
    <w:rsid w:val="005D5893"/>
    <w:rsid w:val="005D5CA8"/>
    <w:rsid w:val="005D5DBB"/>
    <w:rsid w:val="005D5F03"/>
    <w:rsid w:val="005D6093"/>
    <w:rsid w:val="005D685E"/>
    <w:rsid w:val="005D69D1"/>
    <w:rsid w:val="005D6CDF"/>
    <w:rsid w:val="005D73DA"/>
    <w:rsid w:val="005D756A"/>
    <w:rsid w:val="005D75A2"/>
    <w:rsid w:val="005E0239"/>
    <w:rsid w:val="005E0312"/>
    <w:rsid w:val="005E0FD5"/>
    <w:rsid w:val="005E15C7"/>
    <w:rsid w:val="005E1ECC"/>
    <w:rsid w:val="005E210D"/>
    <w:rsid w:val="005E268B"/>
    <w:rsid w:val="005E29BE"/>
    <w:rsid w:val="005E2C55"/>
    <w:rsid w:val="005E3415"/>
    <w:rsid w:val="005E359F"/>
    <w:rsid w:val="005E3ACC"/>
    <w:rsid w:val="005E3B85"/>
    <w:rsid w:val="005E3C01"/>
    <w:rsid w:val="005E3F65"/>
    <w:rsid w:val="005E4625"/>
    <w:rsid w:val="005E4833"/>
    <w:rsid w:val="005E4A35"/>
    <w:rsid w:val="005E4A46"/>
    <w:rsid w:val="005E50E5"/>
    <w:rsid w:val="005E5696"/>
    <w:rsid w:val="005E5745"/>
    <w:rsid w:val="005E5C29"/>
    <w:rsid w:val="005E5FA1"/>
    <w:rsid w:val="005E604F"/>
    <w:rsid w:val="005E6C46"/>
    <w:rsid w:val="005E700E"/>
    <w:rsid w:val="005E72C5"/>
    <w:rsid w:val="005E7621"/>
    <w:rsid w:val="005E77E2"/>
    <w:rsid w:val="005E7981"/>
    <w:rsid w:val="005F0B79"/>
    <w:rsid w:val="005F0BEA"/>
    <w:rsid w:val="005F0C3C"/>
    <w:rsid w:val="005F1029"/>
    <w:rsid w:val="005F1131"/>
    <w:rsid w:val="005F20DF"/>
    <w:rsid w:val="005F2288"/>
    <w:rsid w:val="005F2425"/>
    <w:rsid w:val="005F3824"/>
    <w:rsid w:val="005F38E3"/>
    <w:rsid w:val="005F396B"/>
    <w:rsid w:val="005F3AF4"/>
    <w:rsid w:val="005F3B14"/>
    <w:rsid w:val="005F4093"/>
    <w:rsid w:val="005F41D1"/>
    <w:rsid w:val="005F42B0"/>
    <w:rsid w:val="005F4340"/>
    <w:rsid w:val="005F44E9"/>
    <w:rsid w:val="005F465D"/>
    <w:rsid w:val="005F4BD8"/>
    <w:rsid w:val="005F4E13"/>
    <w:rsid w:val="005F57C9"/>
    <w:rsid w:val="005F57D4"/>
    <w:rsid w:val="005F588A"/>
    <w:rsid w:val="005F5EC7"/>
    <w:rsid w:val="005F619C"/>
    <w:rsid w:val="005F6437"/>
    <w:rsid w:val="005F689F"/>
    <w:rsid w:val="005F6F47"/>
    <w:rsid w:val="005F6F57"/>
    <w:rsid w:val="005F7207"/>
    <w:rsid w:val="005F77CD"/>
    <w:rsid w:val="005F7FCF"/>
    <w:rsid w:val="00600704"/>
    <w:rsid w:val="006009AC"/>
    <w:rsid w:val="00600BB3"/>
    <w:rsid w:val="00601E67"/>
    <w:rsid w:val="00601F54"/>
    <w:rsid w:val="006021E4"/>
    <w:rsid w:val="00602852"/>
    <w:rsid w:val="00603E7D"/>
    <w:rsid w:val="0060441B"/>
    <w:rsid w:val="00604551"/>
    <w:rsid w:val="006048DA"/>
    <w:rsid w:val="00604AA1"/>
    <w:rsid w:val="00604BDA"/>
    <w:rsid w:val="00604E0E"/>
    <w:rsid w:val="006052A4"/>
    <w:rsid w:val="00605873"/>
    <w:rsid w:val="00605B18"/>
    <w:rsid w:val="00605EA2"/>
    <w:rsid w:val="006066DF"/>
    <w:rsid w:val="006075FD"/>
    <w:rsid w:val="00607691"/>
    <w:rsid w:val="0060775E"/>
    <w:rsid w:val="00607A36"/>
    <w:rsid w:val="0061062C"/>
    <w:rsid w:val="00610FAB"/>
    <w:rsid w:val="00611120"/>
    <w:rsid w:val="006117ED"/>
    <w:rsid w:val="006119B4"/>
    <w:rsid w:val="006119E4"/>
    <w:rsid w:val="00611EA9"/>
    <w:rsid w:val="00611F45"/>
    <w:rsid w:val="00612305"/>
    <w:rsid w:val="00612A48"/>
    <w:rsid w:val="00613183"/>
    <w:rsid w:val="006133F0"/>
    <w:rsid w:val="0061344D"/>
    <w:rsid w:val="00613D2A"/>
    <w:rsid w:val="006142B5"/>
    <w:rsid w:val="006145B6"/>
    <w:rsid w:val="00614808"/>
    <w:rsid w:val="00614847"/>
    <w:rsid w:val="006151BD"/>
    <w:rsid w:val="00615496"/>
    <w:rsid w:val="00615F5A"/>
    <w:rsid w:val="00616107"/>
    <w:rsid w:val="00616378"/>
    <w:rsid w:val="00616543"/>
    <w:rsid w:val="00616674"/>
    <w:rsid w:val="00616888"/>
    <w:rsid w:val="00616B28"/>
    <w:rsid w:val="00617121"/>
    <w:rsid w:val="006174D6"/>
    <w:rsid w:val="006176BE"/>
    <w:rsid w:val="00617925"/>
    <w:rsid w:val="00617996"/>
    <w:rsid w:val="006206DD"/>
    <w:rsid w:val="0062072C"/>
    <w:rsid w:val="00620854"/>
    <w:rsid w:val="006208EB"/>
    <w:rsid w:val="006212CB"/>
    <w:rsid w:val="0062189D"/>
    <w:rsid w:val="00621999"/>
    <w:rsid w:val="00621A26"/>
    <w:rsid w:val="00621AFC"/>
    <w:rsid w:val="00621F90"/>
    <w:rsid w:val="00622579"/>
    <w:rsid w:val="00622906"/>
    <w:rsid w:val="00622A58"/>
    <w:rsid w:val="00622CC9"/>
    <w:rsid w:val="006231B5"/>
    <w:rsid w:val="0062358E"/>
    <w:rsid w:val="006237CA"/>
    <w:rsid w:val="00623E93"/>
    <w:rsid w:val="00623ED2"/>
    <w:rsid w:val="0062434B"/>
    <w:rsid w:val="00624EF3"/>
    <w:rsid w:val="00624FCE"/>
    <w:rsid w:val="006256FE"/>
    <w:rsid w:val="00625BED"/>
    <w:rsid w:val="00625C9E"/>
    <w:rsid w:val="00625FB8"/>
    <w:rsid w:val="00626387"/>
    <w:rsid w:val="00626A1C"/>
    <w:rsid w:val="00626EF0"/>
    <w:rsid w:val="00626F03"/>
    <w:rsid w:val="00627202"/>
    <w:rsid w:val="006272A9"/>
    <w:rsid w:val="006273DC"/>
    <w:rsid w:val="006276DF"/>
    <w:rsid w:val="006279F9"/>
    <w:rsid w:val="006315FC"/>
    <w:rsid w:val="00631651"/>
    <w:rsid w:val="00631A34"/>
    <w:rsid w:val="00631A7D"/>
    <w:rsid w:val="00631AD1"/>
    <w:rsid w:val="00631AFF"/>
    <w:rsid w:val="00631DEF"/>
    <w:rsid w:val="00632833"/>
    <w:rsid w:val="00632B3A"/>
    <w:rsid w:val="00632B92"/>
    <w:rsid w:val="00632FA3"/>
    <w:rsid w:val="006330E5"/>
    <w:rsid w:val="0063336B"/>
    <w:rsid w:val="00633401"/>
    <w:rsid w:val="0063344E"/>
    <w:rsid w:val="00633D2F"/>
    <w:rsid w:val="0063539D"/>
    <w:rsid w:val="00635D48"/>
    <w:rsid w:val="00635E7C"/>
    <w:rsid w:val="00635ED5"/>
    <w:rsid w:val="00635F9D"/>
    <w:rsid w:val="00636068"/>
    <w:rsid w:val="00636678"/>
    <w:rsid w:val="00636734"/>
    <w:rsid w:val="006369EE"/>
    <w:rsid w:val="00636DAD"/>
    <w:rsid w:val="00637513"/>
    <w:rsid w:val="006375E2"/>
    <w:rsid w:val="006376AE"/>
    <w:rsid w:val="006376E1"/>
    <w:rsid w:val="00637847"/>
    <w:rsid w:val="00637EA9"/>
    <w:rsid w:val="00637ED1"/>
    <w:rsid w:val="00640868"/>
    <w:rsid w:val="00640D8F"/>
    <w:rsid w:val="00641720"/>
    <w:rsid w:val="006420DA"/>
    <w:rsid w:val="006425A2"/>
    <w:rsid w:val="00642E55"/>
    <w:rsid w:val="00642F84"/>
    <w:rsid w:val="00642FF1"/>
    <w:rsid w:val="00643036"/>
    <w:rsid w:val="006431B3"/>
    <w:rsid w:val="00643411"/>
    <w:rsid w:val="006436BC"/>
    <w:rsid w:val="00643B3C"/>
    <w:rsid w:val="00643E90"/>
    <w:rsid w:val="00643EB3"/>
    <w:rsid w:val="00644D22"/>
    <w:rsid w:val="00644EC5"/>
    <w:rsid w:val="0064504E"/>
    <w:rsid w:val="006455AC"/>
    <w:rsid w:val="00645B37"/>
    <w:rsid w:val="006466A1"/>
    <w:rsid w:val="0064700E"/>
    <w:rsid w:val="006470BA"/>
    <w:rsid w:val="00647F59"/>
    <w:rsid w:val="00650677"/>
    <w:rsid w:val="00650F41"/>
    <w:rsid w:val="00651554"/>
    <w:rsid w:val="0065167D"/>
    <w:rsid w:val="00651800"/>
    <w:rsid w:val="0065254B"/>
    <w:rsid w:val="00652A2A"/>
    <w:rsid w:val="006535AB"/>
    <w:rsid w:val="006537D2"/>
    <w:rsid w:val="00653916"/>
    <w:rsid w:val="00653AB2"/>
    <w:rsid w:val="00654026"/>
    <w:rsid w:val="00654B00"/>
    <w:rsid w:val="00654B62"/>
    <w:rsid w:val="006554BE"/>
    <w:rsid w:val="00655785"/>
    <w:rsid w:val="00655C25"/>
    <w:rsid w:val="006560A7"/>
    <w:rsid w:val="006560B9"/>
    <w:rsid w:val="006564E4"/>
    <w:rsid w:val="00656DA6"/>
    <w:rsid w:val="0065704C"/>
    <w:rsid w:val="006574D4"/>
    <w:rsid w:val="00657513"/>
    <w:rsid w:val="00657660"/>
    <w:rsid w:val="006577E9"/>
    <w:rsid w:val="00657A5A"/>
    <w:rsid w:val="00657BDD"/>
    <w:rsid w:val="0066012B"/>
    <w:rsid w:val="006602FF"/>
    <w:rsid w:val="0066038E"/>
    <w:rsid w:val="00660858"/>
    <w:rsid w:val="006609E6"/>
    <w:rsid w:val="00660E51"/>
    <w:rsid w:val="00660F67"/>
    <w:rsid w:val="00661001"/>
    <w:rsid w:val="0066132D"/>
    <w:rsid w:val="006616A1"/>
    <w:rsid w:val="00661EBB"/>
    <w:rsid w:val="006633DE"/>
    <w:rsid w:val="00663B14"/>
    <w:rsid w:val="00663B71"/>
    <w:rsid w:val="00663D56"/>
    <w:rsid w:val="00663E87"/>
    <w:rsid w:val="0066463C"/>
    <w:rsid w:val="00664EDC"/>
    <w:rsid w:val="00665244"/>
    <w:rsid w:val="0066543A"/>
    <w:rsid w:val="00665449"/>
    <w:rsid w:val="00665759"/>
    <w:rsid w:val="00665B8E"/>
    <w:rsid w:val="00665D56"/>
    <w:rsid w:val="00665F2E"/>
    <w:rsid w:val="00666D69"/>
    <w:rsid w:val="00666F76"/>
    <w:rsid w:val="006672FC"/>
    <w:rsid w:val="0066770A"/>
    <w:rsid w:val="006678EC"/>
    <w:rsid w:val="00667A48"/>
    <w:rsid w:val="00667AA8"/>
    <w:rsid w:val="00667BDF"/>
    <w:rsid w:val="00667D3D"/>
    <w:rsid w:val="00671BAC"/>
    <w:rsid w:val="00671C62"/>
    <w:rsid w:val="0067223F"/>
    <w:rsid w:val="00672249"/>
    <w:rsid w:val="00672432"/>
    <w:rsid w:val="00672837"/>
    <w:rsid w:val="00672B25"/>
    <w:rsid w:val="00672D15"/>
    <w:rsid w:val="00672DDC"/>
    <w:rsid w:val="00673600"/>
    <w:rsid w:val="006736A9"/>
    <w:rsid w:val="006739D2"/>
    <w:rsid w:val="00673BC7"/>
    <w:rsid w:val="00673DDB"/>
    <w:rsid w:val="0067400E"/>
    <w:rsid w:val="006743EE"/>
    <w:rsid w:val="006746D9"/>
    <w:rsid w:val="00674975"/>
    <w:rsid w:val="00674E07"/>
    <w:rsid w:val="00674E46"/>
    <w:rsid w:val="00675C7A"/>
    <w:rsid w:val="00675D39"/>
    <w:rsid w:val="006764BF"/>
    <w:rsid w:val="006766C5"/>
    <w:rsid w:val="006766EC"/>
    <w:rsid w:val="00676743"/>
    <w:rsid w:val="00676948"/>
    <w:rsid w:val="00677F3C"/>
    <w:rsid w:val="00677FCC"/>
    <w:rsid w:val="006801FA"/>
    <w:rsid w:val="00680576"/>
    <w:rsid w:val="00680C2D"/>
    <w:rsid w:val="00680DE6"/>
    <w:rsid w:val="006813C0"/>
    <w:rsid w:val="00681727"/>
    <w:rsid w:val="00681D67"/>
    <w:rsid w:val="00682425"/>
    <w:rsid w:val="00682597"/>
    <w:rsid w:val="00682C98"/>
    <w:rsid w:val="00683A12"/>
    <w:rsid w:val="00683E17"/>
    <w:rsid w:val="006847FA"/>
    <w:rsid w:val="0068518B"/>
    <w:rsid w:val="0068560B"/>
    <w:rsid w:val="0068562B"/>
    <w:rsid w:val="006856C3"/>
    <w:rsid w:val="006856E7"/>
    <w:rsid w:val="00685F55"/>
    <w:rsid w:val="00686E1A"/>
    <w:rsid w:val="00687236"/>
    <w:rsid w:val="0068740F"/>
    <w:rsid w:val="0068766E"/>
    <w:rsid w:val="00687C31"/>
    <w:rsid w:val="00690667"/>
    <w:rsid w:val="00691574"/>
    <w:rsid w:val="00691E12"/>
    <w:rsid w:val="0069274F"/>
    <w:rsid w:val="00692A67"/>
    <w:rsid w:val="00692DFC"/>
    <w:rsid w:val="00693129"/>
    <w:rsid w:val="00693408"/>
    <w:rsid w:val="00694003"/>
    <w:rsid w:val="006942A0"/>
    <w:rsid w:val="006943F0"/>
    <w:rsid w:val="0069464C"/>
    <w:rsid w:val="006947A1"/>
    <w:rsid w:val="00694BB0"/>
    <w:rsid w:val="00694C96"/>
    <w:rsid w:val="00694FCD"/>
    <w:rsid w:val="00695DB2"/>
    <w:rsid w:val="00696307"/>
    <w:rsid w:val="006968C0"/>
    <w:rsid w:val="006979F4"/>
    <w:rsid w:val="00697F96"/>
    <w:rsid w:val="006A0DA0"/>
    <w:rsid w:val="006A0DC5"/>
    <w:rsid w:val="006A0DED"/>
    <w:rsid w:val="006A1277"/>
    <w:rsid w:val="006A2227"/>
    <w:rsid w:val="006A230A"/>
    <w:rsid w:val="006A2602"/>
    <w:rsid w:val="006A2986"/>
    <w:rsid w:val="006A2D41"/>
    <w:rsid w:val="006A2D52"/>
    <w:rsid w:val="006A314F"/>
    <w:rsid w:val="006A3173"/>
    <w:rsid w:val="006A3D16"/>
    <w:rsid w:val="006A4C75"/>
    <w:rsid w:val="006A4EE1"/>
    <w:rsid w:val="006A5A62"/>
    <w:rsid w:val="006A5B1A"/>
    <w:rsid w:val="006A5B2E"/>
    <w:rsid w:val="006A62C0"/>
    <w:rsid w:val="006A6424"/>
    <w:rsid w:val="006A6480"/>
    <w:rsid w:val="006A67D3"/>
    <w:rsid w:val="006A67E1"/>
    <w:rsid w:val="006A6928"/>
    <w:rsid w:val="006A6FB3"/>
    <w:rsid w:val="006A77A2"/>
    <w:rsid w:val="006B019B"/>
    <w:rsid w:val="006B0FDB"/>
    <w:rsid w:val="006B10F5"/>
    <w:rsid w:val="006B1754"/>
    <w:rsid w:val="006B1A7D"/>
    <w:rsid w:val="006B1A80"/>
    <w:rsid w:val="006B1C05"/>
    <w:rsid w:val="006B2C09"/>
    <w:rsid w:val="006B3080"/>
    <w:rsid w:val="006B315D"/>
    <w:rsid w:val="006B31BF"/>
    <w:rsid w:val="006B3501"/>
    <w:rsid w:val="006B394C"/>
    <w:rsid w:val="006B51AD"/>
    <w:rsid w:val="006B5211"/>
    <w:rsid w:val="006B52F9"/>
    <w:rsid w:val="006B5BE9"/>
    <w:rsid w:val="006B5F67"/>
    <w:rsid w:val="006B61B5"/>
    <w:rsid w:val="006B6685"/>
    <w:rsid w:val="006B69E5"/>
    <w:rsid w:val="006B6EF9"/>
    <w:rsid w:val="006B75FC"/>
    <w:rsid w:val="006B779A"/>
    <w:rsid w:val="006C00D0"/>
    <w:rsid w:val="006C00F5"/>
    <w:rsid w:val="006C09ED"/>
    <w:rsid w:val="006C0C65"/>
    <w:rsid w:val="006C1091"/>
    <w:rsid w:val="006C1403"/>
    <w:rsid w:val="006C155B"/>
    <w:rsid w:val="006C1AC7"/>
    <w:rsid w:val="006C1D2B"/>
    <w:rsid w:val="006C2700"/>
    <w:rsid w:val="006C2717"/>
    <w:rsid w:val="006C2C26"/>
    <w:rsid w:val="006C2DBB"/>
    <w:rsid w:val="006C35E7"/>
    <w:rsid w:val="006C36FB"/>
    <w:rsid w:val="006C3795"/>
    <w:rsid w:val="006C42CB"/>
    <w:rsid w:val="006C467D"/>
    <w:rsid w:val="006C4AA0"/>
    <w:rsid w:val="006C4FBF"/>
    <w:rsid w:val="006C51EF"/>
    <w:rsid w:val="006C57CB"/>
    <w:rsid w:val="006C63E3"/>
    <w:rsid w:val="006C679F"/>
    <w:rsid w:val="006C67B0"/>
    <w:rsid w:val="006C6892"/>
    <w:rsid w:val="006C75E4"/>
    <w:rsid w:val="006C7D62"/>
    <w:rsid w:val="006C7DA9"/>
    <w:rsid w:val="006C7E9D"/>
    <w:rsid w:val="006D02DA"/>
    <w:rsid w:val="006D06C1"/>
    <w:rsid w:val="006D0A5D"/>
    <w:rsid w:val="006D0B23"/>
    <w:rsid w:val="006D1AFF"/>
    <w:rsid w:val="006D2482"/>
    <w:rsid w:val="006D286D"/>
    <w:rsid w:val="006D289E"/>
    <w:rsid w:val="006D2D26"/>
    <w:rsid w:val="006D2ED6"/>
    <w:rsid w:val="006D3355"/>
    <w:rsid w:val="006D3EF4"/>
    <w:rsid w:val="006D4576"/>
    <w:rsid w:val="006D4840"/>
    <w:rsid w:val="006D48F3"/>
    <w:rsid w:val="006D49AC"/>
    <w:rsid w:val="006D4BF2"/>
    <w:rsid w:val="006D4CA2"/>
    <w:rsid w:val="006D547F"/>
    <w:rsid w:val="006D5685"/>
    <w:rsid w:val="006D5EA0"/>
    <w:rsid w:val="006D63F8"/>
    <w:rsid w:val="006D698C"/>
    <w:rsid w:val="006D6995"/>
    <w:rsid w:val="006D7111"/>
    <w:rsid w:val="006D7959"/>
    <w:rsid w:val="006E0D08"/>
    <w:rsid w:val="006E0EFD"/>
    <w:rsid w:val="006E136B"/>
    <w:rsid w:val="006E14A3"/>
    <w:rsid w:val="006E14C2"/>
    <w:rsid w:val="006E1987"/>
    <w:rsid w:val="006E1EB1"/>
    <w:rsid w:val="006E2379"/>
    <w:rsid w:val="006E23B2"/>
    <w:rsid w:val="006E2879"/>
    <w:rsid w:val="006E2D99"/>
    <w:rsid w:val="006E3BCF"/>
    <w:rsid w:val="006E401D"/>
    <w:rsid w:val="006E41BF"/>
    <w:rsid w:val="006E4FBA"/>
    <w:rsid w:val="006E5207"/>
    <w:rsid w:val="006E593E"/>
    <w:rsid w:val="006E654A"/>
    <w:rsid w:val="006E687D"/>
    <w:rsid w:val="006E6B72"/>
    <w:rsid w:val="006E736A"/>
    <w:rsid w:val="006E7D16"/>
    <w:rsid w:val="006F0129"/>
    <w:rsid w:val="006F0696"/>
    <w:rsid w:val="006F088B"/>
    <w:rsid w:val="006F10AD"/>
    <w:rsid w:val="006F1331"/>
    <w:rsid w:val="006F15F4"/>
    <w:rsid w:val="006F19F3"/>
    <w:rsid w:val="006F19FB"/>
    <w:rsid w:val="006F2637"/>
    <w:rsid w:val="006F29E5"/>
    <w:rsid w:val="006F2B1B"/>
    <w:rsid w:val="006F3096"/>
    <w:rsid w:val="006F350B"/>
    <w:rsid w:val="006F3680"/>
    <w:rsid w:val="006F3796"/>
    <w:rsid w:val="006F520A"/>
    <w:rsid w:val="006F54B2"/>
    <w:rsid w:val="006F5C70"/>
    <w:rsid w:val="006F5FB8"/>
    <w:rsid w:val="006F62D7"/>
    <w:rsid w:val="006F6378"/>
    <w:rsid w:val="006F6909"/>
    <w:rsid w:val="006F6A20"/>
    <w:rsid w:val="006F6AF1"/>
    <w:rsid w:val="006F705A"/>
    <w:rsid w:val="006F727D"/>
    <w:rsid w:val="006F771C"/>
    <w:rsid w:val="0070027D"/>
    <w:rsid w:val="00700875"/>
    <w:rsid w:val="00700908"/>
    <w:rsid w:val="007017A0"/>
    <w:rsid w:val="00701AA3"/>
    <w:rsid w:val="00701ED2"/>
    <w:rsid w:val="007024EC"/>
    <w:rsid w:val="00702A8B"/>
    <w:rsid w:val="00703010"/>
    <w:rsid w:val="007035D0"/>
    <w:rsid w:val="00703D5B"/>
    <w:rsid w:val="00703DB8"/>
    <w:rsid w:val="007042AC"/>
    <w:rsid w:val="007046E0"/>
    <w:rsid w:val="007047B2"/>
    <w:rsid w:val="00704ADA"/>
    <w:rsid w:val="00704B18"/>
    <w:rsid w:val="00704DE7"/>
    <w:rsid w:val="00704FBE"/>
    <w:rsid w:val="007052F6"/>
    <w:rsid w:val="0070564E"/>
    <w:rsid w:val="007057FE"/>
    <w:rsid w:val="007058B0"/>
    <w:rsid w:val="00705AEC"/>
    <w:rsid w:val="00705B89"/>
    <w:rsid w:val="00706394"/>
    <w:rsid w:val="00706868"/>
    <w:rsid w:val="00706E93"/>
    <w:rsid w:val="007072A6"/>
    <w:rsid w:val="00707319"/>
    <w:rsid w:val="00707418"/>
    <w:rsid w:val="007078B8"/>
    <w:rsid w:val="00707D2B"/>
    <w:rsid w:val="00710EAA"/>
    <w:rsid w:val="0071102E"/>
    <w:rsid w:val="007115BA"/>
    <w:rsid w:val="00711969"/>
    <w:rsid w:val="00711AF7"/>
    <w:rsid w:val="007122A4"/>
    <w:rsid w:val="00712B4B"/>
    <w:rsid w:val="00712C40"/>
    <w:rsid w:val="00713352"/>
    <w:rsid w:val="00713978"/>
    <w:rsid w:val="00713B2F"/>
    <w:rsid w:val="00713E76"/>
    <w:rsid w:val="007146DF"/>
    <w:rsid w:val="007149C5"/>
    <w:rsid w:val="0071501B"/>
    <w:rsid w:val="00715E32"/>
    <w:rsid w:val="007162D1"/>
    <w:rsid w:val="00716400"/>
    <w:rsid w:val="00716463"/>
    <w:rsid w:val="00716A3E"/>
    <w:rsid w:val="00716C1F"/>
    <w:rsid w:val="0071706E"/>
    <w:rsid w:val="00717478"/>
    <w:rsid w:val="007178A0"/>
    <w:rsid w:val="00717E45"/>
    <w:rsid w:val="00720326"/>
    <w:rsid w:val="0072112F"/>
    <w:rsid w:val="007211BD"/>
    <w:rsid w:val="00721203"/>
    <w:rsid w:val="00721661"/>
    <w:rsid w:val="00722A4F"/>
    <w:rsid w:val="007230BE"/>
    <w:rsid w:val="00723618"/>
    <w:rsid w:val="00723776"/>
    <w:rsid w:val="0072408E"/>
    <w:rsid w:val="007243BB"/>
    <w:rsid w:val="00724DCF"/>
    <w:rsid w:val="0072533B"/>
    <w:rsid w:val="007253A2"/>
    <w:rsid w:val="00725502"/>
    <w:rsid w:val="00725767"/>
    <w:rsid w:val="00726357"/>
    <w:rsid w:val="007267A6"/>
    <w:rsid w:val="00726E50"/>
    <w:rsid w:val="00726F24"/>
    <w:rsid w:val="00727292"/>
    <w:rsid w:val="007279EF"/>
    <w:rsid w:val="00727B16"/>
    <w:rsid w:val="00727C25"/>
    <w:rsid w:val="00730541"/>
    <w:rsid w:val="007307D7"/>
    <w:rsid w:val="0073082C"/>
    <w:rsid w:val="007308F5"/>
    <w:rsid w:val="007308FE"/>
    <w:rsid w:val="00730BD8"/>
    <w:rsid w:val="00730DF3"/>
    <w:rsid w:val="007313F5"/>
    <w:rsid w:val="00731832"/>
    <w:rsid w:val="00731B55"/>
    <w:rsid w:val="00732302"/>
    <w:rsid w:val="007323E7"/>
    <w:rsid w:val="00732E78"/>
    <w:rsid w:val="00732EA7"/>
    <w:rsid w:val="00733566"/>
    <w:rsid w:val="0073407C"/>
    <w:rsid w:val="00734203"/>
    <w:rsid w:val="00734804"/>
    <w:rsid w:val="00735287"/>
    <w:rsid w:val="00735293"/>
    <w:rsid w:val="007356AD"/>
    <w:rsid w:val="00735AA2"/>
    <w:rsid w:val="00735E1C"/>
    <w:rsid w:val="0073665C"/>
    <w:rsid w:val="007369E8"/>
    <w:rsid w:val="00736B32"/>
    <w:rsid w:val="00736DBD"/>
    <w:rsid w:val="00740034"/>
    <w:rsid w:val="007401CE"/>
    <w:rsid w:val="00740950"/>
    <w:rsid w:val="007409C2"/>
    <w:rsid w:val="00740C3D"/>
    <w:rsid w:val="00740CCF"/>
    <w:rsid w:val="00740ECC"/>
    <w:rsid w:val="00741378"/>
    <w:rsid w:val="0074190A"/>
    <w:rsid w:val="00742560"/>
    <w:rsid w:val="0074261A"/>
    <w:rsid w:val="00742F6A"/>
    <w:rsid w:val="00743516"/>
    <w:rsid w:val="007435A0"/>
    <w:rsid w:val="007441C6"/>
    <w:rsid w:val="007446E8"/>
    <w:rsid w:val="00744ACE"/>
    <w:rsid w:val="00744ED8"/>
    <w:rsid w:val="007451AD"/>
    <w:rsid w:val="00745527"/>
    <w:rsid w:val="00746C83"/>
    <w:rsid w:val="00746F79"/>
    <w:rsid w:val="00747271"/>
    <w:rsid w:val="0074731C"/>
    <w:rsid w:val="00747A2F"/>
    <w:rsid w:val="00747CCD"/>
    <w:rsid w:val="00747E8E"/>
    <w:rsid w:val="00750514"/>
    <w:rsid w:val="00750975"/>
    <w:rsid w:val="00750A30"/>
    <w:rsid w:val="00750FCC"/>
    <w:rsid w:val="00750FD3"/>
    <w:rsid w:val="00751143"/>
    <w:rsid w:val="00751553"/>
    <w:rsid w:val="0075165E"/>
    <w:rsid w:val="00751ABF"/>
    <w:rsid w:val="00751C42"/>
    <w:rsid w:val="00751E22"/>
    <w:rsid w:val="00751E98"/>
    <w:rsid w:val="00751FA8"/>
    <w:rsid w:val="007535A4"/>
    <w:rsid w:val="007545A5"/>
    <w:rsid w:val="00754984"/>
    <w:rsid w:val="00754E10"/>
    <w:rsid w:val="00755FDC"/>
    <w:rsid w:val="00756092"/>
    <w:rsid w:val="0075622A"/>
    <w:rsid w:val="007566EF"/>
    <w:rsid w:val="0075686C"/>
    <w:rsid w:val="00756C17"/>
    <w:rsid w:val="0075724A"/>
    <w:rsid w:val="00757595"/>
    <w:rsid w:val="00757A64"/>
    <w:rsid w:val="00760503"/>
    <w:rsid w:val="00760C21"/>
    <w:rsid w:val="00761761"/>
    <w:rsid w:val="0076183C"/>
    <w:rsid w:val="00761AAC"/>
    <w:rsid w:val="00761C9B"/>
    <w:rsid w:val="00762030"/>
    <w:rsid w:val="0076219E"/>
    <w:rsid w:val="00762200"/>
    <w:rsid w:val="007626A3"/>
    <w:rsid w:val="007626CB"/>
    <w:rsid w:val="00762702"/>
    <w:rsid w:val="007628A5"/>
    <w:rsid w:val="00762A29"/>
    <w:rsid w:val="00762D4C"/>
    <w:rsid w:val="00762FCD"/>
    <w:rsid w:val="0076327D"/>
    <w:rsid w:val="007636DE"/>
    <w:rsid w:val="00764122"/>
    <w:rsid w:val="007644B4"/>
    <w:rsid w:val="0076467F"/>
    <w:rsid w:val="007647C1"/>
    <w:rsid w:val="00764B5C"/>
    <w:rsid w:val="00764C00"/>
    <w:rsid w:val="00764C0B"/>
    <w:rsid w:val="00765122"/>
    <w:rsid w:val="00765214"/>
    <w:rsid w:val="00765586"/>
    <w:rsid w:val="007657D4"/>
    <w:rsid w:val="0076590F"/>
    <w:rsid w:val="007661FF"/>
    <w:rsid w:val="00766527"/>
    <w:rsid w:val="00766864"/>
    <w:rsid w:val="0076710A"/>
    <w:rsid w:val="0076743C"/>
    <w:rsid w:val="00767745"/>
    <w:rsid w:val="00767D1B"/>
    <w:rsid w:val="00767E08"/>
    <w:rsid w:val="007702F4"/>
    <w:rsid w:val="00770436"/>
    <w:rsid w:val="007707FC"/>
    <w:rsid w:val="00770BE3"/>
    <w:rsid w:val="00770D8C"/>
    <w:rsid w:val="00770E54"/>
    <w:rsid w:val="007711CC"/>
    <w:rsid w:val="0077136F"/>
    <w:rsid w:val="0077176E"/>
    <w:rsid w:val="0077177A"/>
    <w:rsid w:val="00771A08"/>
    <w:rsid w:val="00771C4E"/>
    <w:rsid w:val="00771C84"/>
    <w:rsid w:val="00771CCE"/>
    <w:rsid w:val="007728A8"/>
    <w:rsid w:val="007728ED"/>
    <w:rsid w:val="00772923"/>
    <w:rsid w:val="00772957"/>
    <w:rsid w:val="00772BA2"/>
    <w:rsid w:val="00772F23"/>
    <w:rsid w:val="007733D2"/>
    <w:rsid w:val="00773A37"/>
    <w:rsid w:val="0077455C"/>
    <w:rsid w:val="007746DD"/>
    <w:rsid w:val="00775013"/>
    <w:rsid w:val="00775365"/>
    <w:rsid w:val="007754A0"/>
    <w:rsid w:val="007757DB"/>
    <w:rsid w:val="00776129"/>
    <w:rsid w:val="0077661F"/>
    <w:rsid w:val="00776AF5"/>
    <w:rsid w:val="00777292"/>
    <w:rsid w:val="00777A27"/>
    <w:rsid w:val="00777CEB"/>
    <w:rsid w:val="007802EF"/>
    <w:rsid w:val="007808C3"/>
    <w:rsid w:val="00781716"/>
    <w:rsid w:val="00781A15"/>
    <w:rsid w:val="00781DCF"/>
    <w:rsid w:val="0078206C"/>
    <w:rsid w:val="00782816"/>
    <w:rsid w:val="007833DF"/>
    <w:rsid w:val="00783506"/>
    <w:rsid w:val="007837BD"/>
    <w:rsid w:val="00783930"/>
    <w:rsid w:val="0078441D"/>
    <w:rsid w:val="007845AA"/>
    <w:rsid w:val="007848DE"/>
    <w:rsid w:val="0078490C"/>
    <w:rsid w:val="0078497C"/>
    <w:rsid w:val="00784D21"/>
    <w:rsid w:val="00784ECF"/>
    <w:rsid w:val="007851B2"/>
    <w:rsid w:val="007851BF"/>
    <w:rsid w:val="007857A8"/>
    <w:rsid w:val="00785A76"/>
    <w:rsid w:val="00786204"/>
    <w:rsid w:val="007867B5"/>
    <w:rsid w:val="00786B4D"/>
    <w:rsid w:val="00786B5E"/>
    <w:rsid w:val="00786F05"/>
    <w:rsid w:val="00787334"/>
    <w:rsid w:val="007876E1"/>
    <w:rsid w:val="00787852"/>
    <w:rsid w:val="0079029F"/>
    <w:rsid w:val="007904D7"/>
    <w:rsid w:val="00790AA2"/>
    <w:rsid w:val="00790C12"/>
    <w:rsid w:val="0079105B"/>
    <w:rsid w:val="007915BC"/>
    <w:rsid w:val="007917EE"/>
    <w:rsid w:val="00791CA3"/>
    <w:rsid w:val="00791D12"/>
    <w:rsid w:val="00793324"/>
    <w:rsid w:val="00793455"/>
    <w:rsid w:val="007935D9"/>
    <w:rsid w:val="007940C9"/>
    <w:rsid w:val="0079475D"/>
    <w:rsid w:val="00794AA5"/>
    <w:rsid w:val="00794F43"/>
    <w:rsid w:val="00795947"/>
    <w:rsid w:val="00795A03"/>
    <w:rsid w:val="00795E63"/>
    <w:rsid w:val="007967AF"/>
    <w:rsid w:val="007967FA"/>
    <w:rsid w:val="00796E04"/>
    <w:rsid w:val="00797054"/>
    <w:rsid w:val="0079712F"/>
    <w:rsid w:val="00797BCF"/>
    <w:rsid w:val="00797E7A"/>
    <w:rsid w:val="007A01C9"/>
    <w:rsid w:val="007A0206"/>
    <w:rsid w:val="007A091A"/>
    <w:rsid w:val="007A0AC4"/>
    <w:rsid w:val="007A0EA6"/>
    <w:rsid w:val="007A10AB"/>
    <w:rsid w:val="007A14BC"/>
    <w:rsid w:val="007A19B0"/>
    <w:rsid w:val="007A2D9E"/>
    <w:rsid w:val="007A2F8F"/>
    <w:rsid w:val="007A3174"/>
    <w:rsid w:val="007A41AC"/>
    <w:rsid w:val="007A4B0D"/>
    <w:rsid w:val="007A4B43"/>
    <w:rsid w:val="007A4D76"/>
    <w:rsid w:val="007A4DF9"/>
    <w:rsid w:val="007A5B84"/>
    <w:rsid w:val="007A6594"/>
    <w:rsid w:val="007A6BFF"/>
    <w:rsid w:val="007A7095"/>
    <w:rsid w:val="007A738D"/>
    <w:rsid w:val="007A7A8F"/>
    <w:rsid w:val="007A7AFB"/>
    <w:rsid w:val="007B0195"/>
    <w:rsid w:val="007B0381"/>
    <w:rsid w:val="007B0ACE"/>
    <w:rsid w:val="007B0F3D"/>
    <w:rsid w:val="007B1008"/>
    <w:rsid w:val="007B148D"/>
    <w:rsid w:val="007B1751"/>
    <w:rsid w:val="007B18C8"/>
    <w:rsid w:val="007B1A33"/>
    <w:rsid w:val="007B1D4F"/>
    <w:rsid w:val="007B1F25"/>
    <w:rsid w:val="007B22A6"/>
    <w:rsid w:val="007B2552"/>
    <w:rsid w:val="007B28DE"/>
    <w:rsid w:val="007B3712"/>
    <w:rsid w:val="007B4231"/>
    <w:rsid w:val="007B43D6"/>
    <w:rsid w:val="007B57F0"/>
    <w:rsid w:val="007B58AF"/>
    <w:rsid w:val="007B5C1E"/>
    <w:rsid w:val="007B634E"/>
    <w:rsid w:val="007B65C6"/>
    <w:rsid w:val="007B6A64"/>
    <w:rsid w:val="007B6ADE"/>
    <w:rsid w:val="007B6E2F"/>
    <w:rsid w:val="007B6EB3"/>
    <w:rsid w:val="007B71C2"/>
    <w:rsid w:val="007B739D"/>
    <w:rsid w:val="007B7480"/>
    <w:rsid w:val="007B776E"/>
    <w:rsid w:val="007B7A5F"/>
    <w:rsid w:val="007B7BC8"/>
    <w:rsid w:val="007C007D"/>
    <w:rsid w:val="007C0332"/>
    <w:rsid w:val="007C0502"/>
    <w:rsid w:val="007C07B1"/>
    <w:rsid w:val="007C162C"/>
    <w:rsid w:val="007C1EB2"/>
    <w:rsid w:val="007C2274"/>
    <w:rsid w:val="007C241C"/>
    <w:rsid w:val="007C273E"/>
    <w:rsid w:val="007C27F5"/>
    <w:rsid w:val="007C29C7"/>
    <w:rsid w:val="007C2BD2"/>
    <w:rsid w:val="007C2EEB"/>
    <w:rsid w:val="007C3016"/>
    <w:rsid w:val="007C314F"/>
    <w:rsid w:val="007C35A3"/>
    <w:rsid w:val="007C36BE"/>
    <w:rsid w:val="007C373D"/>
    <w:rsid w:val="007C48FA"/>
    <w:rsid w:val="007C4E4F"/>
    <w:rsid w:val="007C4EB3"/>
    <w:rsid w:val="007C5E4F"/>
    <w:rsid w:val="007C5EFA"/>
    <w:rsid w:val="007C62E1"/>
    <w:rsid w:val="007C63B1"/>
    <w:rsid w:val="007D0145"/>
    <w:rsid w:val="007D020E"/>
    <w:rsid w:val="007D03A2"/>
    <w:rsid w:val="007D059A"/>
    <w:rsid w:val="007D0D15"/>
    <w:rsid w:val="007D115A"/>
    <w:rsid w:val="007D242A"/>
    <w:rsid w:val="007D36A7"/>
    <w:rsid w:val="007D38C8"/>
    <w:rsid w:val="007D3BDB"/>
    <w:rsid w:val="007D46B5"/>
    <w:rsid w:val="007D4770"/>
    <w:rsid w:val="007D48CF"/>
    <w:rsid w:val="007D4B49"/>
    <w:rsid w:val="007D4B51"/>
    <w:rsid w:val="007D4B5F"/>
    <w:rsid w:val="007D4F4B"/>
    <w:rsid w:val="007D526A"/>
    <w:rsid w:val="007D53ED"/>
    <w:rsid w:val="007D6001"/>
    <w:rsid w:val="007D6561"/>
    <w:rsid w:val="007D66D6"/>
    <w:rsid w:val="007D66DA"/>
    <w:rsid w:val="007D68BD"/>
    <w:rsid w:val="007D6A48"/>
    <w:rsid w:val="007D6E1B"/>
    <w:rsid w:val="007D7049"/>
    <w:rsid w:val="007D7CE8"/>
    <w:rsid w:val="007D7F94"/>
    <w:rsid w:val="007E05CE"/>
    <w:rsid w:val="007E063B"/>
    <w:rsid w:val="007E0D98"/>
    <w:rsid w:val="007E0E48"/>
    <w:rsid w:val="007E115C"/>
    <w:rsid w:val="007E12CB"/>
    <w:rsid w:val="007E1476"/>
    <w:rsid w:val="007E176F"/>
    <w:rsid w:val="007E1A33"/>
    <w:rsid w:val="007E1B76"/>
    <w:rsid w:val="007E1C1E"/>
    <w:rsid w:val="007E219A"/>
    <w:rsid w:val="007E280D"/>
    <w:rsid w:val="007E2896"/>
    <w:rsid w:val="007E29C8"/>
    <w:rsid w:val="007E2B4A"/>
    <w:rsid w:val="007E31B6"/>
    <w:rsid w:val="007E37BF"/>
    <w:rsid w:val="007E3941"/>
    <w:rsid w:val="007E3E8A"/>
    <w:rsid w:val="007E44AA"/>
    <w:rsid w:val="007E46E4"/>
    <w:rsid w:val="007E49FD"/>
    <w:rsid w:val="007E4D3A"/>
    <w:rsid w:val="007E50FC"/>
    <w:rsid w:val="007E52B1"/>
    <w:rsid w:val="007E5437"/>
    <w:rsid w:val="007E551F"/>
    <w:rsid w:val="007E56ED"/>
    <w:rsid w:val="007E5897"/>
    <w:rsid w:val="007E611C"/>
    <w:rsid w:val="007E6400"/>
    <w:rsid w:val="007E6593"/>
    <w:rsid w:val="007E689F"/>
    <w:rsid w:val="007E6C27"/>
    <w:rsid w:val="007E6C89"/>
    <w:rsid w:val="007E6E09"/>
    <w:rsid w:val="007E7062"/>
    <w:rsid w:val="007E7405"/>
    <w:rsid w:val="007E753B"/>
    <w:rsid w:val="007F0634"/>
    <w:rsid w:val="007F08DB"/>
    <w:rsid w:val="007F08ED"/>
    <w:rsid w:val="007F0A9A"/>
    <w:rsid w:val="007F0F43"/>
    <w:rsid w:val="007F1101"/>
    <w:rsid w:val="007F15A0"/>
    <w:rsid w:val="007F1978"/>
    <w:rsid w:val="007F2175"/>
    <w:rsid w:val="007F2555"/>
    <w:rsid w:val="007F2568"/>
    <w:rsid w:val="007F2AA4"/>
    <w:rsid w:val="007F2CB1"/>
    <w:rsid w:val="007F2DB2"/>
    <w:rsid w:val="007F2F9B"/>
    <w:rsid w:val="007F3292"/>
    <w:rsid w:val="007F36B4"/>
    <w:rsid w:val="007F3D67"/>
    <w:rsid w:val="007F4600"/>
    <w:rsid w:val="007F4A8D"/>
    <w:rsid w:val="007F4C71"/>
    <w:rsid w:val="007F533D"/>
    <w:rsid w:val="007F559A"/>
    <w:rsid w:val="007F569D"/>
    <w:rsid w:val="007F59B4"/>
    <w:rsid w:val="007F5F6E"/>
    <w:rsid w:val="007F630B"/>
    <w:rsid w:val="007F65F8"/>
    <w:rsid w:val="007F6B91"/>
    <w:rsid w:val="007F6EDB"/>
    <w:rsid w:val="007F70AC"/>
    <w:rsid w:val="007F74CE"/>
    <w:rsid w:val="007F78C7"/>
    <w:rsid w:val="007F7B3D"/>
    <w:rsid w:val="007F7B5E"/>
    <w:rsid w:val="007F7C02"/>
    <w:rsid w:val="007F7DBF"/>
    <w:rsid w:val="00800109"/>
    <w:rsid w:val="0080028B"/>
    <w:rsid w:val="00800416"/>
    <w:rsid w:val="008006BA"/>
    <w:rsid w:val="00800953"/>
    <w:rsid w:val="00800B11"/>
    <w:rsid w:val="00800E04"/>
    <w:rsid w:val="0080131E"/>
    <w:rsid w:val="00801CE3"/>
    <w:rsid w:val="00802143"/>
    <w:rsid w:val="00802816"/>
    <w:rsid w:val="00802C20"/>
    <w:rsid w:val="00802DCC"/>
    <w:rsid w:val="008033BD"/>
    <w:rsid w:val="008036EC"/>
    <w:rsid w:val="00803A23"/>
    <w:rsid w:val="00803D20"/>
    <w:rsid w:val="00804553"/>
    <w:rsid w:val="00804844"/>
    <w:rsid w:val="00804E62"/>
    <w:rsid w:val="00805B83"/>
    <w:rsid w:val="0080604B"/>
    <w:rsid w:val="008067B0"/>
    <w:rsid w:val="00806AAC"/>
    <w:rsid w:val="00806DAC"/>
    <w:rsid w:val="00807816"/>
    <w:rsid w:val="00807C00"/>
    <w:rsid w:val="00807F96"/>
    <w:rsid w:val="00810032"/>
    <w:rsid w:val="00810C5E"/>
    <w:rsid w:val="00810C84"/>
    <w:rsid w:val="008112A0"/>
    <w:rsid w:val="008113C7"/>
    <w:rsid w:val="00811791"/>
    <w:rsid w:val="00811A99"/>
    <w:rsid w:val="00811B6D"/>
    <w:rsid w:val="008124D7"/>
    <w:rsid w:val="008129B0"/>
    <w:rsid w:val="00813399"/>
    <w:rsid w:val="00814563"/>
    <w:rsid w:val="00814977"/>
    <w:rsid w:val="0081497C"/>
    <w:rsid w:val="00814E39"/>
    <w:rsid w:val="0081511F"/>
    <w:rsid w:val="0081533C"/>
    <w:rsid w:val="00815440"/>
    <w:rsid w:val="008157EA"/>
    <w:rsid w:val="0081696D"/>
    <w:rsid w:val="0081699E"/>
    <w:rsid w:val="00816E01"/>
    <w:rsid w:val="008173D0"/>
    <w:rsid w:val="00817E6E"/>
    <w:rsid w:val="00820241"/>
    <w:rsid w:val="00820248"/>
    <w:rsid w:val="008204CD"/>
    <w:rsid w:val="0082064C"/>
    <w:rsid w:val="0082075C"/>
    <w:rsid w:val="008209F4"/>
    <w:rsid w:val="00820B26"/>
    <w:rsid w:val="00820E3F"/>
    <w:rsid w:val="0082100A"/>
    <w:rsid w:val="0082143B"/>
    <w:rsid w:val="008214F9"/>
    <w:rsid w:val="0082159A"/>
    <w:rsid w:val="00821957"/>
    <w:rsid w:val="00822107"/>
    <w:rsid w:val="0082269E"/>
    <w:rsid w:val="00822F28"/>
    <w:rsid w:val="00822FE8"/>
    <w:rsid w:val="00823235"/>
    <w:rsid w:val="00823AD4"/>
    <w:rsid w:val="00823ADB"/>
    <w:rsid w:val="008249F1"/>
    <w:rsid w:val="00824AF2"/>
    <w:rsid w:val="00824F82"/>
    <w:rsid w:val="00824F9C"/>
    <w:rsid w:val="0082506B"/>
    <w:rsid w:val="008254B8"/>
    <w:rsid w:val="00825902"/>
    <w:rsid w:val="00825B8D"/>
    <w:rsid w:val="00825DCE"/>
    <w:rsid w:val="00826158"/>
    <w:rsid w:val="00826686"/>
    <w:rsid w:val="00827615"/>
    <w:rsid w:val="008276ED"/>
    <w:rsid w:val="00827C60"/>
    <w:rsid w:val="00827DB2"/>
    <w:rsid w:val="00827DED"/>
    <w:rsid w:val="00827F74"/>
    <w:rsid w:val="0083025E"/>
    <w:rsid w:val="00830B6D"/>
    <w:rsid w:val="0083198F"/>
    <w:rsid w:val="00831CE1"/>
    <w:rsid w:val="00832530"/>
    <w:rsid w:val="0083277B"/>
    <w:rsid w:val="0083369F"/>
    <w:rsid w:val="0083376B"/>
    <w:rsid w:val="008337D9"/>
    <w:rsid w:val="00833813"/>
    <w:rsid w:val="00834405"/>
    <w:rsid w:val="00834C3C"/>
    <w:rsid w:val="00835563"/>
    <w:rsid w:val="00835A9D"/>
    <w:rsid w:val="00835DA5"/>
    <w:rsid w:val="00836511"/>
    <w:rsid w:val="00836827"/>
    <w:rsid w:val="00836B02"/>
    <w:rsid w:val="00836B41"/>
    <w:rsid w:val="00836E62"/>
    <w:rsid w:val="00836EC6"/>
    <w:rsid w:val="008372C9"/>
    <w:rsid w:val="0083741E"/>
    <w:rsid w:val="00837985"/>
    <w:rsid w:val="00837D3B"/>
    <w:rsid w:val="00840140"/>
    <w:rsid w:val="00840ACA"/>
    <w:rsid w:val="00840BAF"/>
    <w:rsid w:val="00840E3D"/>
    <w:rsid w:val="00840E3E"/>
    <w:rsid w:val="008411D3"/>
    <w:rsid w:val="0084142E"/>
    <w:rsid w:val="00841D8C"/>
    <w:rsid w:val="00841EB7"/>
    <w:rsid w:val="00842220"/>
    <w:rsid w:val="008422BB"/>
    <w:rsid w:val="00842614"/>
    <w:rsid w:val="00842E82"/>
    <w:rsid w:val="00842F6C"/>
    <w:rsid w:val="0084333D"/>
    <w:rsid w:val="00843D86"/>
    <w:rsid w:val="00843E4C"/>
    <w:rsid w:val="00844111"/>
    <w:rsid w:val="008441A7"/>
    <w:rsid w:val="008448DC"/>
    <w:rsid w:val="008449A9"/>
    <w:rsid w:val="00844E51"/>
    <w:rsid w:val="00844F74"/>
    <w:rsid w:val="008456A2"/>
    <w:rsid w:val="00845725"/>
    <w:rsid w:val="00845E64"/>
    <w:rsid w:val="00846112"/>
    <w:rsid w:val="00846339"/>
    <w:rsid w:val="00846382"/>
    <w:rsid w:val="008463F0"/>
    <w:rsid w:val="00847C26"/>
    <w:rsid w:val="008506EC"/>
    <w:rsid w:val="00850908"/>
    <w:rsid w:val="00850F57"/>
    <w:rsid w:val="00850FE8"/>
    <w:rsid w:val="0085188F"/>
    <w:rsid w:val="0085190E"/>
    <w:rsid w:val="00851C1D"/>
    <w:rsid w:val="00851D4E"/>
    <w:rsid w:val="00852215"/>
    <w:rsid w:val="00852639"/>
    <w:rsid w:val="00852823"/>
    <w:rsid w:val="00852903"/>
    <w:rsid w:val="00852C17"/>
    <w:rsid w:val="00853262"/>
    <w:rsid w:val="00853394"/>
    <w:rsid w:val="008535C5"/>
    <w:rsid w:val="0085368E"/>
    <w:rsid w:val="008536C2"/>
    <w:rsid w:val="00853A6A"/>
    <w:rsid w:val="00853B51"/>
    <w:rsid w:val="008542D1"/>
    <w:rsid w:val="00854893"/>
    <w:rsid w:val="00854ACC"/>
    <w:rsid w:val="00854AFB"/>
    <w:rsid w:val="00854C49"/>
    <w:rsid w:val="00854FBB"/>
    <w:rsid w:val="00855378"/>
    <w:rsid w:val="00855D3F"/>
    <w:rsid w:val="00856248"/>
    <w:rsid w:val="00856D98"/>
    <w:rsid w:val="00857358"/>
    <w:rsid w:val="008600C7"/>
    <w:rsid w:val="00860541"/>
    <w:rsid w:val="00860C5C"/>
    <w:rsid w:val="0086114F"/>
    <w:rsid w:val="008611D8"/>
    <w:rsid w:val="0086146F"/>
    <w:rsid w:val="0086150E"/>
    <w:rsid w:val="008617D0"/>
    <w:rsid w:val="008619AD"/>
    <w:rsid w:val="00861A38"/>
    <w:rsid w:val="00861A60"/>
    <w:rsid w:val="00861D4E"/>
    <w:rsid w:val="00861EB3"/>
    <w:rsid w:val="00861F2A"/>
    <w:rsid w:val="00862357"/>
    <w:rsid w:val="008623CD"/>
    <w:rsid w:val="008626AC"/>
    <w:rsid w:val="00862C06"/>
    <w:rsid w:val="00862D02"/>
    <w:rsid w:val="00862F36"/>
    <w:rsid w:val="008637B9"/>
    <w:rsid w:val="0086392A"/>
    <w:rsid w:val="00863D51"/>
    <w:rsid w:val="00863EB4"/>
    <w:rsid w:val="00864194"/>
    <w:rsid w:val="00864212"/>
    <w:rsid w:val="0086427B"/>
    <w:rsid w:val="00864298"/>
    <w:rsid w:val="00864802"/>
    <w:rsid w:val="00864B5D"/>
    <w:rsid w:val="00864B9C"/>
    <w:rsid w:val="00864EF7"/>
    <w:rsid w:val="008656F3"/>
    <w:rsid w:val="0086592D"/>
    <w:rsid w:val="00865F5A"/>
    <w:rsid w:val="00866278"/>
    <w:rsid w:val="00866924"/>
    <w:rsid w:val="00866B39"/>
    <w:rsid w:val="00866BDB"/>
    <w:rsid w:val="008671E9"/>
    <w:rsid w:val="0086721E"/>
    <w:rsid w:val="00867368"/>
    <w:rsid w:val="0086762E"/>
    <w:rsid w:val="00867E60"/>
    <w:rsid w:val="008700BE"/>
    <w:rsid w:val="008702A6"/>
    <w:rsid w:val="00870399"/>
    <w:rsid w:val="008705BD"/>
    <w:rsid w:val="00870697"/>
    <w:rsid w:val="00870CC7"/>
    <w:rsid w:val="00870E9D"/>
    <w:rsid w:val="00870FA1"/>
    <w:rsid w:val="0087117E"/>
    <w:rsid w:val="008711EC"/>
    <w:rsid w:val="008715A2"/>
    <w:rsid w:val="008718FE"/>
    <w:rsid w:val="00872946"/>
    <w:rsid w:val="00873B7F"/>
    <w:rsid w:val="00873BA5"/>
    <w:rsid w:val="00873C00"/>
    <w:rsid w:val="00874349"/>
    <w:rsid w:val="00874601"/>
    <w:rsid w:val="00874A3E"/>
    <w:rsid w:val="00875108"/>
    <w:rsid w:val="00875333"/>
    <w:rsid w:val="00875AA0"/>
    <w:rsid w:val="00875DC8"/>
    <w:rsid w:val="00876421"/>
    <w:rsid w:val="00876DC6"/>
    <w:rsid w:val="008771CE"/>
    <w:rsid w:val="008772E9"/>
    <w:rsid w:val="00877470"/>
    <w:rsid w:val="00877658"/>
    <w:rsid w:val="0087768B"/>
    <w:rsid w:val="00877F3E"/>
    <w:rsid w:val="0088040D"/>
    <w:rsid w:val="00880904"/>
    <w:rsid w:val="00880FB6"/>
    <w:rsid w:val="008811F1"/>
    <w:rsid w:val="00881876"/>
    <w:rsid w:val="00881DA8"/>
    <w:rsid w:val="00881E01"/>
    <w:rsid w:val="008828F8"/>
    <w:rsid w:val="0088296F"/>
    <w:rsid w:val="00882BEB"/>
    <w:rsid w:val="00882FC2"/>
    <w:rsid w:val="008834B4"/>
    <w:rsid w:val="008835EE"/>
    <w:rsid w:val="0088362F"/>
    <w:rsid w:val="008837C5"/>
    <w:rsid w:val="00883928"/>
    <w:rsid w:val="00883DDE"/>
    <w:rsid w:val="00883F46"/>
    <w:rsid w:val="00884D0B"/>
    <w:rsid w:val="00884D9D"/>
    <w:rsid w:val="00884E03"/>
    <w:rsid w:val="00884E2B"/>
    <w:rsid w:val="00885890"/>
    <w:rsid w:val="00885D0A"/>
    <w:rsid w:val="00886CB6"/>
    <w:rsid w:val="0088771C"/>
    <w:rsid w:val="00887A28"/>
    <w:rsid w:val="008900BC"/>
    <w:rsid w:val="008902EF"/>
    <w:rsid w:val="008903A0"/>
    <w:rsid w:val="008906C3"/>
    <w:rsid w:val="00890C5D"/>
    <w:rsid w:val="00891470"/>
    <w:rsid w:val="008914B9"/>
    <w:rsid w:val="00891D73"/>
    <w:rsid w:val="00892054"/>
    <w:rsid w:val="0089211A"/>
    <w:rsid w:val="00892395"/>
    <w:rsid w:val="00892A44"/>
    <w:rsid w:val="008931DD"/>
    <w:rsid w:val="0089352B"/>
    <w:rsid w:val="0089372A"/>
    <w:rsid w:val="00894313"/>
    <w:rsid w:val="008944C4"/>
    <w:rsid w:val="00894636"/>
    <w:rsid w:val="00894A04"/>
    <w:rsid w:val="00894DED"/>
    <w:rsid w:val="008955AC"/>
    <w:rsid w:val="00895BB3"/>
    <w:rsid w:val="00896FE4"/>
    <w:rsid w:val="00897398"/>
    <w:rsid w:val="008974B8"/>
    <w:rsid w:val="00897529"/>
    <w:rsid w:val="0089780F"/>
    <w:rsid w:val="00897AEC"/>
    <w:rsid w:val="00897F0A"/>
    <w:rsid w:val="00897FD0"/>
    <w:rsid w:val="008A0D7D"/>
    <w:rsid w:val="008A1031"/>
    <w:rsid w:val="008A12E8"/>
    <w:rsid w:val="008A1396"/>
    <w:rsid w:val="008A13ED"/>
    <w:rsid w:val="008A1409"/>
    <w:rsid w:val="008A1B1A"/>
    <w:rsid w:val="008A1CBA"/>
    <w:rsid w:val="008A21F9"/>
    <w:rsid w:val="008A2535"/>
    <w:rsid w:val="008A2561"/>
    <w:rsid w:val="008A25A1"/>
    <w:rsid w:val="008A26E4"/>
    <w:rsid w:val="008A2B88"/>
    <w:rsid w:val="008A2DE8"/>
    <w:rsid w:val="008A312D"/>
    <w:rsid w:val="008A3A16"/>
    <w:rsid w:val="008A3D4B"/>
    <w:rsid w:val="008A3E09"/>
    <w:rsid w:val="008A3E57"/>
    <w:rsid w:val="008A3F04"/>
    <w:rsid w:val="008A4647"/>
    <w:rsid w:val="008A4738"/>
    <w:rsid w:val="008A61C1"/>
    <w:rsid w:val="008A6963"/>
    <w:rsid w:val="008A6AE7"/>
    <w:rsid w:val="008A712C"/>
    <w:rsid w:val="008A734A"/>
    <w:rsid w:val="008A745C"/>
    <w:rsid w:val="008A77A7"/>
    <w:rsid w:val="008A7B63"/>
    <w:rsid w:val="008B00FA"/>
    <w:rsid w:val="008B0681"/>
    <w:rsid w:val="008B0D7D"/>
    <w:rsid w:val="008B0FFD"/>
    <w:rsid w:val="008B12F7"/>
    <w:rsid w:val="008B1A4D"/>
    <w:rsid w:val="008B2B4F"/>
    <w:rsid w:val="008B2C0F"/>
    <w:rsid w:val="008B344A"/>
    <w:rsid w:val="008B3EE8"/>
    <w:rsid w:val="008B3F34"/>
    <w:rsid w:val="008B4059"/>
    <w:rsid w:val="008B44B2"/>
    <w:rsid w:val="008B4CFD"/>
    <w:rsid w:val="008B50A2"/>
    <w:rsid w:val="008B61F1"/>
    <w:rsid w:val="008B6504"/>
    <w:rsid w:val="008B672C"/>
    <w:rsid w:val="008B67B3"/>
    <w:rsid w:val="008B6B9E"/>
    <w:rsid w:val="008B6D00"/>
    <w:rsid w:val="008B7004"/>
    <w:rsid w:val="008B79CA"/>
    <w:rsid w:val="008C01E0"/>
    <w:rsid w:val="008C0794"/>
    <w:rsid w:val="008C0B4F"/>
    <w:rsid w:val="008C10D0"/>
    <w:rsid w:val="008C1530"/>
    <w:rsid w:val="008C1648"/>
    <w:rsid w:val="008C1925"/>
    <w:rsid w:val="008C1973"/>
    <w:rsid w:val="008C1B76"/>
    <w:rsid w:val="008C1C78"/>
    <w:rsid w:val="008C1E80"/>
    <w:rsid w:val="008C1FC9"/>
    <w:rsid w:val="008C239E"/>
    <w:rsid w:val="008C2704"/>
    <w:rsid w:val="008C27C2"/>
    <w:rsid w:val="008C2DE8"/>
    <w:rsid w:val="008C2E26"/>
    <w:rsid w:val="008C2E8D"/>
    <w:rsid w:val="008C32D9"/>
    <w:rsid w:val="008C401B"/>
    <w:rsid w:val="008C434D"/>
    <w:rsid w:val="008C4ABF"/>
    <w:rsid w:val="008C52BE"/>
    <w:rsid w:val="008C56B9"/>
    <w:rsid w:val="008C5750"/>
    <w:rsid w:val="008C5C35"/>
    <w:rsid w:val="008C5D16"/>
    <w:rsid w:val="008C6067"/>
    <w:rsid w:val="008C6389"/>
    <w:rsid w:val="008C6592"/>
    <w:rsid w:val="008C65F4"/>
    <w:rsid w:val="008C6640"/>
    <w:rsid w:val="008C67CD"/>
    <w:rsid w:val="008C68EA"/>
    <w:rsid w:val="008C7106"/>
    <w:rsid w:val="008C756E"/>
    <w:rsid w:val="008C789D"/>
    <w:rsid w:val="008D0535"/>
    <w:rsid w:val="008D05E0"/>
    <w:rsid w:val="008D064A"/>
    <w:rsid w:val="008D07DC"/>
    <w:rsid w:val="008D14C9"/>
    <w:rsid w:val="008D1662"/>
    <w:rsid w:val="008D1DB7"/>
    <w:rsid w:val="008D1EB9"/>
    <w:rsid w:val="008D2600"/>
    <w:rsid w:val="008D2764"/>
    <w:rsid w:val="008D2841"/>
    <w:rsid w:val="008D2DBA"/>
    <w:rsid w:val="008D33B9"/>
    <w:rsid w:val="008D3B9B"/>
    <w:rsid w:val="008D3CB7"/>
    <w:rsid w:val="008D4279"/>
    <w:rsid w:val="008D4898"/>
    <w:rsid w:val="008D49F7"/>
    <w:rsid w:val="008D4BFD"/>
    <w:rsid w:val="008D4FAE"/>
    <w:rsid w:val="008D514F"/>
    <w:rsid w:val="008D534A"/>
    <w:rsid w:val="008D53E6"/>
    <w:rsid w:val="008D6209"/>
    <w:rsid w:val="008D624B"/>
    <w:rsid w:val="008D66A6"/>
    <w:rsid w:val="008D6BE2"/>
    <w:rsid w:val="008D70BC"/>
    <w:rsid w:val="008D721C"/>
    <w:rsid w:val="008D750E"/>
    <w:rsid w:val="008D7514"/>
    <w:rsid w:val="008D77F5"/>
    <w:rsid w:val="008D7E55"/>
    <w:rsid w:val="008D7E74"/>
    <w:rsid w:val="008E0394"/>
    <w:rsid w:val="008E061C"/>
    <w:rsid w:val="008E0AC0"/>
    <w:rsid w:val="008E0D4B"/>
    <w:rsid w:val="008E0F71"/>
    <w:rsid w:val="008E18DF"/>
    <w:rsid w:val="008E2004"/>
    <w:rsid w:val="008E221A"/>
    <w:rsid w:val="008E225A"/>
    <w:rsid w:val="008E24D2"/>
    <w:rsid w:val="008E2773"/>
    <w:rsid w:val="008E28D8"/>
    <w:rsid w:val="008E2B31"/>
    <w:rsid w:val="008E3634"/>
    <w:rsid w:val="008E36B7"/>
    <w:rsid w:val="008E3983"/>
    <w:rsid w:val="008E3CDE"/>
    <w:rsid w:val="008E3CED"/>
    <w:rsid w:val="008E3FFE"/>
    <w:rsid w:val="008E459E"/>
    <w:rsid w:val="008E4809"/>
    <w:rsid w:val="008E4D40"/>
    <w:rsid w:val="008E5218"/>
    <w:rsid w:val="008E5287"/>
    <w:rsid w:val="008E5817"/>
    <w:rsid w:val="008E5F8A"/>
    <w:rsid w:val="008E60BE"/>
    <w:rsid w:val="008E63C9"/>
    <w:rsid w:val="008E647E"/>
    <w:rsid w:val="008E667A"/>
    <w:rsid w:val="008E692A"/>
    <w:rsid w:val="008E6A21"/>
    <w:rsid w:val="008E6B74"/>
    <w:rsid w:val="008E6C3E"/>
    <w:rsid w:val="008E70F4"/>
    <w:rsid w:val="008E7D7B"/>
    <w:rsid w:val="008E7EAB"/>
    <w:rsid w:val="008F05C0"/>
    <w:rsid w:val="008F0FAF"/>
    <w:rsid w:val="008F147F"/>
    <w:rsid w:val="008F1567"/>
    <w:rsid w:val="008F1E1A"/>
    <w:rsid w:val="008F23C8"/>
    <w:rsid w:val="008F24FF"/>
    <w:rsid w:val="008F29EA"/>
    <w:rsid w:val="008F365E"/>
    <w:rsid w:val="008F3B5E"/>
    <w:rsid w:val="008F3F8F"/>
    <w:rsid w:val="008F4621"/>
    <w:rsid w:val="008F46CD"/>
    <w:rsid w:val="008F489A"/>
    <w:rsid w:val="008F5289"/>
    <w:rsid w:val="008F5B37"/>
    <w:rsid w:val="008F6480"/>
    <w:rsid w:val="008F6B9D"/>
    <w:rsid w:val="008F7740"/>
    <w:rsid w:val="008F78E2"/>
    <w:rsid w:val="0090046D"/>
    <w:rsid w:val="00900BAC"/>
    <w:rsid w:val="00900CA2"/>
    <w:rsid w:val="00900E13"/>
    <w:rsid w:val="00900E48"/>
    <w:rsid w:val="0090107A"/>
    <w:rsid w:val="0090143A"/>
    <w:rsid w:val="00901824"/>
    <w:rsid w:val="00901AB2"/>
    <w:rsid w:val="00903033"/>
    <w:rsid w:val="00903653"/>
    <w:rsid w:val="00903C87"/>
    <w:rsid w:val="00903CD7"/>
    <w:rsid w:val="0090420A"/>
    <w:rsid w:val="009047F5"/>
    <w:rsid w:val="00904CED"/>
    <w:rsid w:val="0090508C"/>
    <w:rsid w:val="00906121"/>
    <w:rsid w:val="00907147"/>
    <w:rsid w:val="00907217"/>
    <w:rsid w:val="009075BE"/>
    <w:rsid w:val="0090776D"/>
    <w:rsid w:val="00907BD3"/>
    <w:rsid w:val="00907E47"/>
    <w:rsid w:val="009100B5"/>
    <w:rsid w:val="00910A52"/>
    <w:rsid w:val="00910B37"/>
    <w:rsid w:val="00911479"/>
    <w:rsid w:val="009117FB"/>
    <w:rsid w:val="0091217A"/>
    <w:rsid w:val="009129C6"/>
    <w:rsid w:val="00912EB5"/>
    <w:rsid w:val="0091310A"/>
    <w:rsid w:val="00913B0B"/>
    <w:rsid w:val="009140AC"/>
    <w:rsid w:val="0091484D"/>
    <w:rsid w:val="00914D67"/>
    <w:rsid w:val="00914D9E"/>
    <w:rsid w:val="00914EF4"/>
    <w:rsid w:val="00914F44"/>
    <w:rsid w:val="00914F4C"/>
    <w:rsid w:val="00915473"/>
    <w:rsid w:val="00915718"/>
    <w:rsid w:val="00915E20"/>
    <w:rsid w:val="00915EEC"/>
    <w:rsid w:val="00915F9C"/>
    <w:rsid w:val="0091601D"/>
    <w:rsid w:val="009166EA"/>
    <w:rsid w:val="009166F5"/>
    <w:rsid w:val="00917073"/>
    <w:rsid w:val="009173DC"/>
    <w:rsid w:val="00917478"/>
    <w:rsid w:val="00917BDA"/>
    <w:rsid w:val="0092038D"/>
    <w:rsid w:val="009205C3"/>
    <w:rsid w:val="00920FD7"/>
    <w:rsid w:val="009217EC"/>
    <w:rsid w:val="00921C41"/>
    <w:rsid w:val="00921E96"/>
    <w:rsid w:val="00922EFF"/>
    <w:rsid w:val="00923682"/>
    <w:rsid w:val="00923C81"/>
    <w:rsid w:val="00923E44"/>
    <w:rsid w:val="00924130"/>
    <w:rsid w:val="009241B3"/>
    <w:rsid w:val="0092435C"/>
    <w:rsid w:val="00924412"/>
    <w:rsid w:val="009249C6"/>
    <w:rsid w:val="009251B5"/>
    <w:rsid w:val="00925413"/>
    <w:rsid w:val="0092575D"/>
    <w:rsid w:val="0092583A"/>
    <w:rsid w:val="00925E71"/>
    <w:rsid w:val="00925F9A"/>
    <w:rsid w:val="009264B9"/>
    <w:rsid w:val="00926B85"/>
    <w:rsid w:val="009274C1"/>
    <w:rsid w:val="00927C70"/>
    <w:rsid w:val="00930745"/>
    <w:rsid w:val="0093100A"/>
    <w:rsid w:val="009310B9"/>
    <w:rsid w:val="009311DC"/>
    <w:rsid w:val="00931840"/>
    <w:rsid w:val="00931991"/>
    <w:rsid w:val="00931CB1"/>
    <w:rsid w:val="00932131"/>
    <w:rsid w:val="009324DF"/>
    <w:rsid w:val="00932768"/>
    <w:rsid w:val="00932A3E"/>
    <w:rsid w:val="00932F9F"/>
    <w:rsid w:val="00933016"/>
    <w:rsid w:val="0093329F"/>
    <w:rsid w:val="009333E2"/>
    <w:rsid w:val="009337A2"/>
    <w:rsid w:val="009337C1"/>
    <w:rsid w:val="0093411D"/>
    <w:rsid w:val="00934505"/>
    <w:rsid w:val="0093461F"/>
    <w:rsid w:val="0093482A"/>
    <w:rsid w:val="009358AD"/>
    <w:rsid w:val="00936C3C"/>
    <w:rsid w:val="00936EE8"/>
    <w:rsid w:val="00936FEF"/>
    <w:rsid w:val="00937043"/>
    <w:rsid w:val="0093767A"/>
    <w:rsid w:val="00937E99"/>
    <w:rsid w:val="00940185"/>
    <w:rsid w:val="0094095F"/>
    <w:rsid w:val="00940A2B"/>
    <w:rsid w:val="00940C40"/>
    <w:rsid w:val="00941A1E"/>
    <w:rsid w:val="00942001"/>
    <w:rsid w:val="009437DB"/>
    <w:rsid w:val="0094391C"/>
    <w:rsid w:val="00943A54"/>
    <w:rsid w:val="00943B65"/>
    <w:rsid w:val="00943E42"/>
    <w:rsid w:val="00943F97"/>
    <w:rsid w:val="009440D2"/>
    <w:rsid w:val="009441F8"/>
    <w:rsid w:val="009445D3"/>
    <w:rsid w:val="0094478F"/>
    <w:rsid w:val="00944E43"/>
    <w:rsid w:val="00945154"/>
    <w:rsid w:val="0094542A"/>
    <w:rsid w:val="00945729"/>
    <w:rsid w:val="009458E8"/>
    <w:rsid w:val="00945973"/>
    <w:rsid w:val="00945A8F"/>
    <w:rsid w:val="00945D1D"/>
    <w:rsid w:val="00946083"/>
    <w:rsid w:val="009472F5"/>
    <w:rsid w:val="00947C70"/>
    <w:rsid w:val="00947E9D"/>
    <w:rsid w:val="0095142E"/>
    <w:rsid w:val="00951926"/>
    <w:rsid w:val="00951A4C"/>
    <w:rsid w:val="00951CD7"/>
    <w:rsid w:val="00952206"/>
    <w:rsid w:val="009523B8"/>
    <w:rsid w:val="00952550"/>
    <w:rsid w:val="009525C8"/>
    <w:rsid w:val="00952BC2"/>
    <w:rsid w:val="009531D8"/>
    <w:rsid w:val="00953500"/>
    <w:rsid w:val="009535CC"/>
    <w:rsid w:val="00953C45"/>
    <w:rsid w:val="00953CBA"/>
    <w:rsid w:val="00954243"/>
    <w:rsid w:val="0095459A"/>
    <w:rsid w:val="009549E1"/>
    <w:rsid w:val="00954BCD"/>
    <w:rsid w:val="00955166"/>
    <w:rsid w:val="0095599E"/>
    <w:rsid w:val="00955A8A"/>
    <w:rsid w:val="009568BA"/>
    <w:rsid w:val="009568CE"/>
    <w:rsid w:val="00956F98"/>
    <w:rsid w:val="00956F9F"/>
    <w:rsid w:val="00957545"/>
    <w:rsid w:val="00957B3A"/>
    <w:rsid w:val="00957E24"/>
    <w:rsid w:val="00960405"/>
    <w:rsid w:val="009607D6"/>
    <w:rsid w:val="0096117E"/>
    <w:rsid w:val="0096167A"/>
    <w:rsid w:val="00961E49"/>
    <w:rsid w:val="0096290F"/>
    <w:rsid w:val="0096293F"/>
    <w:rsid w:val="00962B92"/>
    <w:rsid w:val="00963132"/>
    <w:rsid w:val="00963367"/>
    <w:rsid w:val="00963D3C"/>
    <w:rsid w:val="00963DD2"/>
    <w:rsid w:val="00963DE4"/>
    <w:rsid w:val="00963E75"/>
    <w:rsid w:val="0096400D"/>
    <w:rsid w:val="00964021"/>
    <w:rsid w:val="00964078"/>
    <w:rsid w:val="00964487"/>
    <w:rsid w:val="009645BC"/>
    <w:rsid w:val="0096490F"/>
    <w:rsid w:val="009653AC"/>
    <w:rsid w:val="009656D5"/>
    <w:rsid w:val="00965AB4"/>
    <w:rsid w:val="00965F5F"/>
    <w:rsid w:val="009663C8"/>
    <w:rsid w:val="00966600"/>
    <w:rsid w:val="00966A81"/>
    <w:rsid w:val="009671B2"/>
    <w:rsid w:val="009671D9"/>
    <w:rsid w:val="00967276"/>
    <w:rsid w:val="00967476"/>
    <w:rsid w:val="00967A5F"/>
    <w:rsid w:val="00967AD1"/>
    <w:rsid w:val="00967B5B"/>
    <w:rsid w:val="00967CD7"/>
    <w:rsid w:val="00967D1D"/>
    <w:rsid w:val="009700A5"/>
    <w:rsid w:val="00970359"/>
    <w:rsid w:val="0097037D"/>
    <w:rsid w:val="00970543"/>
    <w:rsid w:val="009706AA"/>
    <w:rsid w:val="009707CE"/>
    <w:rsid w:val="00970884"/>
    <w:rsid w:val="009710BE"/>
    <w:rsid w:val="00971352"/>
    <w:rsid w:val="009713FB"/>
    <w:rsid w:val="0097148C"/>
    <w:rsid w:val="00971831"/>
    <w:rsid w:val="00971841"/>
    <w:rsid w:val="00971EBB"/>
    <w:rsid w:val="009726D1"/>
    <w:rsid w:val="0097292D"/>
    <w:rsid w:val="00972A8B"/>
    <w:rsid w:val="00972CCF"/>
    <w:rsid w:val="0097312B"/>
    <w:rsid w:val="00974DD3"/>
    <w:rsid w:val="00975AE8"/>
    <w:rsid w:val="00975C92"/>
    <w:rsid w:val="00975E5B"/>
    <w:rsid w:val="00975E8E"/>
    <w:rsid w:val="00975F51"/>
    <w:rsid w:val="00976679"/>
    <w:rsid w:val="00976860"/>
    <w:rsid w:val="00976970"/>
    <w:rsid w:val="00976CD6"/>
    <w:rsid w:val="00976D48"/>
    <w:rsid w:val="00976F22"/>
    <w:rsid w:val="00976FF9"/>
    <w:rsid w:val="009779B1"/>
    <w:rsid w:val="009779F8"/>
    <w:rsid w:val="00977C8F"/>
    <w:rsid w:val="00977F94"/>
    <w:rsid w:val="00977FAE"/>
    <w:rsid w:val="00977FE8"/>
    <w:rsid w:val="0098025E"/>
    <w:rsid w:val="00980A1F"/>
    <w:rsid w:val="00980CDD"/>
    <w:rsid w:val="00981131"/>
    <w:rsid w:val="0098115E"/>
    <w:rsid w:val="009815DE"/>
    <w:rsid w:val="00982A83"/>
    <w:rsid w:val="00982BD1"/>
    <w:rsid w:val="00982F57"/>
    <w:rsid w:val="009832C8"/>
    <w:rsid w:val="00983326"/>
    <w:rsid w:val="0098336D"/>
    <w:rsid w:val="009836F9"/>
    <w:rsid w:val="0098415C"/>
    <w:rsid w:val="0098418E"/>
    <w:rsid w:val="00984BB5"/>
    <w:rsid w:val="0098515D"/>
    <w:rsid w:val="00985313"/>
    <w:rsid w:val="009853B5"/>
    <w:rsid w:val="009863E9"/>
    <w:rsid w:val="0098757B"/>
    <w:rsid w:val="00987CBC"/>
    <w:rsid w:val="00987D41"/>
    <w:rsid w:val="00987E95"/>
    <w:rsid w:val="00987F75"/>
    <w:rsid w:val="0099050D"/>
    <w:rsid w:val="009905C4"/>
    <w:rsid w:val="009918FE"/>
    <w:rsid w:val="00991A04"/>
    <w:rsid w:val="00991EEC"/>
    <w:rsid w:val="00991F31"/>
    <w:rsid w:val="00991FDD"/>
    <w:rsid w:val="00992E20"/>
    <w:rsid w:val="009935DF"/>
    <w:rsid w:val="009936FC"/>
    <w:rsid w:val="00993925"/>
    <w:rsid w:val="00993977"/>
    <w:rsid w:val="00993A00"/>
    <w:rsid w:val="00993B8B"/>
    <w:rsid w:val="0099419F"/>
    <w:rsid w:val="009944BD"/>
    <w:rsid w:val="00995D8B"/>
    <w:rsid w:val="009969B5"/>
    <w:rsid w:val="00996D2E"/>
    <w:rsid w:val="00997244"/>
    <w:rsid w:val="00997BDB"/>
    <w:rsid w:val="009A05D1"/>
    <w:rsid w:val="009A0628"/>
    <w:rsid w:val="009A063D"/>
    <w:rsid w:val="009A0920"/>
    <w:rsid w:val="009A09A7"/>
    <w:rsid w:val="009A1386"/>
    <w:rsid w:val="009A1FD3"/>
    <w:rsid w:val="009A28AC"/>
    <w:rsid w:val="009A2B14"/>
    <w:rsid w:val="009A319A"/>
    <w:rsid w:val="009A37D9"/>
    <w:rsid w:val="009A3A5B"/>
    <w:rsid w:val="009A3F2A"/>
    <w:rsid w:val="009A40A8"/>
    <w:rsid w:val="009A467D"/>
    <w:rsid w:val="009A48E0"/>
    <w:rsid w:val="009A56D0"/>
    <w:rsid w:val="009A6671"/>
    <w:rsid w:val="009A6D7D"/>
    <w:rsid w:val="009A6F60"/>
    <w:rsid w:val="009A72D4"/>
    <w:rsid w:val="009A73D8"/>
    <w:rsid w:val="009A7FCB"/>
    <w:rsid w:val="009B03AF"/>
    <w:rsid w:val="009B09E7"/>
    <w:rsid w:val="009B1337"/>
    <w:rsid w:val="009B1707"/>
    <w:rsid w:val="009B19C3"/>
    <w:rsid w:val="009B1BFA"/>
    <w:rsid w:val="009B1C62"/>
    <w:rsid w:val="009B1F41"/>
    <w:rsid w:val="009B2794"/>
    <w:rsid w:val="009B27D5"/>
    <w:rsid w:val="009B2AAC"/>
    <w:rsid w:val="009B2B6D"/>
    <w:rsid w:val="009B3298"/>
    <w:rsid w:val="009B3521"/>
    <w:rsid w:val="009B35C8"/>
    <w:rsid w:val="009B370B"/>
    <w:rsid w:val="009B37CF"/>
    <w:rsid w:val="009B3D5F"/>
    <w:rsid w:val="009B445A"/>
    <w:rsid w:val="009B4B94"/>
    <w:rsid w:val="009B4BEC"/>
    <w:rsid w:val="009B4CE5"/>
    <w:rsid w:val="009B541C"/>
    <w:rsid w:val="009B5505"/>
    <w:rsid w:val="009B554C"/>
    <w:rsid w:val="009B5A06"/>
    <w:rsid w:val="009B6291"/>
    <w:rsid w:val="009B659F"/>
    <w:rsid w:val="009B6B8B"/>
    <w:rsid w:val="009B6E27"/>
    <w:rsid w:val="009B6FD2"/>
    <w:rsid w:val="009B706A"/>
    <w:rsid w:val="009B7404"/>
    <w:rsid w:val="009B786F"/>
    <w:rsid w:val="009B7A52"/>
    <w:rsid w:val="009C076C"/>
    <w:rsid w:val="009C14A1"/>
    <w:rsid w:val="009C14F7"/>
    <w:rsid w:val="009C1B70"/>
    <w:rsid w:val="009C3B19"/>
    <w:rsid w:val="009C3B8F"/>
    <w:rsid w:val="009C413A"/>
    <w:rsid w:val="009C4460"/>
    <w:rsid w:val="009C4671"/>
    <w:rsid w:val="009C4706"/>
    <w:rsid w:val="009C472B"/>
    <w:rsid w:val="009C5322"/>
    <w:rsid w:val="009C5345"/>
    <w:rsid w:val="009C554D"/>
    <w:rsid w:val="009C5613"/>
    <w:rsid w:val="009C5992"/>
    <w:rsid w:val="009C6210"/>
    <w:rsid w:val="009C642E"/>
    <w:rsid w:val="009C78B8"/>
    <w:rsid w:val="009C7FBF"/>
    <w:rsid w:val="009D03A0"/>
    <w:rsid w:val="009D0462"/>
    <w:rsid w:val="009D05C1"/>
    <w:rsid w:val="009D1DA5"/>
    <w:rsid w:val="009D2C16"/>
    <w:rsid w:val="009D36F1"/>
    <w:rsid w:val="009D3BEF"/>
    <w:rsid w:val="009D3D6B"/>
    <w:rsid w:val="009D4166"/>
    <w:rsid w:val="009D4F56"/>
    <w:rsid w:val="009D5239"/>
    <w:rsid w:val="009D52C6"/>
    <w:rsid w:val="009D543C"/>
    <w:rsid w:val="009D5528"/>
    <w:rsid w:val="009D56A2"/>
    <w:rsid w:val="009D575F"/>
    <w:rsid w:val="009D598D"/>
    <w:rsid w:val="009D59BB"/>
    <w:rsid w:val="009D5A66"/>
    <w:rsid w:val="009D5CC0"/>
    <w:rsid w:val="009D641E"/>
    <w:rsid w:val="009D6740"/>
    <w:rsid w:val="009D6BBA"/>
    <w:rsid w:val="009D7167"/>
    <w:rsid w:val="009D7192"/>
    <w:rsid w:val="009D7223"/>
    <w:rsid w:val="009D7570"/>
    <w:rsid w:val="009D7EE8"/>
    <w:rsid w:val="009D7F6F"/>
    <w:rsid w:val="009E0E38"/>
    <w:rsid w:val="009E0F96"/>
    <w:rsid w:val="009E1243"/>
    <w:rsid w:val="009E1A35"/>
    <w:rsid w:val="009E1C5A"/>
    <w:rsid w:val="009E1DB4"/>
    <w:rsid w:val="009E2375"/>
    <w:rsid w:val="009E2B94"/>
    <w:rsid w:val="009E2D23"/>
    <w:rsid w:val="009E33D4"/>
    <w:rsid w:val="009E38A2"/>
    <w:rsid w:val="009E3EDF"/>
    <w:rsid w:val="009E4D49"/>
    <w:rsid w:val="009E5096"/>
    <w:rsid w:val="009E594C"/>
    <w:rsid w:val="009E688D"/>
    <w:rsid w:val="009E6B67"/>
    <w:rsid w:val="009E6ECF"/>
    <w:rsid w:val="009E6EEF"/>
    <w:rsid w:val="009E6F65"/>
    <w:rsid w:val="009E6FD1"/>
    <w:rsid w:val="009E7199"/>
    <w:rsid w:val="009E71EC"/>
    <w:rsid w:val="009E7969"/>
    <w:rsid w:val="009E7C3A"/>
    <w:rsid w:val="009F01BE"/>
    <w:rsid w:val="009F09AA"/>
    <w:rsid w:val="009F0AB1"/>
    <w:rsid w:val="009F0BC9"/>
    <w:rsid w:val="009F10A6"/>
    <w:rsid w:val="009F12A5"/>
    <w:rsid w:val="009F1340"/>
    <w:rsid w:val="009F1BAE"/>
    <w:rsid w:val="009F1C49"/>
    <w:rsid w:val="009F2754"/>
    <w:rsid w:val="009F2AC6"/>
    <w:rsid w:val="009F2BDB"/>
    <w:rsid w:val="009F2C16"/>
    <w:rsid w:val="009F2C1B"/>
    <w:rsid w:val="009F2DF6"/>
    <w:rsid w:val="009F2F78"/>
    <w:rsid w:val="009F2FBD"/>
    <w:rsid w:val="009F3029"/>
    <w:rsid w:val="009F335C"/>
    <w:rsid w:val="009F5039"/>
    <w:rsid w:val="009F5A14"/>
    <w:rsid w:val="009F615D"/>
    <w:rsid w:val="009F6F4B"/>
    <w:rsid w:val="009F708C"/>
    <w:rsid w:val="009F7283"/>
    <w:rsid w:val="009F7987"/>
    <w:rsid w:val="009F7FA6"/>
    <w:rsid w:val="00A002B5"/>
    <w:rsid w:val="00A0081D"/>
    <w:rsid w:val="00A00FBE"/>
    <w:rsid w:val="00A01F4A"/>
    <w:rsid w:val="00A0260C"/>
    <w:rsid w:val="00A0286B"/>
    <w:rsid w:val="00A02AFE"/>
    <w:rsid w:val="00A02EFB"/>
    <w:rsid w:val="00A0311F"/>
    <w:rsid w:val="00A0352E"/>
    <w:rsid w:val="00A03813"/>
    <w:rsid w:val="00A041B5"/>
    <w:rsid w:val="00A042E4"/>
    <w:rsid w:val="00A04E5D"/>
    <w:rsid w:val="00A04F8C"/>
    <w:rsid w:val="00A05158"/>
    <w:rsid w:val="00A053EB"/>
    <w:rsid w:val="00A05E3D"/>
    <w:rsid w:val="00A067E8"/>
    <w:rsid w:val="00A0706E"/>
    <w:rsid w:val="00A07559"/>
    <w:rsid w:val="00A07D50"/>
    <w:rsid w:val="00A102AD"/>
    <w:rsid w:val="00A103F3"/>
    <w:rsid w:val="00A103F7"/>
    <w:rsid w:val="00A105BD"/>
    <w:rsid w:val="00A10873"/>
    <w:rsid w:val="00A10C76"/>
    <w:rsid w:val="00A11370"/>
    <w:rsid w:val="00A11627"/>
    <w:rsid w:val="00A11733"/>
    <w:rsid w:val="00A11A30"/>
    <w:rsid w:val="00A11D81"/>
    <w:rsid w:val="00A123ED"/>
    <w:rsid w:val="00A12DFB"/>
    <w:rsid w:val="00A12F05"/>
    <w:rsid w:val="00A13AD2"/>
    <w:rsid w:val="00A13BF5"/>
    <w:rsid w:val="00A1428B"/>
    <w:rsid w:val="00A1474E"/>
    <w:rsid w:val="00A14837"/>
    <w:rsid w:val="00A14857"/>
    <w:rsid w:val="00A148C1"/>
    <w:rsid w:val="00A153E2"/>
    <w:rsid w:val="00A15722"/>
    <w:rsid w:val="00A15ADD"/>
    <w:rsid w:val="00A1671F"/>
    <w:rsid w:val="00A16BA6"/>
    <w:rsid w:val="00A16F61"/>
    <w:rsid w:val="00A175DA"/>
    <w:rsid w:val="00A17E9D"/>
    <w:rsid w:val="00A2044A"/>
    <w:rsid w:val="00A20815"/>
    <w:rsid w:val="00A20BA8"/>
    <w:rsid w:val="00A2159A"/>
    <w:rsid w:val="00A216F5"/>
    <w:rsid w:val="00A21C98"/>
    <w:rsid w:val="00A21EF7"/>
    <w:rsid w:val="00A2212D"/>
    <w:rsid w:val="00A225E3"/>
    <w:rsid w:val="00A229F8"/>
    <w:rsid w:val="00A23A26"/>
    <w:rsid w:val="00A23A7A"/>
    <w:rsid w:val="00A247F4"/>
    <w:rsid w:val="00A24A8F"/>
    <w:rsid w:val="00A24F40"/>
    <w:rsid w:val="00A2568A"/>
    <w:rsid w:val="00A25708"/>
    <w:rsid w:val="00A25AB3"/>
    <w:rsid w:val="00A25BF0"/>
    <w:rsid w:val="00A25C83"/>
    <w:rsid w:val="00A25F2D"/>
    <w:rsid w:val="00A262AA"/>
    <w:rsid w:val="00A26BFA"/>
    <w:rsid w:val="00A26CA4"/>
    <w:rsid w:val="00A26EEA"/>
    <w:rsid w:val="00A277E6"/>
    <w:rsid w:val="00A278E7"/>
    <w:rsid w:val="00A2796B"/>
    <w:rsid w:val="00A300D6"/>
    <w:rsid w:val="00A3026E"/>
    <w:rsid w:val="00A30B1F"/>
    <w:rsid w:val="00A314CE"/>
    <w:rsid w:val="00A31554"/>
    <w:rsid w:val="00A315C5"/>
    <w:rsid w:val="00A3183D"/>
    <w:rsid w:val="00A31857"/>
    <w:rsid w:val="00A31918"/>
    <w:rsid w:val="00A31B60"/>
    <w:rsid w:val="00A31F0B"/>
    <w:rsid w:val="00A32042"/>
    <w:rsid w:val="00A32052"/>
    <w:rsid w:val="00A320F4"/>
    <w:rsid w:val="00A321B4"/>
    <w:rsid w:val="00A3291B"/>
    <w:rsid w:val="00A3296A"/>
    <w:rsid w:val="00A331A6"/>
    <w:rsid w:val="00A331B3"/>
    <w:rsid w:val="00A33691"/>
    <w:rsid w:val="00A336AE"/>
    <w:rsid w:val="00A33D3A"/>
    <w:rsid w:val="00A33E01"/>
    <w:rsid w:val="00A34136"/>
    <w:rsid w:val="00A368E8"/>
    <w:rsid w:val="00A36C34"/>
    <w:rsid w:val="00A371C0"/>
    <w:rsid w:val="00A3756D"/>
    <w:rsid w:val="00A376A3"/>
    <w:rsid w:val="00A37945"/>
    <w:rsid w:val="00A403A5"/>
    <w:rsid w:val="00A40884"/>
    <w:rsid w:val="00A40AD0"/>
    <w:rsid w:val="00A40AFA"/>
    <w:rsid w:val="00A40E3B"/>
    <w:rsid w:val="00A424B3"/>
    <w:rsid w:val="00A42BEA"/>
    <w:rsid w:val="00A42C12"/>
    <w:rsid w:val="00A43093"/>
    <w:rsid w:val="00A43786"/>
    <w:rsid w:val="00A43F29"/>
    <w:rsid w:val="00A43F34"/>
    <w:rsid w:val="00A45287"/>
    <w:rsid w:val="00A452DC"/>
    <w:rsid w:val="00A4576A"/>
    <w:rsid w:val="00A45AD0"/>
    <w:rsid w:val="00A45EE9"/>
    <w:rsid w:val="00A4667A"/>
    <w:rsid w:val="00A46711"/>
    <w:rsid w:val="00A4694F"/>
    <w:rsid w:val="00A46A53"/>
    <w:rsid w:val="00A46E3A"/>
    <w:rsid w:val="00A46FE8"/>
    <w:rsid w:val="00A47360"/>
    <w:rsid w:val="00A47564"/>
    <w:rsid w:val="00A47A81"/>
    <w:rsid w:val="00A47B00"/>
    <w:rsid w:val="00A47BD5"/>
    <w:rsid w:val="00A47D18"/>
    <w:rsid w:val="00A5010D"/>
    <w:rsid w:val="00A5013C"/>
    <w:rsid w:val="00A506FC"/>
    <w:rsid w:val="00A5090E"/>
    <w:rsid w:val="00A50F16"/>
    <w:rsid w:val="00A51968"/>
    <w:rsid w:val="00A51D18"/>
    <w:rsid w:val="00A522C1"/>
    <w:rsid w:val="00A5279E"/>
    <w:rsid w:val="00A527FD"/>
    <w:rsid w:val="00A5283F"/>
    <w:rsid w:val="00A529AF"/>
    <w:rsid w:val="00A52F32"/>
    <w:rsid w:val="00A5319B"/>
    <w:rsid w:val="00A53374"/>
    <w:rsid w:val="00A533AC"/>
    <w:rsid w:val="00A53774"/>
    <w:rsid w:val="00A53C14"/>
    <w:rsid w:val="00A541C2"/>
    <w:rsid w:val="00A54778"/>
    <w:rsid w:val="00A54817"/>
    <w:rsid w:val="00A5526E"/>
    <w:rsid w:val="00A56188"/>
    <w:rsid w:val="00A564C4"/>
    <w:rsid w:val="00A57127"/>
    <w:rsid w:val="00A57689"/>
    <w:rsid w:val="00A5768A"/>
    <w:rsid w:val="00A57C4B"/>
    <w:rsid w:val="00A57D48"/>
    <w:rsid w:val="00A60DDF"/>
    <w:rsid w:val="00A61058"/>
    <w:rsid w:val="00A61362"/>
    <w:rsid w:val="00A61410"/>
    <w:rsid w:val="00A6198A"/>
    <w:rsid w:val="00A62AA8"/>
    <w:rsid w:val="00A62AC3"/>
    <w:rsid w:val="00A63248"/>
    <w:rsid w:val="00A63CF7"/>
    <w:rsid w:val="00A63E26"/>
    <w:rsid w:val="00A64536"/>
    <w:rsid w:val="00A645AA"/>
    <w:rsid w:val="00A646BF"/>
    <w:rsid w:val="00A6470D"/>
    <w:rsid w:val="00A649CF"/>
    <w:rsid w:val="00A64A75"/>
    <w:rsid w:val="00A64F58"/>
    <w:rsid w:val="00A65108"/>
    <w:rsid w:val="00A65438"/>
    <w:rsid w:val="00A65760"/>
    <w:rsid w:val="00A65D86"/>
    <w:rsid w:val="00A660BD"/>
    <w:rsid w:val="00A66140"/>
    <w:rsid w:val="00A665E6"/>
    <w:rsid w:val="00A668D0"/>
    <w:rsid w:val="00A66B1B"/>
    <w:rsid w:val="00A66C40"/>
    <w:rsid w:val="00A673E9"/>
    <w:rsid w:val="00A67FAF"/>
    <w:rsid w:val="00A7037E"/>
    <w:rsid w:val="00A705AD"/>
    <w:rsid w:val="00A7067F"/>
    <w:rsid w:val="00A706D7"/>
    <w:rsid w:val="00A70767"/>
    <w:rsid w:val="00A707A7"/>
    <w:rsid w:val="00A70D31"/>
    <w:rsid w:val="00A713C4"/>
    <w:rsid w:val="00A71790"/>
    <w:rsid w:val="00A718FD"/>
    <w:rsid w:val="00A719D9"/>
    <w:rsid w:val="00A72341"/>
    <w:rsid w:val="00A72486"/>
    <w:rsid w:val="00A728D3"/>
    <w:rsid w:val="00A739C0"/>
    <w:rsid w:val="00A73A83"/>
    <w:rsid w:val="00A73BFB"/>
    <w:rsid w:val="00A7472D"/>
    <w:rsid w:val="00A74F10"/>
    <w:rsid w:val="00A75373"/>
    <w:rsid w:val="00A75447"/>
    <w:rsid w:val="00A757E2"/>
    <w:rsid w:val="00A76125"/>
    <w:rsid w:val="00A77102"/>
    <w:rsid w:val="00A7712B"/>
    <w:rsid w:val="00A77138"/>
    <w:rsid w:val="00A7754F"/>
    <w:rsid w:val="00A776ED"/>
    <w:rsid w:val="00A77804"/>
    <w:rsid w:val="00A778AA"/>
    <w:rsid w:val="00A779C0"/>
    <w:rsid w:val="00A77AD8"/>
    <w:rsid w:val="00A77BDA"/>
    <w:rsid w:val="00A77EA2"/>
    <w:rsid w:val="00A80E50"/>
    <w:rsid w:val="00A80FEC"/>
    <w:rsid w:val="00A811B6"/>
    <w:rsid w:val="00A81279"/>
    <w:rsid w:val="00A813B1"/>
    <w:rsid w:val="00A82123"/>
    <w:rsid w:val="00A82800"/>
    <w:rsid w:val="00A831AE"/>
    <w:rsid w:val="00A83663"/>
    <w:rsid w:val="00A83741"/>
    <w:rsid w:val="00A83B0F"/>
    <w:rsid w:val="00A84216"/>
    <w:rsid w:val="00A844E8"/>
    <w:rsid w:val="00A8511A"/>
    <w:rsid w:val="00A855E0"/>
    <w:rsid w:val="00A859EC"/>
    <w:rsid w:val="00A8660A"/>
    <w:rsid w:val="00A87974"/>
    <w:rsid w:val="00A87B61"/>
    <w:rsid w:val="00A905E6"/>
    <w:rsid w:val="00A90BFA"/>
    <w:rsid w:val="00A90C89"/>
    <w:rsid w:val="00A912C2"/>
    <w:rsid w:val="00A91433"/>
    <w:rsid w:val="00A9260A"/>
    <w:rsid w:val="00A92AE0"/>
    <w:rsid w:val="00A92B85"/>
    <w:rsid w:val="00A92B93"/>
    <w:rsid w:val="00A92BF3"/>
    <w:rsid w:val="00A92E53"/>
    <w:rsid w:val="00A93830"/>
    <w:rsid w:val="00A9385F"/>
    <w:rsid w:val="00A938CB"/>
    <w:rsid w:val="00A93C3E"/>
    <w:rsid w:val="00A93D82"/>
    <w:rsid w:val="00A943C8"/>
    <w:rsid w:val="00A94AB3"/>
    <w:rsid w:val="00A94FFA"/>
    <w:rsid w:val="00A950A4"/>
    <w:rsid w:val="00A9520D"/>
    <w:rsid w:val="00A9596F"/>
    <w:rsid w:val="00A95D26"/>
    <w:rsid w:val="00A95DE6"/>
    <w:rsid w:val="00A96012"/>
    <w:rsid w:val="00A96479"/>
    <w:rsid w:val="00A96588"/>
    <w:rsid w:val="00A96635"/>
    <w:rsid w:val="00A96CD7"/>
    <w:rsid w:val="00A96F9E"/>
    <w:rsid w:val="00A97026"/>
    <w:rsid w:val="00A9747D"/>
    <w:rsid w:val="00AA00A6"/>
    <w:rsid w:val="00AA02E4"/>
    <w:rsid w:val="00AA0DD0"/>
    <w:rsid w:val="00AA0FD3"/>
    <w:rsid w:val="00AA128D"/>
    <w:rsid w:val="00AA1830"/>
    <w:rsid w:val="00AA1AB1"/>
    <w:rsid w:val="00AA21BD"/>
    <w:rsid w:val="00AA24EF"/>
    <w:rsid w:val="00AA2AD2"/>
    <w:rsid w:val="00AA2B6B"/>
    <w:rsid w:val="00AA2D3D"/>
    <w:rsid w:val="00AA3922"/>
    <w:rsid w:val="00AA3DCD"/>
    <w:rsid w:val="00AA41E1"/>
    <w:rsid w:val="00AA4966"/>
    <w:rsid w:val="00AA4D18"/>
    <w:rsid w:val="00AA5053"/>
    <w:rsid w:val="00AA52B8"/>
    <w:rsid w:val="00AA5333"/>
    <w:rsid w:val="00AA5897"/>
    <w:rsid w:val="00AA5A75"/>
    <w:rsid w:val="00AA646F"/>
    <w:rsid w:val="00AA6B49"/>
    <w:rsid w:val="00AA6BA8"/>
    <w:rsid w:val="00AA757B"/>
    <w:rsid w:val="00AA7B14"/>
    <w:rsid w:val="00AA7B5F"/>
    <w:rsid w:val="00AA7F5A"/>
    <w:rsid w:val="00AA7F87"/>
    <w:rsid w:val="00AB0111"/>
    <w:rsid w:val="00AB0410"/>
    <w:rsid w:val="00AB09A5"/>
    <w:rsid w:val="00AB09D6"/>
    <w:rsid w:val="00AB0B6B"/>
    <w:rsid w:val="00AB0F69"/>
    <w:rsid w:val="00AB1A75"/>
    <w:rsid w:val="00AB21E6"/>
    <w:rsid w:val="00AB2340"/>
    <w:rsid w:val="00AB2463"/>
    <w:rsid w:val="00AB247E"/>
    <w:rsid w:val="00AB280E"/>
    <w:rsid w:val="00AB2C3E"/>
    <w:rsid w:val="00AB31A3"/>
    <w:rsid w:val="00AB3B10"/>
    <w:rsid w:val="00AB3CFC"/>
    <w:rsid w:val="00AB3EE2"/>
    <w:rsid w:val="00AB41AE"/>
    <w:rsid w:val="00AB4851"/>
    <w:rsid w:val="00AB4F95"/>
    <w:rsid w:val="00AB553D"/>
    <w:rsid w:val="00AB55FD"/>
    <w:rsid w:val="00AB5D36"/>
    <w:rsid w:val="00AB5E23"/>
    <w:rsid w:val="00AB5F1C"/>
    <w:rsid w:val="00AB5FE4"/>
    <w:rsid w:val="00AB659D"/>
    <w:rsid w:val="00AB6713"/>
    <w:rsid w:val="00AB6998"/>
    <w:rsid w:val="00AB6BA2"/>
    <w:rsid w:val="00AB6DBE"/>
    <w:rsid w:val="00AB6F76"/>
    <w:rsid w:val="00AB738A"/>
    <w:rsid w:val="00AB7476"/>
    <w:rsid w:val="00AB7869"/>
    <w:rsid w:val="00AC026E"/>
    <w:rsid w:val="00AC0392"/>
    <w:rsid w:val="00AC0AFF"/>
    <w:rsid w:val="00AC140C"/>
    <w:rsid w:val="00AC140E"/>
    <w:rsid w:val="00AC1567"/>
    <w:rsid w:val="00AC19AD"/>
    <w:rsid w:val="00AC229F"/>
    <w:rsid w:val="00AC252A"/>
    <w:rsid w:val="00AC25C5"/>
    <w:rsid w:val="00AC2E24"/>
    <w:rsid w:val="00AC32AB"/>
    <w:rsid w:val="00AC3FC0"/>
    <w:rsid w:val="00AC426C"/>
    <w:rsid w:val="00AC43CC"/>
    <w:rsid w:val="00AC4B85"/>
    <w:rsid w:val="00AC53A9"/>
    <w:rsid w:val="00AC5417"/>
    <w:rsid w:val="00AC5A5C"/>
    <w:rsid w:val="00AC5EA5"/>
    <w:rsid w:val="00AC60CA"/>
    <w:rsid w:val="00AC6351"/>
    <w:rsid w:val="00AC6D51"/>
    <w:rsid w:val="00AC6F58"/>
    <w:rsid w:val="00AC7A58"/>
    <w:rsid w:val="00AC7B00"/>
    <w:rsid w:val="00AC7C07"/>
    <w:rsid w:val="00AC7DF7"/>
    <w:rsid w:val="00AC7E86"/>
    <w:rsid w:val="00AC7F0A"/>
    <w:rsid w:val="00AD0614"/>
    <w:rsid w:val="00AD0FB6"/>
    <w:rsid w:val="00AD1D27"/>
    <w:rsid w:val="00AD2016"/>
    <w:rsid w:val="00AD2569"/>
    <w:rsid w:val="00AD2A39"/>
    <w:rsid w:val="00AD3070"/>
    <w:rsid w:val="00AD3627"/>
    <w:rsid w:val="00AD3774"/>
    <w:rsid w:val="00AD3E47"/>
    <w:rsid w:val="00AD42E0"/>
    <w:rsid w:val="00AD4A0A"/>
    <w:rsid w:val="00AD4C32"/>
    <w:rsid w:val="00AD4D54"/>
    <w:rsid w:val="00AD4E7C"/>
    <w:rsid w:val="00AD4ED8"/>
    <w:rsid w:val="00AD575C"/>
    <w:rsid w:val="00AD592D"/>
    <w:rsid w:val="00AD5A3F"/>
    <w:rsid w:val="00AD718F"/>
    <w:rsid w:val="00AD7671"/>
    <w:rsid w:val="00AD7D1E"/>
    <w:rsid w:val="00AD7D7B"/>
    <w:rsid w:val="00AD7DA7"/>
    <w:rsid w:val="00AE05E6"/>
    <w:rsid w:val="00AE0B30"/>
    <w:rsid w:val="00AE1109"/>
    <w:rsid w:val="00AE14A2"/>
    <w:rsid w:val="00AE1966"/>
    <w:rsid w:val="00AE1F28"/>
    <w:rsid w:val="00AE1F75"/>
    <w:rsid w:val="00AE232C"/>
    <w:rsid w:val="00AE23C9"/>
    <w:rsid w:val="00AE2997"/>
    <w:rsid w:val="00AE2A21"/>
    <w:rsid w:val="00AE2CF7"/>
    <w:rsid w:val="00AE2D0C"/>
    <w:rsid w:val="00AE365B"/>
    <w:rsid w:val="00AE3939"/>
    <w:rsid w:val="00AE3D8F"/>
    <w:rsid w:val="00AE4119"/>
    <w:rsid w:val="00AE424D"/>
    <w:rsid w:val="00AE4AAF"/>
    <w:rsid w:val="00AE4EFA"/>
    <w:rsid w:val="00AE53E8"/>
    <w:rsid w:val="00AE5CF6"/>
    <w:rsid w:val="00AE5E09"/>
    <w:rsid w:val="00AE60CB"/>
    <w:rsid w:val="00AE639B"/>
    <w:rsid w:val="00AE6AF7"/>
    <w:rsid w:val="00AE6FE4"/>
    <w:rsid w:val="00AE781F"/>
    <w:rsid w:val="00AE7916"/>
    <w:rsid w:val="00AE7941"/>
    <w:rsid w:val="00AF048D"/>
    <w:rsid w:val="00AF1242"/>
    <w:rsid w:val="00AF138F"/>
    <w:rsid w:val="00AF13A6"/>
    <w:rsid w:val="00AF13F9"/>
    <w:rsid w:val="00AF1D2D"/>
    <w:rsid w:val="00AF1D5C"/>
    <w:rsid w:val="00AF2059"/>
    <w:rsid w:val="00AF2186"/>
    <w:rsid w:val="00AF25EC"/>
    <w:rsid w:val="00AF2F5F"/>
    <w:rsid w:val="00AF316C"/>
    <w:rsid w:val="00AF342D"/>
    <w:rsid w:val="00AF3769"/>
    <w:rsid w:val="00AF3941"/>
    <w:rsid w:val="00AF3AF2"/>
    <w:rsid w:val="00AF3B6F"/>
    <w:rsid w:val="00AF3D73"/>
    <w:rsid w:val="00AF3D84"/>
    <w:rsid w:val="00AF3F29"/>
    <w:rsid w:val="00AF4161"/>
    <w:rsid w:val="00AF45BD"/>
    <w:rsid w:val="00AF464F"/>
    <w:rsid w:val="00AF5044"/>
    <w:rsid w:val="00AF580B"/>
    <w:rsid w:val="00AF5E7E"/>
    <w:rsid w:val="00AF67F9"/>
    <w:rsid w:val="00AF6B5A"/>
    <w:rsid w:val="00AF6EB0"/>
    <w:rsid w:val="00AF6F6A"/>
    <w:rsid w:val="00AF70B9"/>
    <w:rsid w:val="00AF76EA"/>
    <w:rsid w:val="00AF7AC6"/>
    <w:rsid w:val="00AF7ACC"/>
    <w:rsid w:val="00B00628"/>
    <w:rsid w:val="00B007C8"/>
    <w:rsid w:val="00B008AA"/>
    <w:rsid w:val="00B00A4D"/>
    <w:rsid w:val="00B00AAF"/>
    <w:rsid w:val="00B01442"/>
    <w:rsid w:val="00B015AA"/>
    <w:rsid w:val="00B02546"/>
    <w:rsid w:val="00B02B4D"/>
    <w:rsid w:val="00B02E2D"/>
    <w:rsid w:val="00B03205"/>
    <w:rsid w:val="00B03533"/>
    <w:rsid w:val="00B03AFE"/>
    <w:rsid w:val="00B04059"/>
    <w:rsid w:val="00B04296"/>
    <w:rsid w:val="00B046FA"/>
    <w:rsid w:val="00B047B2"/>
    <w:rsid w:val="00B04999"/>
    <w:rsid w:val="00B04C3B"/>
    <w:rsid w:val="00B04CB5"/>
    <w:rsid w:val="00B04CE6"/>
    <w:rsid w:val="00B057A6"/>
    <w:rsid w:val="00B05F2D"/>
    <w:rsid w:val="00B060BD"/>
    <w:rsid w:val="00B0610A"/>
    <w:rsid w:val="00B06268"/>
    <w:rsid w:val="00B06602"/>
    <w:rsid w:val="00B07032"/>
    <w:rsid w:val="00B07883"/>
    <w:rsid w:val="00B1036E"/>
    <w:rsid w:val="00B10413"/>
    <w:rsid w:val="00B108BF"/>
    <w:rsid w:val="00B10A8F"/>
    <w:rsid w:val="00B10B6D"/>
    <w:rsid w:val="00B11042"/>
    <w:rsid w:val="00B11834"/>
    <w:rsid w:val="00B1224D"/>
    <w:rsid w:val="00B122CA"/>
    <w:rsid w:val="00B126AC"/>
    <w:rsid w:val="00B136E9"/>
    <w:rsid w:val="00B138D3"/>
    <w:rsid w:val="00B14410"/>
    <w:rsid w:val="00B14699"/>
    <w:rsid w:val="00B14778"/>
    <w:rsid w:val="00B14C1B"/>
    <w:rsid w:val="00B15803"/>
    <w:rsid w:val="00B15A26"/>
    <w:rsid w:val="00B15A93"/>
    <w:rsid w:val="00B15E61"/>
    <w:rsid w:val="00B1628B"/>
    <w:rsid w:val="00B16478"/>
    <w:rsid w:val="00B169E9"/>
    <w:rsid w:val="00B16A66"/>
    <w:rsid w:val="00B16ACC"/>
    <w:rsid w:val="00B17D1B"/>
    <w:rsid w:val="00B205C2"/>
    <w:rsid w:val="00B209A1"/>
    <w:rsid w:val="00B20EE6"/>
    <w:rsid w:val="00B20F1F"/>
    <w:rsid w:val="00B217B7"/>
    <w:rsid w:val="00B21854"/>
    <w:rsid w:val="00B22B07"/>
    <w:rsid w:val="00B22EF8"/>
    <w:rsid w:val="00B24245"/>
    <w:rsid w:val="00B2484B"/>
    <w:rsid w:val="00B2485C"/>
    <w:rsid w:val="00B24954"/>
    <w:rsid w:val="00B24F15"/>
    <w:rsid w:val="00B24F35"/>
    <w:rsid w:val="00B25C01"/>
    <w:rsid w:val="00B25C80"/>
    <w:rsid w:val="00B25D3F"/>
    <w:rsid w:val="00B26207"/>
    <w:rsid w:val="00B26488"/>
    <w:rsid w:val="00B270E4"/>
    <w:rsid w:val="00B27CED"/>
    <w:rsid w:val="00B27D46"/>
    <w:rsid w:val="00B27F20"/>
    <w:rsid w:val="00B3024D"/>
    <w:rsid w:val="00B30CAE"/>
    <w:rsid w:val="00B30D7B"/>
    <w:rsid w:val="00B31AA4"/>
    <w:rsid w:val="00B31BA6"/>
    <w:rsid w:val="00B321F6"/>
    <w:rsid w:val="00B32219"/>
    <w:rsid w:val="00B32C88"/>
    <w:rsid w:val="00B32EE1"/>
    <w:rsid w:val="00B33080"/>
    <w:rsid w:val="00B33F2E"/>
    <w:rsid w:val="00B34249"/>
    <w:rsid w:val="00B34747"/>
    <w:rsid w:val="00B347DB"/>
    <w:rsid w:val="00B35047"/>
    <w:rsid w:val="00B353CC"/>
    <w:rsid w:val="00B35996"/>
    <w:rsid w:val="00B35D07"/>
    <w:rsid w:val="00B35D2B"/>
    <w:rsid w:val="00B36369"/>
    <w:rsid w:val="00B36F77"/>
    <w:rsid w:val="00B3714B"/>
    <w:rsid w:val="00B37848"/>
    <w:rsid w:val="00B37B0D"/>
    <w:rsid w:val="00B37D93"/>
    <w:rsid w:val="00B37FAD"/>
    <w:rsid w:val="00B409AE"/>
    <w:rsid w:val="00B42246"/>
    <w:rsid w:val="00B4256D"/>
    <w:rsid w:val="00B42AB7"/>
    <w:rsid w:val="00B42CBA"/>
    <w:rsid w:val="00B42E49"/>
    <w:rsid w:val="00B431DC"/>
    <w:rsid w:val="00B432CC"/>
    <w:rsid w:val="00B438D2"/>
    <w:rsid w:val="00B43F89"/>
    <w:rsid w:val="00B444D7"/>
    <w:rsid w:val="00B44D0B"/>
    <w:rsid w:val="00B45128"/>
    <w:rsid w:val="00B4557C"/>
    <w:rsid w:val="00B45BB6"/>
    <w:rsid w:val="00B45F40"/>
    <w:rsid w:val="00B46895"/>
    <w:rsid w:val="00B46D2D"/>
    <w:rsid w:val="00B4716E"/>
    <w:rsid w:val="00B471A0"/>
    <w:rsid w:val="00B471A5"/>
    <w:rsid w:val="00B50903"/>
    <w:rsid w:val="00B5099F"/>
    <w:rsid w:val="00B509C2"/>
    <w:rsid w:val="00B50A30"/>
    <w:rsid w:val="00B50C75"/>
    <w:rsid w:val="00B51241"/>
    <w:rsid w:val="00B513E2"/>
    <w:rsid w:val="00B5150D"/>
    <w:rsid w:val="00B51AF0"/>
    <w:rsid w:val="00B51C70"/>
    <w:rsid w:val="00B51C71"/>
    <w:rsid w:val="00B522C8"/>
    <w:rsid w:val="00B523BA"/>
    <w:rsid w:val="00B52998"/>
    <w:rsid w:val="00B52FDF"/>
    <w:rsid w:val="00B5314E"/>
    <w:rsid w:val="00B53666"/>
    <w:rsid w:val="00B548B1"/>
    <w:rsid w:val="00B54CB1"/>
    <w:rsid w:val="00B55B0E"/>
    <w:rsid w:val="00B5662D"/>
    <w:rsid w:val="00B574B6"/>
    <w:rsid w:val="00B57A25"/>
    <w:rsid w:val="00B60104"/>
    <w:rsid w:val="00B60A2D"/>
    <w:rsid w:val="00B60BDA"/>
    <w:rsid w:val="00B60ECE"/>
    <w:rsid w:val="00B61D9F"/>
    <w:rsid w:val="00B6233F"/>
    <w:rsid w:val="00B62F8C"/>
    <w:rsid w:val="00B62FFE"/>
    <w:rsid w:val="00B63BD4"/>
    <w:rsid w:val="00B63BF3"/>
    <w:rsid w:val="00B641CB"/>
    <w:rsid w:val="00B642AB"/>
    <w:rsid w:val="00B646F3"/>
    <w:rsid w:val="00B64821"/>
    <w:rsid w:val="00B65013"/>
    <w:rsid w:val="00B650FE"/>
    <w:rsid w:val="00B6525C"/>
    <w:rsid w:val="00B65643"/>
    <w:rsid w:val="00B65B26"/>
    <w:rsid w:val="00B66928"/>
    <w:rsid w:val="00B66F3E"/>
    <w:rsid w:val="00B66F41"/>
    <w:rsid w:val="00B671D3"/>
    <w:rsid w:val="00B700AC"/>
    <w:rsid w:val="00B7012C"/>
    <w:rsid w:val="00B708B9"/>
    <w:rsid w:val="00B70998"/>
    <w:rsid w:val="00B709A6"/>
    <w:rsid w:val="00B7123A"/>
    <w:rsid w:val="00B71346"/>
    <w:rsid w:val="00B71C21"/>
    <w:rsid w:val="00B71EDD"/>
    <w:rsid w:val="00B71EFD"/>
    <w:rsid w:val="00B72540"/>
    <w:rsid w:val="00B72AC4"/>
    <w:rsid w:val="00B72B94"/>
    <w:rsid w:val="00B72C48"/>
    <w:rsid w:val="00B739B9"/>
    <w:rsid w:val="00B74019"/>
    <w:rsid w:val="00B7435C"/>
    <w:rsid w:val="00B74477"/>
    <w:rsid w:val="00B748C1"/>
    <w:rsid w:val="00B74C1A"/>
    <w:rsid w:val="00B75493"/>
    <w:rsid w:val="00B75A6A"/>
    <w:rsid w:val="00B75C90"/>
    <w:rsid w:val="00B75EA2"/>
    <w:rsid w:val="00B76666"/>
    <w:rsid w:val="00B76F38"/>
    <w:rsid w:val="00B7753D"/>
    <w:rsid w:val="00B77633"/>
    <w:rsid w:val="00B77894"/>
    <w:rsid w:val="00B77D0E"/>
    <w:rsid w:val="00B8002A"/>
    <w:rsid w:val="00B8002F"/>
    <w:rsid w:val="00B803EA"/>
    <w:rsid w:val="00B8085D"/>
    <w:rsid w:val="00B80B24"/>
    <w:rsid w:val="00B80DF8"/>
    <w:rsid w:val="00B81482"/>
    <w:rsid w:val="00B814D7"/>
    <w:rsid w:val="00B81668"/>
    <w:rsid w:val="00B81A63"/>
    <w:rsid w:val="00B81A89"/>
    <w:rsid w:val="00B81EFF"/>
    <w:rsid w:val="00B8228E"/>
    <w:rsid w:val="00B82528"/>
    <w:rsid w:val="00B825BF"/>
    <w:rsid w:val="00B82623"/>
    <w:rsid w:val="00B82B9A"/>
    <w:rsid w:val="00B83198"/>
    <w:rsid w:val="00B831BA"/>
    <w:rsid w:val="00B836BB"/>
    <w:rsid w:val="00B83B87"/>
    <w:rsid w:val="00B83BDB"/>
    <w:rsid w:val="00B83C2D"/>
    <w:rsid w:val="00B83D77"/>
    <w:rsid w:val="00B83F8C"/>
    <w:rsid w:val="00B84033"/>
    <w:rsid w:val="00B84122"/>
    <w:rsid w:val="00B84E59"/>
    <w:rsid w:val="00B85E73"/>
    <w:rsid w:val="00B8610E"/>
    <w:rsid w:val="00B86274"/>
    <w:rsid w:val="00B862B0"/>
    <w:rsid w:val="00B86379"/>
    <w:rsid w:val="00B864FB"/>
    <w:rsid w:val="00B86939"/>
    <w:rsid w:val="00B86CD0"/>
    <w:rsid w:val="00B870D6"/>
    <w:rsid w:val="00B87198"/>
    <w:rsid w:val="00B87784"/>
    <w:rsid w:val="00B90AB6"/>
    <w:rsid w:val="00B90B94"/>
    <w:rsid w:val="00B90C65"/>
    <w:rsid w:val="00B90EBD"/>
    <w:rsid w:val="00B91D05"/>
    <w:rsid w:val="00B92043"/>
    <w:rsid w:val="00B9220C"/>
    <w:rsid w:val="00B92C62"/>
    <w:rsid w:val="00B92F80"/>
    <w:rsid w:val="00B931D1"/>
    <w:rsid w:val="00B932C1"/>
    <w:rsid w:val="00B93314"/>
    <w:rsid w:val="00B93D79"/>
    <w:rsid w:val="00B93EF6"/>
    <w:rsid w:val="00B9441D"/>
    <w:rsid w:val="00B95740"/>
    <w:rsid w:val="00B95AB9"/>
    <w:rsid w:val="00B96105"/>
    <w:rsid w:val="00B96187"/>
    <w:rsid w:val="00B97AFC"/>
    <w:rsid w:val="00B97B23"/>
    <w:rsid w:val="00B97F71"/>
    <w:rsid w:val="00BA0547"/>
    <w:rsid w:val="00BA09C2"/>
    <w:rsid w:val="00BA0A92"/>
    <w:rsid w:val="00BA0B67"/>
    <w:rsid w:val="00BA0CBF"/>
    <w:rsid w:val="00BA10BA"/>
    <w:rsid w:val="00BA1908"/>
    <w:rsid w:val="00BA214F"/>
    <w:rsid w:val="00BA2946"/>
    <w:rsid w:val="00BA2B7C"/>
    <w:rsid w:val="00BA34A6"/>
    <w:rsid w:val="00BA3629"/>
    <w:rsid w:val="00BA3B07"/>
    <w:rsid w:val="00BA3DFA"/>
    <w:rsid w:val="00BA44B0"/>
    <w:rsid w:val="00BA4775"/>
    <w:rsid w:val="00BA4A20"/>
    <w:rsid w:val="00BA53CB"/>
    <w:rsid w:val="00BA5600"/>
    <w:rsid w:val="00BA5CFF"/>
    <w:rsid w:val="00BA5F17"/>
    <w:rsid w:val="00BA6968"/>
    <w:rsid w:val="00BA7867"/>
    <w:rsid w:val="00BA79C8"/>
    <w:rsid w:val="00BA7D36"/>
    <w:rsid w:val="00BA7FE3"/>
    <w:rsid w:val="00BB0549"/>
    <w:rsid w:val="00BB07B4"/>
    <w:rsid w:val="00BB0A31"/>
    <w:rsid w:val="00BB0A76"/>
    <w:rsid w:val="00BB0B0C"/>
    <w:rsid w:val="00BB0DAC"/>
    <w:rsid w:val="00BB1089"/>
    <w:rsid w:val="00BB1149"/>
    <w:rsid w:val="00BB127D"/>
    <w:rsid w:val="00BB142A"/>
    <w:rsid w:val="00BB2262"/>
    <w:rsid w:val="00BB2334"/>
    <w:rsid w:val="00BB29A4"/>
    <w:rsid w:val="00BB2A78"/>
    <w:rsid w:val="00BB2E12"/>
    <w:rsid w:val="00BB2E23"/>
    <w:rsid w:val="00BB2F69"/>
    <w:rsid w:val="00BB30CF"/>
    <w:rsid w:val="00BB3469"/>
    <w:rsid w:val="00BB34B9"/>
    <w:rsid w:val="00BB35C2"/>
    <w:rsid w:val="00BB3743"/>
    <w:rsid w:val="00BB383B"/>
    <w:rsid w:val="00BB3987"/>
    <w:rsid w:val="00BB3989"/>
    <w:rsid w:val="00BB4146"/>
    <w:rsid w:val="00BB42AB"/>
    <w:rsid w:val="00BB46FF"/>
    <w:rsid w:val="00BB476E"/>
    <w:rsid w:val="00BB4841"/>
    <w:rsid w:val="00BB4DA3"/>
    <w:rsid w:val="00BB548B"/>
    <w:rsid w:val="00BB553B"/>
    <w:rsid w:val="00BB5606"/>
    <w:rsid w:val="00BB5607"/>
    <w:rsid w:val="00BB57AC"/>
    <w:rsid w:val="00BB5CAC"/>
    <w:rsid w:val="00BB5CDF"/>
    <w:rsid w:val="00BB5D9C"/>
    <w:rsid w:val="00BB6078"/>
    <w:rsid w:val="00BB6120"/>
    <w:rsid w:val="00BB7180"/>
    <w:rsid w:val="00BB71AB"/>
    <w:rsid w:val="00BB74C6"/>
    <w:rsid w:val="00BB79EE"/>
    <w:rsid w:val="00BB7F16"/>
    <w:rsid w:val="00BB7FD6"/>
    <w:rsid w:val="00BC0860"/>
    <w:rsid w:val="00BC0913"/>
    <w:rsid w:val="00BC0B83"/>
    <w:rsid w:val="00BC0C0C"/>
    <w:rsid w:val="00BC12B7"/>
    <w:rsid w:val="00BC1A8B"/>
    <w:rsid w:val="00BC1B66"/>
    <w:rsid w:val="00BC1EBE"/>
    <w:rsid w:val="00BC20EB"/>
    <w:rsid w:val="00BC28D7"/>
    <w:rsid w:val="00BC2F69"/>
    <w:rsid w:val="00BC333A"/>
    <w:rsid w:val="00BC376C"/>
    <w:rsid w:val="00BC3849"/>
    <w:rsid w:val="00BC3DF0"/>
    <w:rsid w:val="00BC4B0A"/>
    <w:rsid w:val="00BC4EA5"/>
    <w:rsid w:val="00BC4F7A"/>
    <w:rsid w:val="00BC55C3"/>
    <w:rsid w:val="00BC5711"/>
    <w:rsid w:val="00BC5EBC"/>
    <w:rsid w:val="00BC6321"/>
    <w:rsid w:val="00BC7817"/>
    <w:rsid w:val="00BC7DBF"/>
    <w:rsid w:val="00BC7E51"/>
    <w:rsid w:val="00BD030E"/>
    <w:rsid w:val="00BD09B2"/>
    <w:rsid w:val="00BD0D79"/>
    <w:rsid w:val="00BD13EA"/>
    <w:rsid w:val="00BD19C5"/>
    <w:rsid w:val="00BD222E"/>
    <w:rsid w:val="00BD2676"/>
    <w:rsid w:val="00BD3001"/>
    <w:rsid w:val="00BD371B"/>
    <w:rsid w:val="00BD3819"/>
    <w:rsid w:val="00BD3BF0"/>
    <w:rsid w:val="00BD3D6B"/>
    <w:rsid w:val="00BD3D93"/>
    <w:rsid w:val="00BD4158"/>
    <w:rsid w:val="00BD45EB"/>
    <w:rsid w:val="00BD486F"/>
    <w:rsid w:val="00BD4E9F"/>
    <w:rsid w:val="00BD5272"/>
    <w:rsid w:val="00BD5766"/>
    <w:rsid w:val="00BD6173"/>
    <w:rsid w:val="00BD62C5"/>
    <w:rsid w:val="00BD642D"/>
    <w:rsid w:val="00BD6988"/>
    <w:rsid w:val="00BD6A68"/>
    <w:rsid w:val="00BD6BFF"/>
    <w:rsid w:val="00BD725D"/>
    <w:rsid w:val="00BD7474"/>
    <w:rsid w:val="00BE0190"/>
    <w:rsid w:val="00BE08DC"/>
    <w:rsid w:val="00BE0C60"/>
    <w:rsid w:val="00BE0D80"/>
    <w:rsid w:val="00BE1433"/>
    <w:rsid w:val="00BE1484"/>
    <w:rsid w:val="00BE19F0"/>
    <w:rsid w:val="00BE1A77"/>
    <w:rsid w:val="00BE1DF8"/>
    <w:rsid w:val="00BE21D3"/>
    <w:rsid w:val="00BE2911"/>
    <w:rsid w:val="00BE2C0B"/>
    <w:rsid w:val="00BE2DD1"/>
    <w:rsid w:val="00BE39E2"/>
    <w:rsid w:val="00BE3BC2"/>
    <w:rsid w:val="00BE4742"/>
    <w:rsid w:val="00BE5355"/>
    <w:rsid w:val="00BE5A47"/>
    <w:rsid w:val="00BE66DA"/>
    <w:rsid w:val="00BE6772"/>
    <w:rsid w:val="00BE6F61"/>
    <w:rsid w:val="00BE7383"/>
    <w:rsid w:val="00BE754D"/>
    <w:rsid w:val="00BE7574"/>
    <w:rsid w:val="00BE76A9"/>
    <w:rsid w:val="00BE78D6"/>
    <w:rsid w:val="00BE7C1E"/>
    <w:rsid w:val="00BF06DB"/>
    <w:rsid w:val="00BF0945"/>
    <w:rsid w:val="00BF124B"/>
    <w:rsid w:val="00BF1DB9"/>
    <w:rsid w:val="00BF1E3B"/>
    <w:rsid w:val="00BF2273"/>
    <w:rsid w:val="00BF3207"/>
    <w:rsid w:val="00BF3213"/>
    <w:rsid w:val="00BF3574"/>
    <w:rsid w:val="00BF360D"/>
    <w:rsid w:val="00BF3782"/>
    <w:rsid w:val="00BF47D8"/>
    <w:rsid w:val="00BF51AB"/>
    <w:rsid w:val="00BF549C"/>
    <w:rsid w:val="00BF555B"/>
    <w:rsid w:val="00BF5588"/>
    <w:rsid w:val="00BF5ABB"/>
    <w:rsid w:val="00BF5C0B"/>
    <w:rsid w:val="00BF5EF6"/>
    <w:rsid w:val="00BF6D10"/>
    <w:rsid w:val="00BF6E79"/>
    <w:rsid w:val="00BF742C"/>
    <w:rsid w:val="00BF7495"/>
    <w:rsid w:val="00BF751B"/>
    <w:rsid w:val="00BF7592"/>
    <w:rsid w:val="00BF7627"/>
    <w:rsid w:val="00C00113"/>
    <w:rsid w:val="00C002BB"/>
    <w:rsid w:val="00C002FE"/>
    <w:rsid w:val="00C00DA3"/>
    <w:rsid w:val="00C0116B"/>
    <w:rsid w:val="00C014EC"/>
    <w:rsid w:val="00C0174D"/>
    <w:rsid w:val="00C019B2"/>
    <w:rsid w:val="00C019E1"/>
    <w:rsid w:val="00C0222F"/>
    <w:rsid w:val="00C022C3"/>
    <w:rsid w:val="00C0253F"/>
    <w:rsid w:val="00C02592"/>
    <w:rsid w:val="00C02F5E"/>
    <w:rsid w:val="00C03251"/>
    <w:rsid w:val="00C03C4F"/>
    <w:rsid w:val="00C03F6C"/>
    <w:rsid w:val="00C04A6A"/>
    <w:rsid w:val="00C04F1B"/>
    <w:rsid w:val="00C05472"/>
    <w:rsid w:val="00C0606E"/>
    <w:rsid w:val="00C06275"/>
    <w:rsid w:val="00C062CD"/>
    <w:rsid w:val="00C06385"/>
    <w:rsid w:val="00C0737F"/>
    <w:rsid w:val="00C074E6"/>
    <w:rsid w:val="00C07564"/>
    <w:rsid w:val="00C1033B"/>
    <w:rsid w:val="00C105B5"/>
    <w:rsid w:val="00C1091D"/>
    <w:rsid w:val="00C10BDA"/>
    <w:rsid w:val="00C11253"/>
    <w:rsid w:val="00C12108"/>
    <w:rsid w:val="00C121D9"/>
    <w:rsid w:val="00C12516"/>
    <w:rsid w:val="00C1292D"/>
    <w:rsid w:val="00C12AFC"/>
    <w:rsid w:val="00C12D5F"/>
    <w:rsid w:val="00C12E14"/>
    <w:rsid w:val="00C12E70"/>
    <w:rsid w:val="00C1336F"/>
    <w:rsid w:val="00C13453"/>
    <w:rsid w:val="00C13CBB"/>
    <w:rsid w:val="00C13F24"/>
    <w:rsid w:val="00C1468F"/>
    <w:rsid w:val="00C152AD"/>
    <w:rsid w:val="00C154C0"/>
    <w:rsid w:val="00C1550C"/>
    <w:rsid w:val="00C159DF"/>
    <w:rsid w:val="00C15BDB"/>
    <w:rsid w:val="00C15C0D"/>
    <w:rsid w:val="00C161F0"/>
    <w:rsid w:val="00C16225"/>
    <w:rsid w:val="00C1646A"/>
    <w:rsid w:val="00C167B4"/>
    <w:rsid w:val="00C16908"/>
    <w:rsid w:val="00C173CD"/>
    <w:rsid w:val="00C17664"/>
    <w:rsid w:val="00C2037D"/>
    <w:rsid w:val="00C20471"/>
    <w:rsid w:val="00C2085E"/>
    <w:rsid w:val="00C20BA7"/>
    <w:rsid w:val="00C20F03"/>
    <w:rsid w:val="00C21AB3"/>
    <w:rsid w:val="00C21DB7"/>
    <w:rsid w:val="00C220F9"/>
    <w:rsid w:val="00C2223B"/>
    <w:rsid w:val="00C22424"/>
    <w:rsid w:val="00C22597"/>
    <w:rsid w:val="00C22B74"/>
    <w:rsid w:val="00C22F2F"/>
    <w:rsid w:val="00C23026"/>
    <w:rsid w:val="00C23207"/>
    <w:rsid w:val="00C237E7"/>
    <w:rsid w:val="00C23A05"/>
    <w:rsid w:val="00C23C30"/>
    <w:rsid w:val="00C23CFC"/>
    <w:rsid w:val="00C2428E"/>
    <w:rsid w:val="00C2487E"/>
    <w:rsid w:val="00C2541C"/>
    <w:rsid w:val="00C2590F"/>
    <w:rsid w:val="00C25D63"/>
    <w:rsid w:val="00C261B6"/>
    <w:rsid w:val="00C26290"/>
    <w:rsid w:val="00C26676"/>
    <w:rsid w:val="00C267D0"/>
    <w:rsid w:val="00C26862"/>
    <w:rsid w:val="00C26C97"/>
    <w:rsid w:val="00C271EB"/>
    <w:rsid w:val="00C2757D"/>
    <w:rsid w:val="00C2787E"/>
    <w:rsid w:val="00C27BF9"/>
    <w:rsid w:val="00C27C21"/>
    <w:rsid w:val="00C30458"/>
    <w:rsid w:val="00C306EA"/>
    <w:rsid w:val="00C309D0"/>
    <w:rsid w:val="00C313E0"/>
    <w:rsid w:val="00C3148F"/>
    <w:rsid w:val="00C31DA6"/>
    <w:rsid w:val="00C323D0"/>
    <w:rsid w:val="00C325E6"/>
    <w:rsid w:val="00C3285F"/>
    <w:rsid w:val="00C32AE9"/>
    <w:rsid w:val="00C3306F"/>
    <w:rsid w:val="00C33260"/>
    <w:rsid w:val="00C33612"/>
    <w:rsid w:val="00C34064"/>
    <w:rsid w:val="00C3546B"/>
    <w:rsid w:val="00C36803"/>
    <w:rsid w:val="00C37964"/>
    <w:rsid w:val="00C40385"/>
    <w:rsid w:val="00C40D0B"/>
    <w:rsid w:val="00C410A7"/>
    <w:rsid w:val="00C414B6"/>
    <w:rsid w:val="00C41750"/>
    <w:rsid w:val="00C41EA9"/>
    <w:rsid w:val="00C42403"/>
    <w:rsid w:val="00C42E31"/>
    <w:rsid w:val="00C43DB0"/>
    <w:rsid w:val="00C43EAF"/>
    <w:rsid w:val="00C44416"/>
    <w:rsid w:val="00C44543"/>
    <w:rsid w:val="00C446C5"/>
    <w:rsid w:val="00C44CC1"/>
    <w:rsid w:val="00C4598F"/>
    <w:rsid w:val="00C459C4"/>
    <w:rsid w:val="00C45AD3"/>
    <w:rsid w:val="00C45CA6"/>
    <w:rsid w:val="00C45D0B"/>
    <w:rsid w:val="00C46043"/>
    <w:rsid w:val="00C46549"/>
    <w:rsid w:val="00C46740"/>
    <w:rsid w:val="00C46A92"/>
    <w:rsid w:val="00C47334"/>
    <w:rsid w:val="00C50360"/>
    <w:rsid w:val="00C50620"/>
    <w:rsid w:val="00C51070"/>
    <w:rsid w:val="00C5125D"/>
    <w:rsid w:val="00C512D6"/>
    <w:rsid w:val="00C51347"/>
    <w:rsid w:val="00C51AD5"/>
    <w:rsid w:val="00C52403"/>
    <w:rsid w:val="00C524A4"/>
    <w:rsid w:val="00C528B2"/>
    <w:rsid w:val="00C52A1A"/>
    <w:rsid w:val="00C531BE"/>
    <w:rsid w:val="00C533D9"/>
    <w:rsid w:val="00C5363C"/>
    <w:rsid w:val="00C5446A"/>
    <w:rsid w:val="00C54E12"/>
    <w:rsid w:val="00C552ED"/>
    <w:rsid w:val="00C553F6"/>
    <w:rsid w:val="00C55468"/>
    <w:rsid w:val="00C557DA"/>
    <w:rsid w:val="00C55A6D"/>
    <w:rsid w:val="00C565E1"/>
    <w:rsid w:val="00C567D3"/>
    <w:rsid w:val="00C573B2"/>
    <w:rsid w:val="00C5742C"/>
    <w:rsid w:val="00C57D6A"/>
    <w:rsid w:val="00C60394"/>
    <w:rsid w:val="00C60532"/>
    <w:rsid w:val="00C60C53"/>
    <w:rsid w:val="00C60E5E"/>
    <w:rsid w:val="00C6131E"/>
    <w:rsid w:val="00C613C5"/>
    <w:rsid w:val="00C615F8"/>
    <w:rsid w:val="00C618F4"/>
    <w:rsid w:val="00C619A6"/>
    <w:rsid w:val="00C622C3"/>
    <w:rsid w:val="00C624FB"/>
    <w:rsid w:val="00C625F8"/>
    <w:rsid w:val="00C62A99"/>
    <w:rsid w:val="00C6370F"/>
    <w:rsid w:val="00C63BD5"/>
    <w:rsid w:val="00C6512D"/>
    <w:rsid w:val="00C65307"/>
    <w:rsid w:val="00C6586C"/>
    <w:rsid w:val="00C65986"/>
    <w:rsid w:val="00C65ABF"/>
    <w:rsid w:val="00C66EAB"/>
    <w:rsid w:val="00C67355"/>
    <w:rsid w:val="00C6776F"/>
    <w:rsid w:val="00C67AF3"/>
    <w:rsid w:val="00C70101"/>
    <w:rsid w:val="00C707D6"/>
    <w:rsid w:val="00C708ED"/>
    <w:rsid w:val="00C70BFF"/>
    <w:rsid w:val="00C70C21"/>
    <w:rsid w:val="00C7170C"/>
    <w:rsid w:val="00C73CB8"/>
    <w:rsid w:val="00C7447F"/>
    <w:rsid w:val="00C745E8"/>
    <w:rsid w:val="00C745F0"/>
    <w:rsid w:val="00C74906"/>
    <w:rsid w:val="00C74B06"/>
    <w:rsid w:val="00C75B20"/>
    <w:rsid w:val="00C75B9A"/>
    <w:rsid w:val="00C7771E"/>
    <w:rsid w:val="00C80248"/>
    <w:rsid w:val="00C80CF7"/>
    <w:rsid w:val="00C81042"/>
    <w:rsid w:val="00C81147"/>
    <w:rsid w:val="00C814C9"/>
    <w:rsid w:val="00C81B40"/>
    <w:rsid w:val="00C81D8F"/>
    <w:rsid w:val="00C81D95"/>
    <w:rsid w:val="00C81EA9"/>
    <w:rsid w:val="00C81FEA"/>
    <w:rsid w:val="00C82637"/>
    <w:rsid w:val="00C82E05"/>
    <w:rsid w:val="00C83969"/>
    <w:rsid w:val="00C8396A"/>
    <w:rsid w:val="00C83994"/>
    <w:rsid w:val="00C839F6"/>
    <w:rsid w:val="00C8467D"/>
    <w:rsid w:val="00C84B58"/>
    <w:rsid w:val="00C84E20"/>
    <w:rsid w:val="00C85234"/>
    <w:rsid w:val="00C85F9C"/>
    <w:rsid w:val="00C86154"/>
    <w:rsid w:val="00C866E5"/>
    <w:rsid w:val="00C86C7D"/>
    <w:rsid w:val="00C86C95"/>
    <w:rsid w:val="00C8719E"/>
    <w:rsid w:val="00C87439"/>
    <w:rsid w:val="00C87517"/>
    <w:rsid w:val="00C875A8"/>
    <w:rsid w:val="00C8791D"/>
    <w:rsid w:val="00C90813"/>
    <w:rsid w:val="00C90979"/>
    <w:rsid w:val="00C90C09"/>
    <w:rsid w:val="00C910EF"/>
    <w:rsid w:val="00C9253E"/>
    <w:rsid w:val="00C9287B"/>
    <w:rsid w:val="00C937D2"/>
    <w:rsid w:val="00C93915"/>
    <w:rsid w:val="00C9451A"/>
    <w:rsid w:val="00C949BF"/>
    <w:rsid w:val="00C95A0E"/>
    <w:rsid w:val="00C9624F"/>
    <w:rsid w:val="00C96628"/>
    <w:rsid w:val="00C9665D"/>
    <w:rsid w:val="00C96BD5"/>
    <w:rsid w:val="00C97209"/>
    <w:rsid w:val="00C97847"/>
    <w:rsid w:val="00C97C9C"/>
    <w:rsid w:val="00CA0088"/>
    <w:rsid w:val="00CA02BA"/>
    <w:rsid w:val="00CA05EB"/>
    <w:rsid w:val="00CA0C18"/>
    <w:rsid w:val="00CA0C88"/>
    <w:rsid w:val="00CA2049"/>
    <w:rsid w:val="00CA3515"/>
    <w:rsid w:val="00CA3535"/>
    <w:rsid w:val="00CA3701"/>
    <w:rsid w:val="00CA3746"/>
    <w:rsid w:val="00CA3755"/>
    <w:rsid w:val="00CA3770"/>
    <w:rsid w:val="00CA3A05"/>
    <w:rsid w:val="00CA3CBF"/>
    <w:rsid w:val="00CA4665"/>
    <w:rsid w:val="00CA46BE"/>
    <w:rsid w:val="00CA4C2F"/>
    <w:rsid w:val="00CA50DE"/>
    <w:rsid w:val="00CA523A"/>
    <w:rsid w:val="00CA5894"/>
    <w:rsid w:val="00CA58EF"/>
    <w:rsid w:val="00CA5E9C"/>
    <w:rsid w:val="00CA62BE"/>
    <w:rsid w:val="00CA6587"/>
    <w:rsid w:val="00CA6898"/>
    <w:rsid w:val="00CA746B"/>
    <w:rsid w:val="00CA75D4"/>
    <w:rsid w:val="00CA76D9"/>
    <w:rsid w:val="00CA7D1D"/>
    <w:rsid w:val="00CA7D61"/>
    <w:rsid w:val="00CB03F9"/>
    <w:rsid w:val="00CB04E2"/>
    <w:rsid w:val="00CB05A0"/>
    <w:rsid w:val="00CB08B2"/>
    <w:rsid w:val="00CB108D"/>
    <w:rsid w:val="00CB11BF"/>
    <w:rsid w:val="00CB14E9"/>
    <w:rsid w:val="00CB1B6A"/>
    <w:rsid w:val="00CB1D83"/>
    <w:rsid w:val="00CB2305"/>
    <w:rsid w:val="00CB2909"/>
    <w:rsid w:val="00CB2947"/>
    <w:rsid w:val="00CB29C2"/>
    <w:rsid w:val="00CB3CDE"/>
    <w:rsid w:val="00CB4202"/>
    <w:rsid w:val="00CB4820"/>
    <w:rsid w:val="00CB4B2C"/>
    <w:rsid w:val="00CB4D02"/>
    <w:rsid w:val="00CB4D3A"/>
    <w:rsid w:val="00CB4F70"/>
    <w:rsid w:val="00CB56CD"/>
    <w:rsid w:val="00CB573A"/>
    <w:rsid w:val="00CB60D4"/>
    <w:rsid w:val="00CB63DA"/>
    <w:rsid w:val="00CB68D9"/>
    <w:rsid w:val="00CB6D90"/>
    <w:rsid w:val="00CB6ECC"/>
    <w:rsid w:val="00CB70CD"/>
    <w:rsid w:val="00CB71CB"/>
    <w:rsid w:val="00CB72C3"/>
    <w:rsid w:val="00CB74B5"/>
    <w:rsid w:val="00CB78B7"/>
    <w:rsid w:val="00CC05C8"/>
    <w:rsid w:val="00CC062F"/>
    <w:rsid w:val="00CC0D27"/>
    <w:rsid w:val="00CC11BE"/>
    <w:rsid w:val="00CC125C"/>
    <w:rsid w:val="00CC184A"/>
    <w:rsid w:val="00CC2163"/>
    <w:rsid w:val="00CC24B4"/>
    <w:rsid w:val="00CC29EB"/>
    <w:rsid w:val="00CC45E4"/>
    <w:rsid w:val="00CC4620"/>
    <w:rsid w:val="00CC46E0"/>
    <w:rsid w:val="00CC4BC9"/>
    <w:rsid w:val="00CC53C3"/>
    <w:rsid w:val="00CC574E"/>
    <w:rsid w:val="00CC60B7"/>
    <w:rsid w:val="00CC6345"/>
    <w:rsid w:val="00CC67EF"/>
    <w:rsid w:val="00CC6940"/>
    <w:rsid w:val="00CC722A"/>
    <w:rsid w:val="00CC726E"/>
    <w:rsid w:val="00CC77F2"/>
    <w:rsid w:val="00CC78A9"/>
    <w:rsid w:val="00CC791B"/>
    <w:rsid w:val="00CC7A56"/>
    <w:rsid w:val="00CC7D06"/>
    <w:rsid w:val="00CD019F"/>
    <w:rsid w:val="00CD0829"/>
    <w:rsid w:val="00CD0E5B"/>
    <w:rsid w:val="00CD116F"/>
    <w:rsid w:val="00CD11A5"/>
    <w:rsid w:val="00CD196B"/>
    <w:rsid w:val="00CD1E6D"/>
    <w:rsid w:val="00CD1EE7"/>
    <w:rsid w:val="00CD1EFC"/>
    <w:rsid w:val="00CD27C5"/>
    <w:rsid w:val="00CD293A"/>
    <w:rsid w:val="00CD2BC9"/>
    <w:rsid w:val="00CD3510"/>
    <w:rsid w:val="00CD37E9"/>
    <w:rsid w:val="00CD3834"/>
    <w:rsid w:val="00CD39F7"/>
    <w:rsid w:val="00CD412C"/>
    <w:rsid w:val="00CD4139"/>
    <w:rsid w:val="00CD48E6"/>
    <w:rsid w:val="00CD4F1C"/>
    <w:rsid w:val="00CD4F79"/>
    <w:rsid w:val="00CD525A"/>
    <w:rsid w:val="00CD59B3"/>
    <w:rsid w:val="00CD5ACD"/>
    <w:rsid w:val="00CD5AE5"/>
    <w:rsid w:val="00CD6468"/>
    <w:rsid w:val="00CD6577"/>
    <w:rsid w:val="00CD663A"/>
    <w:rsid w:val="00CD68C4"/>
    <w:rsid w:val="00CD6AA4"/>
    <w:rsid w:val="00CD6BAA"/>
    <w:rsid w:val="00CD72D0"/>
    <w:rsid w:val="00CD78D2"/>
    <w:rsid w:val="00CD7C03"/>
    <w:rsid w:val="00CE0766"/>
    <w:rsid w:val="00CE0CD3"/>
    <w:rsid w:val="00CE14C6"/>
    <w:rsid w:val="00CE18F3"/>
    <w:rsid w:val="00CE1AF5"/>
    <w:rsid w:val="00CE1ED4"/>
    <w:rsid w:val="00CE1F1E"/>
    <w:rsid w:val="00CE28BE"/>
    <w:rsid w:val="00CE2D2F"/>
    <w:rsid w:val="00CE313E"/>
    <w:rsid w:val="00CE343B"/>
    <w:rsid w:val="00CE350B"/>
    <w:rsid w:val="00CE35D1"/>
    <w:rsid w:val="00CE4169"/>
    <w:rsid w:val="00CE427F"/>
    <w:rsid w:val="00CE5256"/>
    <w:rsid w:val="00CE5336"/>
    <w:rsid w:val="00CE57A2"/>
    <w:rsid w:val="00CE5C02"/>
    <w:rsid w:val="00CE5D21"/>
    <w:rsid w:val="00CE5D72"/>
    <w:rsid w:val="00CE5DC3"/>
    <w:rsid w:val="00CE6000"/>
    <w:rsid w:val="00CE62C7"/>
    <w:rsid w:val="00CE6334"/>
    <w:rsid w:val="00CE639D"/>
    <w:rsid w:val="00CE6853"/>
    <w:rsid w:val="00CE6B40"/>
    <w:rsid w:val="00CE6EBD"/>
    <w:rsid w:val="00CE73C4"/>
    <w:rsid w:val="00CE7894"/>
    <w:rsid w:val="00CF001D"/>
    <w:rsid w:val="00CF06A1"/>
    <w:rsid w:val="00CF0906"/>
    <w:rsid w:val="00CF1467"/>
    <w:rsid w:val="00CF18E9"/>
    <w:rsid w:val="00CF1B77"/>
    <w:rsid w:val="00CF24F7"/>
    <w:rsid w:val="00CF2645"/>
    <w:rsid w:val="00CF3412"/>
    <w:rsid w:val="00CF34EE"/>
    <w:rsid w:val="00CF3532"/>
    <w:rsid w:val="00CF47E6"/>
    <w:rsid w:val="00CF48D6"/>
    <w:rsid w:val="00CF4D85"/>
    <w:rsid w:val="00CF5551"/>
    <w:rsid w:val="00CF5707"/>
    <w:rsid w:val="00CF57C9"/>
    <w:rsid w:val="00CF57D6"/>
    <w:rsid w:val="00CF5C3F"/>
    <w:rsid w:val="00CF6110"/>
    <w:rsid w:val="00CF6356"/>
    <w:rsid w:val="00CF6C1B"/>
    <w:rsid w:val="00CF72E0"/>
    <w:rsid w:val="00CF75AB"/>
    <w:rsid w:val="00CF7E8B"/>
    <w:rsid w:val="00D0004E"/>
    <w:rsid w:val="00D015CB"/>
    <w:rsid w:val="00D019D5"/>
    <w:rsid w:val="00D02182"/>
    <w:rsid w:val="00D02224"/>
    <w:rsid w:val="00D0272C"/>
    <w:rsid w:val="00D0285A"/>
    <w:rsid w:val="00D02EBF"/>
    <w:rsid w:val="00D02FEC"/>
    <w:rsid w:val="00D03C6B"/>
    <w:rsid w:val="00D03D62"/>
    <w:rsid w:val="00D03E5F"/>
    <w:rsid w:val="00D040FE"/>
    <w:rsid w:val="00D0412E"/>
    <w:rsid w:val="00D043C3"/>
    <w:rsid w:val="00D047A2"/>
    <w:rsid w:val="00D047DE"/>
    <w:rsid w:val="00D04962"/>
    <w:rsid w:val="00D04ED4"/>
    <w:rsid w:val="00D05AA7"/>
    <w:rsid w:val="00D05B28"/>
    <w:rsid w:val="00D05FA0"/>
    <w:rsid w:val="00D06377"/>
    <w:rsid w:val="00D063D0"/>
    <w:rsid w:val="00D068CB"/>
    <w:rsid w:val="00D06EC1"/>
    <w:rsid w:val="00D0728A"/>
    <w:rsid w:val="00D07E57"/>
    <w:rsid w:val="00D1012B"/>
    <w:rsid w:val="00D1029C"/>
    <w:rsid w:val="00D104A3"/>
    <w:rsid w:val="00D1115E"/>
    <w:rsid w:val="00D114A0"/>
    <w:rsid w:val="00D118D5"/>
    <w:rsid w:val="00D12CFF"/>
    <w:rsid w:val="00D12D8A"/>
    <w:rsid w:val="00D12DF6"/>
    <w:rsid w:val="00D1322A"/>
    <w:rsid w:val="00D13999"/>
    <w:rsid w:val="00D139F5"/>
    <w:rsid w:val="00D13A70"/>
    <w:rsid w:val="00D14E89"/>
    <w:rsid w:val="00D14EA4"/>
    <w:rsid w:val="00D1544D"/>
    <w:rsid w:val="00D1594E"/>
    <w:rsid w:val="00D159BF"/>
    <w:rsid w:val="00D162E2"/>
    <w:rsid w:val="00D1668F"/>
    <w:rsid w:val="00D167D0"/>
    <w:rsid w:val="00D168BF"/>
    <w:rsid w:val="00D168FD"/>
    <w:rsid w:val="00D16F64"/>
    <w:rsid w:val="00D17052"/>
    <w:rsid w:val="00D174BE"/>
    <w:rsid w:val="00D17A92"/>
    <w:rsid w:val="00D20268"/>
    <w:rsid w:val="00D20664"/>
    <w:rsid w:val="00D207F2"/>
    <w:rsid w:val="00D212EB"/>
    <w:rsid w:val="00D21F17"/>
    <w:rsid w:val="00D22F05"/>
    <w:rsid w:val="00D230A7"/>
    <w:rsid w:val="00D233DE"/>
    <w:rsid w:val="00D23AC3"/>
    <w:rsid w:val="00D23D4C"/>
    <w:rsid w:val="00D23F8E"/>
    <w:rsid w:val="00D246A4"/>
    <w:rsid w:val="00D2472C"/>
    <w:rsid w:val="00D24BE0"/>
    <w:rsid w:val="00D24DF9"/>
    <w:rsid w:val="00D2533B"/>
    <w:rsid w:val="00D25590"/>
    <w:rsid w:val="00D2685A"/>
    <w:rsid w:val="00D268C3"/>
    <w:rsid w:val="00D26C02"/>
    <w:rsid w:val="00D2756A"/>
    <w:rsid w:val="00D279BA"/>
    <w:rsid w:val="00D27EEC"/>
    <w:rsid w:val="00D30D7A"/>
    <w:rsid w:val="00D310EC"/>
    <w:rsid w:val="00D311EA"/>
    <w:rsid w:val="00D31322"/>
    <w:rsid w:val="00D31835"/>
    <w:rsid w:val="00D31ACE"/>
    <w:rsid w:val="00D31BB1"/>
    <w:rsid w:val="00D31E91"/>
    <w:rsid w:val="00D320D0"/>
    <w:rsid w:val="00D32148"/>
    <w:rsid w:val="00D3217D"/>
    <w:rsid w:val="00D325E1"/>
    <w:rsid w:val="00D3284D"/>
    <w:rsid w:val="00D329F4"/>
    <w:rsid w:val="00D32BD3"/>
    <w:rsid w:val="00D334A4"/>
    <w:rsid w:val="00D334D0"/>
    <w:rsid w:val="00D33BB0"/>
    <w:rsid w:val="00D34303"/>
    <w:rsid w:val="00D34413"/>
    <w:rsid w:val="00D345D3"/>
    <w:rsid w:val="00D34705"/>
    <w:rsid w:val="00D34E7B"/>
    <w:rsid w:val="00D35491"/>
    <w:rsid w:val="00D361BB"/>
    <w:rsid w:val="00D36754"/>
    <w:rsid w:val="00D36A75"/>
    <w:rsid w:val="00D36FE5"/>
    <w:rsid w:val="00D3779A"/>
    <w:rsid w:val="00D37997"/>
    <w:rsid w:val="00D40026"/>
    <w:rsid w:val="00D402C4"/>
    <w:rsid w:val="00D404B5"/>
    <w:rsid w:val="00D40864"/>
    <w:rsid w:val="00D4206C"/>
    <w:rsid w:val="00D422C4"/>
    <w:rsid w:val="00D423C6"/>
    <w:rsid w:val="00D42C56"/>
    <w:rsid w:val="00D43417"/>
    <w:rsid w:val="00D434DB"/>
    <w:rsid w:val="00D43C27"/>
    <w:rsid w:val="00D43D8B"/>
    <w:rsid w:val="00D43F74"/>
    <w:rsid w:val="00D43FDC"/>
    <w:rsid w:val="00D445B9"/>
    <w:rsid w:val="00D447CB"/>
    <w:rsid w:val="00D44943"/>
    <w:rsid w:val="00D449BA"/>
    <w:rsid w:val="00D4545C"/>
    <w:rsid w:val="00D4636F"/>
    <w:rsid w:val="00D46D2B"/>
    <w:rsid w:val="00D475F4"/>
    <w:rsid w:val="00D4790D"/>
    <w:rsid w:val="00D479A0"/>
    <w:rsid w:val="00D47A3B"/>
    <w:rsid w:val="00D47D16"/>
    <w:rsid w:val="00D47E15"/>
    <w:rsid w:val="00D47E6C"/>
    <w:rsid w:val="00D502F0"/>
    <w:rsid w:val="00D5039B"/>
    <w:rsid w:val="00D505F4"/>
    <w:rsid w:val="00D50FF7"/>
    <w:rsid w:val="00D511C9"/>
    <w:rsid w:val="00D518B9"/>
    <w:rsid w:val="00D51CE1"/>
    <w:rsid w:val="00D51EED"/>
    <w:rsid w:val="00D52132"/>
    <w:rsid w:val="00D52695"/>
    <w:rsid w:val="00D5352C"/>
    <w:rsid w:val="00D53E9B"/>
    <w:rsid w:val="00D546B7"/>
    <w:rsid w:val="00D5470D"/>
    <w:rsid w:val="00D54D1C"/>
    <w:rsid w:val="00D54DC4"/>
    <w:rsid w:val="00D55223"/>
    <w:rsid w:val="00D55250"/>
    <w:rsid w:val="00D55369"/>
    <w:rsid w:val="00D5579E"/>
    <w:rsid w:val="00D557F5"/>
    <w:rsid w:val="00D55D76"/>
    <w:rsid w:val="00D562F2"/>
    <w:rsid w:val="00D56386"/>
    <w:rsid w:val="00D567A8"/>
    <w:rsid w:val="00D56955"/>
    <w:rsid w:val="00D56960"/>
    <w:rsid w:val="00D56ABA"/>
    <w:rsid w:val="00D56F5A"/>
    <w:rsid w:val="00D56FE3"/>
    <w:rsid w:val="00D57120"/>
    <w:rsid w:val="00D576A0"/>
    <w:rsid w:val="00D5797C"/>
    <w:rsid w:val="00D57D9E"/>
    <w:rsid w:val="00D60A2A"/>
    <w:rsid w:val="00D60CAA"/>
    <w:rsid w:val="00D61858"/>
    <w:rsid w:val="00D61966"/>
    <w:rsid w:val="00D61B59"/>
    <w:rsid w:val="00D61B8D"/>
    <w:rsid w:val="00D61B93"/>
    <w:rsid w:val="00D62261"/>
    <w:rsid w:val="00D622C8"/>
    <w:rsid w:val="00D62ADB"/>
    <w:rsid w:val="00D62D31"/>
    <w:rsid w:val="00D64721"/>
    <w:rsid w:val="00D651AD"/>
    <w:rsid w:val="00D6580F"/>
    <w:rsid w:val="00D65D87"/>
    <w:rsid w:val="00D66A15"/>
    <w:rsid w:val="00D66EED"/>
    <w:rsid w:val="00D673BA"/>
    <w:rsid w:val="00D67B9E"/>
    <w:rsid w:val="00D67E4A"/>
    <w:rsid w:val="00D70070"/>
    <w:rsid w:val="00D702A6"/>
    <w:rsid w:val="00D704FE"/>
    <w:rsid w:val="00D71D0B"/>
    <w:rsid w:val="00D72560"/>
    <w:rsid w:val="00D72E74"/>
    <w:rsid w:val="00D73229"/>
    <w:rsid w:val="00D732AA"/>
    <w:rsid w:val="00D73C01"/>
    <w:rsid w:val="00D74164"/>
    <w:rsid w:val="00D74181"/>
    <w:rsid w:val="00D74357"/>
    <w:rsid w:val="00D7517E"/>
    <w:rsid w:val="00D759AC"/>
    <w:rsid w:val="00D75A2B"/>
    <w:rsid w:val="00D7616B"/>
    <w:rsid w:val="00D761BF"/>
    <w:rsid w:val="00D76236"/>
    <w:rsid w:val="00D763FD"/>
    <w:rsid w:val="00D766FD"/>
    <w:rsid w:val="00D7670F"/>
    <w:rsid w:val="00D76AB5"/>
    <w:rsid w:val="00D76DB6"/>
    <w:rsid w:val="00D76F89"/>
    <w:rsid w:val="00D80C31"/>
    <w:rsid w:val="00D80DD2"/>
    <w:rsid w:val="00D81A7A"/>
    <w:rsid w:val="00D8270F"/>
    <w:rsid w:val="00D82DA0"/>
    <w:rsid w:val="00D82FBA"/>
    <w:rsid w:val="00D83672"/>
    <w:rsid w:val="00D8383C"/>
    <w:rsid w:val="00D84461"/>
    <w:rsid w:val="00D845E2"/>
    <w:rsid w:val="00D84691"/>
    <w:rsid w:val="00D84738"/>
    <w:rsid w:val="00D84D3A"/>
    <w:rsid w:val="00D84D63"/>
    <w:rsid w:val="00D84E00"/>
    <w:rsid w:val="00D856E8"/>
    <w:rsid w:val="00D858C5"/>
    <w:rsid w:val="00D860A6"/>
    <w:rsid w:val="00D862FF"/>
    <w:rsid w:val="00D86663"/>
    <w:rsid w:val="00D8670D"/>
    <w:rsid w:val="00D86888"/>
    <w:rsid w:val="00D86F7D"/>
    <w:rsid w:val="00D86FEE"/>
    <w:rsid w:val="00D870B7"/>
    <w:rsid w:val="00D87B36"/>
    <w:rsid w:val="00D87EEB"/>
    <w:rsid w:val="00D9045F"/>
    <w:rsid w:val="00D90AD1"/>
    <w:rsid w:val="00D90CE4"/>
    <w:rsid w:val="00D91171"/>
    <w:rsid w:val="00D912C0"/>
    <w:rsid w:val="00D91365"/>
    <w:rsid w:val="00D915F6"/>
    <w:rsid w:val="00D917F2"/>
    <w:rsid w:val="00D91E92"/>
    <w:rsid w:val="00D91FD9"/>
    <w:rsid w:val="00D92622"/>
    <w:rsid w:val="00D92896"/>
    <w:rsid w:val="00D92B54"/>
    <w:rsid w:val="00D93792"/>
    <w:rsid w:val="00D941F7"/>
    <w:rsid w:val="00D942B8"/>
    <w:rsid w:val="00D948FA"/>
    <w:rsid w:val="00D9512D"/>
    <w:rsid w:val="00D95547"/>
    <w:rsid w:val="00D9583E"/>
    <w:rsid w:val="00D95EA7"/>
    <w:rsid w:val="00D96D3D"/>
    <w:rsid w:val="00D9702F"/>
    <w:rsid w:val="00D9704A"/>
    <w:rsid w:val="00D97409"/>
    <w:rsid w:val="00D9769A"/>
    <w:rsid w:val="00D97D97"/>
    <w:rsid w:val="00D97EC6"/>
    <w:rsid w:val="00DA047F"/>
    <w:rsid w:val="00DA069D"/>
    <w:rsid w:val="00DA07A5"/>
    <w:rsid w:val="00DA08B2"/>
    <w:rsid w:val="00DA0E88"/>
    <w:rsid w:val="00DA107F"/>
    <w:rsid w:val="00DA1384"/>
    <w:rsid w:val="00DA13CF"/>
    <w:rsid w:val="00DA1492"/>
    <w:rsid w:val="00DA1565"/>
    <w:rsid w:val="00DA1E08"/>
    <w:rsid w:val="00DA20AB"/>
    <w:rsid w:val="00DA2210"/>
    <w:rsid w:val="00DA2388"/>
    <w:rsid w:val="00DA23E0"/>
    <w:rsid w:val="00DA2510"/>
    <w:rsid w:val="00DA26C3"/>
    <w:rsid w:val="00DA2D5D"/>
    <w:rsid w:val="00DA2EC6"/>
    <w:rsid w:val="00DA352B"/>
    <w:rsid w:val="00DA3F2E"/>
    <w:rsid w:val="00DA45B8"/>
    <w:rsid w:val="00DA4B81"/>
    <w:rsid w:val="00DA4DDF"/>
    <w:rsid w:val="00DA57E3"/>
    <w:rsid w:val="00DA5BD5"/>
    <w:rsid w:val="00DA5F67"/>
    <w:rsid w:val="00DA6081"/>
    <w:rsid w:val="00DA66ED"/>
    <w:rsid w:val="00DB0804"/>
    <w:rsid w:val="00DB0891"/>
    <w:rsid w:val="00DB0EC0"/>
    <w:rsid w:val="00DB1069"/>
    <w:rsid w:val="00DB18D6"/>
    <w:rsid w:val="00DB1B11"/>
    <w:rsid w:val="00DB1C2E"/>
    <w:rsid w:val="00DB1D21"/>
    <w:rsid w:val="00DB2041"/>
    <w:rsid w:val="00DB23D6"/>
    <w:rsid w:val="00DB2CF8"/>
    <w:rsid w:val="00DB2FC4"/>
    <w:rsid w:val="00DB3557"/>
    <w:rsid w:val="00DB3A88"/>
    <w:rsid w:val="00DB3BD4"/>
    <w:rsid w:val="00DB4020"/>
    <w:rsid w:val="00DB40AD"/>
    <w:rsid w:val="00DB482D"/>
    <w:rsid w:val="00DB48E2"/>
    <w:rsid w:val="00DB5026"/>
    <w:rsid w:val="00DB52BF"/>
    <w:rsid w:val="00DB532C"/>
    <w:rsid w:val="00DB5BED"/>
    <w:rsid w:val="00DB5D08"/>
    <w:rsid w:val="00DB5ED6"/>
    <w:rsid w:val="00DB68DF"/>
    <w:rsid w:val="00DB6ED6"/>
    <w:rsid w:val="00DB6F39"/>
    <w:rsid w:val="00DB7317"/>
    <w:rsid w:val="00DB7F5A"/>
    <w:rsid w:val="00DC0BE0"/>
    <w:rsid w:val="00DC13B4"/>
    <w:rsid w:val="00DC1654"/>
    <w:rsid w:val="00DC1C0B"/>
    <w:rsid w:val="00DC1D98"/>
    <w:rsid w:val="00DC1FE0"/>
    <w:rsid w:val="00DC2AAC"/>
    <w:rsid w:val="00DC2C35"/>
    <w:rsid w:val="00DC366B"/>
    <w:rsid w:val="00DC382A"/>
    <w:rsid w:val="00DC44BA"/>
    <w:rsid w:val="00DC4955"/>
    <w:rsid w:val="00DC4FF3"/>
    <w:rsid w:val="00DC54F0"/>
    <w:rsid w:val="00DC6189"/>
    <w:rsid w:val="00DC6334"/>
    <w:rsid w:val="00DC6424"/>
    <w:rsid w:val="00DC64D5"/>
    <w:rsid w:val="00DC6716"/>
    <w:rsid w:val="00DC6844"/>
    <w:rsid w:val="00DC6B49"/>
    <w:rsid w:val="00DC70D5"/>
    <w:rsid w:val="00DC75A2"/>
    <w:rsid w:val="00DC776B"/>
    <w:rsid w:val="00DC7F72"/>
    <w:rsid w:val="00DD004C"/>
    <w:rsid w:val="00DD0512"/>
    <w:rsid w:val="00DD0B22"/>
    <w:rsid w:val="00DD0C58"/>
    <w:rsid w:val="00DD1A72"/>
    <w:rsid w:val="00DD1E04"/>
    <w:rsid w:val="00DD2C87"/>
    <w:rsid w:val="00DD2F2E"/>
    <w:rsid w:val="00DD2F99"/>
    <w:rsid w:val="00DD337C"/>
    <w:rsid w:val="00DD37F2"/>
    <w:rsid w:val="00DD4128"/>
    <w:rsid w:val="00DD48BA"/>
    <w:rsid w:val="00DD51B4"/>
    <w:rsid w:val="00DD5216"/>
    <w:rsid w:val="00DD5382"/>
    <w:rsid w:val="00DD54E7"/>
    <w:rsid w:val="00DD5947"/>
    <w:rsid w:val="00DD60A9"/>
    <w:rsid w:val="00DD6254"/>
    <w:rsid w:val="00DD6B51"/>
    <w:rsid w:val="00DD6CE5"/>
    <w:rsid w:val="00DD6D5A"/>
    <w:rsid w:val="00DD73FA"/>
    <w:rsid w:val="00DE0018"/>
    <w:rsid w:val="00DE09ED"/>
    <w:rsid w:val="00DE0ABB"/>
    <w:rsid w:val="00DE0DA7"/>
    <w:rsid w:val="00DE0DF8"/>
    <w:rsid w:val="00DE1012"/>
    <w:rsid w:val="00DE1075"/>
    <w:rsid w:val="00DE14CC"/>
    <w:rsid w:val="00DE15E9"/>
    <w:rsid w:val="00DE1828"/>
    <w:rsid w:val="00DE1923"/>
    <w:rsid w:val="00DE1AFD"/>
    <w:rsid w:val="00DE1BD5"/>
    <w:rsid w:val="00DE1D08"/>
    <w:rsid w:val="00DE1D56"/>
    <w:rsid w:val="00DE1FC0"/>
    <w:rsid w:val="00DE22B5"/>
    <w:rsid w:val="00DE235E"/>
    <w:rsid w:val="00DE29A2"/>
    <w:rsid w:val="00DE2B33"/>
    <w:rsid w:val="00DE2BA4"/>
    <w:rsid w:val="00DE2C80"/>
    <w:rsid w:val="00DE3561"/>
    <w:rsid w:val="00DE360C"/>
    <w:rsid w:val="00DE3988"/>
    <w:rsid w:val="00DE3E4D"/>
    <w:rsid w:val="00DE3FA2"/>
    <w:rsid w:val="00DE4131"/>
    <w:rsid w:val="00DE433C"/>
    <w:rsid w:val="00DE434C"/>
    <w:rsid w:val="00DE4532"/>
    <w:rsid w:val="00DE49CF"/>
    <w:rsid w:val="00DE506E"/>
    <w:rsid w:val="00DE5536"/>
    <w:rsid w:val="00DE55AE"/>
    <w:rsid w:val="00DE5AA1"/>
    <w:rsid w:val="00DE5C2D"/>
    <w:rsid w:val="00DE5CC7"/>
    <w:rsid w:val="00DE61D1"/>
    <w:rsid w:val="00DE638B"/>
    <w:rsid w:val="00DE65C9"/>
    <w:rsid w:val="00DE6919"/>
    <w:rsid w:val="00DE6DB6"/>
    <w:rsid w:val="00DE72EE"/>
    <w:rsid w:val="00DE7481"/>
    <w:rsid w:val="00DE75BE"/>
    <w:rsid w:val="00DE7E67"/>
    <w:rsid w:val="00DF050C"/>
    <w:rsid w:val="00DF07D2"/>
    <w:rsid w:val="00DF0AA0"/>
    <w:rsid w:val="00DF0ADF"/>
    <w:rsid w:val="00DF0B03"/>
    <w:rsid w:val="00DF0FFD"/>
    <w:rsid w:val="00DF23CF"/>
    <w:rsid w:val="00DF26B7"/>
    <w:rsid w:val="00DF29E7"/>
    <w:rsid w:val="00DF2BC4"/>
    <w:rsid w:val="00DF2C7F"/>
    <w:rsid w:val="00DF37E5"/>
    <w:rsid w:val="00DF3895"/>
    <w:rsid w:val="00DF4208"/>
    <w:rsid w:val="00DF42C4"/>
    <w:rsid w:val="00DF51AE"/>
    <w:rsid w:val="00DF558C"/>
    <w:rsid w:val="00DF5923"/>
    <w:rsid w:val="00DF6C06"/>
    <w:rsid w:val="00DF6EA2"/>
    <w:rsid w:val="00DF71DE"/>
    <w:rsid w:val="00DF7305"/>
    <w:rsid w:val="00DF7555"/>
    <w:rsid w:val="00DF7603"/>
    <w:rsid w:val="00DF77A5"/>
    <w:rsid w:val="00E0048E"/>
    <w:rsid w:val="00E004B8"/>
    <w:rsid w:val="00E009F0"/>
    <w:rsid w:val="00E01AF7"/>
    <w:rsid w:val="00E01D70"/>
    <w:rsid w:val="00E0265F"/>
    <w:rsid w:val="00E034FE"/>
    <w:rsid w:val="00E03709"/>
    <w:rsid w:val="00E0397B"/>
    <w:rsid w:val="00E03C4D"/>
    <w:rsid w:val="00E041E5"/>
    <w:rsid w:val="00E04287"/>
    <w:rsid w:val="00E04812"/>
    <w:rsid w:val="00E04888"/>
    <w:rsid w:val="00E04DEF"/>
    <w:rsid w:val="00E0525D"/>
    <w:rsid w:val="00E053DD"/>
    <w:rsid w:val="00E05F1B"/>
    <w:rsid w:val="00E06383"/>
    <w:rsid w:val="00E0639F"/>
    <w:rsid w:val="00E0696D"/>
    <w:rsid w:val="00E06D0B"/>
    <w:rsid w:val="00E07530"/>
    <w:rsid w:val="00E0763B"/>
    <w:rsid w:val="00E0796A"/>
    <w:rsid w:val="00E07CAC"/>
    <w:rsid w:val="00E10302"/>
    <w:rsid w:val="00E107D9"/>
    <w:rsid w:val="00E10F33"/>
    <w:rsid w:val="00E11380"/>
    <w:rsid w:val="00E118E6"/>
    <w:rsid w:val="00E1195F"/>
    <w:rsid w:val="00E11DCF"/>
    <w:rsid w:val="00E11E76"/>
    <w:rsid w:val="00E1223F"/>
    <w:rsid w:val="00E1258A"/>
    <w:rsid w:val="00E129AB"/>
    <w:rsid w:val="00E12E6D"/>
    <w:rsid w:val="00E133A7"/>
    <w:rsid w:val="00E133D1"/>
    <w:rsid w:val="00E13A49"/>
    <w:rsid w:val="00E13D25"/>
    <w:rsid w:val="00E15096"/>
    <w:rsid w:val="00E1651D"/>
    <w:rsid w:val="00E16AEA"/>
    <w:rsid w:val="00E16C0E"/>
    <w:rsid w:val="00E16C82"/>
    <w:rsid w:val="00E17EC5"/>
    <w:rsid w:val="00E2009D"/>
    <w:rsid w:val="00E20155"/>
    <w:rsid w:val="00E203B0"/>
    <w:rsid w:val="00E2074D"/>
    <w:rsid w:val="00E208B6"/>
    <w:rsid w:val="00E209FB"/>
    <w:rsid w:val="00E20ADE"/>
    <w:rsid w:val="00E2124E"/>
    <w:rsid w:val="00E21AD1"/>
    <w:rsid w:val="00E21B7B"/>
    <w:rsid w:val="00E21CD2"/>
    <w:rsid w:val="00E21F2D"/>
    <w:rsid w:val="00E23147"/>
    <w:rsid w:val="00E23381"/>
    <w:rsid w:val="00E23FD8"/>
    <w:rsid w:val="00E241BE"/>
    <w:rsid w:val="00E2471F"/>
    <w:rsid w:val="00E24EC1"/>
    <w:rsid w:val="00E255DF"/>
    <w:rsid w:val="00E262E0"/>
    <w:rsid w:val="00E26545"/>
    <w:rsid w:val="00E26A41"/>
    <w:rsid w:val="00E26BFD"/>
    <w:rsid w:val="00E26C55"/>
    <w:rsid w:val="00E26E5C"/>
    <w:rsid w:val="00E2727A"/>
    <w:rsid w:val="00E27E90"/>
    <w:rsid w:val="00E30136"/>
    <w:rsid w:val="00E301F2"/>
    <w:rsid w:val="00E30D8A"/>
    <w:rsid w:val="00E32077"/>
    <w:rsid w:val="00E326BF"/>
    <w:rsid w:val="00E328A7"/>
    <w:rsid w:val="00E32A4F"/>
    <w:rsid w:val="00E32CB9"/>
    <w:rsid w:val="00E32CBA"/>
    <w:rsid w:val="00E32CF3"/>
    <w:rsid w:val="00E32E5A"/>
    <w:rsid w:val="00E3307F"/>
    <w:rsid w:val="00E332B4"/>
    <w:rsid w:val="00E33601"/>
    <w:rsid w:val="00E336AB"/>
    <w:rsid w:val="00E336C8"/>
    <w:rsid w:val="00E336EA"/>
    <w:rsid w:val="00E337B6"/>
    <w:rsid w:val="00E33C83"/>
    <w:rsid w:val="00E33D02"/>
    <w:rsid w:val="00E34970"/>
    <w:rsid w:val="00E34F2C"/>
    <w:rsid w:val="00E34FAD"/>
    <w:rsid w:val="00E35AC2"/>
    <w:rsid w:val="00E35D2F"/>
    <w:rsid w:val="00E35D79"/>
    <w:rsid w:val="00E35E6A"/>
    <w:rsid w:val="00E36496"/>
    <w:rsid w:val="00E36A2A"/>
    <w:rsid w:val="00E3724A"/>
    <w:rsid w:val="00E3743D"/>
    <w:rsid w:val="00E37ED0"/>
    <w:rsid w:val="00E40316"/>
    <w:rsid w:val="00E40603"/>
    <w:rsid w:val="00E40D9B"/>
    <w:rsid w:val="00E41DF3"/>
    <w:rsid w:val="00E42138"/>
    <w:rsid w:val="00E42314"/>
    <w:rsid w:val="00E42A4B"/>
    <w:rsid w:val="00E42F7E"/>
    <w:rsid w:val="00E434AD"/>
    <w:rsid w:val="00E434DE"/>
    <w:rsid w:val="00E4350E"/>
    <w:rsid w:val="00E43707"/>
    <w:rsid w:val="00E43D07"/>
    <w:rsid w:val="00E44202"/>
    <w:rsid w:val="00E44235"/>
    <w:rsid w:val="00E443C2"/>
    <w:rsid w:val="00E44596"/>
    <w:rsid w:val="00E44735"/>
    <w:rsid w:val="00E44E46"/>
    <w:rsid w:val="00E45DB9"/>
    <w:rsid w:val="00E45FB3"/>
    <w:rsid w:val="00E4641E"/>
    <w:rsid w:val="00E469DA"/>
    <w:rsid w:val="00E475DC"/>
    <w:rsid w:val="00E47747"/>
    <w:rsid w:val="00E47D19"/>
    <w:rsid w:val="00E501FE"/>
    <w:rsid w:val="00E50BC7"/>
    <w:rsid w:val="00E50F86"/>
    <w:rsid w:val="00E519AE"/>
    <w:rsid w:val="00E51CCC"/>
    <w:rsid w:val="00E52175"/>
    <w:rsid w:val="00E523CE"/>
    <w:rsid w:val="00E527AD"/>
    <w:rsid w:val="00E52A45"/>
    <w:rsid w:val="00E52D27"/>
    <w:rsid w:val="00E53100"/>
    <w:rsid w:val="00E532BD"/>
    <w:rsid w:val="00E5365F"/>
    <w:rsid w:val="00E53B63"/>
    <w:rsid w:val="00E53B84"/>
    <w:rsid w:val="00E53E1B"/>
    <w:rsid w:val="00E54B8B"/>
    <w:rsid w:val="00E54B92"/>
    <w:rsid w:val="00E5521A"/>
    <w:rsid w:val="00E55C3E"/>
    <w:rsid w:val="00E55C5B"/>
    <w:rsid w:val="00E560DE"/>
    <w:rsid w:val="00E56149"/>
    <w:rsid w:val="00E561B7"/>
    <w:rsid w:val="00E5629D"/>
    <w:rsid w:val="00E563A8"/>
    <w:rsid w:val="00E56918"/>
    <w:rsid w:val="00E56D9E"/>
    <w:rsid w:val="00E570F4"/>
    <w:rsid w:val="00E578EF"/>
    <w:rsid w:val="00E57AF7"/>
    <w:rsid w:val="00E57B0E"/>
    <w:rsid w:val="00E57B2F"/>
    <w:rsid w:val="00E57CBE"/>
    <w:rsid w:val="00E57F60"/>
    <w:rsid w:val="00E57F97"/>
    <w:rsid w:val="00E602FF"/>
    <w:rsid w:val="00E603CE"/>
    <w:rsid w:val="00E6085A"/>
    <w:rsid w:val="00E6105E"/>
    <w:rsid w:val="00E610E8"/>
    <w:rsid w:val="00E6135A"/>
    <w:rsid w:val="00E6155D"/>
    <w:rsid w:val="00E6166A"/>
    <w:rsid w:val="00E61717"/>
    <w:rsid w:val="00E61A8C"/>
    <w:rsid w:val="00E61EEC"/>
    <w:rsid w:val="00E6241B"/>
    <w:rsid w:val="00E6338A"/>
    <w:rsid w:val="00E63554"/>
    <w:rsid w:val="00E6419A"/>
    <w:rsid w:val="00E641BA"/>
    <w:rsid w:val="00E6455F"/>
    <w:rsid w:val="00E645DC"/>
    <w:rsid w:val="00E64628"/>
    <w:rsid w:val="00E649DB"/>
    <w:rsid w:val="00E64FCC"/>
    <w:rsid w:val="00E64FD7"/>
    <w:rsid w:val="00E65196"/>
    <w:rsid w:val="00E65853"/>
    <w:rsid w:val="00E65CEC"/>
    <w:rsid w:val="00E65F7E"/>
    <w:rsid w:val="00E66085"/>
    <w:rsid w:val="00E6637C"/>
    <w:rsid w:val="00E66782"/>
    <w:rsid w:val="00E670AC"/>
    <w:rsid w:val="00E67173"/>
    <w:rsid w:val="00E67492"/>
    <w:rsid w:val="00E67B57"/>
    <w:rsid w:val="00E703B6"/>
    <w:rsid w:val="00E70AA1"/>
    <w:rsid w:val="00E70C04"/>
    <w:rsid w:val="00E7190F"/>
    <w:rsid w:val="00E71F15"/>
    <w:rsid w:val="00E72200"/>
    <w:rsid w:val="00E7247F"/>
    <w:rsid w:val="00E724B8"/>
    <w:rsid w:val="00E7262D"/>
    <w:rsid w:val="00E72B1B"/>
    <w:rsid w:val="00E72BD5"/>
    <w:rsid w:val="00E72C0C"/>
    <w:rsid w:val="00E72DD5"/>
    <w:rsid w:val="00E72ECD"/>
    <w:rsid w:val="00E731DC"/>
    <w:rsid w:val="00E73207"/>
    <w:rsid w:val="00E735F8"/>
    <w:rsid w:val="00E73E22"/>
    <w:rsid w:val="00E73F53"/>
    <w:rsid w:val="00E74A5D"/>
    <w:rsid w:val="00E74D26"/>
    <w:rsid w:val="00E75198"/>
    <w:rsid w:val="00E75C9B"/>
    <w:rsid w:val="00E75D47"/>
    <w:rsid w:val="00E75E00"/>
    <w:rsid w:val="00E75E4D"/>
    <w:rsid w:val="00E763BF"/>
    <w:rsid w:val="00E76573"/>
    <w:rsid w:val="00E766F5"/>
    <w:rsid w:val="00E76932"/>
    <w:rsid w:val="00E76B24"/>
    <w:rsid w:val="00E76E5C"/>
    <w:rsid w:val="00E770AE"/>
    <w:rsid w:val="00E7748F"/>
    <w:rsid w:val="00E77A28"/>
    <w:rsid w:val="00E77F0E"/>
    <w:rsid w:val="00E808A3"/>
    <w:rsid w:val="00E80EDF"/>
    <w:rsid w:val="00E80FC3"/>
    <w:rsid w:val="00E8145D"/>
    <w:rsid w:val="00E82948"/>
    <w:rsid w:val="00E82B28"/>
    <w:rsid w:val="00E82CCA"/>
    <w:rsid w:val="00E82F9C"/>
    <w:rsid w:val="00E83073"/>
    <w:rsid w:val="00E83206"/>
    <w:rsid w:val="00E83906"/>
    <w:rsid w:val="00E83928"/>
    <w:rsid w:val="00E848FB"/>
    <w:rsid w:val="00E84A0E"/>
    <w:rsid w:val="00E84FA1"/>
    <w:rsid w:val="00E85255"/>
    <w:rsid w:val="00E85AC3"/>
    <w:rsid w:val="00E85B8B"/>
    <w:rsid w:val="00E85C75"/>
    <w:rsid w:val="00E85E65"/>
    <w:rsid w:val="00E86A8F"/>
    <w:rsid w:val="00E86C86"/>
    <w:rsid w:val="00E87333"/>
    <w:rsid w:val="00E873D0"/>
    <w:rsid w:val="00E87A46"/>
    <w:rsid w:val="00E87FB0"/>
    <w:rsid w:val="00E9013A"/>
    <w:rsid w:val="00E90218"/>
    <w:rsid w:val="00E913BB"/>
    <w:rsid w:val="00E916D6"/>
    <w:rsid w:val="00E9184A"/>
    <w:rsid w:val="00E91952"/>
    <w:rsid w:val="00E91DB5"/>
    <w:rsid w:val="00E92708"/>
    <w:rsid w:val="00E93170"/>
    <w:rsid w:val="00E931A9"/>
    <w:rsid w:val="00E947D2"/>
    <w:rsid w:val="00E948E0"/>
    <w:rsid w:val="00E948E3"/>
    <w:rsid w:val="00E94B1C"/>
    <w:rsid w:val="00E94C21"/>
    <w:rsid w:val="00E94FAD"/>
    <w:rsid w:val="00E95A35"/>
    <w:rsid w:val="00E95A94"/>
    <w:rsid w:val="00E95F2E"/>
    <w:rsid w:val="00E96213"/>
    <w:rsid w:val="00E96388"/>
    <w:rsid w:val="00E96A23"/>
    <w:rsid w:val="00E96DF6"/>
    <w:rsid w:val="00E97177"/>
    <w:rsid w:val="00E9792E"/>
    <w:rsid w:val="00E97DC3"/>
    <w:rsid w:val="00EA0137"/>
    <w:rsid w:val="00EA0235"/>
    <w:rsid w:val="00EA06A5"/>
    <w:rsid w:val="00EA0834"/>
    <w:rsid w:val="00EA08E7"/>
    <w:rsid w:val="00EA0D70"/>
    <w:rsid w:val="00EA109C"/>
    <w:rsid w:val="00EA1113"/>
    <w:rsid w:val="00EA1508"/>
    <w:rsid w:val="00EA1541"/>
    <w:rsid w:val="00EA1988"/>
    <w:rsid w:val="00EA1A5D"/>
    <w:rsid w:val="00EA29F4"/>
    <w:rsid w:val="00EA2B78"/>
    <w:rsid w:val="00EA2C8D"/>
    <w:rsid w:val="00EA2FB5"/>
    <w:rsid w:val="00EA3189"/>
    <w:rsid w:val="00EA32E4"/>
    <w:rsid w:val="00EA3404"/>
    <w:rsid w:val="00EA3630"/>
    <w:rsid w:val="00EA3C0D"/>
    <w:rsid w:val="00EA3D71"/>
    <w:rsid w:val="00EA4618"/>
    <w:rsid w:val="00EA484F"/>
    <w:rsid w:val="00EA4E37"/>
    <w:rsid w:val="00EA55EF"/>
    <w:rsid w:val="00EA59DF"/>
    <w:rsid w:val="00EA6859"/>
    <w:rsid w:val="00EA6C3B"/>
    <w:rsid w:val="00EA6E55"/>
    <w:rsid w:val="00EA71A7"/>
    <w:rsid w:val="00EA7B73"/>
    <w:rsid w:val="00EA7E36"/>
    <w:rsid w:val="00EB0335"/>
    <w:rsid w:val="00EB0650"/>
    <w:rsid w:val="00EB0898"/>
    <w:rsid w:val="00EB0AC1"/>
    <w:rsid w:val="00EB0CF4"/>
    <w:rsid w:val="00EB119E"/>
    <w:rsid w:val="00EB1957"/>
    <w:rsid w:val="00EB19B7"/>
    <w:rsid w:val="00EB1D27"/>
    <w:rsid w:val="00EB1E9C"/>
    <w:rsid w:val="00EB22CA"/>
    <w:rsid w:val="00EB24A7"/>
    <w:rsid w:val="00EB24CF"/>
    <w:rsid w:val="00EB2591"/>
    <w:rsid w:val="00EB2C4C"/>
    <w:rsid w:val="00EB315D"/>
    <w:rsid w:val="00EB35DF"/>
    <w:rsid w:val="00EB36F5"/>
    <w:rsid w:val="00EB47C1"/>
    <w:rsid w:val="00EB49B9"/>
    <w:rsid w:val="00EB4EA0"/>
    <w:rsid w:val="00EB51EB"/>
    <w:rsid w:val="00EB5BEB"/>
    <w:rsid w:val="00EB5CEF"/>
    <w:rsid w:val="00EB5F7D"/>
    <w:rsid w:val="00EB6239"/>
    <w:rsid w:val="00EB627B"/>
    <w:rsid w:val="00EB6906"/>
    <w:rsid w:val="00EB6AB1"/>
    <w:rsid w:val="00EB6D94"/>
    <w:rsid w:val="00EB7206"/>
    <w:rsid w:val="00EB7815"/>
    <w:rsid w:val="00EB7C4B"/>
    <w:rsid w:val="00EB7DDF"/>
    <w:rsid w:val="00EC05E6"/>
    <w:rsid w:val="00EC0724"/>
    <w:rsid w:val="00EC07D7"/>
    <w:rsid w:val="00EC0880"/>
    <w:rsid w:val="00EC0DC0"/>
    <w:rsid w:val="00EC17EA"/>
    <w:rsid w:val="00EC206D"/>
    <w:rsid w:val="00EC2098"/>
    <w:rsid w:val="00EC27E5"/>
    <w:rsid w:val="00EC281E"/>
    <w:rsid w:val="00EC4183"/>
    <w:rsid w:val="00EC4EA2"/>
    <w:rsid w:val="00EC53AA"/>
    <w:rsid w:val="00EC575F"/>
    <w:rsid w:val="00EC5950"/>
    <w:rsid w:val="00EC59EE"/>
    <w:rsid w:val="00EC5F32"/>
    <w:rsid w:val="00EC61A4"/>
    <w:rsid w:val="00EC6468"/>
    <w:rsid w:val="00EC653F"/>
    <w:rsid w:val="00EC656E"/>
    <w:rsid w:val="00EC6570"/>
    <w:rsid w:val="00EC6708"/>
    <w:rsid w:val="00EC68CC"/>
    <w:rsid w:val="00EC6E20"/>
    <w:rsid w:val="00EC7248"/>
    <w:rsid w:val="00EC7394"/>
    <w:rsid w:val="00EC74BE"/>
    <w:rsid w:val="00EC7A32"/>
    <w:rsid w:val="00ED02B3"/>
    <w:rsid w:val="00ED0361"/>
    <w:rsid w:val="00ED086A"/>
    <w:rsid w:val="00ED0D7F"/>
    <w:rsid w:val="00ED12E5"/>
    <w:rsid w:val="00ED1670"/>
    <w:rsid w:val="00ED1A98"/>
    <w:rsid w:val="00ED1CB6"/>
    <w:rsid w:val="00ED207C"/>
    <w:rsid w:val="00ED21BF"/>
    <w:rsid w:val="00ED2461"/>
    <w:rsid w:val="00ED24CB"/>
    <w:rsid w:val="00ED2D30"/>
    <w:rsid w:val="00ED2F16"/>
    <w:rsid w:val="00ED325A"/>
    <w:rsid w:val="00ED38A4"/>
    <w:rsid w:val="00ED3D76"/>
    <w:rsid w:val="00ED3E67"/>
    <w:rsid w:val="00ED3EA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286"/>
    <w:rsid w:val="00EE13CF"/>
    <w:rsid w:val="00EE1847"/>
    <w:rsid w:val="00EE240E"/>
    <w:rsid w:val="00EE2560"/>
    <w:rsid w:val="00EE3092"/>
    <w:rsid w:val="00EE329E"/>
    <w:rsid w:val="00EE3421"/>
    <w:rsid w:val="00EE3546"/>
    <w:rsid w:val="00EE44CE"/>
    <w:rsid w:val="00EE47AE"/>
    <w:rsid w:val="00EE544C"/>
    <w:rsid w:val="00EE5654"/>
    <w:rsid w:val="00EE5655"/>
    <w:rsid w:val="00EE6308"/>
    <w:rsid w:val="00EE66C0"/>
    <w:rsid w:val="00EE688E"/>
    <w:rsid w:val="00EE6A6D"/>
    <w:rsid w:val="00EE6AA2"/>
    <w:rsid w:val="00EE7276"/>
    <w:rsid w:val="00EE7659"/>
    <w:rsid w:val="00EF034B"/>
    <w:rsid w:val="00EF03E2"/>
    <w:rsid w:val="00EF0B24"/>
    <w:rsid w:val="00EF0B67"/>
    <w:rsid w:val="00EF0DE1"/>
    <w:rsid w:val="00EF141D"/>
    <w:rsid w:val="00EF14DC"/>
    <w:rsid w:val="00EF171E"/>
    <w:rsid w:val="00EF1ADE"/>
    <w:rsid w:val="00EF1B85"/>
    <w:rsid w:val="00EF1C5A"/>
    <w:rsid w:val="00EF1D4E"/>
    <w:rsid w:val="00EF270E"/>
    <w:rsid w:val="00EF359F"/>
    <w:rsid w:val="00EF371A"/>
    <w:rsid w:val="00EF37D0"/>
    <w:rsid w:val="00EF39B8"/>
    <w:rsid w:val="00EF3A19"/>
    <w:rsid w:val="00EF43CE"/>
    <w:rsid w:val="00EF4C92"/>
    <w:rsid w:val="00EF4E55"/>
    <w:rsid w:val="00EF58DD"/>
    <w:rsid w:val="00EF5931"/>
    <w:rsid w:val="00EF6EA7"/>
    <w:rsid w:val="00EF7069"/>
    <w:rsid w:val="00EF77AF"/>
    <w:rsid w:val="00EF7F8B"/>
    <w:rsid w:val="00F0002B"/>
    <w:rsid w:val="00F00120"/>
    <w:rsid w:val="00F00BC0"/>
    <w:rsid w:val="00F00FBF"/>
    <w:rsid w:val="00F01146"/>
    <w:rsid w:val="00F01384"/>
    <w:rsid w:val="00F0153C"/>
    <w:rsid w:val="00F01C81"/>
    <w:rsid w:val="00F02115"/>
    <w:rsid w:val="00F02541"/>
    <w:rsid w:val="00F025FC"/>
    <w:rsid w:val="00F02AE7"/>
    <w:rsid w:val="00F02CBA"/>
    <w:rsid w:val="00F02DFC"/>
    <w:rsid w:val="00F0300F"/>
    <w:rsid w:val="00F032E6"/>
    <w:rsid w:val="00F03814"/>
    <w:rsid w:val="00F03A41"/>
    <w:rsid w:val="00F03BBA"/>
    <w:rsid w:val="00F03C69"/>
    <w:rsid w:val="00F03D11"/>
    <w:rsid w:val="00F04489"/>
    <w:rsid w:val="00F04693"/>
    <w:rsid w:val="00F04B5E"/>
    <w:rsid w:val="00F05298"/>
    <w:rsid w:val="00F05E71"/>
    <w:rsid w:val="00F063A5"/>
    <w:rsid w:val="00F065DE"/>
    <w:rsid w:val="00F066B1"/>
    <w:rsid w:val="00F07A09"/>
    <w:rsid w:val="00F10B88"/>
    <w:rsid w:val="00F11178"/>
    <w:rsid w:val="00F1193C"/>
    <w:rsid w:val="00F11EC1"/>
    <w:rsid w:val="00F12934"/>
    <w:rsid w:val="00F12B49"/>
    <w:rsid w:val="00F12DD6"/>
    <w:rsid w:val="00F12E4F"/>
    <w:rsid w:val="00F1390C"/>
    <w:rsid w:val="00F13E69"/>
    <w:rsid w:val="00F145E4"/>
    <w:rsid w:val="00F14D98"/>
    <w:rsid w:val="00F14F2E"/>
    <w:rsid w:val="00F159C1"/>
    <w:rsid w:val="00F15C7D"/>
    <w:rsid w:val="00F15FBD"/>
    <w:rsid w:val="00F16662"/>
    <w:rsid w:val="00F1677B"/>
    <w:rsid w:val="00F16899"/>
    <w:rsid w:val="00F16A12"/>
    <w:rsid w:val="00F16E95"/>
    <w:rsid w:val="00F17123"/>
    <w:rsid w:val="00F17464"/>
    <w:rsid w:val="00F175A3"/>
    <w:rsid w:val="00F17A9E"/>
    <w:rsid w:val="00F17FC9"/>
    <w:rsid w:val="00F20C5E"/>
    <w:rsid w:val="00F20E38"/>
    <w:rsid w:val="00F2104A"/>
    <w:rsid w:val="00F21187"/>
    <w:rsid w:val="00F21295"/>
    <w:rsid w:val="00F21341"/>
    <w:rsid w:val="00F214DD"/>
    <w:rsid w:val="00F216FD"/>
    <w:rsid w:val="00F22722"/>
    <w:rsid w:val="00F22A54"/>
    <w:rsid w:val="00F22A7B"/>
    <w:rsid w:val="00F23A10"/>
    <w:rsid w:val="00F23A49"/>
    <w:rsid w:val="00F24D4A"/>
    <w:rsid w:val="00F257EF"/>
    <w:rsid w:val="00F25817"/>
    <w:rsid w:val="00F25868"/>
    <w:rsid w:val="00F26B34"/>
    <w:rsid w:val="00F2722A"/>
    <w:rsid w:val="00F27A40"/>
    <w:rsid w:val="00F301F8"/>
    <w:rsid w:val="00F30575"/>
    <w:rsid w:val="00F307DB"/>
    <w:rsid w:val="00F30A22"/>
    <w:rsid w:val="00F30C5B"/>
    <w:rsid w:val="00F30E6C"/>
    <w:rsid w:val="00F31BCE"/>
    <w:rsid w:val="00F31CC2"/>
    <w:rsid w:val="00F31FB7"/>
    <w:rsid w:val="00F32318"/>
    <w:rsid w:val="00F32BED"/>
    <w:rsid w:val="00F33118"/>
    <w:rsid w:val="00F33AF4"/>
    <w:rsid w:val="00F34276"/>
    <w:rsid w:val="00F342DE"/>
    <w:rsid w:val="00F343A7"/>
    <w:rsid w:val="00F34B89"/>
    <w:rsid w:val="00F352D2"/>
    <w:rsid w:val="00F356BE"/>
    <w:rsid w:val="00F35AED"/>
    <w:rsid w:val="00F35F50"/>
    <w:rsid w:val="00F365C6"/>
    <w:rsid w:val="00F36A1D"/>
    <w:rsid w:val="00F36ACD"/>
    <w:rsid w:val="00F36BE8"/>
    <w:rsid w:val="00F36C80"/>
    <w:rsid w:val="00F36E32"/>
    <w:rsid w:val="00F37291"/>
    <w:rsid w:val="00F37567"/>
    <w:rsid w:val="00F378FE"/>
    <w:rsid w:val="00F37D64"/>
    <w:rsid w:val="00F37EBC"/>
    <w:rsid w:val="00F40245"/>
    <w:rsid w:val="00F4036D"/>
    <w:rsid w:val="00F405AE"/>
    <w:rsid w:val="00F40888"/>
    <w:rsid w:val="00F4095C"/>
    <w:rsid w:val="00F40B0F"/>
    <w:rsid w:val="00F40EA3"/>
    <w:rsid w:val="00F41122"/>
    <w:rsid w:val="00F41969"/>
    <w:rsid w:val="00F425EA"/>
    <w:rsid w:val="00F42B7B"/>
    <w:rsid w:val="00F42E49"/>
    <w:rsid w:val="00F43B94"/>
    <w:rsid w:val="00F43FE0"/>
    <w:rsid w:val="00F44079"/>
    <w:rsid w:val="00F44278"/>
    <w:rsid w:val="00F445A3"/>
    <w:rsid w:val="00F44A8C"/>
    <w:rsid w:val="00F44D06"/>
    <w:rsid w:val="00F44EF7"/>
    <w:rsid w:val="00F453A3"/>
    <w:rsid w:val="00F456A7"/>
    <w:rsid w:val="00F460AF"/>
    <w:rsid w:val="00F46555"/>
    <w:rsid w:val="00F4748C"/>
    <w:rsid w:val="00F4773E"/>
    <w:rsid w:val="00F47971"/>
    <w:rsid w:val="00F47E45"/>
    <w:rsid w:val="00F50793"/>
    <w:rsid w:val="00F515E8"/>
    <w:rsid w:val="00F517E1"/>
    <w:rsid w:val="00F519E9"/>
    <w:rsid w:val="00F51B65"/>
    <w:rsid w:val="00F51DE6"/>
    <w:rsid w:val="00F51E25"/>
    <w:rsid w:val="00F52958"/>
    <w:rsid w:val="00F52AAB"/>
    <w:rsid w:val="00F52DC6"/>
    <w:rsid w:val="00F52EB6"/>
    <w:rsid w:val="00F52F49"/>
    <w:rsid w:val="00F53B46"/>
    <w:rsid w:val="00F551A4"/>
    <w:rsid w:val="00F55260"/>
    <w:rsid w:val="00F55592"/>
    <w:rsid w:val="00F55DC9"/>
    <w:rsid w:val="00F5619F"/>
    <w:rsid w:val="00F562D0"/>
    <w:rsid w:val="00F56356"/>
    <w:rsid w:val="00F56481"/>
    <w:rsid w:val="00F57769"/>
    <w:rsid w:val="00F57CFF"/>
    <w:rsid w:val="00F60021"/>
    <w:rsid w:val="00F60E62"/>
    <w:rsid w:val="00F60F87"/>
    <w:rsid w:val="00F61686"/>
    <w:rsid w:val="00F62321"/>
    <w:rsid w:val="00F6251D"/>
    <w:rsid w:val="00F62FD2"/>
    <w:rsid w:val="00F6316B"/>
    <w:rsid w:val="00F633F3"/>
    <w:rsid w:val="00F63403"/>
    <w:rsid w:val="00F63B68"/>
    <w:rsid w:val="00F63CC8"/>
    <w:rsid w:val="00F63FED"/>
    <w:rsid w:val="00F64381"/>
    <w:rsid w:val="00F646FB"/>
    <w:rsid w:val="00F64A9F"/>
    <w:rsid w:val="00F65376"/>
    <w:rsid w:val="00F657A1"/>
    <w:rsid w:val="00F657D2"/>
    <w:rsid w:val="00F65AE0"/>
    <w:rsid w:val="00F66361"/>
    <w:rsid w:val="00F66971"/>
    <w:rsid w:val="00F67399"/>
    <w:rsid w:val="00F67D8F"/>
    <w:rsid w:val="00F70018"/>
    <w:rsid w:val="00F7024A"/>
    <w:rsid w:val="00F7085C"/>
    <w:rsid w:val="00F70EC9"/>
    <w:rsid w:val="00F71151"/>
    <w:rsid w:val="00F7119A"/>
    <w:rsid w:val="00F71243"/>
    <w:rsid w:val="00F71F2B"/>
    <w:rsid w:val="00F72DA5"/>
    <w:rsid w:val="00F73CD9"/>
    <w:rsid w:val="00F74554"/>
    <w:rsid w:val="00F74561"/>
    <w:rsid w:val="00F74A3D"/>
    <w:rsid w:val="00F74E38"/>
    <w:rsid w:val="00F7520F"/>
    <w:rsid w:val="00F761B8"/>
    <w:rsid w:val="00F7623E"/>
    <w:rsid w:val="00F764F1"/>
    <w:rsid w:val="00F76BBD"/>
    <w:rsid w:val="00F76D6F"/>
    <w:rsid w:val="00F77124"/>
    <w:rsid w:val="00F778B0"/>
    <w:rsid w:val="00F7792E"/>
    <w:rsid w:val="00F77965"/>
    <w:rsid w:val="00F80A95"/>
    <w:rsid w:val="00F80B33"/>
    <w:rsid w:val="00F80EBD"/>
    <w:rsid w:val="00F8112C"/>
    <w:rsid w:val="00F814CB"/>
    <w:rsid w:val="00F8186E"/>
    <w:rsid w:val="00F81A39"/>
    <w:rsid w:val="00F81B4D"/>
    <w:rsid w:val="00F81BB2"/>
    <w:rsid w:val="00F81EDE"/>
    <w:rsid w:val="00F81F03"/>
    <w:rsid w:val="00F82A04"/>
    <w:rsid w:val="00F82B42"/>
    <w:rsid w:val="00F82E38"/>
    <w:rsid w:val="00F8307E"/>
    <w:rsid w:val="00F830C3"/>
    <w:rsid w:val="00F83293"/>
    <w:rsid w:val="00F833F6"/>
    <w:rsid w:val="00F8352C"/>
    <w:rsid w:val="00F83BC2"/>
    <w:rsid w:val="00F83C73"/>
    <w:rsid w:val="00F83E4C"/>
    <w:rsid w:val="00F84086"/>
    <w:rsid w:val="00F84229"/>
    <w:rsid w:val="00F8475F"/>
    <w:rsid w:val="00F848A4"/>
    <w:rsid w:val="00F84B03"/>
    <w:rsid w:val="00F84DBD"/>
    <w:rsid w:val="00F85144"/>
    <w:rsid w:val="00F8544A"/>
    <w:rsid w:val="00F8570D"/>
    <w:rsid w:val="00F857DB"/>
    <w:rsid w:val="00F85FB8"/>
    <w:rsid w:val="00F8611E"/>
    <w:rsid w:val="00F8619C"/>
    <w:rsid w:val="00F86DF6"/>
    <w:rsid w:val="00F87551"/>
    <w:rsid w:val="00F904E2"/>
    <w:rsid w:val="00F907B7"/>
    <w:rsid w:val="00F90B8D"/>
    <w:rsid w:val="00F90CE3"/>
    <w:rsid w:val="00F90D80"/>
    <w:rsid w:val="00F90D84"/>
    <w:rsid w:val="00F90DAD"/>
    <w:rsid w:val="00F91006"/>
    <w:rsid w:val="00F9137F"/>
    <w:rsid w:val="00F916B9"/>
    <w:rsid w:val="00F919A7"/>
    <w:rsid w:val="00F91ADE"/>
    <w:rsid w:val="00F91B02"/>
    <w:rsid w:val="00F91D16"/>
    <w:rsid w:val="00F92380"/>
    <w:rsid w:val="00F923AF"/>
    <w:rsid w:val="00F92DC5"/>
    <w:rsid w:val="00F92EC1"/>
    <w:rsid w:val="00F932F6"/>
    <w:rsid w:val="00F934B6"/>
    <w:rsid w:val="00F93691"/>
    <w:rsid w:val="00F938CE"/>
    <w:rsid w:val="00F93912"/>
    <w:rsid w:val="00F94686"/>
    <w:rsid w:val="00F946F5"/>
    <w:rsid w:val="00F9475B"/>
    <w:rsid w:val="00F94BCB"/>
    <w:rsid w:val="00F94C47"/>
    <w:rsid w:val="00F951F8"/>
    <w:rsid w:val="00F953C9"/>
    <w:rsid w:val="00F95710"/>
    <w:rsid w:val="00F9595A"/>
    <w:rsid w:val="00F9659B"/>
    <w:rsid w:val="00F968E7"/>
    <w:rsid w:val="00F96AA9"/>
    <w:rsid w:val="00F96C4B"/>
    <w:rsid w:val="00F96D0D"/>
    <w:rsid w:val="00F97425"/>
    <w:rsid w:val="00F975D6"/>
    <w:rsid w:val="00F97F68"/>
    <w:rsid w:val="00FA0148"/>
    <w:rsid w:val="00FA0421"/>
    <w:rsid w:val="00FA090A"/>
    <w:rsid w:val="00FA0912"/>
    <w:rsid w:val="00FA0C66"/>
    <w:rsid w:val="00FA1956"/>
    <w:rsid w:val="00FA1CDA"/>
    <w:rsid w:val="00FA1D9D"/>
    <w:rsid w:val="00FA1DCF"/>
    <w:rsid w:val="00FA1DD9"/>
    <w:rsid w:val="00FA1E63"/>
    <w:rsid w:val="00FA1EE4"/>
    <w:rsid w:val="00FA2310"/>
    <w:rsid w:val="00FA25F5"/>
    <w:rsid w:val="00FA2BD2"/>
    <w:rsid w:val="00FA2CA8"/>
    <w:rsid w:val="00FA2EB8"/>
    <w:rsid w:val="00FA3389"/>
    <w:rsid w:val="00FA3475"/>
    <w:rsid w:val="00FA3476"/>
    <w:rsid w:val="00FA361A"/>
    <w:rsid w:val="00FA4423"/>
    <w:rsid w:val="00FA44E5"/>
    <w:rsid w:val="00FA4CA1"/>
    <w:rsid w:val="00FA4F43"/>
    <w:rsid w:val="00FA5305"/>
    <w:rsid w:val="00FA5335"/>
    <w:rsid w:val="00FA56BC"/>
    <w:rsid w:val="00FA5A71"/>
    <w:rsid w:val="00FA5C31"/>
    <w:rsid w:val="00FA5C75"/>
    <w:rsid w:val="00FA65E2"/>
    <w:rsid w:val="00FA669E"/>
    <w:rsid w:val="00FA6798"/>
    <w:rsid w:val="00FA6919"/>
    <w:rsid w:val="00FA69E6"/>
    <w:rsid w:val="00FA75C6"/>
    <w:rsid w:val="00FA7886"/>
    <w:rsid w:val="00FA7C3C"/>
    <w:rsid w:val="00FA7E49"/>
    <w:rsid w:val="00FB0A5A"/>
    <w:rsid w:val="00FB0C10"/>
    <w:rsid w:val="00FB1181"/>
    <w:rsid w:val="00FB12B9"/>
    <w:rsid w:val="00FB14D8"/>
    <w:rsid w:val="00FB1D20"/>
    <w:rsid w:val="00FB257D"/>
    <w:rsid w:val="00FB2E48"/>
    <w:rsid w:val="00FB3364"/>
    <w:rsid w:val="00FB3C36"/>
    <w:rsid w:val="00FB423D"/>
    <w:rsid w:val="00FB4280"/>
    <w:rsid w:val="00FB455E"/>
    <w:rsid w:val="00FB4AFC"/>
    <w:rsid w:val="00FB4B60"/>
    <w:rsid w:val="00FB5191"/>
    <w:rsid w:val="00FB5214"/>
    <w:rsid w:val="00FB57F8"/>
    <w:rsid w:val="00FB580D"/>
    <w:rsid w:val="00FB5B7F"/>
    <w:rsid w:val="00FB5C2A"/>
    <w:rsid w:val="00FB5CB5"/>
    <w:rsid w:val="00FB645A"/>
    <w:rsid w:val="00FB671F"/>
    <w:rsid w:val="00FB68DE"/>
    <w:rsid w:val="00FB6B05"/>
    <w:rsid w:val="00FB6DA7"/>
    <w:rsid w:val="00FB702A"/>
    <w:rsid w:val="00FB75AE"/>
    <w:rsid w:val="00FB77D8"/>
    <w:rsid w:val="00FB7B14"/>
    <w:rsid w:val="00FB7CCE"/>
    <w:rsid w:val="00FC0104"/>
    <w:rsid w:val="00FC01C8"/>
    <w:rsid w:val="00FC0519"/>
    <w:rsid w:val="00FC06D9"/>
    <w:rsid w:val="00FC0A92"/>
    <w:rsid w:val="00FC0B00"/>
    <w:rsid w:val="00FC0D8F"/>
    <w:rsid w:val="00FC0F0F"/>
    <w:rsid w:val="00FC0F61"/>
    <w:rsid w:val="00FC145B"/>
    <w:rsid w:val="00FC1577"/>
    <w:rsid w:val="00FC198F"/>
    <w:rsid w:val="00FC1ED9"/>
    <w:rsid w:val="00FC2CA4"/>
    <w:rsid w:val="00FC2DEE"/>
    <w:rsid w:val="00FC3501"/>
    <w:rsid w:val="00FC36A1"/>
    <w:rsid w:val="00FC3790"/>
    <w:rsid w:val="00FC3864"/>
    <w:rsid w:val="00FC397F"/>
    <w:rsid w:val="00FC39FD"/>
    <w:rsid w:val="00FC3D67"/>
    <w:rsid w:val="00FC423D"/>
    <w:rsid w:val="00FC44C9"/>
    <w:rsid w:val="00FC46CF"/>
    <w:rsid w:val="00FC46E6"/>
    <w:rsid w:val="00FC49D9"/>
    <w:rsid w:val="00FC5027"/>
    <w:rsid w:val="00FC50C7"/>
    <w:rsid w:val="00FC511D"/>
    <w:rsid w:val="00FC6034"/>
    <w:rsid w:val="00FC68BC"/>
    <w:rsid w:val="00FC7366"/>
    <w:rsid w:val="00FC74ED"/>
    <w:rsid w:val="00FC75E3"/>
    <w:rsid w:val="00FC76E2"/>
    <w:rsid w:val="00FC7925"/>
    <w:rsid w:val="00FC7938"/>
    <w:rsid w:val="00FC7FA4"/>
    <w:rsid w:val="00FD035C"/>
    <w:rsid w:val="00FD07EF"/>
    <w:rsid w:val="00FD097A"/>
    <w:rsid w:val="00FD0E3D"/>
    <w:rsid w:val="00FD11D4"/>
    <w:rsid w:val="00FD1DD0"/>
    <w:rsid w:val="00FD217B"/>
    <w:rsid w:val="00FD225D"/>
    <w:rsid w:val="00FD2384"/>
    <w:rsid w:val="00FD29D4"/>
    <w:rsid w:val="00FD2DC5"/>
    <w:rsid w:val="00FD2E6C"/>
    <w:rsid w:val="00FD3B86"/>
    <w:rsid w:val="00FD42AA"/>
    <w:rsid w:val="00FD4C24"/>
    <w:rsid w:val="00FD4C88"/>
    <w:rsid w:val="00FD4F32"/>
    <w:rsid w:val="00FD5989"/>
    <w:rsid w:val="00FD59ED"/>
    <w:rsid w:val="00FD66C6"/>
    <w:rsid w:val="00FD6873"/>
    <w:rsid w:val="00FD7C9B"/>
    <w:rsid w:val="00FD7D34"/>
    <w:rsid w:val="00FD7E19"/>
    <w:rsid w:val="00FD7F27"/>
    <w:rsid w:val="00FE035B"/>
    <w:rsid w:val="00FE0E7B"/>
    <w:rsid w:val="00FE0F68"/>
    <w:rsid w:val="00FE0FFD"/>
    <w:rsid w:val="00FE11B5"/>
    <w:rsid w:val="00FE125C"/>
    <w:rsid w:val="00FE15D9"/>
    <w:rsid w:val="00FE1F3B"/>
    <w:rsid w:val="00FE2390"/>
    <w:rsid w:val="00FE2BEA"/>
    <w:rsid w:val="00FE2F3B"/>
    <w:rsid w:val="00FE3482"/>
    <w:rsid w:val="00FE3549"/>
    <w:rsid w:val="00FE452E"/>
    <w:rsid w:val="00FE4827"/>
    <w:rsid w:val="00FE4963"/>
    <w:rsid w:val="00FE4D94"/>
    <w:rsid w:val="00FE4F7D"/>
    <w:rsid w:val="00FE4FA3"/>
    <w:rsid w:val="00FE58C7"/>
    <w:rsid w:val="00FE5C7B"/>
    <w:rsid w:val="00FE6060"/>
    <w:rsid w:val="00FE630D"/>
    <w:rsid w:val="00FE650C"/>
    <w:rsid w:val="00FE740F"/>
    <w:rsid w:val="00FE7418"/>
    <w:rsid w:val="00FE7AD8"/>
    <w:rsid w:val="00FE7B6C"/>
    <w:rsid w:val="00FF03C0"/>
    <w:rsid w:val="00FF0667"/>
    <w:rsid w:val="00FF14E2"/>
    <w:rsid w:val="00FF1B5F"/>
    <w:rsid w:val="00FF2612"/>
    <w:rsid w:val="00FF2806"/>
    <w:rsid w:val="00FF2AED"/>
    <w:rsid w:val="00FF2D9A"/>
    <w:rsid w:val="00FF3663"/>
    <w:rsid w:val="00FF37F8"/>
    <w:rsid w:val="00FF3AF0"/>
    <w:rsid w:val="00FF3B7A"/>
    <w:rsid w:val="00FF4275"/>
    <w:rsid w:val="00FF436A"/>
    <w:rsid w:val="00FF4586"/>
    <w:rsid w:val="00FF4A4C"/>
    <w:rsid w:val="00FF4C15"/>
    <w:rsid w:val="00FF4F2F"/>
    <w:rsid w:val="00FF5BFB"/>
    <w:rsid w:val="00FF5E54"/>
    <w:rsid w:val="00FF6774"/>
    <w:rsid w:val="00FF69EA"/>
    <w:rsid w:val="00FF70A3"/>
    <w:rsid w:val="00FF70F1"/>
    <w:rsid w:val="00FF754D"/>
    <w:rsid w:val="00FF761C"/>
    <w:rsid w:val="00FF7DD5"/>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2835"/>
        <w:tab w:val="clear" w:pos="3969"/>
        <w:tab w:val="clear" w:pos="5103"/>
        <w:tab w:val="clear" w:pos="6237"/>
        <w:tab w:val="clear" w:pos="7371"/>
      </w:tabs>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882BEB"/>
  </w:style>
  <w:style w:type="character" w:customStyle="1" w:styleId="TextocomentarioCar">
    <w:name w:val="Texto comentario Car"/>
    <w:link w:val="Textocomentario"/>
    <w:rsid w:val="00882BEB"/>
    <w:rPr>
      <w:lang w:val="es-ES_tradnl" w:eastAsia="en-US" w:bidi="ar-SA"/>
    </w:rPr>
  </w:style>
  <w:style w:type="paragraph" w:styleId="Asuntodelcomentario">
    <w:name w:val="annotation subject"/>
    <w:basedOn w:val="Textocomentario"/>
    <w:next w:val="Textocomentario"/>
    <w:link w:val="AsuntodelcomentarioCar"/>
    <w:rsid w:val="00882BEB"/>
    <w:rPr>
      <w:b/>
      <w:bCs/>
    </w:rPr>
  </w:style>
  <w:style w:type="paragraph" w:styleId="Mapadeldocumento">
    <w:name w:val="Document Map"/>
    <w:basedOn w:val="Normal"/>
    <w:link w:val="MapadeldocumentoCar"/>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uiPriority w:val="99"/>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paragraph" w:customStyle="1" w:styleId="cuatitul">
    <w:name w:val="cuatitul"/>
    <w:basedOn w:val="Normal"/>
    <w:rsid w:val="00497839"/>
    <w:pPr>
      <w:spacing w:after="60"/>
      <w:ind w:firstLine="0"/>
      <w:jc w:val="center"/>
    </w:pPr>
    <w:rPr>
      <w:rFonts w:ascii="GillSans" w:hAnsi="GillSans"/>
      <w:sz w:val="22"/>
      <w:lang w:eastAsia="es-ES"/>
    </w:rPr>
  </w:style>
  <w:style w:type="paragraph" w:customStyle="1" w:styleId="Tabla">
    <w:name w:val="Tabla"/>
    <w:basedOn w:val="Normal"/>
    <w:rsid w:val="00497839"/>
    <w:pPr>
      <w:spacing w:after="0"/>
      <w:ind w:firstLine="0"/>
    </w:pPr>
    <w:rPr>
      <w:rFonts w:ascii="Arial" w:hAnsi="Arial"/>
      <w:sz w:val="16"/>
      <w:lang w:eastAsia="es-ES"/>
    </w:rPr>
  </w:style>
  <w:style w:type="character" w:customStyle="1" w:styleId="atitulo3Car">
    <w:name w:val="atitulo3 Car"/>
    <w:link w:val="atitulo3"/>
    <w:rsid w:val="004C3AFE"/>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963DE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C42403"/>
    <w:pPr>
      <w:spacing w:after="240"/>
      <w:ind w:left="300" w:right="75" w:firstLine="0"/>
    </w:pPr>
    <w:rPr>
      <w:sz w:val="24"/>
      <w:szCs w:val="24"/>
      <w:lang w:val="es-ES" w:eastAsia="es-ES"/>
    </w:rPr>
  </w:style>
  <w:style w:type="character" w:customStyle="1" w:styleId="st1">
    <w:name w:val="st1"/>
    <w:basedOn w:val="Fuentedeprrafopredeter"/>
    <w:rsid w:val="007A4B43"/>
  </w:style>
  <w:style w:type="character" w:customStyle="1" w:styleId="apple-converted-space">
    <w:name w:val="apple-converted-space"/>
    <w:basedOn w:val="Fuentedeprrafopredeter"/>
    <w:rsid w:val="008B12F7"/>
  </w:style>
  <w:style w:type="character" w:customStyle="1" w:styleId="AsuntodelcomentarioCar">
    <w:name w:val="Asunto del comentario Car"/>
    <w:basedOn w:val="TextocomentarioCar"/>
    <w:link w:val="Asuntodelcomentario"/>
    <w:rsid w:val="00621A26"/>
    <w:rPr>
      <w:b/>
      <w:bCs/>
      <w:lang w:val="es-ES_tradnl" w:eastAsia="en-US" w:bidi="ar-SA"/>
    </w:rPr>
  </w:style>
  <w:style w:type="character" w:customStyle="1" w:styleId="MapadeldocumentoCar">
    <w:name w:val="Mapa del documento Car"/>
    <w:basedOn w:val="Fuentedeprrafopredeter"/>
    <w:link w:val="Mapadeldocumento"/>
    <w:rsid w:val="00621A26"/>
    <w:rPr>
      <w:rFonts w:ascii="Tahoma" w:hAnsi="Tahoma" w:cs="Tahoma"/>
      <w:shd w:val="clear" w:color="auto" w:fill="000080"/>
      <w:lang w:val="es-ES_tradnl" w:eastAsia="en-US"/>
    </w:rPr>
  </w:style>
  <w:style w:type="paragraph" w:customStyle="1" w:styleId="Retorno">
    <w:name w:val="Retorno"/>
    <w:basedOn w:val="Normal"/>
    <w:rsid w:val="00621A26"/>
    <w:pPr>
      <w:spacing w:after="0" w:line="360" w:lineRule="auto"/>
      <w:ind w:firstLine="0"/>
      <w:jc w:val="left"/>
    </w:pPr>
    <w:rPr>
      <w:sz w:val="22"/>
      <w:lang w:eastAsia="es-ES"/>
    </w:rPr>
  </w:style>
  <w:style w:type="paragraph" w:customStyle="1" w:styleId="Titulocuadro">
    <w:name w:val="Titulocuadro"/>
    <w:basedOn w:val="texto"/>
    <w:qFormat/>
    <w:rsid w:val="00601F54"/>
    <w:pPr>
      <w:tabs>
        <w:tab w:val="num" w:pos="284"/>
        <w:tab w:val="num" w:pos="720"/>
      </w:tabs>
    </w:pPr>
    <w:rPr>
      <w:i/>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2835"/>
        <w:tab w:val="clear" w:pos="3969"/>
        <w:tab w:val="clear" w:pos="5103"/>
        <w:tab w:val="clear" w:pos="6237"/>
        <w:tab w:val="clear" w:pos="7371"/>
      </w:tabs>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882BEB"/>
  </w:style>
  <w:style w:type="character" w:customStyle="1" w:styleId="TextocomentarioCar">
    <w:name w:val="Texto comentario Car"/>
    <w:link w:val="Textocomentario"/>
    <w:rsid w:val="00882BEB"/>
    <w:rPr>
      <w:lang w:val="es-ES_tradnl" w:eastAsia="en-US" w:bidi="ar-SA"/>
    </w:rPr>
  </w:style>
  <w:style w:type="paragraph" w:styleId="Asuntodelcomentario">
    <w:name w:val="annotation subject"/>
    <w:basedOn w:val="Textocomentario"/>
    <w:next w:val="Textocomentario"/>
    <w:link w:val="AsuntodelcomentarioCar"/>
    <w:rsid w:val="00882BEB"/>
    <w:rPr>
      <w:b/>
      <w:bCs/>
    </w:rPr>
  </w:style>
  <w:style w:type="paragraph" w:styleId="Mapadeldocumento">
    <w:name w:val="Document Map"/>
    <w:basedOn w:val="Normal"/>
    <w:link w:val="MapadeldocumentoCar"/>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uiPriority w:val="99"/>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paragraph" w:customStyle="1" w:styleId="cuatitul">
    <w:name w:val="cuatitul"/>
    <w:basedOn w:val="Normal"/>
    <w:rsid w:val="00497839"/>
    <w:pPr>
      <w:spacing w:after="60"/>
      <w:ind w:firstLine="0"/>
      <w:jc w:val="center"/>
    </w:pPr>
    <w:rPr>
      <w:rFonts w:ascii="GillSans" w:hAnsi="GillSans"/>
      <w:sz w:val="22"/>
      <w:lang w:eastAsia="es-ES"/>
    </w:rPr>
  </w:style>
  <w:style w:type="paragraph" w:customStyle="1" w:styleId="Tabla">
    <w:name w:val="Tabla"/>
    <w:basedOn w:val="Normal"/>
    <w:rsid w:val="00497839"/>
    <w:pPr>
      <w:spacing w:after="0"/>
      <w:ind w:firstLine="0"/>
    </w:pPr>
    <w:rPr>
      <w:rFonts w:ascii="Arial" w:hAnsi="Arial"/>
      <w:sz w:val="16"/>
      <w:lang w:eastAsia="es-ES"/>
    </w:rPr>
  </w:style>
  <w:style w:type="character" w:customStyle="1" w:styleId="atitulo3Car">
    <w:name w:val="atitulo3 Car"/>
    <w:link w:val="atitulo3"/>
    <w:rsid w:val="004C3AFE"/>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963DE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C42403"/>
    <w:pPr>
      <w:spacing w:after="240"/>
      <w:ind w:left="300" w:right="75" w:firstLine="0"/>
    </w:pPr>
    <w:rPr>
      <w:sz w:val="24"/>
      <w:szCs w:val="24"/>
      <w:lang w:val="es-ES" w:eastAsia="es-ES"/>
    </w:rPr>
  </w:style>
  <w:style w:type="character" w:customStyle="1" w:styleId="st1">
    <w:name w:val="st1"/>
    <w:basedOn w:val="Fuentedeprrafopredeter"/>
    <w:rsid w:val="007A4B43"/>
  </w:style>
  <w:style w:type="character" w:customStyle="1" w:styleId="apple-converted-space">
    <w:name w:val="apple-converted-space"/>
    <w:basedOn w:val="Fuentedeprrafopredeter"/>
    <w:rsid w:val="008B12F7"/>
  </w:style>
  <w:style w:type="character" w:customStyle="1" w:styleId="AsuntodelcomentarioCar">
    <w:name w:val="Asunto del comentario Car"/>
    <w:basedOn w:val="TextocomentarioCar"/>
    <w:link w:val="Asuntodelcomentario"/>
    <w:rsid w:val="00621A26"/>
    <w:rPr>
      <w:b/>
      <w:bCs/>
      <w:lang w:val="es-ES_tradnl" w:eastAsia="en-US" w:bidi="ar-SA"/>
    </w:rPr>
  </w:style>
  <w:style w:type="character" w:customStyle="1" w:styleId="MapadeldocumentoCar">
    <w:name w:val="Mapa del documento Car"/>
    <w:basedOn w:val="Fuentedeprrafopredeter"/>
    <w:link w:val="Mapadeldocumento"/>
    <w:rsid w:val="00621A26"/>
    <w:rPr>
      <w:rFonts w:ascii="Tahoma" w:hAnsi="Tahoma" w:cs="Tahoma"/>
      <w:shd w:val="clear" w:color="auto" w:fill="000080"/>
      <w:lang w:val="es-ES_tradnl" w:eastAsia="en-US"/>
    </w:rPr>
  </w:style>
  <w:style w:type="paragraph" w:customStyle="1" w:styleId="Retorno">
    <w:name w:val="Retorno"/>
    <w:basedOn w:val="Normal"/>
    <w:rsid w:val="00621A26"/>
    <w:pPr>
      <w:spacing w:after="0" w:line="360" w:lineRule="auto"/>
      <w:ind w:firstLine="0"/>
      <w:jc w:val="left"/>
    </w:pPr>
    <w:rPr>
      <w:sz w:val="22"/>
      <w:lang w:eastAsia="es-ES"/>
    </w:rPr>
  </w:style>
  <w:style w:type="paragraph" w:customStyle="1" w:styleId="Titulocuadro">
    <w:name w:val="Titulocuadro"/>
    <w:basedOn w:val="texto"/>
    <w:qFormat/>
    <w:rsid w:val="00601F54"/>
    <w:pPr>
      <w:tabs>
        <w:tab w:val="num" w:pos="284"/>
        <w:tab w:val="num" w:pos="720"/>
      </w:tabs>
    </w:pPr>
    <w:rPr>
      <w:i/>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3">
      <w:bodyDiv w:val="1"/>
      <w:marLeft w:val="0"/>
      <w:marRight w:val="0"/>
      <w:marTop w:val="0"/>
      <w:marBottom w:val="0"/>
      <w:divBdr>
        <w:top w:val="none" w:sz="0" w:space="0" w:color="auto"/>
        <w:left w:val="none" w:sz="0" w:space="0" w:color="auto"/>
        <w:bottom w:val="none" w:sz="0" w:space="0" w:color="auto"/>
        <w:right w:val="none" w:sz="0" w:space="0" w:color="auto"/>
      </w:divBdr>
    </w:div>
    <w:div w:id="16735955">
      <w:bodyDiv w:val="1"/>
      <w:marLeft w:val="0"/>
      <w:marRight w:val="0"/>
      <w:marTop w:val="0"/>
      <w:marBottom w:val="0"/>
      <w:divBdr>
        <w:top w:val="none" w:sz="0" w:space="0" w:color="auto"/>
        <w:left w:val="none" w:sz="0" w:space="0" w:color="auto"/>
        <w:bottom w:val="none" w:sz="0" w:space="0" w:color="auto"/>
        <w:right w:val="none" w:sz="0" w:space="0" w:color="auto"/>
      </w:divBdr>
    </w:div>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78870331">
      <w:bodyDiv w:val="1"/>
      <w:marLeft w:val="0"/>
      <w:marRight w:val="0"/>
      <w:marTop w:val="0"/>
      <w:marBottom w:val="0"/>
      <w:divBdr>
        <w:top w:val="none" w:sz="0" w:space="0" w:color="auto"/>
        <w:left w:val="none" w:sz="0" w:space="0" w:color="auto"/>
        <w:bottom w:val="none" w:sz="0" w:space="0" w:color="auto"/>
        <w:right w:val="none" w:sz="0" w:space="0" w:color="auto"/>
      </w:divBdr>
    </w:div>
    <w:div w:id="8133708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93020105">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0562846">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2250357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69175257">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148387">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21068436">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23493576">
      <w:bodyDiv w:val="1"/>
      <w:marLeft w:val="0"/>
      <w:marRight w:val="0"/>
      <w:marTop w:val="0"/>
      <w:marBottom w:val="0"/>
      <w:divBdr>
        <w:top w:val="none" w:sz="0" w:space="0" w:color="auto"/>
        <w:left w:val="none" w:sz="0" w:space="0" w:color="auto"/>
        <w:bottom w:val="none" w:sz="0" w:space="0" w:color="auto"/>
        <w:right w:val="none" w:sz="0" w:space="0" w:color="auto"/>
      </w:divBdr>
    </w:div>
    <w:div w:id="229583841">
      <w:bodyDiv w:val="1"/>
      <w:marLeft w:val="0"/>
      <w:marRight w:val="0"/>
      <w:marTop w:val="0"/>
      <w:marBottom w:val="0"/>
      <w:divBdr>
        <w:top w:val="none" w:sz="0" w:space="0" w:color="auto"/>
        <w:left w:val="none" w:sz="0" w:space="0" w:color="auto"/>
        <w:bottom w:val="none" w:sz="0" w:space="0" w:color="auto"/>
        <w:right w:val="none" w:sz="0" w:space="0" w:color="auto"/>
      </w:divBdr>
    </w:div>
    <w:div w:id="247151910">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69550468">
      <w:bodyDiv w:val="1"/>
      <w:marLeft w:val="0"/>
      <w:marRight w:val="0"/>
      <w:marTop w:val="0"/>
      <w:marBottom w:val="0"/>
      <w:divBdr>
        <w:top w:val="none" w:sz="0" w:space="0" w:color="auto"/>
        <w:left w:val="none" w:sz="0" w:space="0" w:color="auto"/>
        <w:bottom w:val="none" w:sz="0" w:space="0" w:color="auto"/>
        <w:right w:val="none" w:sz="0" w:space="0" w:color="auto"/>
      </w:divBdr>
    </w:div>
    <w:div w:id="277446001">
      <w:bodyDiv w:val="1"/>
      <w:marLeft w:val="0"/>
      <w:marRight w:val="0"/>
      <w:marTop w:val="0"/>
      <w:marBottom w:val="0"/>
      <w:divBdr>
        <w:top w:val="none" w:sz="0" w:space="0" w:color="auto"/>
        <w:left w:val="none" w:sz="0" w:space="0" w:color="auto"/>
        <w:bottom w:val="none" w:sz="0" w:space="0" w:color="auto"/>
        <w:right w:val="none" w:sz="0" w:space="0" w:color="auto"/>
      </w:divBdr>
    </w:div>
    <w:div w:id="296643833">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299766699">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01767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6766611">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2702964">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0068723">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2533502">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50104548">
      <w:bodyDiv w:val="1"/>
      <w:marLeft w:val="0"/>
      <w:marRight w:val="0"/>
      <w:marTop w:val="0"/>
      <w:marBottom w:val="0"/>
      <w:divBdr>
        <w:top w:val="none" w:sz="0" w:space="0" w:color="auto"/>
        <w:left w:val="none" w:sz="0" w:space="0" w:color="auto"/>
        <w:bottom w:val="none" w:sz="0" w:space="0" w:color="auto"/>
        <w:right w:val="none" w:sz="0" w:space="0" w:color="auto"/>
      </w:divBdr>
    </w:div>
    <w:div w:id="352539385">
      <w:bodyDiv w:val="1"/>
      <w:marLeft w:val="0"/>
      <w:marRight w:val="0"/>
      <w:marTop w:val="0"/>
      <w:marBottom w:val="0"/>
      <w:divBdr>
        <w:top w:val="none" w:sz="0" w:space="0" w:color="auto"/>
        <w:left w:val="none" w:sz="0" w:space="0" w:color="auto"/>
        <w:bottom w:val="none" w:sz="0" w:space="0" w:color="auto"/>
        <w:right w:val="none" w:sz="0" w:space="0" w:color="auto"/>
      </w:divBdr>
    </w:div>
    <w:div w:id="355615819">
      <w:bodyDiv w:val="1"/>
      <w:marLeft w:val="0"/>
      <w:marRight w:val="0"/>
      <w:marTop w:val="0"/>
      <w:marBottom w:val="0"/>
      <w:divBdr>
        <w:top w:val="none" w:sz="0" w:space="0" w:color="auto"/>
        <w:left w:val="none" w:sz="0" w:space="0" w:color="auto"/>
        <w:bottom w:val="none" w:sz="0" w:space="0" w:color="auto"/>
        <w:right w:val="none" w:sz="0" w:space="0" w:color="auto"/>
      </w:divBdr>
      <w:divsChild>
        <w:div w:id="484515609">
          <w:marLeft w:val="547"/>
          <w:marRight w:val="0"/>
          <w:marTop w:val="77"/>
          <w:marBottom w:val="0"/>
          <w:divBdr>
            <w:top w:val="none" w:sz="0" w:space="0" w:color="auto"/>
            <w:left w:val="none" w:sz="0" w:space="0" w:color="auto"/>
            <w:bottom w:val="none" w:sz="0" w:space="0" w:color="auto"/>
            <w:right w:val="none" w:sz="0" w:space="0" w:color="auto"/>
          </w:divBdr>
        </w:div>
      </w:divsChild>
    </w:div>
    <w:div w:id="356005082">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02989411">
      <w:bodyDiv w:val="1"/>
      <w:marLeft w:val="0"/>
      <w:marRight w:val="0"/>
      <w:marTop w:val="0"/>
      <w:marBottom w:val="0"/>
      <w:divBdr>
        <w:top w:val="none" w:sz="0" w:space="0" w:color="auto"/>
        <w:left w:val="none" w:sz="0" w:space="0" w:color="auto"/>
        <w:bottom w:val="none" w:sz="0" w:space="0" w:color="auto"/>
        <w:right w:val="none" w:sz="0" w:space="0" w:color="auto"/>
      </w:divBdr>
    </w:div>
    <w:div w:id="403643567">
      <w:bodyDiv w:val="1"/>
      <w:marLeft w:val="0"/>
      <w:marRight w:val="0"/>
      <w:marTop w:val="0"/>
      <w:marBottom w:val="0"/>
      <w:divBdr>
        <w:top w:val="none" w:sz="0" w:space="0" w:color="auto"/>
        <w:left w:val="none" w:sz="0" w:space="0" w:color="auto"/>
        <w:bottom w:val="none" w:sz="0" w:space="0" w:color="auto"/>
        <w:right w:val="none" w:sz="0" w:space="0" w:color="auto"/>
      </w:divBdr>
    </w:div>
    <w:div w:id="407533654">
      <w:bodyDiv w:val="1"/>
      <w:marLeft w:val="0"/>
      <w:marRight w:val="0"/>
      <w:marTop w:val="0"/>
      <w:marBottom w:val="0"/>
      <w:divBdr>
        <w:top w:val="none" w:sz="0" w:space="0" w:color="auto"/>
        <w:left w:val="none" w:sz="0" w:space="0" w:color="auto"/>
        <w:bottom w:val="none" w:sz="0" w:space="0" w:color="auto"/>
        <w:right w:val="none" w:sz="0" w:space="0" w:color="auto"/>
      </w:divBdr>
    </w:div>
    <w:div w:id="408962337">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27777701">
      <w:bodyDiv w:val="1"/>
      <w:marLeft w:val="0"/>
      <w:marRight w:val="0"/>
      <w:marTop w:val="0"/>
      <w:marBottom w:val="0"/>
      <w:divBdr>
        <w:top w:val="none" w:sz="0" w:space="0" w:color="auto"/>
        <w:left w:val="none" w:sz="0" w:space="0" w:color="auto"/>
        <w:bottom w:val="none" w:sz="0" w:space="0" w:color="auto"/>
        <w:right w:val="none" w:sz="0" w:space="0" w:color="auto"/>
      </w:divBdr>
    </w:div>
    <w:div w:id="438379380">
      <w:bodyDiv w:val="1"/>
      <w:marLeft w:val="0"/>
      <w:marRight w:val="0"/>
      <w:marTop w:val="0"/>
      <w:marBottom w:val="0"/>
      <w:divBdr>
        <w:top w:val="none" w:sz="0" w:space="0" w:color="auto"/>
        <w:left w:val="none" w:sz="0" w:space="0" w:color="auto"/>
        <w:bottom w:val="none" w:sz="0" w:space="0" w:color="auto"/>
        <w:right w:val="none" w:sz="0" w:space="0" w:color="auto"/>
      </w:divBdr>
    </w:div>
    <w:div w:id="443231457">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07446619">
      <w:bodyDiv w:val="1"/>
      <w:marLeft w:val="0"/>
      <w:marRight w:val="0"/>
      <w:marTop w:val="0"/>
      <w:marBottom w:val="0"/>
      <w:divBdr>
        <w:top w:val="none" w:sz="0" w:space="0" w:color="auto"/>
        <w:left w:val="none" w:sz="0" w:space="0" w:color="auto"/>
        <w:bottom w:val="none" w:sz="0" w:space="0" w:color="auto"/>
        <w:right w:val="none" w:sz="0" w:space="0" w:color="auto"/>
      </w:divBdr>
    </w:div>
    <w:div w:id="511528590">
      <w:bodyDiv w:val="1"/>
      <w:marLeft w:val="0"/>
      <w:marRight w:val="0"/>
      <w:marTop w:val="0"/>
      <w:marBottom w:val="0"/>
      <w:divBdr>
        <w:top w:val="none" w:sz="0" w:space="0" w:color="auto"/>
        <w:left w:val="none" w:sz="0" w:space="0" w:color="auto"/>
        <w:bottom w:val="none" w:sz="0" w:space="0" w:color="auto"/>
        <w:right w:val="none" w:sz="0" w:space="0" w:color="auto"/>
      </w:divBdr>
    </w:div>
    <w:div w:id="523709362">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31070894">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49728090">
      <w:bodyDiv w:val="1"/>
      <w:marLeft w:val="0"/>
      <w:marRight w:val="0"/>
      <w:marTop w:val="0"/>
      <w:marBottom w:val="0"/>
      <w:divBdr>
        <w:top w:val="none" w:sz="0" w:space="0" w:color="auto"/>
        <w:left w:val="none" w:sz="0" w:space="0" w:color="auto"/>
        <w:bottom w:val="none" w:sz="0" w:space="0" w:color="auto"/>
        <w:right w:val="none" w:sz="0" w:space="0" w:color="auto"/>
      </w:divBdr>
    </w:div>
    <w:div w:id="557597798">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77402585">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89044828">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135938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0379117">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19800921">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47588409">
      <w:bodyDiv w:val="1"/>
      <w:marLeft w:val="0"/>
      <w:marRight w:val="0"/>
      <w:marTop w:val="0"/>
      <w:marBottom w:val="0"/>
      <w:divBdr>
        <w:top w:val="none" w:sz="0" w:space="0" w:color="auto"/>
        <w:left w:val="none" w:sz="0" w:space="0" w:color="auto"/>
        <w:bottom w:val="none" w:sz="0" w:space="0" w:color="auto"/>
        <w:right w:val="none" w:sz="0" w:space="0" w:color="auto"/>
      </w:divBdr>
    </w:div>
    <w:div w:id="656885047">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7908309">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79432081">
      <w:bodyDiv w:val="1"/>
      <w:marLeft w:val="0"/>
      <w:marRight w:val="0"/>
      <w:marTop w:val="0"/>
      <w:marBottom w:val="0"/>
      <w:divBdr>
        <w:top w:val="none" w:sz="0" w:space="0" w:color="auto"/>
        <w:left w:val="none" w:sz="0" w:space="0" w:color="auto"/>
        <w:bottom w:val="none" w:sz="0" w:space="0" w:color="auto"/>
        <w:right w:val="none" w:sz="0" w:space="0" w:color="auto"/>
      </w:divBdr>
    </w:div>
    <w:div w:id="688602774">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148966">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24182734">
      <w:bodyDiv w:val="1"/>
      <w:marLeft w:val="0"/>
      <w:marRight w:val="0"/>
      <w:marTop w:val="0"/>
      <w:marBottom w:val="0"/>
      <w:divBdr>
        <w:top w:val="none" w:sz="0" w:space="0" w:color="auto"/>
        <w:left w:val="none" w:sz="0" w:space="0" w:color="auto"/>
        <w:bottom w:val="none" w:sz="0" w:space="0" w:color="auto"/>
        <w:right w:val="none" w:sz="0" w:space="0" w:color="auto"/>
      </w:divBdr>
      <w:divsChild>
        <w:div w:id="560601591">
          <w:marLeft w:val="547"/>
          <w:marRight w:val="0"/>
          <w:marTop w:val="106"/>
          <w:marBottom w:val="0"/>
          <w:divBdr>
            <w:top w:val="none" w:sz="0" w:space="0" w:color="auto"/>
            <w:left w:val="none" w:sz="0" w:space="0" w:color="auto"/>
            <w:bottom w:val="none" w:sz="0" w:space="0" w:color="auto"/>
            <w:right w:val="none" w:sz="0" w:space="0" w:color="auto"/>
          </w:divBdr>
        </w:div>
      </w:divsChild>
    </w:div>
    <w:div w:id="727847057">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50349556">
      <w:bodyDiv w:val="1"/>
      <w:marLeft w:val="0"/>
      <w:marRight w:val="0"/>
      <w:marTop w:val="0"/>
      <w:marBottom w:val="0"/>
      <w:divBdr>
        <w:top w:val="none" w:sz="0" w:space="0" w:color="auto"/>
        <w:left w:val="none" w:sz="0" w:space="0" w:color="auto"/>
        <w:bottom w:val="none" w:sz="0" w:space="0" w:color="auto"/>
        <w:right w:val="none" w:sz="0" w:space="0" w:color="auto"/>
      </w:divBdr>
    </w:div>
    <w:div w:id="752433954">
      <w:bodyDiv w:val="1"/>
      <w:marLeft w:val="0"/>
      <w:marRight w:val="0"/>
      <w:marTop w:val="0"/>
      <w:marBottom w:val="0"/>
      <w:divBdr>
        <w:top w:val="none" w:sz="0" w:space="0" w:color="auto"/>
        <w:left w:val="none" w:sz="0" w:space="0" w:color="auto"/>
        <w:bottom w:val="none" w:sz="0" w:space="0" w:color="auto"/>
        <w:right w:val="none" w:sz="0" w:space="0" w:color="auto"/>
      </w:divBdr>
    </w:div>
    <w:div w:id="76850037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5170678">
      <w:bodyDiv w:val="1"/>
      <w:marLeft w:val="0"/>
      <w:marRight w:val="0"/>
      <w:marTop w:val="0"/>
      <w:marBottom w:val="0"/>
      <w:divBdr>
        <w:top w:val="none" w:sz="0" w:space="0" w:color="auto"/>
        <w:left w:val="none" w:sz="0" w:space="0" w:color="auto"/>
        <w:bottom w:val="none" w:sz="0" w:space="0" w:color="auto"/>
        <w:right w:val="none" w:sz="0" w:space="0" w:color="auto"/>
      </w:divBdr>
    </w:div>
    <w:div w:id="776173496">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781654477">
      <w:bodyDiv w:val="1"/>
      <w:marLeft w:val="0"/>
      <w:marRight w:val="0"/>
      <w:marTop w:val="0"/>
      <w:marBottom w:val="0"/>
      <w:divBdr>
        <w:top w:val="none" w:sz="0" w:space="0" w:color="auto"/>
        <w:left w:val="none" w:sz="0" w:space="0" w:color="auto"/>
        <w:bottom w:val="none" w:sz="0" w:space="0" w:color="auto"/>
        <w:right w:val="none" w:sz="0" w:space="0" w:color="auto"/>
      </w:divBdr>
    </w:div>
    <w:div w:id="783571576">
      <w:bodyDiv w:val="1"/>
      <w:marLeft w:val="0"/>
      <w:marRight w:val="0"/>
      <w:marTop w:val="0"/>
      <w:marBottom w:val="0"/>
      <w:divBdr>
        <w:top w:val="none" w:sz="0" w:space="0" w:color="auto"/>
        <w:left w:val="none" w:sz="0" w:space="0" w:color="auto"/>
        <w:bottom w:val="none" w:sz="0" w:space="0" w:color="auto"/>
        <w:right w:val="none" w:sz="0" w:space="0" w:color="auto"/>
      </w:divBdr>
    </w:div>
    <w:div w:id="789475448">
      <w:bodyDiv w:val="1"/>
      <w:marLeft w:val="0"/>
      <w:marRight w:val="0"/>
      <w:marTop w:val="0"/>
      <w:marBottom w:val="0"/>
      <w:divBdr>
        <w:top w:val="none" w:sz="0" w:space="0" w:color="auto"/>
        <w:left w:val="none" w:sz="0" w:space="0" w:color="auto"/>
        <w:bottom w:val="none" w:sz="0" w:space="0" w:color="auto"/>
        <w:right w:val="none" w:sz="0" w:space="0" w:color="auto"/>
      </w:divBdr>
    </w:div>
    <w:div w:id="805704556">
      <w:bodyDiv w:val="1"/>
      <w:marLeft w:val="0"/>
      <w:marRight w:val="0"/>
      <w:marTop w:val="0"/>
      <w:marBottom w:val="0"/>
      <w:divBdr>
        <w:top w:val="none" w:sz="0" w:space="0" w:color="auto"/>
        <w:left w:val="none" w:sz="0" w:space="0" w:color="auto"/>
        <w:bottom w:val="none" w:sz="0" w:space="0" w:color="auto"/>
        <w:right w:val="none" w:sz="0" w:space="0" w:color="auto"/>
      </w:divBdr>
    </w:div>
    <w:div w:id="806047571">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0804019">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2967162">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38620982">
      <w:bodyDiv w:val="1"/>
      <w:marLeft w:val="0"/>
      <w:marRight w:val="0"/>
      <w:marTop w:val="0"/>
      <w:marBottom w:val="0"/>
      <w:divBdr>
        <w:top w:val="none" w:sz="0" w:space="0" w:color="auto"/>
        <w:left w:val="none" w:sz="0" w:space="0" w:color="auto"/>
        <w:bottom w:val="none" w:sz="0" w:space="0" w:color="auto"/>
        <w:right w:val="none" w:sz="0" w:space="0" w:color="auto"/>
      </w:divBdr>
    </w:div>
    <w:div w:id="839388048">
      <w:bodyDiv w:val="1"/>
      <w:marLeft w:val="0"/>
      <w:marRight w:val="0"/>
      <w:marTop w:val="0"/>
      <w:marBottom w:val="0"/>
      <w:divBdr>
        <w:top w:val="none" w:sz="0" w:space="0" w:color="auto"/>
        <w:left w:val="none" w:sz="0" w:space="0" w:color="auto"/>
        <w:bottom w:val="none" w:sz="0" w:space="0" w:color="auto"/>
        <w:right w:val="none" w:sz="0" w:space="0" w:color="auto"/>
      </w:divBdr>
    </w:div>
    <w:div w:id="841623821">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48444718">
      <w:bodyDiv w:val="1"/>
      <w:marLeft w:val="0"/>
      <w:marRight w:val="0"/>
      <w:marTop w:val="0"/>
      <w:marBottom w:val="0"/>
      <w:divBdr>
        <w:top w:val="none" w:sz="0" w:space="0" w:color="auto"/>
        <w:left w:val="none" w:sz="0" w:space="0" w:color="auto"/>
        <w:bottom w:val="none" w:sz="0" w:space="0" w:color="auto"/>
        <w:right w:val="none" w:sz="0" w:space="0" w:color="auto"/>
      </w:divBdr>
    </w:div>
    <w:div w:id="849484999">
      <w:bodyDiv w:val="1"/>
      <w:marLeft w:val="0"/>
      <w:marRight w:val="0"/>
      <w:marTop w:val="0"/>
      <w:marBottom w:val="0"/>
      <w:divBdr>
        <w:top w:val="none" w:sz="0" w:space="0" w:color="auto"/>
        <w:left w:val="none" w:sz="0" w:space="0" w:color="auto"/>
        <w:bottom w:val="none" w:sz="0" w:space="0" w:color="auto"/>
        <w:right w:val="none" w:sz="0" w:space="0" w:color="auto"/>
      </w:divBdr>
    </w:div>
    <w:div w:id="858355326">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889224727">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13508913">
      <w:bodyDiv w:val="1"/>
      <w:marLeft w:val="0"/>
      <w:marRight w:val="0"/>
      <w:marTop w:val="0"/>
      <w:marBottom w:val="0"/>
      <w:divBdr>
        <w:top w:val="none" w:sz="0" w:space="0" w:color="auto"/>
        <w:left w:val="none" w:sz="0" w:space="0" w:color="auto"/>
        <w:bottom w:val="none" w:sz="0" w:space="0" w:color="auto"/>
        <w:right w:val="none" w:sz="0" w:space="0" w:color="auto"/>
      </w:divBdr>
    </w:div>
    <w:div w:id="916280818">
      <w:bodyDiv w:val="1"/>
      <w:marLeft w:val="0"/>
      <w:marRight w:val="0"/>
      <w:marTop w:val="0"/>
      <w:marBottom w:val="0"/>
      <w:divBdr>
        <w:top w:val="none" w:sz="0" w:space="0" w:color="auto"/>
        <w:left w:val="none" w:sz="0" w:space="0" w:color="auto"/>
        <w:bottom w:val="none" w:sz="0" w:space="0" w:color="auto"/>
        <w:right w:val="none" w:sz="0" w:space="0" w:color="auto"/>
      </w:divBdr>
    </w:div>
    <w:div w:id="921061888">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4291126">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6157657">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3705921">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0384955">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3556812">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2370298">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1815240">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06639820">
      <w:bodyDiv w:val="1"/>
      <w:marLeft w:val="0"/>
      <w:marRight w:val="0"/>
      <w:marTop w:val="0"/>
      <w:marBottom w:val="0"/>
      <w:divBdr>
        <w:top w:val="none" w:sz="0" w:space="0" w:color="auto"/>
        <w:left w:val="none" w:sz="0" w:space="0" w:color="auto"/>
        <w:bottom w:val="none" w:sz="0" w:space="0" w:color="auto"/>
        <w:right w:val="none" w:sz="0" w:space="0" w:color="auto"/>
      </w:divBdr>
    </w:div>
    <w:div w:id="1015576220">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19551660">
      <w:bodyDiv w:val="1"/>
      <w:marLeft w:val="0"/>
      <w:marRight w:val="0"/>
      <w:marTop w:val="0"/>
      <w:marBottom w:val="0"/>
      <w:divBdr>
        <w:top w:val="none" w:sz="0" w:space="0" w:color="auto"/>
        <w:left w:val="none" w:sz="0" w:space="0" w:color="auto"/>
        <w:bottom w:val="none" w:sz="0" w:space="0" w:color="auto"/>
        <w:right w:val="none" w:sz="0" w:space="0" w:color="auto"/>
      </w:divBdr>
    </w:div>
    <w:div w:id="1031956591">
      <w:bodyDiv w:val="1"/>
      <w:marLeft w:val="0"/>
      <w:marRight w:val="0"/>
      <w:marTop w:val="0"/>
      <w:marBottom w:val="0"/>
      <w:divBdr>
        <w:top w:val="none" w:sz="0" w:space="0" w:color="auto"/>
        <w:left w:val="none" w:sz="0" w:space="0" w:color="auto"/>
        <w:bottom w:val="none" w:sz="0" w:space="0" w:color="auto"/>
        <w:right w:val="none" w:sz="0" w:space="0" w:color="auto"/>
      </w:divBdr>
    </w:div>
    <w:div w:id="1034501500">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1982422">
      <w:bodyDiv w:val="1"/>
      <w:marLeft w:val="0"/>
      <w:marRight w:val="0"/>
      <w:marTop w:val="0"/>
      <w:marBottom w:val="0"/>
      <w:divBdr>
        <w:top w:val="none" w:sz="0" w:space="0" w:color="auto"/>
        <w:left w:val="none" w:sz="0" w:space="0" w:color="auto"/>
        <w:bottom w:val="none" w:sz="0" w:space="0" w:color="auto"/>
        <w:right w:val="none" w:sz="0" w:space="0" w:color="auto"/>
      </w:divBdr>
    </w:div>
    <w:div w:id="1042750529">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5327038">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4545885">
      <w:bodyDiv w:val="1"/>
      <w:marLeft w:val="0"/>
      <w:marRight w:val="0"/>
      <w:marTop w:val="0"/>
      <w:marBottom w:val="0"/>
      <w:divBdr>
        <w:top w:val="none" w:sz="0" w:space="0" w:color="auto"/>
        <w:left w:val="none" w:sz="0" w:space="0" w:color="auto"/>
        <w:bottom w:val="none" w:sz="0" w:space="0" w:color="auto"/>
        <w:right w:val="none" w:sz="0" w:space="0" w:color="auto"/>
      </w:divBdr>
    </w:div>
    <w:div w:id="1057165245">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2756073">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76392275">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1224675">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2408341">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3204867">
      <w:bodyDiv w:val="1"/>
      <w:marLeft w:val="0"/>
      <w:marRight w:val="0"/>
      <w:marTop w:val="0"/>
      <w:marBottom w:val="0"/>
      <w:divBdr>
        <w:top w:val="none" w:sz="0" w:space="0" w:color="auto"/>
        <w:left w:val="none" w:sz="0" w:space="0" w:color="auto"/>
        <w:bottom w:val="none" w:sz="0" w:space="0" w:color="auto"/>
        <w:right w:val="none" w:sz="0" w:space="0" w:color="auto"/>
      </w:divBdr>
    </w:div>
    <w:div w:id="1183400996">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19927104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31572527">
      <w:bodyDiv w:val="1"/>
      <w:marLeft w:val="0"/>
      <w:marRight w:val="0"/>
      <w:marTop w:val="0"/>
      <w:marBottom w:val="0"/>
      <w:divBdr>
        <w:top w:val="none" w:sz="0" w:space="0" w:color="auto"/>
        <w:left w:val="none" w:sz="0" w:space="0" w:color="auto"/>
        <w:bottom w:val="none" w:sz="0" w:space="0" w:color="auto"/>
        <w:right w:val="none" w:sz="0" w:space="0" w:color="auto"/>
      </w:divBdr>
    </w:div>
    <w:div w:id="1234781330">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50120754">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64994768">
      <w:bodyDiv w:val="1"/>
      <w:marLeft w:val="0"/>
      <w:marRight w:val="0"/>
      <w:marTop w:val="0"/>
      <w:marBottom w:val="0"/>
      <w:divBdr>
        <w:top w:val="none" w:sz="0" w:space="0" w:color="auto"/>
        <w:left w:val="none" w:sz="0" w:space="0" w:color="auto"/>
        <w:bottom w:val="none" w:sz="0" w:space="0" w:color="auto"/>
        <w:right w:val="none" w:sz="0" w:space="0" w:color="auto"/>
      </w:divBdr>
    </w:div>
    <w:div w:id="1274898903">
      <w:bodyDiv w:val="1"/>
      <w:marLeft w:val="0"/>
      <w:marRight w:val="0"/>
      <w:marTop w:val="0"/>
      <w:marBottom w:val="0"/>
      <w:divBdr>
        <w:top w:val="none" w:sz="0" w:space="0" w:color="auto"/>
        <w:left w:val="none" w:sz="0" w:space="0" w:color="auto"/>
        <w:bottom w:val="none" w:sz="0" w:space="0" w:color="auto"/>
        <w:right w:val="none" w:sz="0" w:space="0" w:color="auto"/>
      </w:divBdr>
    </w:div>
    <w:div w:id="1277833610">
      <w:bodyDiv w:val="1"/>
      <w:marLeft w:val="0"/>
      <w:marRight w:val="0"/>
      <w:marTop w:val="0"/>
      <w:marBottom w:val="0"/>
      <w:divBdr>
        <w:top w:val="none" w:sz="0" w:space="0" w:color="auto"/>
        <w:left w:val="none" w:sz="0" w:space="0" w:color="auto"/>
        <w:bottom w:val="none" w:sz="0" w:space="0" w:color="auto"/>
        <w:right w:val="none" w:sz="0" w:space="0" w:color="auto"/>
      </w:divBdr>
    </w:div>
    <w:div w:id="1285189030">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0040272">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150165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12715097">
      <w:bodyDiv w:val="1"/>
      <w:marLeft w:val="0"/>
      <w:marRight w:val="0"/>
      <w:marTop w:val="0"/>
      <w:marBottom w:val="0"/>
      <w:divBdr>
        <w:top w:val="none" w:sz="0" w:space="0" w:color="auto"/>
        <w:left w:val="none" w:sz="0" w:space="0" w:color="auto"/>
        <w:bottom w:val="none" w:sz="0" w:space="0" w:color="auto"/>
        <w:right w:val="none" w:sz="0" w:space="0" w:color="auto"/>
      </w:divBdr>
    </w:div>
    <w:div w:id="1317610252">
      <w:bodyDiv w:val="1"/>
      <w:marLeft w:val="0"/>
      <w:marRight w:val="0"/>
      <w:marTop w:val="0"/>
      <w:marBottom w:val="0"/>
      <w:divBdr>
        <w:top w:val="none" w:sz="0" w:space="0" w:color="auto"/>
        <w:left w:val="none" w:sz="0" w:space="0" w:color="auto"/>
        <w:bottom w:val="none" w:sz="0" w:space="0" w:color="auto"/>
        <w:right w:val="none" w:sz="0" w:space="0" w:color="auto"/>
      </w:divBdr>
    </w:div>
    <w:div w:id="1330906010">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49211726">
      <w:bodyDiv w:val="1"/>
      <w:marLeft w:val="0"/>
      <w:marRight w:val="0"/>
      <w:marTop w:val="0"/>
      <w:marBottom w:val="0"/>
      <w:divBdr>
        <w:top w:val="none" w:sz="0" w:space="0" w:color="auto"/>
        <w:left w:val="none" w:sz="0" w:space="0" w:color="auto"/>
        <w:bottom w:val="none" w:sz="0" w:space="0" w:color="auto"/>
        <w:right w:val="none" w:sz="0" w:space="0" w:color="auto"/>
      </w:divBdr>
    </w:div>
    <w:div w:id="1351106242">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67095108">
      <w:bodyDiv w:val="1"/>
      <w:marLeft w:val="0"/>
      <w:marRight w:val="0"/>
      <w:marTop w:val="0"/>
      <w:marBottom w:val="0"/>
      <w:divBdr>
        <w:top w:val="none" w:sz="0" w:space="0" w:color="auto"/>
        <w:left w:val="none" w:sz="0" w:space="0" w:color="auto"/>
        <w:bottom w:val="none" w:sz="0" w:space="0" w:color="auto"/>
        <w:right w:val="none" w:sz="0" w:space="0" w:color="auto"/>
      </w:divBdr>
    </w:div>
    <w:div w:id="1369992474">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86642398">
      <w:bodyDiv w:val="1"/>
      <w:marLeft w:val="0"/>
      <w:marRight w:val="0"/>
      <w:marTop w:val="0"/>
      <w:marBottom w:val="0"/>
      <w:divBdr>
        <w:top w:val="none" w:sz="0" w:space="0" w:color="auto"/>
        <w:left w:val="none" w:sz="0" w:space="0" w:color="auto"/>
        <w:bottom w:val="none" w:sz="0" w:space="0" w:color="auto"/>
        <w:right w:val="none" w:sz="0" w:space="0" w:color="auto"/>
      </w:divBdr>
    </w:div>
    <w:div w:id="1390687176">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394163567">
      <w:bodyDiv w:val="1"/>
      <w:marLeft w:val="0"/>
      <w:marRight w:val="0"/>
      <w:marTop w:val="0"/>
      <w:marBottom w:val="0"/>
      <w:divBdr>
        <w:top w:val="none" w:sz="0" w:space="0" w:color="auto"/>
        <w:left w:val="none" w:sz="0" w:space="0" w:color="auto"/>
        <w:bottom w:val="none" w:sz="0" w:space="0" w:color="auto"/>
        <w:right w:val="none" w:sz="0" w:space="0" w:color="auto"/>
      </w:divBdr>
    </w:div>
    <w:div w:id="1395737049">
      <w:bodyDiv w:val="1"/>
      <w:marLeft w:val="0"/>
      <w:marRight w:val="0"/>
      <w:marTop w:val="0"/>
      <w:marBottom w:val="0"/>
      <w:divBdr>
        <w:top w:val="none" w:sz="0" w:space="0" w:color="auto"/>
        <w:left w:val="none" w:sz="0" w:space="0" w:color="auto"/>
        <w:bottom w:val="none" w:sz="0" w:space="0" w:color="auto"/>
        <w:right w:val="none" w:sz="0" w:space="0" w:color="auto"/>
      </w:divBdr>
    </w:div>
    <w:div w:id="1396053417">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5910097">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4546680">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32122796">
      <w:bodyDiv w:val="1"/>
      <w:marLeft w:val="0"/>
      <w:marRight w:val="0"/>
      <w:marTop w:val="0"/>
      <w:marBottom w:val="0"/>
      <w:divBdr>
        <w:top w:val="none" w:sz="0" w:space="0" w:color="auto"/>
        <w:left w:val="none" w:sz="0" w:space="0" w:color="auto"/>
        <w:bottom w:val="none" w:sz="0" w:space="0" w:color="auto"/>
        <w:right w:val="none" w:sz="0" w:space="0" w:color="auto"/>
      </w:divBdr>
    </w:div>
    <w:div w:id="1435127208">
      <w:bodyDiv w:val="1"/>
      <w:marLeft w:val="0"/>
      <w:marRight w:val="0"/>
      <w:marTop w:val="0"/>
      <w:marBottom w:val="0"/>
      <w:divBdr>
        <w:top w:val="none" w:sz="0" w:space="0" w:color="auto"/>
        <w:left w:val="none" w:sz="0" w:space="0" w:color="auto"/>
        <w:bottom w:val="none" w:sz="0" w:space="0" w:color="auto"/>
        <w:right w:val="none" w:sz="0" w:space="0" w:color="auto"/>
      </w:divBdr>
    </w:div>
    <w:div w:id="1436288595">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56288684">
      <w:bodyDiv w:val="1"/>
      <w:marLeft w:val="0"/>
      <w:marRight w:val="0"/>
      <w:marTop w:val="0"/>
      <w:marBottom w:val="0"/>
      <w:divBdr>
        <w:top w:val="none" w:sz="0" w:space="0" w:color="auto"/>
        <w:left w:val="none" w:sz="0" w:space="0" w:color="auto"/>
        <w:bottom w:val="none" w:sz="0" w:space="0" w:color="auto"/>
        <w:right w:val="none" w:sz="0" w:space="0" w:color="auto"/>
      </w:divBdr>
    </w:div>
    <w:div w:id="1468166343">
      <w:bodyDiv w:val="1"/>
      <w:marLeft w:val="0"/>
      <w:marRight w:val="0"/>
      <w:marTop w:val="0"/>
      <w:marBottom w:val="0"/>
      <w:divBdr>
        <w:top w:val="none" w:sz="0" w:space="0" w:color="auto"/>
        <w:left w:val="none" w:sz="0" w:space="0" w:color="auto"/>
        <w:bottom w:val="none" w:sz="0" w:space="0" w:color="auto"/>
        <w:right w:val="none" w:sz="0" w:space="0" w:color="auto"/>
      </w:divBdr>
    </w:div>
    <w:div w:id="1477188968">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18882155">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32644136">
      <w:bodyDiv w:val="1"/>
      <w:marLeft w:val="0"/>
      <w:marRight w:val="0"/>
      <w:marTop w:val="0"/>
      <w:marBottom w:val="0"/>
      <w:divBdr>
        <w:top w:val="none" w:sz="0" w:space="0" w:color="auto"/>
        <w:left w:val="none" w:sz="0" w:space="0" w:color="auto"/>
        <w:bottom w:val="none" w:sz="0" w:space="0" w:color="auto"/>
        <w:right w:val="none" w:sz="0" w:space="0" w:color="auto"/>
      </w:divBdr>
    </w:div>
    <w:div w:id="1543320698">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0771520">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1936085">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606963">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3149215">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26039118">
      <w:bodyDiv w:val="1"/>
      <w:marLeft w:val="0"/>
      <w:marRight w:val="0"/>
      <w:marTop w:val="0"/>
      <w:marBottom w:val="0"/>
      <w:divBdr>
        <w:top w:val="none" w:sz="0" w:space="0" w:color="auto"/>
        <w:left w:val="none" w:sz="0" w:space="0" w:color="auto"/>
        <w:bottom w:val="none" w:sz="0" w:space="0" w:color="auto"/>
        <w:right w:val="none" w:sz="0" w:space="0" w:color="auto"/>
      </w:divBdr>
    </w:div>
    <w:div w:id="1627009968">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373844823">
          <w:marLeft w:val="0"/>
          <w:marRight w:val="0"/>
          <w:marTop w:val="0"/>
          <w:marBottom w:val="0"/>
          <w:divBdr>
            <w:top w:val="none" w:sz="0" w:space="0" w:color="auto"/>
            <w:left w:val="none" w:sz="0" w:space="0" w:color="auto"/>
            <w:bottom w:val="none" w:sz="0" w:space="0" w:color="auto"/>
            <w:right w:val="none" w:sz="0" w:space="0" w:color="auto"/>
          </w:divBdr>
        </w:div>
        <w:div w:id="1410811761">
          <w:marLeft w:val="0"/>
          <w:marRight w:val="0"/>
          <w:marTop w:val="0"/>
          <w:marBottom w:val="0"/>
          <w:divBdr>
            <w:top w:val="none" w:sz="0" w:space="0" w:color="auto"/>
            <w:left w:val="none" w:sz="0" w:space="0" w:color="auto"/>
            <w:bottom w:val="none" w:sz="0" w:space="0" w:color="auto"/>
            <w:right w:val="none" w:sz="0" w:space="0" w:color="auto"/>
          </w:divBdr>
        </w:div>
      </w:divsChild>
    </w:div>
    <w:div w:id="1650818420">
      <w:bodyDiv w:val="1"/>
      <w:marLeft w:val="0"/>
      <w:marRight w:val="0"/>
      <w:marTop w:val="0"/>
      <w:marBottom w:val="0"/>
      <w:divBdr>
        <w:top w:val="none" w:sz="0" w:space="0" w:color="auto"/>
        <w:left w:val="none" w:sz="0" w:space="0" w:color="auto"/>
        <w:bottom w:val="none" w:sz="0" w:space="0" w:color="auto"/>
        <w:right w:val="none" w:sz="0" w:space="0" w:color="auto"/>
      </w:divBdr>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09066791">
      <w:bodyDiv w:val="1"/>
      <w:marLeft w:val="0"/>
      <w:marRight w:val="0"/>
      <w:marTop w:val="0"/>
      <w:marBottom w:val="0"/>
      <w:divBdr>
        <w:top w:val="none" w:sz="0" w:space="0" w:color="auto"/>
        <w:left w:val="none" w:sz="0" w:space="0" w:color="auto"/>
        <w:bottom w:val="none" w:sz="0" w:space="0" w:color="auto"/>
        <w:right w:val="none" w:sz="0" w:space="0" w:color="auto"/>
      </w:divBdr>
    </w:div>
    <w:div w:id="1724253245">
      <w:bodyDiv w:val="1"/>
      <w:marLeft w:val="0"/>
      <w:marRight w:val="0"/>
      <w:marTop w:val="0"/>
      <w:marBottom w:val="0"/>
      <w:divBdr>
        <w:top w:val="none" w:sz="0" w:space="0" w:color="auto"/>
        <w:left w:val="none" w:sz="0" w:space="0" w:color="auto"/>
        <w:bottom w:val="none" w:sz="0" w:space="0" w:color="auto"/>
        <w:right w:val="none" w:sz="0" w:space="0" w:color="auto"/>
      </w:divBdr>
    </w:div>
    <w:div w:id="172741525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28842208">
      <w:bodyDiv w:val="1"/>
      <w:marLeft w:val="0"/>
      <w:marRight w:val="0"/>
      <w:marTop w:val="0"/>
      <w:marBottom w:val="0"/>
      <w:divBdr>
        <w:top w:val="none" w:sz="0" w:space="0" w:color="auto"/>
        <w:left w:val="none" w:sz="0" w:space="0" w:color="auto"/>
        <w:bottom w:val="none" w:sz="0" w:space="0" w:color="auto"/>
        <w:right w:val="none" w:sz="0" w:space="0" w:color="auto"/>
      </w:divBdr>
      <w:divsChild>
        <w:div w:id="837116467">
          <w:marLeft w:val="0"/>
          <w:marRight w:val="0"/>
          <w:marTop w:val="0"/>
          <w:marBottom w:val="240"/>
          <w:divBdr>
            <w:top w:val="none" w:sz="0" w:space="0" w:color="auto"/>
            <w:left w:val="none" w:sz="0" w:space="0" w:color="auto"/>
            <w:bottom w:val="none" w:sz="0" w:space="0" w:color="auto"/>
            <w:right w:val="none" w:sz="0" w:space="0" w:color="auto"/>
          </w:divBdr>
        </w:div>
      </w:divsChild>
    </w:div>
    <w:div w:id="1734238344">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48529487">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156409">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0471002">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786928233">
      <w:bodyDiv w:val="1"/>
      <w:marLeft w:val="0"/>
      <w:marRight w:val="0"/>
      <w:marTop w:val="0"/>
      <w:marBottom w:val="0"/>
      <w:divBdr>
        <w:top w:val="none" w:sz="0" w:space="0" w:color="auto"/>
        <w:left w:val="none" w:sz="0" w:space="0" w:color="auto"/>
        <w:bottom w:val="none" w:sz="0" w:space="0" w:color="auto"/>
        <w:right w:val="none" w:sz="0" w:space="0" w:color="auto"/>
      </w:divBdr>
    </w:div>
    <w:div w:id="1790933856">
      <w:bodyDiv w:val="1"/>
      <w:marLeft w:val="0"/>
      <w:marRight w:val="0"/>
      <w:marTop w:val="0"/>
      <w:marBottom w:val="0"/>
      <w:divBdr>
        <w:top w:val="none" w:sz="0" w:space="0" w:color="auto"/>
        <w:left w:val="none" w:sz="0" w:space="0" w:color="auto"/>
        <w:bottom w:val="none" w:sz="0" w:space="0" w:color="auto"/>
        <w:right w:val="none" w:sz="0" w:space="0" w:color="auto"/>
      </w:divBdr>
    </w:div>
    <w:div w:id="179899104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30948587">
      <w:bodyDiv w:val="1"/>
      <w:marLeft w:val="0"/>
      <w:marRight w:val="0"/>
      <w:marTop w:val="0"/>
      <w:marBottom w:val="0"/>
      <w:divBdr>
        <w:top w:val="none" w:sz="0" w:space="0" w:color="auto"/>
        <w:left w:val="none" w:sz="0" w:space="0" w:color="auto"/>
        <w:bottom w:val="none" w:sz="0" w:space="0" w:color="auto"/>
        <w:right w:val="none" w:sz="0" w:space="0" w:color="auto"/>
      </w:divBdr>
    </w:div>
    <w:div w:id="1836023471">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2737727">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79463866">
      <w:bodyDiv w:val="1"/>
      <w:marLeft w:val="0"/>
      <w:marRight w:val="0"/>
      <w:marTop w:val="0"/>
      <w:marBottom w:val="0"/>
      <w:divBdr>
        <w:top w:val="none" w:sz="0" w:space="0" w:color="auto"/>
        <w:left w:val="none" w:sz="0" w:space="0" w:color="auto"/>
        <w:bottom w:val="none" w:sz="0" w:space="0" w:color="auto"/>
        <w:right w:val="none" w:sz="0" w:space="0" w:color="auto"/>
      </w:divBdr>
    </w:div>
    <w:div w:id="1881818251">
      <w:bodyDiv w:val="1"/>
      <w:marLeft w:val="0"/>
      <w:marRight w:val="0"/>
      <w:marTop w:val="0"/>
      <w:marBottom w:val="0"/>
      <w:divBdr>
        <w:top w:val="none" w:sz="0" w:space="0" w:color="auto"/>
        <w:left w:val="none" w:sz="0" w:space="0" w:color="auto"/>
        <w:bottom w:val="none" w:sz="0" w:space="0" w:color="auto"/>
        <w:right w:val="none" w:sz="0" w:space="0" w:color="auto"/>
      </w:divBdr>
    </w:div>
    <w:div w:id="1884054856">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888957380">
      <w:bodyDiv w:val="1"/>
      <w:marLeft w:val="0"/>
      <w:marRight w:val="0"/>
      <w:marTop w:val="0"/>
      <w:marBottom w:val="0"/>
      <w:divBdr>
        <w:top w:val="none" w:sz="0" w:space="0" w:color="auto"/>
        <w:left w:val="none" w:sz="0" w:space="0" w:color="auto"/>
        <w:bottom w:val="none" w:sz="0" w:space="0" w:color="auto"/>
        <w:right w:val="none" w:sz="0" w:space="0" w:color="auto"/>
      </w:divBdr>
    </w:div>
    <w:div w:id="1898470727">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17855469">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22836104">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1967421412">
      <w:bodyDiv w:val="1"/>
      <w:marLeft w:val="0"/>
      <w:marRight w:val="0"/>
      <w:marTop w:val="0"/>
      <w:marBottom w:val="0"/>
      <w:divBdr>
        <w:top w:val="none" w:sz="0" w:space="0" w:color="auto"/>
        <w:left w:val="none" w:sz="0" w:space="0" w:color="auto"/>
        <w:bottom w:val="none" w:sz="0" w:space="0" w:color="auto"/>
        <w:right w:val="none" w:sz="0" w:space="0" w:color="auto"/>
      </w:divBdr>
    </w:div>
    <w:div w:id="1975524382">
      <w:bodyDiv w:val="1"/>
      <w:marLeft w:val="0"/>
      <w:marRight w:val="0"/>
      <w:marTop w:val="0"/>
      <w:marBottom w:val="0"/>
      <w:divBdr>
        <w:top w:val="none" w:sz="0" w:space="0" w:color="auto"/>
        <w:left w:val="none" w:sz="0" w:space="0" w:color="auto"/>
        <w:bottom w:val="none" w:sz="0" w:space="0" w:color="auto"/>
        <w:right w:val="none" w:sz="0" w:space="0" w:color="auto"/>
      </w:divBdr>
    </w:div>
    <w:div w:id="1976252263">
      <w:bodyDiv w:val="1"/>
      <w:marLeft w:val="0"/>
      <w:marRight w:val="0"/>
      <w:marTop w:val="0"/>
      <w:marBottom w:val="0"/>
      <w:divBdr>
        <w:top w:val="none" w:sz="0" w:space="0" w:color="auto"/>
        <w:left w:val="none" w:sz="0" w:space="0" w:color="auto"/>
        <w:bottom w:val="none" w:sz="0" w:space="0" w:color="auto"/>
        <w:right w:val="none" w:sz="0" w:space="0" w:color="auto"/>
      </w:divBdr>
    </w:div>
    <w:div w:id="1980843059">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5205910">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0424215">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56467328">
      <w:bodyDiv w:val="1"/>
      <w:marLeft w:val="0"/>
      <w:marRight w:val="0"/>
      <w:marTop w:val="0"/>
      <w:marBottom w:val="0"/>
      <w:divBdr>
        <w:top w:val="none" w:sz="0" w:space="0" w:color="auto"/>
        <w:left w:val="none" w:sz="0" w:space="0" w:color="auto"/>
        <w:bottom w:val="none" w:sz="0" w:space="0" w:color="auto"/>
        <w:right w:val="none" w:sz="0" w:space="0" w:color="auto"/>
      </w:divBdr>
    </w:div>
    <w:div w:id="2058118260">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67532068">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180">
      <w:bodyDiv w:val="1"/>
      <w:marLeft w:val="0"/>
      <w:marRight w:val="0"/>
      <w:marTop w:val="0"/>
      <w:marBottom w:val="0"/>
      <w:divBdr>
        <w:top w:val="none" w:sz="0" w:space="0" w:color="auto"/>
        <w:left w:val="none" w:sz="0" w:space="0" w:color="auto"/>
        <w:bottom w:val="none" w:sz="0" w:space="0" w:color="auto"/>
        <w:right w:val="none" w:sz="0" w:space="0" w:color="auto"/>
      </w:divBdr>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08037381">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 w:id="2121684355">
      <w:bodyDiv w:val="1"/>
      <w:marLeft w:val="0"/>
      <w:marRight w:val="0"/>
      <w:marTop w:val="0"/>
      <w:marBottom w:val="0"/>
      <w:divBdr>
        <w:top w:val="none" w:sz="0" w:space="0" w:color="auto"/>
        <w:left w:val="none" w:sz="0" w:space="0" w:color="auto"/>
        <w:bottom w:val="none" w:sz="0" w:space="0" w:color="auto"/>
        <w:right w:val="none" w:sz="0" w:space="0" w:color="auto"/>
      </w:divBdr>
    </w:div>
    <w:div w:id="2130322244">
      <w:bodyDiv w:val="1"/>
      <w:marLeft w:val="0"/>
      <w:marRight w:val="0"/>
      <w:marTop w:val="0"/>
      <w:marBottom w:val="0"/>
      <w:divBdr>
        <w:top w:val="none" w:sz="0" w:space="0" w:color="auto"/>
        <w:left w:val="none" w:sz="0" w:space="0" w:color="auto"/>
        <w:bottom w:val="none" w:sz="0" w:space="0" w:color="auto"/>
        <w:right w:val="none" w:sz="0" w:space="0" w:color="auto"/>
      </w:divBdr>
    </w:div>
    <w:div w:id="21322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B229-7D55-40D0-ADE1-EF685C7D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11585</Words>
  <Characters>62315</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Informe Sodena-Davalor</vt:lpstr>
    </vt:vector>
  </TitlesOfParts>
  <Company>Cámara de Comptos</Company>
  <LinksUpToDate>false</LinksUpToDate>
  <CharactersWithSpaces>73753</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Sodena-Davalor</dc:title>
  <dc:creator>D801319</dc:creator>
  <cp:lastModifiedBy>Aranaz, Carlota</cp:lastModifiedBy>
  <cp:revision>3</cp:revision>
  <cp:lastPrinted>2017-05-24T07:38:00Z</cp:lastPrinted>
  <dcterms:created xsi:type="dcterms:W3CDTF">2017-05-31T10:12:00Z</dcterms:created>
  <dcterms:modified xsi:type="dcterms:W3CDTF">2017-05-31T10:16:00Z</dcterms:modified>
</cp:coreProperties>
</file>