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204979" w:rsidRDefault="00FA495F" w:rsidP="007D2657">
      <w:pPr>
        <w:pStyle w:val="EstiloPortada"/>
        <w:tabs>
          <w:tab w:val="left" w:pos="4186"/>
        </w:tabs>
        <w:ind w:left="3119" w:right="-58"/>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B7C55" w:rsidRPr="003A7956" w:rsidRDefault="005B7C55" w:rsidP="004C3423">
                            <w:pPr>
                              <w:spacing w:after="0"/>
                              <w:ind w:firstLine="0"/>
                              <w:jc w:val="center"/>
                              <w:rPr>
                                <w:sz w:val="18"/>
                                <w:szCs w:val="18"/>
                                <w:lang w:val="es-ES"/>
                              </w:rPr>
                            </w:pPr>
                            <w:r w:rsidRPr="003A7956">
                              <w:rPr>
                                <w:sz w:val="18"/>
                                <w:szCs w:val="18"/>
                                <w:lang w:val="es-ES"/>
                              </w:rPr>
                              <w:t>CAMARA DE</w:t>
                            </w:r>
                          </w:p>
                          <w:p w:rsidR="005B7C55" w:rsidRPr="003A7956" w:rsidRDefault="005B7C55" w:rsidP="004C3423">
                            <w:pPr>
                              <w:spacing w:after="0"/>
                              <w:ind w:firstLine="0"/>
                              <w:jc w:val="center"/>
                              <w:rPr>
                                <w:sz w:val="18"/>
                                <w:szCs w:val="18"/>
                                <w:lang w:val="es-ES"/>
                              </w:rPr>
                            </w:pPr>
                            <w:r w:rsidRPr="003A7956">
                              <w:rPr>
                                <w:sz w:val="18"/>
                                <w:szCs w:val="18"/>
                                <w:lang w:val="es-ES"/>
                              </w:rPr>
                              <w:t>COMPTOS</w:t>
                            </w:r>
                          </w:p>
                          <w:p w:rsidR="005B7C55" w:rsidRPr="003A7956" w:rsidRDefault="005B7C55" w:rsidP="004C3423">
                            <w:pPr>
                              <w:spacing w:after="0"/>
                              <w:ind w:firstLine="0"/>
                              <w:jc w:val="center"/>
                              <w:rPr>
                                <w:sz w:val="18"/>
                                <w:szCs w:val="18"/>
                                <w:lang w:val="es-ES"/>
                              </w:rPr>
                            </w:pPr>
                            <w:r w:rsidRPr="003A7956">
                              <w:rPr>
                                <w:sz w:val="18"/>
                                <w:szCs w:val="18"/>
                                <w:lang w:val="es-ES"/>
                              </w:rPr>
                              <w:t>DE NAVARRA</w:t>
                            </w:r>
                          </w:p>
                          <w:p w:rsidR="005B7C55" w:rsidRPr="003A7956" w:rsidRDefault="005B7C55" w:rsidP="004C3423">
                            <w:pPr>
                              <w:spacing w:after="0"/>
                              <w:ind w:firstLine="0"/>
                              <w:jc w:val="center"/>
                              <w:rPr>
                                <w:color w:val="808080"/>
                                <w:sz w:val="18"/>
                                <w:szCs w:val="18"/>
                                <w:lang w:val="es-ES"/>
                              </w:rPr>
                            </w:pPr>
                            <w:r w:rsidRPr="003A7956">
                              <w:rPr>
                                <w:color w:val="808080"/>
                                <w:sz w:val="18"/>
                                <w:szCs w:val="18"/>
                                <w:lang w:val="es-ES"/>
                              </w:rPr>
                              <w:t>NAFARROAKO</w:t>
                            </w:r>
                          </w:p>
                          <w:p w:rsidR="005B7C55" w:rsidRPr="003A7956" w:rsidRDefault="005B7C55" w:rsidP="004C3423">
                            <w:pPr>
                              <w:spacing w:after="0"/>
                              <w:ind w:firstLine="0"/>
                              <w:jc w:val="center"/>
                              <w:rPr>
                                <w:color w:val="808080"/>
                                <w:sz w:val="18"/>
                                <w:szCs w:val="18"/>
                                <w:lang w:val="es-ES"/>
                              </w:rPr>
                            </w:pPr>
                            <w:r w:rsidRPr="003A7956">
                              <w:rPr>
                                <w:color w:val="808080"/>
                                <w:sz w:val="18"/>
                                <w:szCs w:val="18"/>
                                <w:lang w:val="es-ES"/>
                              </w:rPr>
                              <w:t>KONTUEN</w:t>
                            </w:r>
                          </w:p>
                          <w:p w:rsidR="005B7C55" w:rsidRPr="003A7956" w:rsidRDefault="005B7C55" w:rsidP="004C3423">
                            <w:pPr>
                              <w:spacing w:after="0"/>
                              <w:ind w:firstLine="0"/>
                              <w:jc w:val="center"/>
                              <w:rPr>
                                <w:color w:val="808080"/>
                                <w:sz w:val="18"/>
                                <w:szCs w:val="18"/>
                                <w:lang w:val="es-ES"/>
                              </w:rPr>
                            </w:pPr>
                            <w:r w:rsidRPr="003A7956">
                              <w:rPr>
                                <w:color w:val="808080"/>
                                <w:sz w:val="18"/>
                                <w:szCs w:val="18"/>
                                <w:lang w:val="es-ES"/>
                              </w:rPr>
                              <w:t>GANBERA</w:t>
                            </w:r>
                          </w:p>
                          <w:p w:rsidR="005B7C55" w:rsidRPr="002C7026" w:rsidRDefault="005B7C55"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5B7C55" w:rsidRPr="003A7956" w:rsidRDefault="005B7C55" w:rsidP="004C3423">
                      <w:pPr>
                        <w:spacing w:after="0"/>
                        <w:ind w:firstLine="0"/>
                        <w:jc w:val="center"/>
                        <w:rPr>
                          <w:sz w:val="18"/>
                          <w:szCs w:val="18"/>
                          <w:lang w:val="es-ES"/>
                        </w:rPr>
                      </w:pPr>
                      <w:r w:rsidRPr="003A7956">
                        <w:rPr>
                          <w:sz w:val="18"/>
                          <w:szCs w:val="18"/>
                          <w:lang w:val="es-ES"/>
                        </w:rPr>
                        <w:t>CAMARA DE</w:t>
                      </w:r>
                    </w:p>
                    <w:p w:rsidR="005B7C55" w:rsidRPr="003A7956" w:rsidRDefault="005B7C55" w:rsidP="004C3423">
                      <w:pPr>
                        <w:spacing w:after="0"/>
                        <w:ind w:firstLine="0"/>
                        <w:jc w:val="center"/>
                        <w:rPr>
                          <w:sz w:val="18"/>
                          <w:szCs w:val="18"/>
                          <w:lang w:val="es-ES"/>
                        </w:rPr>
                      </w:pPr>
                      <w:r w:rsidRPr="003A7956">
                        <w:rPr>
                          <w:sz w:val="18"/>
                          <w:szCs w:val="18"/>
                          <w:lang w:val="es-ES"/>
                        </w:rPr>
                        <w:t>COMPTOS</w:t>
                      </w:r>
                    </w:p>
                    <w:p w:rsidR="005B7C55" w:rsidRPr="003A7956" w:rsidRDefault="005B7C55" w:rsidP="004C3423">
                      <w:pPr>
                        <w:spacing w:after="0"/>
                        <w:ind w:firstLine="0"/>
                        <w:jc w:val="center"/>
                        <w:rPr>
                          <w:sz w:val="18"/>
                          <w:szCs w:val="18"/>
                          <w:lang w:val="es-ES"/>
                        </w:rPr>
                      </w:pPr>
                      <w:r w:rsidRPr="003A7956">
                        <w:rPr>
                          <w:sz w:val="18"/>
                          <w:szCs w:val="18"/>
                          <w:lang w:val="es-ES"/>
                        </w:rPr>
                        <w:t>DE NAVARRA</w:t>
                      </w:r>
                    </w:p>
                    <w:p w:rsidR="005B7C55" w:rsidRPr="003A7956" w:rsidRDefault="005B7C55" w:rsidP="004C3423">
                      <w:pPr>
                        <w:spacing w:after="0"/>
                        <w:ind w:firstLine="0"/>
                        <w:jc w:val="center"/>
                        <w:rPr>
                          <w:color w:val="808080"/>
                          <w:sz w:val="18"/>
                          <w:szCs w:val="18"/>
                          <w:lang w:val="es-ES"/>
                        </w:rPr>
                      </w:pPr>
                      <w:r w:rsidRPr="003A7956">
                        <w:rPr>
                          <w:color w:val="808080"/>
                          <w:sz w:val="18"/>
                          <w:szCs w:val="18"/>
                          <w:lang w:val="es-ES"/>
                        </w:rPr>
                        <w:t>NAFARROAKO</w:t>
                      </w:r>
                    </w:p>
                    <w:p w:rsidR="005B7C55" w:rsidRPr="003A7956" w:rsidRDefault="005B7C55" w:rsidP="004C3423">
                      <w:pPr>
                        <w:spacing w:after="0"/>
                        <w:ind w:firstLine="0"/>
                        <w:jc w:val="center"/>
                        <w:rPr>
                          <w:color w:val="808080"/>
                          <w:sz w:val="18"/>
                          <w:szCs w:val="18"/>
                          <w:lang w:val="es-ES"/>
                        </w:rPr>
                      </w:pPr>
                      <w:r w:rsidRPr="003A7956">
                        <w:rPr>
                          <w:color w:val="808080"/>
                          <w:sz w:val="18"/>
                          <w:szCs w:val="18"/>
                          <w:lang w:val="es-ES"/>
                        </w:rPr>
                        <w:t>KONTUEN</w:t>
                      </w:r>
                    </w:p>
                    <w:p w:rsidR="005B7C55" w:rsidRPr="003A7956" w:rsidRDefault="005B7C55" w:rsidP="004C3423">
                      <w:pPr>
                        <w:spacing w:after="0"/>
                        <w:ind w:firstLine="0"/>
                        <w:jc w:val="center"/>
                        <w:rPr>
                          <w:color w:val="808080"/>
                          <w:sz w:val="18"/>
                          <w:szCs w:val="18"/>
                          <w:lang w:val="es-ES"/>
                        </w:rPr>
                      </w:pPr>
                      <w:r w:rsidRPr="003A7956">
                        <w:rPr>
                          <w:color w:val="808080"/>
                          <w:sz w:val="18"/>
                          <w:szCs w:val="18"/>
                          <w:lang w:val="es-ES"/>
                        </w:rPr>
                        <w:t>GANBERA</w:t>
                      </w:r>
                    </w:p>
                    <w:p w:rsidR="005B7C55" w:rsidRPr="002C7026" w:rsidRDefault="005B7C55" w:rsidP="002C7026">
                      <w:pPr>
                        <w:spacing w:after="0"/>
                        <w:ind w:firstLine="0"/>
                        <w:jc w:val="center"/>
                        <w:rPr>
                          <w:rFonts w:ascii="Trajan" w:hAnsi="Trajan"/>
                          <w:color w:val="808080"/>
                          <w:sz w:val="18"/>
                          <w:szCs w:val="18"/>
                          <w:lang w:val="es-ES"/>
                        </w:rPr>
                      </w:pPr>
                    </w:p>
                  </w:txbxContent>
                </v:textbox>
              </v:shape>
            </w:pict>
          </mc:Fallback>
        </mc:AlternateContent>
      </w:r>
    </w:p>
    <w:p w:rsidR="001C3A32" w:rsidRPr="00204F98" w:rsidRDefault="00204F98" w:rsidP="001112FB">
      <w:pPr>
        <w:pStyle w:val="EstiloPortada"/>
        <w:ind w:left="2268" w:right="-567"/>
        <w:jc w:val="right"/>
        <w:rPr>
          <w:sz w:val="56"/>
          <w:szCs w:val="56"/>
        </w:rPr>
      </w:pPr>
      <w:r w:rsidRPr="00204F98">
        <w:rPr>
          <w:sz w:val="56"/>
          <w:szCs w:val="56"/>
        </w:rPr>
        <w:t xml:space="preserve">Informe de asesoramiento sobre el reparto del déficit del </w:t>
      </w:r>
      <w:r w:rsidR="009868F9" w:rsidRPr="00204F98">
        <w:rPr>
          <w:sz w:val="56"/>
          <w:szCs w:val="56"/>
        </w:rPr>
        <w:t xml:space="preserve">Montepío </w:t>
      </w:r>
      <w:r w:rsidR="00B04729">
        <w:rPr>
          <w:sz w:val="56"/>
          <w:szCs w:val="56"/>
        </w:rPr>
        <w:t>M</w:t>
      </w:r>
      <w:r w:rsidR="009868F9" w:rsidRPr="00204F98">
        <w:rPr>
          <w:sz w:val="56"/>
          <w:szCs w:val="56"/>
        </w:rPr>
        <w:t>unicipal</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653477" w:rsidP="009936FC">
      <w:pPr>
        <w:pStyle w:val="Fechaportada"/>
      </w:pPr>
      <w:r>
        <w:t>Mayo</w:t>
      </w:r>
      <w:r w:rsidR="009868F9">
        <w:t xml:space="preserve"> de 2017</w:t>
      </w:r>
    </w:p>
    <w:p w:rsidR="008E3FFE" w:rsidRPr="001D4F09" w:rsidRDefault="008E3FFE" w:rsidP="00891D73">
      <w:pPr>
        <w:pStyle w:val="ndice"/>
        <w:rPr>
          <w:rFonts w:ascii="Times New Roman" w:hAnsi="Times New Roman"/>
        </w:rPr>
        <w:sectPr w:rsidR="008E3FFE" w:rsidRPr="001D4F09" w:rsidSect="0019660E">
          <w:headerReference w:type="even" r:id="rId9"/>
          <w:headerReference w:type="default" r:id="rId10"/>
          <w:footerReference w:type="even" r:id="rId11"/>
          <w:footerReference w:type="default" r:id="rId12"/>
          <w:headerReference w:type="first" r:id="rId13"/>
          <w:footerReference w:type="first" r:id="rId14"/>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5B11E2"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82946237" w:history="1">
        <w:r w:rsidR="005B11E2" w:rsidRPr="00415967">
          <w:rPr>
            <w:rStyle w:val="Hipervnculo"/>
            <w:noProof/>
          </w:rPr>
          <w:t>I. Introducción</w:t>
        </w:r>
        <w:r w:rsidR="005B11E2">
          <w:rPr>
            <w:noProof/>
            <w:webHidden/>
          </w:rPr>
          <w:tab/>
        </w:r>
        <w:r w:rsidR="005B11E2">
          <w:rPr>
            <w:noProof/>
            <w:webHidden/>
          </w:rPr>
          <w:fldChar w:fldCharType="begin"/>
        </w:r>
        <w:r w:rsidR="005B11E2">
          <w:rPr>
            <w:noProof/>
            <w:webHidden/>
          </w:rPr>
          <w:instrText xml:space="preserve"> PAGEREF _Toc482946237 \h </w:instrText>
        </w:r>
        <w:r w:rsidR="005B11E2">
          <w:rPr>
            <w:noProof/>
            <w:webHidden/>
          </w:rPr>
        </w:r>
        <w:r w:rsidR="005B11E2">
          <w:rPr>
            <w:noProof/>
            <w:webHidden/>
          </w:rPr>
          <w:fldChar w:fldCharType="separate"/>
        </w:r>
        <w:r w:rsidR="005B11E2">
          <w:rPr>
            <w:noProof/>
            <w:webHidden/>
          </w:rPr>
          <w:t>3</w:t>
        </w:r>
        <w:r w:rsidR="005B11E2">
          <w:rPr>
            <w:noProof/>
            <w:webHidden/>
          </w:rPr>
          <w:fldChar w:fldCharType="end"/>
        </w:r>
      </w:hyperlink>
    </w:p>
    <w:p w:rsidR="005B11E2" w:rsidRDefault="00560772">
      <w:pPr>
        <w:pStyle w:val="TDC1"/>
        <w:rPr>
          <w:rFonts w:asciiTheme="minorHAnsi" w:eastAsiaTheme="minorEastAsia" w:hAnsiTheme="minorHAnsi" w:cstheme="minorBidi"/>
          <w:smallCaps w:val="0"/>
          <w:noProof/>
          <w:szCs w:val="22"/>
          <w:lang w:val="es-ES" w:eastAsia="es-ES"/>
        </w:rPr>
      </w:pPr>
      <w:hyperlink w:anchor="_Toc482946238" w:history="1">
        <w:r w:rsidR="005B11E2" w:rsidRPr="00415967">
          <w:rPr>
            <w:rStyle w:val="Hipervnculo"/>
            <w:noProof/>
          </w:rPr>
          <w:t>II. El Montepío municipal.</w:t>
        </w:r>
        <w:r w:rsidR="005B11E2">
          <w:rPr>
            <w:noProof/>
            <w:webHidden/>
          </w:rPr>
          <w:tab/>
        </w:r>
        <w:r w:rsidR="005B11E2">
          <w:rPr>
            <w:noProof/>
            <w:webHidden/>
          </w:rPr>
          <w:fldChar w:fldCharType="begin"/>
        </w:r>
        <w:r w:rsidR="005B11E2">
          <w:rPr>
            <w:noProof/>
            <w:webHidden/>
          </w:rPr>
          <w:instrText xml:space="preserve"> PAGEREF _Toc482946238 \h </w:instrText>
        </w:r>
        <w:r w:rsidR="005B11E2">
          <w:rPr>
            <w:noProof/>
            <w:webHidden/>
          </w:rPr>
        </w:r>
        <w:r w:rsidR="005B11E2">
          <w:rPr>
            <w:noProof/>
            <w:webHidden/>
          </w:rPr>
          <w:fldChar w:fldCharType="separate"/>
        </w:r>
        <w:r w:rsidR="005B11E2">
          <w:rPr>
            <w:noProof/>
            <w:webHidden/>
          </w:rPr>
          <w:t>5</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39" w:history="1">
        <w:r w:rsidR="005B11E2" w:rsidRPr="00415967">
          <w:rPr>
            <w:rStyle w:val="Hipervnculo"/>
            <w:noProof/>
          </w:rPr>
          <w:t>II.1. Aspectos generales sobre los sistemas de pasivos (pensiones) en la Comunidad Foral</w:t>
        </w:r>
        <w:r w:rsidR="005B11E2">
          <w:rPr>
            <w:noProof/>
            <w:webHidden/>
          </w:rPr>
          <w:tab/>
        </w:r>
        <w:r w:rsidR="005B11E2">
          <w:rPr>
            <w:noProof/>
            <w:webHidden/>
          </w:rPr>
          <w:fldChar w:fldCharType="begin"/>
        </w:r>
        <w:r w:rsidR="005B11E2">
          <w:rPr>
            <w:noProof/>
            <w:webHidden/>
          </w:rPr>
          <w:instrText xml:space="preserve"> PAGEREF _Toc482946239 \h </w:instrText>
        </w:r>
        <w:r w:rsidR="005B11E2">
          <w:rPr>
            <w:noProof/>
            <w:webHidden/>
          </w:rPr>
        </w:r>
        <w:r w:rsidR="005B11E2">
          <w:rPr>
            <w:noProof/>
            <w:webHidden/>
          </w:rPr>
          <w:fldChar w:fldCharType="separate"/>
        </w:r>
        <w:r w:rsidR="005B11E2">
          <w:rPr>
            <w:noProof/>
            <w:webHidden/>
          </w:rPr>
          <w:t>5</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0" w:history="1">
        <w:r w:rsidR="005B11E2" w:rsidRPr="00415967">
          <w:rPr>
            <w:rStyle w:val="Hipervnculo"/>
            <w:noProof/>
          </w:rPr>
          <w:t>II.2. Marco regulador del Montepío Municipal</w:t>
        </w:r>
        <w:r w:rsidR="005B11E2">
          <w:rPr>
            <w:noProof/>
            <w:webHidden/>
          </w:rPr>
          <w:tab/>
        </w:r>
        <w:r w:rsidR="005B11E2">
          <w:rPr>
            <w:noProof/>
            <w:webHidden/>
          </w:rPr>
          <w:fldChar w:fldCharType="begin"/>
        </w:r>
        <w:r w:rsidR="005B11E2">
          <w:rPr>
            <w:noProof/>
            <w:webHidden/>
          </w:rPr>
          <w:instrText xml:space="preserve"> PAGEREF _Toc482946240 \h </w:instrText>
        </w:r>
        <w:r w:rsidR="005B11E2">
          <w:rPr>
            <w:noProof/>
            <w:webHidden/>
          </w:rPr>
        </w:r>
        <w:r w:rsidR="005B11E2">
          <w:rPr>
            <w:noProof/>
            <w:webHidden/>
          </w:rPr>
          <w:fldChar w:fldCharType="separate"/>
        </w:r>
        <w:r w:rsidR="005B11E2">
          <w:rPr>
            <w:noProof/>
            <w:webHidden/>
          </w:rPr>
          <w:t>6</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1" w:history="1">
        <w:r w:rsidR="005B11E2" w:rsidRPr="00415967">
          <w:rPr>
            <w:rStyle w:val="Hipervnculo"/>
            <w:noProof/>
          </w:rPr>
          <w:t>II.3. Aplicación práctica del reparto del déficit del Montepío Municipal</w:t>
        </w:r>
        <w:r w:rsidR="005B11E2">
          <w:rPr>
            <w:noProof/>
            <w:webHidden/>
          </w:rPr>
          <w:tab/>
        </w:r>
        <w:r w:rsidR="005B11E2">
          <w:rPr>
            <w:noProof/>
            <w:webHidden/>
          </w:rPr>
          <w:fldChar w:fldCharType="begin"/>
        </w:r>
        <w:r w:rsidR="005B11E2">
          <w:rPr>
            <w:noProof/>
            <w:webHidden/>
          </w:rPr>
          <w:instrText xml:space="preserve"> PAGEREF _Toc482946241 \h </w:instrText>
        </w:r>
        <w:r w:rsidR="005B11E2">
          <w:rPr>
            <w:noProof/>
            <w:webHidden/>
          </w:rPr>
        </w:r>
        <w:r w:rsidR="005B11E2">
          <w:rPr>
            <w:noProof/>
            <w:webHidden/>
          </w:rPr>
          <w:fldChar w:fldCharType="separate"/>
        </w:r>
        <w:r w:rsidR="005B11E2">
          <w:rPr>
            <w:noProof/>
            <w:webHidden/>
          </w:rPr>
          <w:t>9</w:t>
        </w:r>
        <w:r w:rsidR="005B11E2">
          <w:rPr>
            <w:noProof/>
            <w:webHidden/>
          </w:rPr>
          <w:fldChar w:fldCharType="end"/>
        </w:r>
      </w:hyperlink>
    </w:p>
    <w:p w:rsidR="005B11E2" w:rsidRDefault="00560772">
      <w:pPr>
        <w:pStyle w:val="TDC1"/>
        <w:rPr>
          <w:rFonts w:asciiTheme="minorHAnsi" w:eastAsiaTheme="minorEastAsia" w:hAnsiTheme="minorHAnsi" w:cstheme="minorBidi"/>
          <w:smallCaps w:val="0"/>
          <w:noProof/>
          <w:szCs w:val="22"/>
          <w:lang w:val="es-ES" w:eastAsia="es-ES"/>
        </w:rPr>
      </w:pPr>
      <w:hyperlink w:anchor="_Toc482946242" w:history="1">
        <w:r w:rsidR="005B11E2" w:rsidRPr="00415967">
          <w:rPr>
            <w:rStyle w:val="Hipervnculo"/>
            <w:noProof/>
          </w:rPr>
          <w:t>III. Conclusión general</w:t>
        </w:r>
        <w:r w:rsidR="005B11E2">
          <w:rPr>
            <w:noProof/>
            <w:webHidden/>
          </w:rPr>
          <w:tab/>
        </w:r>
        <w:r w:rsidR="005B11E2">
          <w:rPr>
            <w:noProof/>
            <w:webHidden/>
          </w:rPr>
          <w:fldChar w:fldCharType="begin"/>
        </w:r>
        <w:r w:rsidR="005B11E2">
          <w:rPr>
            <w:noProof/>
            <w:webHidden/>
          </w:rPr>
          <w:instrText xml:space="preserve"> PAGEREF _Toc482946242 \h </w:instrText>
        </w:r>
        <w:r w:rsidR="005B11E2">
          <w:rPr>
            <w:noProof/>
            <w:webHidden/>
          </w:rPr>
        </w:r>
        <w:r w:rsidR="005B11E2">
          <w:rPr>
            <w:noProof/>
            <w:webHidden/>
          </w:rPr>
          <w:fldChar w:fldCharType="separate"/>
        </w:r>
        <w:r w:rsidR="005B11E2">
          <w:rPr>
            <w:noProof/>
            <w:webHidden/>
          </w:rPr>
          <w:t>12</w:t>
        </w:r>
        <w:r w:rsidR="005B11E2">
          <w:rPr>
            <w:noProof/>
            <w:webHidden/>
          </w:rPr>
          <w:fldChar w:fldCharType="end"/>
        </w:r>
      </w:hyperlink>
    </w:p>
    <w:p w:rsidR="005B11E2" w:rsidRDefault="00560772">
      <w:pPr>
        <w:pStyle w:val="TDC1"/>
        <w:rPr>
          <w:rFonts w:asciiTheme="minorHAnsi" w:eastAsiaTheme="minorEastAsia" w:hAnsiTheme="minorHAnsi" w:cstheme="minorBidi"/>
          <w:smallCaps w:val="0"/>
          <w:noProof/>
          <w:szCs w:val="22"/>
          <w:lang w:val="es-ES" w:eastAsia="es-ES"/>
        </w:rPr>
      </w:pPr>
      <w:hyperlink w:anchor="_Toc482946243" w:history="1">
        <w:r w:rsidR="005B11E2" w:rsidRPr="00415967">
          <w:rPr>
            <w:rStyle w:val="Hipervnculo"/>
            <w:noProof/>
          </w:rPr>
          <w:t>IV. Conclusiones</w:t>
        </w:r>
        <w:r w:rsidR="005B11E2">
          <w:rPr>
            <w:noProof/>
            <w:webHidden/>
          </w:rPr>
          <w:tab/>
        </w:r>
        <w:r w:rsidR="005B11E2">
          <w:rPr>
            <w:noProof/>
            <w:webHidden/>
          </w:rPr>
          <w:fldChar w:fldCharType="begin"/>
        </w:r>
        <w:r w:rsidR="005B11E2">
          <w:rPr>
            <w:noProof/>
            <w:webHidden/>
          </w:rPr>
          <w:instrText xml:space="preserve"> PAGEREF _Toc482946243 \h </w:instrText>
        </w:r>
        <w:r w:rsidR="005B11E2">
          <w:rPr>
            <w:noProof/>
            <w:webHidden/>
          </w:rPr>
        </w:r>
        <w:r w:rsidR="005B11E2">
          <w:rPr>
            <w:noProof/>
            <w:webHidden/>
          </w:rPr>
          <w:fldChar w:fldCharType="separate"/>
        </w:r>
        <w:r w:rsidR="005B11E2">
          <w:rPr>
            <w:noProof/>
            <w:webHidden/>
          </w:rPr>
          <w:t>14</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4" w:history="1">
        <w:r w:rsidR="005B11E2" w:rsidRPr="00415967">
          <w:rPr>
            <w:rStyle w:val="Hipervnculo"/>
            <w:noProof/>
          </w:rPr>
          <w:t>IV.1. Aspectos generales</w:t>
        </w:r>
        <w:r w:rsidR="005B11E2">
          <w:rPr>
            <w:noProof/>
            <w:webHidden/>
          </w:rPr>
          <w:tab/>
        </w:r>
        <w:r w:rsidR="005B11E2">
          <w:rPr>
            <w:noProof/>
            <w:webHidden/>
          </w:rPr>
          <w:fldChar w:fldCharType="begin"/>
        </w:r>
        <w:r w:rsidR="005B11E2">
          <w:rPr>
            <w:noProof/>
            <w:webHidden/>
          </w:rPr>
          <w:instrText xml:space="preserve"> PAGEREF _Toc482946244 \h </w:instrText>
        </w:r>
        <w:r w:rsidR="005B11E2">
          <w:rPr>
            <w:noProof/>
            <w:webHidden/>
          </w:rPr>
        </w:r>
        <w:r w:rsidR="005B11E2">
          <w:rPr>
            <w:noProof/>
            <w:webHidden/>
          </w:rPr>
          <w:fldChar w:fldCharType="separate"/>
        </w:r>
        <w:r w:rsidR="005B11E2">
          <w:rPr>
            <w:noProof/>
            <w:webHidden/>
          </w:rPr>
          <w:t>14</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5" w:history="1">
        <w:r w:rsidR="005B11E2" w:rsidRPr="00415967">
          <w:rPr>
            <w:rStyle w:val="Hipervnculo"/>
            <w:noProof/>
          </w:rPr>
          <w:t>IV.2. Sobre los datos generales</w:t>
        </w:r>
        <w:r w:rsidR="005B11E2">
          <w:rPr>
            <w:noProof/>
            <w:webHidden/>
          </w:rPr>
          <w:tab/>
        </w:r>
        <w:r w:rsidR="005B11E2">
          <w:rPr>
            <w:noProof/>
            <w:webHidden/>
          </w:rPr>
          <w:fldChar w:fldCharType="begin"/>
        </w:r>
        <w:r w:rsidR="005B11E2">
          <w:rPr>
            <w:noProof/>
            <w:webHidden/>
          </w:rPr>
          <w:instrText xml:space="preserve"> PAGEREF _Toc482946245 \h </w:instrText>
        </w:r>
        <w:r w:rsidR="005B11E2">
          <w:rPr>
            <w:noProof/>
            <w:webHidden/>
          </w:rPr>
        </w:r>
        <w:r w:rsidR="005B11E2">
          <w:rPr>
            <w:noProof/>
            <w:webHidden/>
          </w:rPr>
          <w:fldChar w:fldCharType="separate"/>
        </w:r>
        <w:r w:rsidR="005B11E2">
          <w:rPr>
            <w:noProof/>
            <w:webHidden/>
          </w:rPr>
          <w:t>14</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6" w:history="1">
        <w:r w:rsidR="005B11E2" w:rsidRPr="00415967">
          <w:rPr>
            <w:rStyle w:val="Hipervnculo"/>
            <w:noProof/>
          </w:rPr>
          <w:t>IV.3. Sobre el efecto de los activos en el reparto del déficit</w:t>
        </w:r>
        <w:r w:rsidR="005B11E2">
          <w:rPr>
            <w:noProof/>
            <w:webHidden/>
          </w:rPr>
          <w:tab/>
        </w:r>
        <w:r w:rsidR="005B11E2">
          <w:rPr>
            <w:noProof/>
            <w:webHidden/>
          </w:rPr>
          <w:fldChar w:fldCharType="begin"/>
        </w:r>
        <w:r w:rsidR="005B11E2">
          <w:rPr>
            <w:noProof/>
            <w:webHidden/>
          </w:rPr>
          <w:instrText xml:space="preserve"> PAGEREF _Toc482946246 \h </w:instrText>
        </w:r>
        <w:r w:rsidR="005B11E2">
          <w:rPr>
            <w:noProof/>
            <w:webHidden/>
          </w:rPr>
        </w:r>
        <w:r w:rsidR="005B11E2">
          <w:rPr>
            <w:noProof/>
            <w:webHidden/>
          </w:rPr>
          <w:fldChar w:fldCharType="separate"/>
        </w:r>
        <w:r w:rsidR="005B11E2">
          <w:rPr>
            <w:noProof/>
            <w:webHidden/>
          </w:rPr>
          <w:t>19</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7" w:history="1">
        <w:r w:rsidR="005B11E2" w:rsidRPr="00415967">
          <w:rPr>
            <w:rStyle w:val="Hipervnculo"/>
            <w:noProof/>
          </w:rPr>
          <w:t>IV.4. Sobre la financiación de todos los Montepíos Municipales</w:t>
        </w:r>
        <w:r w:rsidR="005B11E2">
          <w:rPr>
            <w:noProof/>
            <w:webHidden/>
          </w:rPr>
          <w:tab/>
        </w:r>
        <w:r w:rsidR="005B11E2">
          <w:rPr>
            <w:noProof/>
            <w:webHidden/>
          </w:rPr>
          <w:fldChar w:fldCharType="begin"/>
        </w:r>
        <w:r w:rsidR="005B11E2">
          <w:rPr>
            <w:noProof/>
            <w:webHidden/>
          </w:rPr>
          <w:instrText xml:space="preserve"> PAGEREF _Toc482946247 \h </w:instrText>
        </w:r>
        <w:r w:rsidR="005B11E2">
          <w:rPr>
            <w:noProof/>
            <w:webHidden/>
          </w:rPr>
        </w:r>
        <w:r w:rsidR="005B11E2">
          <w:rPr>
            <w:noProof/>
            <w:webHidden/>
          </w:rPr>
          <w:fldChar w:fldCharType="separate"/>
        </w:r>
        <w:r w:rsidR="005B11E2">
          <w:rPr>
            <w:noProof/>
            <w:webHidden/>
          </w:rPr>
          <w:t>21</w:t>
        </w:r>
        <w:r w:rsidR="005B11E2">
          <w:rPr>
            <w:noProof/>
            <w:webHidden/>
          </w:rPr>
          <w:fldChar w:fldCharType="end"/>
        </w:r>
      </w:hyperlink>
    </w:p>
    <w:p w:rsidR="005B11E2" w:rsidRDefault="00560772">
      <w:pPr>
        <w:pStyle w:val="TDC2"/>
        <w:rPr>
          <w:rFonts w:asciiTheme="minorHAnsi" w:eastAsiaTheme="minorEastAsia" w:hAnsiTheme="minorHAnsi" w:cstheme="minorBidi"/>
          <w:noProof/>
          <w:szCs w:val="22"/>
          <w:lang w:val="es-ES" w:eastAsia="es-ES"/>
        </w:rPr>
      </w:pPr>
      <w:hyperlink w:anchor="_Toc482946248" w:history="1">
        <w:r w:rsidR="005B11E2" w:rsidRPr="00415967">
          <w:rPr>
            <w:rStyle w:val="Hipervnculo"/>
            <w:noProof/>
          </w:rPr>
          <w:t>IV.5. Estimaciones sobre posibles alternativas</w:t>
        </w:r>
        <w:r w:rsidR="005B11E2">
          <w:rPr>
            <w:noProof/>
            <w:webHidden/>
          </w:rPr>
          <w:tab/>
        </w:r>
        <w:r w:rsidR="005B11E2">
          <w:rPr>
            <w:noProof/>
            <w:webHidden/>
          </w:rPr>
          <w:fldChar w:fldCharType="begin"/>
        </w:r>
        <w:r w:rsidR="005B11E2">
          <w:rPr>
            <w:noProof/>
            <w:webHidden/>
          </w:rPr>
          <w:instrText xml:space="preserve"> PAGEREF _Toc482946248 \h </w:instrText>
        </w:r>
        <w:r w:rsidR="005B11E2">
          <w:rPr>
            <w:noProof/>
            <w:webHidden/>
          </w:rPr>
        </w:r>
        <w:r w:rsidR="005B11E2">
          <w:rPr>
            <w:noProof/>
            <w:webHidden/>
          </w:rPr>
          <w:fldChar w:fldCharType="separate"/>
        </w:r>
        <w:r w:rsidR="005B11E2">
          <w:rPr>
            <w:noProof/>
            <w:webHidden/>
          </w:rPr>
          <w:t>22</w:t>
        </w:r>
        <w:r w:rsidR="005B11E2">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9868F9" w:rsidRPr="009868F9" w:rsidRDefault="009868F9" w:rsidP="009868F9">
      <w:pPr>
        <w:pStyle w:val="atitulo1"/>
      </w:pPr>
      <w:bookmarkStart w:id="1" w:name="_Toc474824513"/>
      <w:bookmarkStart w:id="2" w:name="_Toc482946237"/>
      <w:r w:rsidRPr="009868F9">
        <w:lastRenderedPageBreak/>
        <w:t>I. Introducción</w:t>
      </w:r>
      <w:bookmarkEnd w:id="1"/>
      <w:bookmarkEnd w:id="2"/>
    </w:p>
    <w:p w:rsidR="009868F9" w:rsidRPr="009868F9" w:rsidRDefault="009868F9" w:rsidP="009868F9">
      <w:pPr>
        <w:pStyle w:val="texto"/>
        <w:rPr>
          <w:szCs w:val="26"/>
        </w:rPr>
      </w:pPr>
      <w:r w:rsidRPr="009868F9">
        <w:rPr>
          <w:szCs w:val="26"/>
        </w:rPr>
        <w:t>El 17 de octubre de 2016 tuvo entrada en el registro de la Cámara de Co</w:t>
      </w:r>
      <w:r w:rsidRPr="009868F9">
        <w:rPr>
          <w:szCs w:val="26"/>
        </w:rPr>
        <w:t>m</w:t>
      </w:r>
      <w:r w:rsidRPr="009868F9">
        <w:rPr>
          <w:szCs w:val="26"/>
        </w:rPr>
        <w:t>ptos de Navarra el Acuerdo del pleno del Ayuntamiento de Estella</w:t>
      </w:r>
      <w:r w:rsidR="003054E0">
        <w:rPr>
          <w:szCs w:val="26"/>
        </w:rPr>
        <w:t>,</w:t>
      </w:r>
      <w:r w:rsidR="007D2657">
        <w:rPr>
          <w:szCs w:val="26"/>
        </w:rPr>
        <w:t xml:space="preserve"> de 6 de o</w:t>
      </w:r>
      <w:r w:rsidR="007D2657">
        <w:rPr>
          <w:szCs w:val="26"/>
        </w:rPr>
        <w:t>c</w:t>
      </w:r>
      <w:r w:rsidR="007D2657">
        <w:rPr>
          <w:szCs w:val="26"/>
        </w:rPr>
        <w:t>tubre</w:t>
      </w:r>
      <w:r w:rsidR="003054E0">
        <w:rPr>
          <w:szCs w:val="26"/>
        </w:rPr>
        <w:t>,</w:t>
      </w:r>
      <w:r w:rsidR="007D2657">
        <w:rPr>
          <w:szCs w:val="26"/>
        </w:rPr>
        <w:t xml:space="preserve"> </w:t>
      </w:r>
      <w:r w:rsidRPr="009868F9">
        <w:rPr>
          <w:szCs w:val="26"/>
        </w:rPr>
        <w:t>por el que solicita a la Cámara un informe sobre el reparto del déficit del Montepío</w:t>
      </w:r>
      <w:r w:rsidR="007D2657">
        <w:rPr>
          <w:szCs w:val="26"/>
        </w:rPr>
        <w:t xml:space="preserve"> General de Funcionarios Municipales de Navarra</w:t>
      </w:r>
      <w:r w:rsidRPr="009868F9">
        <w:rPr>
          <w:szCs w:val="26"/>
        </w:rPr>
        <w:t xml:space="preserve"> y su repercusión a futuro en los presupuestos municipales.</w:t>
      </w:r>
    </w:p>
    <w:p w:rsidR="009868F9" w:rsidRPr="009868F9" w:rsidRDefault="00FB5574" w:rsidP="009868F9">
      <w:pPr>
        <w:pStyle w:val="texto"/>
        <w:rPr>
          <w:szCs w:val="26"/>
        </w:rPr>
      </w:pPr>
      <w:r>
        <w:rPr>
          <w:szCs w:val="26"/>
        </w:rPr>
        <w:t xml:space="preserve">El 27 de octubre tuvo entrada en el registro de la Cámara el acuerdo de la Junta de Portavoces del </w:t>
      </w:r>
      <w:r w:rsidR="009868F9" w:rsidRPr="009868F9">
        <w:rPr>
          <w:szCs w:val="26"/>
        </w:rPr>
        <w:t xml:space="preserve">Parlamento de Navarra </w:t>
      </w:r>
      <w:r>
        <w:rPr>
          <w:szCs w:val="26"/>
        </w:rPr>
        <w:t xml:space="preserve">del día </w:t>
      </w:r>
      <w:r w:rsidR="009868F9" w:rsidRPr="009868F9">
        <w:rPr>
          <w:szCs w:val="26"/>
        </w:rPr>
        <w:t>24 de octubre</w:t>
      </w:r>
      <w:r>
        <w:rPr>
          <w:szCs w:val="26"/>
        </w:rPr>
        <w:t>, a petición del Grupo Parlamentario Unión del Pueblo Navarro,</w:t>
      </w:r>
      <w:r w:rsidR="009868F9" w:rsidRPr="009868F9">
        <w:rPr>
          <w:szCs w:val="26"/>
        </w:rPr>
        <w:t xml:space="preserve"> por </w:t>
      </w:r>
      <w:r>
        <w:rPr>
          <w:szCs w:val="26"/>
        </w:rPr>
        <w:t xml:space="preserve">el que </w:t>
      </w:r>
      <w:r w:rsidR="009868F9" w:rsidRPr="009868F9">
        <w:rPr>
          <w:i/>
          <w:szCs w:val="26"/>
        </w:rPr>
        <w:t>“solicita a la Cámara de Comptos de Navarra la emisión de un informe de fiscalización s</w:t>
      </w:r>
      <w:r w:rsidR="009868F9" w:rsidRPr="009868F9">
        <w:rPr>
          <w:i/>
          <w:szCs w:val="26"/>
        </w:rPr>
        <w:t>o</w:t>
      </w:r>
      <w:r w:rsidR="009868F9" w:rsidRPr="009868F9">
        <w:rPr>
          <w:i/>
          <w:szCs w:val="26"/>
        </w:rPr>
        <w:t>bre la situación actual del Montepío y sobre cómo solventar la problemática actual de los ayuntamientos en relación al mismo.”</w:t>
      </w:r>
    </w:p>
    <w:p w:rsidR="009868F9" w:rsidRPr="009868F9" w:rsidRDefault="009868F9" w:rsidP="009868F9">
      <w:pPr>
        <w:pStyle w:val="texto"/>
        <w:rPr>
          <w:szCs w:val="26"/>
        </w:rPr>
      </w:pPr>
      <w:r w:rsidRPr="009868F9">
        <w:rPr>
          <w:szCs w:val="26"/>
        </w:rPr>
        <w:t>El Ayuntamiento de Estella en su acuerdo presenta unos datos con la evol</w:t>
      </w:r>
      <w:r w:rsidRPr="009868F9">
        <w:rPr>
          <w:szCs w:val="26"/>
        </w:rPr>
        <w:t>u</w:t>
      </w:r>
      <w:r w:rsidRPr="009868F9">
        <w:rPr>
          <w:szCs w:val="26"/>
        </w:rPr>
        <w:t xml:space="preserve">ción del reparto del déficit en los tres últimos años y su incidencia en Estella. La petición del Parlamento no aporta ningún otro dato. </w:t>
      </w:r>
    </w:p>
    <w:p w:rsidR="009868F9" w:rsidRDefault="009868F9" w:rsidP="009868F9">
      <w:pPr>
        <w:pStyle w:val="texto"/>
        <w:rPr>
          <w:szCs w:val="26"/>
        </w:rPr>
      </w:pPr>
      <w:r w:rsidRPr="009868F9">
        <w:rPr>
          <w:szCs w:val="26"/>
        </w:rPr>
        <w:t>Al objeto de dar cumplimiento a esta</w:t>
      </w:r>
      <w:r w:rsidR="00DE4FFE">
        <w:rPr>
          <w:szCs w:val="26"/>
        </w:rPr>
        <w:t>s</w:t>
      </w:r>
      <w:r w:rsidRPr="009868F9">
        <w:rPr>
          <w:szCs w:val="26"/>
        </w:rPr>
        <w:t xml:space="preserve"> petici</w:t>
      </w:r>
      <w:r w:rsidR="00DE4FFE">
        <w:rPr>
          <w:szCs w:val="26"/>
        </w:rPr>
        <w:t>ones</w:t>
      </w:r>
      <w:r w:rsidRPr="009868F9">
        <w:rPr>
          <w:szCs w:val="26"/>
        </w:rPr>
        <w:t>, se incluyó en el programa</w:t>
      </w:r>
      <w:r w:rsidR="0077337B">
        <w:rPr>
          <w:szCs w:val="26"/>
        </w:rPr>
        <w:t xml:space="preserve"> </w:t>
      </w:r>
      <w:r w:rsidRPr="009868F9">
        <w:rPr>
          <w:szCs w:val="26"/>
        </w:rPr>
        <w:t xml:space="preserve">anual </w:t>
      </w:r>
      <w:r w:rsidR="001871FB">
        <w:rPr>
          <w:szCs w:val="26"/>
        </w:rPr>
        <w:t xml:space="preserve">de trabajo </w:t>
      </w:r>
      <w:r w:rsidRPr="009868F9">
        <w:rPr>
          <w:szCs w:val="26"/>
        </w:rPr>
        <w:t>de la Cámara de Comptos para el año 2017 la realización</w:t>
      </w:r>
      <w:r w:rsidR="0077337B">
        <w:rPr>
          <w:szCs w:val="26"/>
        </w:rPr>
        <w:t xml:space="preserve"> </w:t>
      </w:r>
      <w:r w:rsidRPr="009868F9">
        <w:rPr>
          <w:szCs w:val="26"/>
        </w:rPr>
        <w:t xml:space="preserve">de este </w:t>
      </w:r>
      <w:r w:rsidR="001871FB">
        <w:rPr>
          <w:szCs w:val="26"/>
        </w:rPr>
        <w:t>informe de asesoramiento</w:t>
      </w:r>
      <w:r w:rsidRPr="009868F9">
        <w:rPr>
          <w:szCs w:val="26"/>
        </w:rPr>
        <w:t>.</w:t>
      </w:r>
    </w:p>
    <w:p w:rsidR="00DE4FFE" w:rsidRPr="009868F9" w:rsidRDefault="00DE4FFE" w:rsidP="00DE4FFE">
      <w:pPr>
        <w:pStyle w:val="texto"/>
        <w:rPr>
          <w:szCs w:val="26"/>
        </w:rPr>
      </w:pPr>
      <w:r w:rsidRPr="009868F9">
        <w:rPr>
          <w:szCs w:val="26"/>
        </w:rPr>
        <w:t>E</w:t>
      </w:r>
      <w:r>
        <w:rPr>
          <w:szCs w:val="26"/>
        </w:rPr>
        <w:t>l</w:t>
      </w:r>
      <w:r w:rsidRPr="009868F9">
        <w:rPr>
          <w:szCs w:val="26"/>
        </w:rPr>
        <w:t xml:space="preserve"> déficit del Montepío municipal se sitúa en los últimos diez años en una media de</w:t>
      </w:r>
      <w:r w:rsidR="008A7BD1">
        <w:rPr>
          <w:szCs w:val="26"/>
        </w:rPr>
        <w:t xml:space="preserve"> </w:t>
      </w:r>
      <w:r w:rsidRPr="009868F9">
        <w:rPr>
          <w:szCs w:val="26"/>
        </w:rPr>
        <w:t>18 millones de euros anuales.</w:t>
      </w:r>
    </w:p>
    <w:p w:rsidR="009868F9" w:rsidRDefault="00DE4FFE" w:rsidP="009868F9">
      <w:pPr>
        <w:pStyle w:val="texto"/>
        <w:rPr>
          <w:szCs w:val="26"/>
        </w:rPr>
      </w:pPr>
      <w:r>
        <w:rPr>
          <w:szCs w:val="26"/>
        </w:rPr>
        <w:t>L</w:t>
      </w:r>
      <w:r w:rsidR="009868F9" w:rsidRPr="009868F9">
        <w:rPr>
          <w:szCs w:val="26"/>
        </w:rPr>
        <w:t xml:space="preserve">a Cámara de Comptos de Navarra ha emitido varios informes en los que se analizaba la problemática general de los montepíos de </w:t>
      </w:r>
      <w:r w:rsidR="00657D2F">
        <w:rPr>
          <w:szCs w:val="26"/>
        </w:rPr>
        <w:t>funcionarios de las A</w:t>
      </w:r>
      <w:r w:rsidR="009868F9" w:rsidRPr="009868F9">
        <w:rPr>
          <w:szCs w:val="26"/>
        </w:rPr>
        <w:t>d</w:t>
      </w:r>
      <w:r w:rsidR="009868F9" w:rsidRPr="009868F9">
        <w:rPr>
          <w:szCs w:val="26"/>
        </w:rPr>
        <w:t>ministraciones públicas de Navarra</w:t>
      </w:r>
      <w:r w:rsidR="009868F9" w:rsidRPr="009868F9">
        <w:rPr>
          <w:szCs w:val="26"/>
          <w:vertAlign w:val="superscript"/>
        </w:rPr>
        <w:footnoteReference w:id="1"/>
      </w:r>
      <w:r w:rsidR="009868F9" w:rsidRPr="009868F9">
        <w:rPr>
          <w:szCs w:val="26"/>
          <w:vertAlign w:val="superscript"/>
        </w:rPr>
        <w:t>,</w:t>
      </w:r>
      <w:r w:rsidR="009868F9" w:rsidRPr="009868F9">
        <w:rPr>
          <w:szCs w:val="26"/>
        </w:rPr>
        <w:t xml:space="preserve"> la gestión de la nómina del personal pas</w:t>
      </w:r>
      <w:r w:rsidR="009868F9" w:rsidRPr="009868F9">
        <w:rPr>
          <w:szCs w:val="26"/>
        </w:rPr>
        <w:t>i</w:t>
      </w:r>
      <w:r w:rsidR="009868F9" w:rsidRPr="009868F9">
        <w:rPr>
          <w:szCs w:val="26"/>
        </w:rPr>
        <w:t>vo adscrito a los Montepíos de la Administración de la Comunidad Foral y G</w:t>
      </w:r>
      <w:r w:rsidR="009868F9" w:rsidRPr="009868F9">
        <w:rPr>
          <w:szCs w:val="26"/>
        </w:rPr>
        <w:t>e</w:t>
      </w:r>
      <w:r w:rsidR="009868F9" w:rsidRPr="009868F9">
        <w:rPr>
          <w:szCs w:val="26"/>
        </w:rPr>
        <w:t>neral Municipal (2005)</w:t>
      </w:r>
      <w:r w:rsidR="00062C69">
        <w:rPr>
          <w:rStyle w:val="Refdenotaalpie"/>
          <w:szCs w:val="26"/>
        </w:rPr>
        <w:footnoteReference w:id="2"/>
      </w:r>
      <w:r w:rsidR="009868F9" w:rsidRPr="009868F9">
        <w:rPr>
          <w:szCs w:val="26"/>
        </w:rPr>
        <w:t xml:space="preserve"> y un Análisis del Montepío municipal realizado en el informe sobre el Sector Público Local, ejercicio 2003</w:t>
      </w:r>
      <w:r w:rsidR="00062C69">
        <w:rPr>
          <w:rStyle w:val="Refdenotaalpie"/>
          <w:szCs w:val="26"/>
        </w:rPr>
        <w:footnoteReference w:id="3"/>
      </w:r>
      <w:r w:rsidR="009868F9" w:rsidRPr="009868F9">
        <w:rPr>
          <w:szCs w:val="26"/>
        </w:rPr>
        <w:t>.</w:t>
      </w:r>
    </w:p>
    <w:p w:rsidR="001871FB" w:rsidRDefault="001871FB" w:rsidP="009868F9">
      <w:pPr>
        <w:pStyle w:val="texto"/>
        <w:rPr>
          <w:szCs w:val="26"/>
        </w:rPr>
      </w:pPr>
      <w:r>
        <w:rPr>
          <w:szCs w:val="26"/>
        </w:rPr>
        <w:t>Para realizar el trabajo hemos analizado, además de los informes de la C</w:t>
      </w:r>
      <w:r>
        <w:rPr>
          <w:szCs w:val="26"/>
        </w:rPr>
        <w:t>á</w:t>
      </w:r>
      <w:r>
        <w:rPr>
          <w:szCs w:val="26"/>
        </w:rPr>
        <w:t>mara de Comptos ya citados,</w:t>
      </w:r>
      <w:r w:rsidR="00AA6ADB">
        <w:rPr>
          <w:szCs w:val="26"/>
        </w:rPr>
        <w:t xml:space="preserve"> </w:t>
      </w:r>
      <w:r>
        <w:rPr>
          <w:szCs w:val="26"/>
        </w:rPr>
        <w:t>la normativa del Montepío, los repartos del déficit entre los ayuntamientos desde el año 2005 y efectuado una serie de estimaci</w:t>
      </w:r>
      <w:r>
        <w:rPr>
          <w:szCs w:val="26"/>
        </w:rPr>
        <w:t>o</w:t>
      </w:r>
      <w:r>
        <w:rPr>
          <w:szCs w:val="26"/>
        </w:rPr>
        <w:t>nes sobre cómo sería el reparto del déficit del Montepío a partir de diversas a</w:t>
      </w:r>
      <w:r>
        <w:rPr>
          <w:szCs w:val="26"/>
        </w:rPr>
        <w:t>l</w:t>
      </w:r>
      <w:r>
        <w:rPr>
          <w:szCs w:val="26"/>
        </w:rPr>
        <w:t>ternativas. Para determinadas cuestiones hemos considerado también los Mo</w:t>
      </w:r>
      <w:r>
        <w:rPr>
          <w:szCs w:val="26"/>
        </w:rPr>
        <w:t>n</w:t>
      </w:r>
      <w:r>
        <w:rPr>
          <w:szCs w:val="26"/>
        </w:rPr>
        <w:t>tepíos propios de los ayuntamientos de Pamplona, Tafalla y Tudela.</w:t>
      </w:r>
    </w:p>
    <w:p w:rsidR="006C2A28" w:rsidRDefault="001871FB" w:rsidP="009868F9">
      <w:pPr>
        <w:pStyle w:val="texto"/>
        <w:rPr>
          <w:szCs w:val="26"/>
        </w:rPr>
      </w:pPr>
      <w:r>
        <w:rPr>
          <w:szCs w:val="26"/>
        </w:rPr>
        <w:t xml:space="preserve">Conviene precisar que nuestro análisis se ha centrado en la forma en que se </w:t>
      </w:r>
      <w:r w:rsidR="00445804">
        <w:rPr>
          <w:szCs w:val="26"/>
        </w:rPr>
        <w:t>de</w:t>
      </w:r>
      <w:r>
        <w:rPr>
          <w:szCs w:val="26"/>
        </w:rPr>
        <w:t>termina el déficit y su posterior reparto</w:t>
      </w:r>
      <w:r w:rsidR="006C2A28">
        <w:rPr>
          <w:szCs w:val="26"/>
        </w:rPr>
        <w:t>.</w:t>
      </w:r>
    </w:p>
    <w:p w:rsidR="001871FB" w:rsidRDefault="001871FB" w:rsidP="009868F9">
      <w:pPr>
        <w:pStyle w:val="texto"/>
        <w:rPr>
          <w:szCs w:val="26"/>
        </w:rPr>
      </w:pPr>
      <w:r>
        <w:rPr>
          <w:szCs w:val="26"/>
        </w:rPr>
        <w:lastRenderedPageBreak/>
        <w:t>El informe se estructura en cuatro epígrafes incluyendo esta introducción. En el segundo se presenta una descripción general del Montepío Municipal: const</w:t>
      </w:r>
      <w:r>
        <w:rPr>
          <w:szCs w:val="26"/>
        </w:rPr>
        <w:t>i</w:t>
      </w:r>
      <w:r>
        <w:rPr>
          <w:szCs w:val="26"/>
        </w:rPr>
        <w:t>tución, funcionamiento y sistema del reparto del déficit entre los ayuntamie</w:t>
      </w:r>
      <w:r>
        <w:rPr>
          <w:szCs w:val="26"/>
        </w:rPr>
        <w:t>n</w:t>
      </w:r>
      <w:r>
        <w:rPr>
          <w:szCs w:val="26"/>
        </w:rPr>
        <w:t>tos. En el tercero se expone un resumen general del trabajo. Finalmente</w:t>
      </w:r>
      <w:r w:rsidR="003054E0">
        <w:rPr>
          <w:szCs w:val="26"/>
        </w:rPr>
        <w:t>,</w:t>
      </w:r>
      <w:r>
        <w:rPr>
          <w:szCs w:val="26"/>
        </w:rPr>
        <w:t xml:space="preserve"> en el cuarto reflejamos las conclusiones a las que hemos llegado en el desarrollo del trabajo.</w:t>
      </w:r>
    </w:p>
    <w:p w:rsidR="001871FB" w:rsidRDefault="001871FB" w:rsidP="009868F9">
      <w:pPr>
        <w:pStyle w:val="texto"/>
        <w:rPr>
          <w:szCs w:val="26"/>
        </w:rPr>
      </w:pPr>
      <w:r>
        <w:rPr>
          <w:szCs w:val="26"/>
        </w:rPr>
        <w:t xml:space="preserve">El trabajo de campo </w:t>
      </w:r>
      <w:r w:rsidR="003054E0">
        <w:rPr>
          <w:szCs w:val="26"/>
        </w:rPr>
        <w:t>lo</w:t>
      </w:r>
      <w:r>
        <w:rPr>
          <w:szCs w:val="26"/>
        </w:rPr>
        <w:t xml:space="preserve"> ejecutó entre los meses de febrero y abril un equipo integrado por una técnica de auditoría y un auditor, con la colaboración de los servicios jurídicos, informáticos y administrativos de la Cámara de Comptos.</w:t>
      </w:r>
    </w:p>
    <w:p w:rsidR="001871FB" w:rsidRDefault="001871FB" w:rsidP="009868F9">
      <w:pPr>
        <w:pStyle w:val="texto"/>
        <w:rPr>
          <w:szCs w:val="26"/>
        </w:rPr>
      </w:pPr>
      <w:r>
        <w:rPr>
          <w:szCs w:val="26"/>
        </w:rPr>
        <w:t>Agradecemos al personal del Servicio de Prestaciones Sociales de la Dire</w:t>
      </w:r>
      <w:r>
        <w:rPr>
          <w:szCs w:val="26"/>
        </w:rPr>
        <w:t>c</w:t>
      </w:r>
      <w:r>
        <w:rPr>
          <w:szCs w:val="26"/>
        </w:rPr>
        <w:t>ción General de Función Pública del Departamento de Presidencia, Función Pública, Interior y Justicia la colaboración prestada para la realización del pr</w:t>
      </w:r>
      <w:r>
        <w:rPr>
          <w:szCs w:val="26"/>
        </w:rPr>
        <w:t>e</w:t>
      </w:r>
      <w:r>
        <w:rPr>
          <w:szCs w:val="26"/>
        </w:rPr>
        <w:t>sente trabajo.</w:t>
      </w:r>
    </w:p>
    <w:p w:rsidR="00492683" w:rsidRDefault="00492683">
      <w:pPr>
        <w:spacing w:after="0"/>
        <w:ind w:firstLine="0"/>
        <w:jc w:val="left"/>
        <w:rPr>
          <w:szCs w:val="26"/>
        </w:rPr>
      </w:pPr>
    </w:p>
    <w:p w:rsidR="00BD51E0" w:rsidRDefault="00BD51E0">
      <w:pPr>
        <w:spacing w:after="0"/>
        <w:ind w:firstLine="0"/>
        <w:jc w:val="left"/>
        <w:rPr>
          <w:spacing w:val="6"/>
          <w:sz w:val="26"/>
          <w:szCs w:val="26"/>
        </w:rPr>
      </w:pPr>
      <w:r>
        <w:rPr>
          <w:szCs w:val="26"/>
        </w:rPr>
        <w:br w:type="page"/>
      </w:r>
    </w:p>
    <w:p w:rsidR="009868F9" w:rsidRPr="009868F9" w:rsidRDefault="009868F9" w:rsidP="009868F9">
      <w:pPr>
        <w:pStyle w:val="atitulo1"/>
      </w:pPr>
      <w:bookmarkStart w:id="3" w:name="_Toc482946238"/>
      <w:r w:rsidRPr="009868F9">
        <w:lastRenderedPageBreak/>
        <w:t>II. El Montepío municipal.</w:t>
      </w:r>
      <w:bookmarkEnd w:id="3"/>
    </w:p>
    <w:p w:rsidR="009868F9" w:rsidRPr="009868F9" w:rsidRDefault="009868F9" w:rsidP="009868F9">
      <w:pPr>
        <w:pStyle w:val="atitulo2"/>
        <w:spacing w:before="240"/>
      </w:pPr>
      <w:bookmarkStart w:id="4" w:name="_Toc482946239"/>
      <w:r w:rsidRPr="009868F9">
        <w:t>II.1</w:t>
      </w:r>
      <w:r w:rsidR="00062C69">
        <w:t>.</w:t>
      </w:r>
      <w:r w:rsidRPr="009868F9">
        <w:t xml:space="preserve"> Aspectos generales sobre los sistemas de pasivos </w:t>
      </w:r>
      <w:r w:rsidR="00445804">
        <w:t xml:space="preserve">(pensiones) </w:t>
      </w:r>
      <w:r w:rsidRPr="009868F9">
        <w:t>en la Comunidad Foral</w:t>
      </w:r>
      <w:bookmarkEnd w:id="4"/>
    </w:p>
    <w:p w:rsidR="002E5201" w:rsidRDefault="009868F9" w:rsidP="002E5201">
      <w:pPr>
        <w:pStyle w:val="texto"/>
        <w:spacing w:after="120"/>
        <w:rPr>
          <w:spacing w:val="4"/>
          <w:szCs w:val="26"/>
        </w:rPr>
      </w:pPr>
      <w:r w:rsidRPr="005B4A14">
        <w:rPr>
          <w:spacing w:val="4"/>
          <w:szCs w:val="26"/>
        </w:rPr>
        <w:t>El régimen estatutario de los funcionarios públicos de la Comunidad Foral es una competencia exclusiva de Navarra</w:t>
      </w:r>
      <w:r w:rsidR="00EB194C" w:rsidRPr="005B4A14">
        <w:rPr>
          <w:spacing w:val="4"/>
          <w:szCs w:val="26"/>
        </w:rPr>
        <w:t>. A</w:t>
      </w:r>
      <w:r w:rsidRPr="005B4A14">
        <w:rPr>
          <w:spacing w:val="4"/>
          <w:szCs w:val="26"/>
        </w:rPr>
        <w:t>sí</w:t>
      </w:r>
      <w:r w:rsidR="005B4A14" w:rsidRPr="005B4A14">
        <w:rPr>
          <w:spacing w:val="4"/>
          <w:szCs w:val="26"/>
        </w:rPr>
        <w:t>,</w:t>
      </w:r>
      <w:r w:rsidRPr="005B4A14">
        <w:rPr>
          <w:spacing w:val="4"/>
          <w:szCs w:val="26"/>
        </w:rPr>
        <w:t xml:space="preserve"> el artículo 49. 1 de la Ley Orgánica de Reintegración y Amejoramiento del Régimen Foral de Navarra establece que</w:t>
      </w:r>
      <w:r w:rsidR="002E5201">
        <w:rPr>
          <w:spacing w:val="4"/>
          <w:szCs w:val="26"/>
        </w:rPr>
        <w:t>:</w:t>
      </w:r>
    </w:p>
    <w:p w:rsidR="009868F9" w:rsidRPr="009868F9" w:rsidRDefault="009868F9" w:rsidP="009868F9">
      <w:pPr>
        <w:pStyle w:val="texto"/>
        <w:rPr>
          <w:szCs w:val="26"/>
        </w:rPr>
      </w:pPr>
      <w:r w:rsidRPr="009868F9">
        <w:rPr>
          <w:szCs w:val="26"/>
        </w:rPr>
        <w:t xml:space="preserve"> </w:t>
      </w:r>
      <w:r w:rsidRPr="00D42BFA">
        <w:rPr>
          <w:i/>
          <w:sz w:val="22"/>
          <w:szCs w:val="22"/>
        </w:rPr>
        <w:t>“… corresponde a Navarra la competencia exclusiva sobre las siguientes materias: b) Régimen estatutario de los funcionarios públicos de la Comunidad Foral, respetando los d</w:t>
      </w:r>
      <w:r w:rsidRPr="00D42BFA">
        <w:rPr>
          <w:i/>
          <w:sz w:val="22"/>
          <w:szCs w:val="22"/>
        </w:rPr>
        <w:t>e</w:t>
      </w:r>
      <w:r w:rsidRPr="00D42BFA">
        <w:rPr>
          <w:i/>
          <w:sz w:val="22"/>
          <w:szCs w:val="22"/>
        </w:rPr>
        <w:t>rechos y obligaciones esenciales que la legislación básica del Estado reconozca a los fu</w:t>
      </w:r>
      <w:r w:rsidRPr="00D42BFA">
        <w:rPr>
          <w:i/>
          <w:sz w:val="22"/>
          <w:szCs w:val="22"/>
        </w:rPr>
        <w:t>n</w:t>
      </w:r>
      <w:r w:rsidRPr="00D42BFA">
        <w:rPr>
          <w:i/>
          <w:sz w:val="22"/>
          <w:szCs w:val="22"/>
        </w:rPr>
        <w:t>cionarios públicos.”</w:t>
      </w:r>
      <w:r w:rsidRPr="009868F9">
        <w:rPr>
          <w:szCs w:val="26"/>
        </w:rPr>
        <w:t xml:space="preserve"> </w:t>
      </w:r>
    </w:p>
    <w:p w:rsidR="009868F9" w:rsidRPr="00D42BFA" w:rsidRDefault="009868F9" w:rsidP="009868F9">
      <w:pPr>
        <w:pStyle w:val="texto"/>
        <w:rPr>
          <w:spacing w:val="4"/>
          <w:szCs w:val="26"/>
        </w:rPr>
      </w:pPr>
      <w:r w:rsidRPr="00D42BFA">
        <w:rPr>
          <w:spacing w:val="4"/>
          <w:szCs w:val="26"/>
        </w:rPr>
        <w:t>Dentro de este régimen estatutario y competencial, el sistema de derechos p</w:t>
      </w:r>
      <w:r w:rsidRPr="00D42BFA">
        <w:rPr>
          <w:spacing w:val="4"/>
          <w:szCs w:val="26"/>
        </w:rPr>
        <w:t>a</w:t>
      </w:r>
      <w:r w:rsidRPr="00D42BFA">
        <w:rPr>
          <w:spacing w:val="4"/>
          <w:szCs w:val="26"/>
        </w:rPr>
        <w:t>sivos constituye una parte esencial del mismo al regular las condiciones en que los funcionarios públicos acceden a la situación de jubilación y a su correspo</w:t>
      </w:r>
      <w:r w:rsidRPr="00D42BFA">
        <w:rPr>
          <w:spacing w:val="4"/>
          <w:szCs w:val="26"/>
        </w:rPr>
        <w:t>n</w:t>
      </w:r>
      <w:r w:rsidRPr="00D42BFA">
        <w:rPr>
          <w:spacing w:val="4"/>
          <w:szCs w:val="26"/>
        </w:rPr>
        <w:t>diente derecho a las prestaciones económicas que derivan de tal condición. En este contexto, la Diputación-Gobierno de Navarra ha venido regulando, desde los años 30 del siglo pasado, el sistema de derechos pasivos de sus empleados.</w:t>
      </w:r>
    </w:p>
    <w:p w:rsidR="009868F9" w:rsidRPr="009868F9" w:rsidRDefault="009868F9" w:rsidP="009868F9">
      <w:pPr>
        <w:pStyle w:val="texto"/>
        <w:rPr>
          <w:szCs w:val="26"/>
        </w:rPr>
      </w:pPr>
      <w:r w:rsidRPr="009868F9">
        <w:rPr>
          <w:szCs w:val="26"/>
        </w:rPr>
        <w:t xml:space="preserve">En la actualidad, el régimen de derechos pasivos de los funcionarios de las administraciones de la Comunidad Foral de Navarra se </w:t>
      </w:r>
      <w:r w:rsidR="00BA03F3">
        <w:rPr>
          <w:szCs w:val="26"/>
        </w:rPr>
        <w:t>encuadra</w:t>
      </w:r>
      <w:r w:rsidRPr="009868F9">
        <w:rPr>
          <w:szCs w:val="26"/>
        </w:rPr>
        <w:t xml:space="preserve"> fundamenta</w:t>
      </w:r>
      <w:r w:rsidRPr="009868F9">
        <w:rPr>
          <w:szCs w:val="26"/>
        </w:rPr>
        <w:t>l</w:t>
      </w:r>
      <w:r w:rsidRPr="009868F9">
        <w:rPr>
          <w:szCs w:val="26"/>
        </w:rPr>
        <w:t>mente en las siguientes situaciones:</w:t>
      </w:r>
    </w:p>
    <w:p w:rsidR="009868F9" w:rsidRPr="009868F9" w:rsidRDefault="009868F9" w:rsidP="002E5201">
      <w:pPr>
        <w:pStyle w:val="texto"/>
        <w:spacing w:after="100"/>
        <w:rPr>
          <w:szCs w:val="26"/>
        </w:rPr>
      </w:pPr>
      <w:r w:rsidRPr="009868F9">
        <w:rPr>
          <w:szCs w:val="26"/>
        </w:rPr>
        <w:t>a) Funcionarios adscritos a los montepíos: funcionarios ingresados en las administraciones de la Comunidad Foral hasta el 1 de enero de 1992, para el Gobierno de Navarra, y hasta el 1 de enero de 1994</w:t>
      </w:r>
      <w:r w:rsidR="0085580C">
        <w:rPr>
          <w:szCs w:val="26"/>
        </w:rPr>
        <w:t xml:space="preserve"> </w:t>
      </w:r>
      <w:r w:rsidRPr="009868F9">
        <w:rPr>
          <w:szCs w:val="26"/>
        </w:rPr>
        <w:t>para las entidades locales de Navarra. A partir de esas fechas se cierra la admisión de nuevos funcion</w:t>
      </w:r>
      <w:r w:rsidRPr="009868F9">
        <w:rPr>
          <w:szCs w:val="26"/>
        </w:rPr>
        <w:t>a</w:t>
      </w:r>
      <w:r w:rsidRPr="009868F9">
        <w:rPr>
          <w:szCs w:val="26"/>
        </w:rPr>
        <w:t xml:space="preserve">rios a los distintos </w:t>
      </w:r>
      <w:r w:rsidR="00EB194C">
        <w:rPr>
          <w:szCs w:val="26"/>
        </w:rPr>
        <w:t>m</w:t>
      </w:r>
      <w:r w:rsidRPr="009868F9">
        <w:rPr>
          <w:szCs w:val="26"/>
        </w:rPr>
        <w:t xml:space="preserve">ontepíos </w:t>
      </w:r>
      <w:r w:rsidR="00EB194C">
        <w:rPr>
          <w:szCs w:val="26"/>
        </w:rPr>
        <w:t>f</w:t>
      </w:r>
      <w:r w:rsidRPr="009868F9">
        <w:rPr>
          <w:szCs w:val="26"/>
        </w:rPr>
        <w:t>orales.</w:t>
      </w:r>
    </w:p>
    <w:p w:rsidR="009868F9" w:rsidRPr="009868F9" w:rsidRDefault="009868F9" w:rsidP="002E5201">
      <w:pPr>
        <w:pStyle w:val="texto"/>
        <w:spacing w:after="100"/>
        <w:rPr>
          <w:szCs w:val="26"/>
        </w:rPr>
      </w:pPr>
      <w:r w:rsidRPr="009868F9">
        <w:rPr>
          <w:szCs w:val="26"/>
        </w:rPr>
        <w:t>b) Funcionarios afiliados a la Seguridad Social. Desde el 1 de enero de 1992 y desde el 1 de enero de 1994, los nuevos funcionarios que ingresen en el G</w:t>
      </w:r>
      <w:r w:rsidRPr="009868F9">
        <w:rPr>
          <w:szCs w:val="26"/>
        </w:rPr>
        <w:t>o</w:t>
      </w:r>
      <w:r w:rsidRPr="009868F9">
        <w:rPr>
          <w:szCs w:val="26"/>
        </w:rPr>
        <w:t>bierno de Navarra y en las entidades locales de Navarra, respectivamente, se adscribirán al régimen general de la Seguridad Social.</w:t>
      </w:r>
    </w:p>
    <w:p w:rsidR="009868F9" w:rsidRPr="009868F9" w:rsidRDefault="009868F9" w:rsidP="002E5201">
      <w:pPr>
        <w:pStyle w:val="texto"/>
        <w:spacing w:after="100"/>
        <w:rPr>
          <w:szCs w:val="26"/>
        </w:rPr>
      </w:pPr>
      <w:r w:rsidRPr="009868F9">
        <w:rPr>
          <w:szCs w:val="26"/>
        </w:rPr>
        <w:t>c) Funcionarios transferidos de la Administración General del Estado y que mantienen su adscripción al régimen general de la Seguridad Social o al esp</w:t>
      </w:r>
      <w:r w:rsidRPr="009868F9">
        <w:rPr>
          <w:szCs w:val="26"/>
        </w:rPr>
        <w:t>e</w:t>
      </w:r>
      <w:r w:rsidRPr="009868F9">
        <w:rPr>
          <w:szCs w:val="26"/>
        </w:rPr>
        <w:t>cial de Clases Pasivas del Estado.</w:t>
      </w:r>
    </w:p>
    <w:p w:rsidR="009868F9" w:rsidRPr="009868F9" w:rsidRDefault="009868F9" w:rsidP="002E5201">
      <w:pPr>
        <w:pStyle w:val="texto"/>
        <w:spacing w:after="100"/>
        <w:rPr>
          <w:szCs w:val="26"/>
        </w:rPr>
      </w:pPr>
      <w:r w:rsidRPr="009868F9">
        <w:rPr>
          <w:szCs w:val="26"/>
        </w:rPr>
        <w:t>En los montepíos forales existe</w:t>
      </w:r>
      <w:r w:rsidR="00EB194C">
        <w:rPr>
          <w:szCs w:val="26"/>
        </w:rPr>
        <w:t>,</w:t>
      </w:r>
      <w:r w:rsidRPr="009868F9">
        <w:rPr>
          <w:szCs w:val="26"/>
        </w:rPr>
        <w:t xml:space="preserve"> además</w:t>
      </w:r>
      <w:r w:rsidR="00EB194C">
        <w:rPr>
          <w:szCs w:val="26"/>
        </w:rPr>
        <w:t>,</w:t>
      </w:r>
      <w:r w:rsidRPr="009868F9">
        <w:rPr>
          <w:szCs w:val="26"/>
        </w:rPr>
        <w:t xml:space="preserve"> una pluralidad de regímenes pas</w:t>
      </w:r>
      <w:r w:rsidRPr="009868F9">
        <w:rPr>
          <w:szCs w:val="26"/>
        </w:rPr>
        <w:t>i</w:t>
      </w:r>
      <w:r w:rsidRPr="009868F9">
        <w:rPr>
          <w:szCs w:val="26"/>
        </w:rPr>
        <w:t>vos en función del encuadramiento de los funcionarios. Así, coexisten:</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rsidRPr="009868F9">
        <w:rPr>
          <w:szCs w:val="26"/>
        </w:rPr>
        <w:t>Montepío de la Administración de la Comunidad Foral</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rsidRPr="009868F9">
        <w:rPr>
          <w:szCs w:val="26"/>
        </w:rPr>
        <w:t>Montepío General Municipal.</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rsidRPr="009868F9">
        <w:rPr>
          <w:szCs w:val="26"/>
        </w:rPr>
        <w:t>Montepío del Ayuntamiento de Pamplona.</w:t>
      </w:r>
    </w:p>
    <w:p w:rsidR="009868F9" w:rsidRPr="009868F9" w:rsidRDefault="009868F9" w:rsidP="006D772D">
      <w:pPr>
        <w:pStyle w:val="texto"/>
        <w:numPr>
          <w:ilvl w:val="0"/>
          <w:numId w:val="20"/>
        </w:numPr>
        <w:tabs>
          <w:tab w:val="clear" w:pos="2835"/>
          <w:tab w:val="clear" w:pos="3969"/>
          <w:tab w:val="clear" w:pos="5103"/>
          <w:tab w:val="clear" w:pos="6237"/>
          <w:tab w:val="clear" w:pos="7371"/>
          <w:tab w:val="left" w:pos="480"/>
          <w:tab w:val="num" w:pos="6597"/>
        </w:tabs>
        <w:spacing w:after="100"/>
        <w:ind w:left="1009" w:hanging="357"/>
        <w:rPr>
          <w:szCs w:val="26"/>
        </w:rPr>
      </w:pPr>
      <w:r w:rsidRPr="009868F9">
        <w:rPr>
          <w:szCs w:val="26"/>
        </w:rPr>
        <w:t>Montepío del Ayuntamiento de Tudela.</w:t>
      </w:r>
    </w:p>
    <w:p w:rsidR="009868F9" w:rsidRPr="009868F9" w:rsidRDefault="009868F9" w:rsidP="00062C69">
      <w:pPr>
        <w:pStyle w:val="texto"/>
        <w:numPr>
          <w:ilvl w:val="0"/>
          <w:numId w:val="20"/>
        </w:numPr>
        <w:tabs>
          <w:tab w:val="clear" w:pos="2835"/>
          <w:tab w:val="clear" w:pos="3969"/>
          <w:tab w:val="clear" w:pos="5103"/>
          <w:tab w:val="clear" w:pos="6237"/>
          <w:tab w:val="clear" w:pos="7371"/>
          <w:tab w:val="left" w:pos="480"/>
          <w:tab w:val="num" w:pos="6597"/>
        </w:tabs>
        <w:rPr>
          <w:szCs w:val="26"/>
        </w:rPr>
      </w:pPr>
      <w:r w:rsidRPr="009868F9">
        <w:rPr>
          <w:szCs w:val="26"/>
        </w:rPr>
        <w:t>Montepío del Ayuntamiento de Tafalla</w:t>
      </w:r>
      <w:r w:rsidR="005B11E2">
        <w:rPr>
          <w:szCs w:val="26"/>
        </w:rPr>
        <w:t>.</w:t>
      </w:r>
    </w:p>
    <w:p w:rsidR="009868F9" w:rsidRPr="009868F9" w:rsidRDefault="009868F9" w:rsidP="009868F9">
      <w:pPr>
        <w:pStyle w:val="atitulo2"/>
        <w:spacing w:before="240"/>
      </w:pPr>
      <w:bookmarkStart w:id="5" w:name="_Toc482946240"/>
      <w:r w:rsidRPr="009868F9">
        <w:lastRenderedPageBreak/>
        <w:t>II.2</w:t>
      </w:r>
      <w:r w:rsidR="00062C69">
        <w:t>.</w:t>
      </w:r>
      <w:r w:rsidRPr="009868F9">
        <w:t xml:space="preserve"> </w:t>
      </w:r>
      <w:r w:rsidR="001F31B0">
        <w:t xml:space="preserve">Marco regulador </w:t>
      </w:r>
      <w:r w:rsidRPr="009868F9">
        <w:t xml:space="preserve">del Montepío </w:t>
      </w:r>
      <w:r w:rsidR="001F31B0">
        <w:t>M</w:t>
      </w:r>
      <w:r w:rsidRPr="009868F9">
        <w:t>unicipal</w:t>
      </w:r>
      <w:bookmarkEnd w:id="5"/>
    </w:p>
    <w:p w:rsidR="009868F9" w:rsidRPr="009868F9" w:rsidRDefault="009868F9" w:rsidP="009868F9">
      <w:pPr>
        <w:pStyle w:val="texto"/>
        <w:rPr>
          <w:szCs w:val="26"/>
        </w:rPr>
      </w:pPr>
      <w:r w:rsidRPr="009868F9">
        <w:rPr>
          <w:szCs w:val="26"/>
        </w:rPr>
        <w:t>Por Acuerdo de la Diputación Foral de Navarra de, 10 de marzo de 1931, se aprobó el Reglamento de Jubilaciones y Pensiones de los funcionarios de la Diputación Foral.</w:t>
      </w:r>
    </w:p>
    <w:p w:rsidR="009868F9" w:rsidRPr="009868F9" w:rsidRDefault="009868F9" w:rsidP="009868F9">
      <w:pPr>
        <w:pStyle w:val="texto"/>
        <w:rPr>
          <w:szCs w:val="26"/>
        </w:rPr>
      </w:pPr>
      <w:r w:rsidRPr="009868F9">
        <w:rPr>
          <w:szCs w:val="26"/>
        </w:rPr>
        <w:t>El Acuerdo del Consejo Foral Administrativo de 31 de mayo de 1947 aprobó el Reglamento de derechos pasivos de los funcionarios municipales de Navarra.</w:t>
      </w:r>
    </w:p>
    <w:p w:rsidR="00521ED4" w:rsidRDefault="009868F9" w:rsidP="009868F9">
      <w:pPr>
        <w:pStyle w:val="texto"/>
        <w:rPr>
          <w:szCs w:val="26"/>
        </w:rPr>
      </w:pPr>
      <w:r w:rsidRPr="009868F9">
        <w:rPr>
          <w:szCs w:val="26"/>
        </w:rPr>
        <w:t>En el artículo 1 establece que</w:t>
      </w:r>
      <w:r w:rsidR="00521ED4">
        <w:rPr>
          <w:szCs w:val="26"/>
        </w:rPr>
        <w:t>:</w:t>
      </w:r>
    </w:p>
    <w:p w:rsidR="009868F9" w:rsidRPr="00D42BFA" w:rsidRDefault="009868F9" w:rsidP="009868F9">
      <w:pPr>
        <w:pStyle w:val="texto"/>
        <w:rPr>
          <w:sz w:val="22"/>
          <w:szCs w:val="22"/>
        </w:rPr>
      </w:pPr>
      <w:r w:rsidRPr="009868F9">
        <w:rPr>
          <w:szCs w:val="26"/>
        </w:rPr>
        <w:t xml:space="preserve"> </w:t>
      </w:r>
      <w:r w:rsidRPr="00D42BFA">
        <w:rPr>
          <w:i/>
          <w:sz w:val="22"/>
          <w:szCs w:val="22"/>
        </w:rPr>
        <w:t>“el Montepío creado por acuerdo del Consejo Foral Administrativo de Navarra en 9 de agosto de 1946 se regirá en lo sucesivo por el presente “Reglamento de Derechos pasivos de los funcionarios municipales”. Dicho Organismo tendrá plena capacidad jurídica para el cumplimiento de sus fines, considerándose como único gestor para la prestación de pensi</w:t>
      </w:r>
      <w:r w:rsidRPr="00D42BFA">
        <w:rPr>
          <w:i/>
          <w:sz w:val="22"/>
          <w:szCs w:val="22"/>
        </w:rPr>
        <w:t>o</w:t>
      </w:r>
      <w:r w:rsidRPr="00D42BFA">
        <w:rPr>
          <w:i/>
          <w:sz w:val="22"/>
          <w:szCs w:val="22"/>
        </w:rPr>
        <w:t>nes y cobros de cuotas correspondientes”.</w:t>
      </w:r>
    </w:p>
    <w:p w:rsidR="00521ED4" w:rsidRDefault="009868F9" w:rsidP="009868F9">
      <w:pPr>
        <w:pStyle w:val="texto"/>
        <w:rPr>
          <w:szCs w:val="26"/>
        </w:rPr>
      </w:pPr>
      <w:bookmarkStart w:id="6" w:name="Ar.2"/>
      <w:bookmarkEnd w:id="6"/>
      <w:r w:rsidRPr="009868F9">
        <w:rPr>
          <w:szCs w:val="26"/>
        </w:rPr>
        <w:t>Y en el artículo 2 indica que</w:t>
      </w:r>
      <w:r w:rsidR="00521ED4">
        <w:rPr>
          <w:szCs w:val="26"/>
        </w:rPr>
        <w:t>:</w:t>
      </w:r>
    </w:p>
    <w:p w:rsidR="009868F9" w:rsidRPr="00D42BFA" w:rsidRDefault="009868F9" w:rsidP="009868F9">
      <w:pPr>
        <w:pStyle w:val="texto"/>
        <w:rPr>
          <w:sz w:val="22"/>
          <w:szCs w:val="22"/>
        </w:rPr>
      </w:pPr>
      <w:r w:rsidRPr="009868F9">
        <w:rPr>
          <w:szCs w:val="26"/>
        </w:rPr>
        <w:t xml:space="preserve"> </w:t>
      </w:r>
      <w:r w:rsidRPr="00D42BFA">
        <w:rPr>
          <w:i/>
          <w:sz w:val="22"/>
          <w:szCs w:val="22"/>
        </w:rPr>
        <w:t>“tendrá por objeto la concesión de pensiones de jubilación e invalidez, viudedad y o</w:t>
      </w:r>
      <w:r w:rsidRPr="00D42BFA">
        <w:rPr>
          <w:i/>
          <w:sz w:val="22"/>
          <w:szCs w:val="22"/>
        </w:rPr>
        <w:t>r</w:t>
      </w:r>
      <w:r w:rsidRPr="00D42BFA">
        <w:rPr>
          <w:i/>
          <w:sz w:val="22"/>
          <w:szCs w:val="22"/>
        </w:rPr>
        <w:t>fandad, a los Secretarios municipales, Auxiliares administrativos de Secretaría, Médicos, Farmacéuticos, Veterinarios y Practicantes Titulares de los Ayuntamientos de Navarra, y sus causahabientes, que en 1 de enero de 1946 estuvieren ejerciendo en propiedad el cargo c</w:t>
      </w:r>
      <w:r w:rsidRPr="00D42BFA">
        <w:rPr>
          <w:i/>
          <w:sz w:val="22"/>
          <w:szCs w:val="22"/>
        </w:rPr>
        <w:t>o</w:t>
      </w:r>
      <w:r w:rsidRPr="00D42BFA">
        <w:rPr>
          <w:i/>
          <w:sz w:val="22"/>
          <w:szCs w:val="22"/>
        </w:rPr>
        <w:t>rrespondiente”</w:t>
      </w:r>
      <w:r w:rsidRPr="00D42BFA">
        <w:rPr>
          <w:sz w:val="22"/>
          <w:szCs w:val="22"/>
        </w:rPr>
        <w:t>.</w:t>
      </w:r>
    </w:p>
    <w:p w:rsidR="009868F9" w:rsidRPr="009868F9" w:rsidRDefault="009868F9" w:rsidP="009868F9">
      <w:pPr>
        <w:pStyle w:val="texto"/>
        <w:rPr>
          <w:szCs w:val="26"/>
        </w:rPr>
      </w:pPr>
      <w:r w:rsidRPr="009868F9">
        <w:rPr>
          <w:szCs w:val="26"/>
        </w:rPr>
        <w:t xml:space="preserve">Por Acuerdo del Consejo Foral Administrativo de 12 de diciembre de 1949, incluido como disposición adicional única, se estableció que: </w:t>
      </w:r>
    </w:p>
    <w:p w:rsidR="009868F9" w:rsidRPr="00D42BFA" w:rsidRDefault="009868F9" w:rsidP="009868F9">
      <w:pPr>
        <w:pStyle w:val="texto"/>
        <w:rPr>
          <w:i/>
          <w:sz w:val="22"/>
          <w:szCs w:val="22"/>
        </w:rPr>
      </w:pPr>
      <w:r w:rsidRPr="00D42BFA">
        <w:rPr>
          <w:i/>
          <w:sz w:val="22"/>
          <w:szCs w:val="22"/>
        </w:rPr>
        <w:t>“El personal subalterno municipal que en 1 de julio de 1949 estuviese ejerciendo el cargo en propiedad con nombramiento municipal de nómina y plantilla, quedará incorporado obl</w:t>
      </w:r>
      <w:r w:rsidRPr="00D42BFA">
        <w:rPr>
          <w:i/>
          <w:sz w:val="22"/>
          <w:szCs w:val="22"/>
        </w:rPr>
        <w:t>i</w:t>
      </w:r>
      <w:r w:rsidRPr="00D42BFA">
        <w:rPr>
          <w:i/>
          <w:sz w:val="22"/>
          <w:szCs w:val="22"/>
        </w:rPr>
        <w:t>gatoriamente a los beneficios de este Reglamento, conforme a las normas siguientes: Qu</w:t>
      </w:r>
      <w:r w:rsidRPr="00D42BFA">
        <w:rPr>
          <w:i/>
          <w:sz w:val="22"/>
          <w:szCs w:val="22"/>
        </w:rPr>
        <w:t>e</w:t>
      </w:r>
      <w:r w:rsidRPr="00D42BFA">
        <w:rPr>
          <w:i/>
          <w:sz w:val="22"/>
          <w:szCs w:val="22"/>
        </w:rPr>
        <w:t>dan comprendidos en este personal, los Alguaciles, Guardas municipales y rurales, Serenos, y demás empleados municipales que de una manera continua y habitual desempeñen funci</w:t>
      </w:r>
      <w:r w:rsidRPr="00D42BFA">
        <w:rPr>
          <w:i/>
          <w:sz w:val="22"/>
          <w:szCs w:val="22"/>
        </w:rPr>
        <w:t>o</w:t>
      </w:r>
      <w:r w:rsidRPr="00D42BFA">
        <w:rPr>
          <w:i/>
          <w:sz w:val="22"/>
          <w:szCs w:val="22"/>
        </w:rPr>
        <w:t>nes de la misma naturaleza y sean considerados como tales por los Organismos de que d</w:t>
      </w:r>
      <w:r w:rsidRPr="00D42BFA">
        <w:rPr>
          <w:i/>
          <w:sz w:val="22"/>
          <w:szCs w:val="22"/>
        </w:rPr>
        <w:t>e</w:t>
      </w:r>
      <w:r w:rsidRPr="00D42BFA">
        <w:rPr>
          <w:i/>
          <w:sz w:val="22"/>
          <w:szCs w:val="22"/>
        </w:rPr>
        <w:t>pendan por provisión de la plaza mediante las formalidades del artículo 260 del Reglamento de Administración municipal y disposiciones complementarias, y los que en lo sucesivo sean nombrados con el mismo carácter e iguales requisitos; debiendo solicitar su afiliación co</w:t>
      </w:r>
      <w:r w:rsidRPr="00D42BFA">
        <w:rPr>
          <w:i/>
          <w:sz w:val="22"/>
          <w:szCs w:val="22"/>
        </w:rPr>
        <w:t>n</w:t>
      </w:r>
      <w:r w:rsidRPr="00D42BFA">
        <w:rPr>
          <w:i/>
          <w:sz w:val="22"/>
          <w:szCs w:val="22"/>
        </w:rPr>
        <w:t>forme al artículo 5 del Reglamento de 31 de mayo de 1947….”</w:t>
      </w:r>
    </w:p>
    <w:p w:rsidR="00521ED4" w:rsidRDefault="009868F9" w:rsidP="009868F9">
      <w:pPr>
        <w:pStyle w:val="texto"/>
        <w:rPr>
          <w:szCs w:val="26"/>
        </w:rPr>
      </w:pPr>
      <w:r w:rsidRPr="009868F9">
        <w:rPr>
          <w:szCs w:val="26"/>
        </w:rPr>
        <w:t xml:space="preserve">En el artículo 14 se indica que: </w:t>
      </w:r>
    </w:p>
    <w:p w:rsidR="009868F9" w:rsidRPr="00D42BFA" w:rsidRDefault="009868F9" w:rsidP="009868F9">
      <w:pPr>
        <w:pStyle w:val="texto"/>
        <w:rPr>
          <w:sz w:val="22"/>
          <w:szCs w:val="22"/>
        </w:rPr>
      </w:pPr>
      <w:r w:rsidRPr="00D42BFA">
        <w:rPr>
          <w:i/>
          <w:sz w:val="22"/>
          <w:szCs w:val="22"/>
        </w:rPr>
        <w:t>“el pago de las jubilaciones y pensiones, sea cualquiera el que las produzca, se hará í</w:t>
      </w:r>
      <w:r w:rsidRPr="00D42BFA">
        <w:rPr>
          <w:i/>
          <w:sz w:val="22"/>
          <w:szCs w:val="22"/>
        </w:rPr>
        <w:t>n</w:t>
      </w:r>
      <w:r w:rsidRPr="00D42BFA">
        <w:rPr>
          <w:i/>
          <w:sz w:val="22"/>
          <w:szCs w:val="22"/>
        </w:rPr>
        <w:t>tegramente de fondos del Montepío…”</w:t>
      </w:r>
    </w:p>
    <w:p w:rsidR="009868F9" w:rsidRPr="009868F9" w:rsidRDefault="009868F9" w:rsidP="009868F9">
      <w:pPr>
        <w:pStyle w:val="texto"/>
        <w:rPr>
          <w:szCs w:val="26"/>
        </w:rPr>
      </w:pPr>
      <w:r w:rsidRPr="009868F9">
        <w:rPr>
          <w:szCs w:val="26"/>
        </w:rPr>
        <w:t xml:space="preserve">Y en el artículo 16 se establece la financiación del Montepío: </w:t>
      </w:r>
    </w:p>
    <w:p w:rsidR="009868F9" w:rsidRPr="00D42BFA" w:rsidRDefault="009868F9" w:rsidP="009868F9">
      <w:pPr>
        <w:pStyle w:val="texto"/>
        <w:rPr>
          <w:i/>
          <w:sz w:val="22"/>
          <w:szCs w:val="22"/>
        </w:rPr>
      </w:pPr>
      <w:r w:rsidRPr="00D42BFA">
        <w:rPr>
          <w:i/>
          <w:sz w:val="22"/>
          <w:szCs w:val="22"/>
        </w:rPr>
        <w:t>“Los fondos del Montepío se constituirán por las cuotas de los asociados, y las de los Ayuntamientos, hasta el total reintegro de la cantidad que por el Montepío haya sido abon</w:t>
      </w:r>
      <w:r w:rsidRPr="00D42BFA">
        <w:rPr>
          <w:i/>
          <w:sz w:val="22"/>
          <w:szCs w:val="22"/>
        </w:rPr>
        <w:t>a</w:t>
      </w:r>
      <w:r w:rsidRPr="00D42BFA">
        <w:rPr>
          <w:i/>
          <w:sz w:val="22"/>
          <w:szCs w:val="22"/>
        </w:rPr>
        <w:t>do en concepto de jubilaciones y pensiones durante el ejercicio anterior.</w:t>
      </w:r>
    </w:p>
    <w:p w:rsidR="009868F9" w:rsidRPr="00D42BFA" w:rsidRDefault="009868F9" w:rsidP="009868F9">
      <w:pPr>
        <w:pStyle w:val="texto"/>
        <w:rPr>
          <w:i/>
          <w:sz w:val="22"/>
          <w:szCs w:val="22"/>
        </w:rPr>
      </w:pPr>
      <w:r w:rsidRPr="00D42BFA">
        <w:rPr>
          <w:i/>
          <w:sz w:val="22"/>
          <w:szCs w:val="22"/>
        </w:rPr>
        <w:t>Las cuotas de asociados consistirán en el 5 por 100 de descuento de sueldos fijados en las escalas generales de los Reglamentos Provinciales y de los quinquenios percibidos de la Diputación durante el ejercicio último a su devengo; y se harán efectivas por los Ayunt</w:t>
      </w:r>
      <w:r w:rsidRPr="00D42BFA">
        <w:rPr>
          <w:i/>
          <w:sz w:val="22"/>
          <w:szCs w:val="22"/>
        </w:rPr>
        <w:t>a</w:t>
      </w:r>
      <w:r w:rsidRPr="00D42BFA">
        <w:rPr>
          <w:i/>
          <w:sz w:val="22"/>
          <w:szCs w:val="22"/>
        </w:rPr>
        <w:t>miento o Agrupaciones al vencimiento de cada trimestre con los demás pagos obligatorios, previo descuento a sus funcionarios o directamente por los interesados en Tesorería Provi</w:t>
      </w:r>
      <w:r w:rsidRPr="00D42BFA">
        <w:rPr>
          <w:i/>
          <w:sz w:val="22"/>
          <w:szCs w:val="22"/>
        </w:rPr>
        <w:t>n</w:t>
      </w:r>
      <w:r w:rsidRPr="00D42BFA">
        <w:rPr>
          <w:i/>
          <w:sz w:val="22"/>
          <w:szCs w:val="22"/>
        </w:rPr>
        <w:lastRenderedPageBreak/>
        <w:t>cial en los mismos plazos; entendiéndose que la falta de pago de tres cuotas consecutivas, será causa suficiente para que según el artículo 13 de este Reglamento, queden eliminados de los beneficios sin derecho a reintegro de cuotas abonadas.</w:t>
      </w:r>
    </w:p>
    <w:p w:rsidR="009868F9" w:rsidRPr="00D42BFA" w:rsidRDefault="009868F9" w:rsidP="009868F9">
      <w:pPr>
        <w:pStyle w:val="texto"/>
        <w:rPr>
          <w:i/>
          <w:sz w:val="22"/>
          <w:szCs w:val="22"/>
        </w:rPr>
      </w:pPr>
      <w:r w:rsidRPr="00D42BFA">
        <w:rPr>
          <w:i/>
          <w:sz w:val="22"/>
          <w:szCs w:val="22"/>
        </w:rPr>
        <w:t>Para cubrir el déficit entre los ingresos y gastos del Montepío de las diversas pensiones abonadas, se realizará un repartimiento pasivo entre los Municipios de Navarra proporci</w:t>
      </w:r>
      <w:r w:rsidRPr="00D42BFA">
        <w:rPr>
          <w:i/>
          <w:sz w:val="22"/>
          <w:szCs w:val="22"/>
        </w:rPr>
        <w:t>o</w:t>
      </w:r>
      <w:r w:rsidRPr="00D42BFA">
        <w:rPr>
          <w:i/>
          <w:sz w:val="22"/>
          <w:szCs w:val="22"/>
        </w:rPr>
        <w:t>nal a los sueldos asignados por el Reglamento para la Administración municipal de Navarra en función del censo de población, mediante el procedimiento normal.”</w:t>
      </w:r>
    </w:p>
    <w:p w:rsidR="009868F9" w:rsidRPr="009868F9" w:rsidRDefault="009868F9" w:rsidP="009868F9">
      <w:pPr>
        <w:pStyle w:val="texto"/>
        <w:rPr>
          <w:szCs w:val="26"/>
        </w:rPr>
      </w:pPr>
      <w:r w:rsidRPr="009868F9">
        <w:rPr>
          <w:szCs w:val="26"/>
        </w:rPr>
        <w:t>Este método de reparto original fue modificado por Acuerdo del Consejo F</w:t>
      </w:r>
      <w:r w:rsidRPr="009868F9">
        <w:rPr>
          <w:szCs w:val="26"/>
        </w:rPr>
        <w:t>o</w:t>
      </w:r>
      <w:r w:rsidRPr="009868F9">
        <w:rPr>
          <w:szCs w:val="26"/>
        </w:rPr>
        <w:t>ral Administrativo de 29 de diciembre de 1971, quedando redactado de la s</w:t>
      </w:r>
      <w:r w:rsidRPr="009868F9">
        <w:rPr>
          <w:szCs w:val="26"/>
        </w:rPr>
        <w:t>i</w:t>
      </w:r>
      <w:r w:rsidRPr="009868F9">
        <w:rPr>
          <w:szCs w:val="26"/>
        </w:rPr>
        <w:t xml:space="preserve">guiente manera: </w:t>
      </w:r>
    </w:p>
    <w:p w:rsidR="009868F9" w:rsidRPr="0043494A" w:rsidRDefault="009868F9" w:rsidP="009868F9">
      <w:pPr>
        <w:pStyle w:val="texto"/>
        <w:rPr>
          <w:i/>
          <w:sz w:val="22"/>
          <w:szCs w:val="22"/>
        </w:rPr>
      </w:pPr>
      <w:r w:rsidRPr="0043494A">
        <w:rPr>
          <w:i/>
          <w:sz w:val="22"/>
          <w:szCs w:val="22"/>
        </w:rPr>
        <w:t>“Para cubrir el déficit entre los ingresos y gastos del Montepío, se realizará un reparto pasivo entre los Municipios de Navarra, con arreglo a las siguientes normas:</w:t>
      </w:r>
    </w:p>
    <w:p w:rsidR="009868F9" w:rsidRPr="0043494A" w:rsidRDefault="009868F9" w:rsidP="009868F9">
      <w:pPr>
        <w:pStyle w:val="texto"/>
        <w:rPr>
          <w:i/>
          <w:sz w:val="22"/>
          <w:szCs w:val="22"/>
        </w:rPr>
      </w:pPr>
      <w:r w:rsidRPr="0043494A">
        <w:rPr>
          <w:i/>
          <w:sz w:val="22"/>
          <w:szCs w:val="22"/>
        </w:rPr>
        <w:t>a) El déficit relativo a Secretarios y Facultativos (Médicos, Practicantes, Veterinarios y Farmacéuticos), se girará a los Ayuntamientos en proporción al número de habitantes de derecho que figuren en el censo vigente, relativo al 31 de diciembre de 1970, o en sus rect</w:t>
      </w:r>
      <w:r w:rsidRPr="0043494A">
        <w:rPr>
          <w:i/>
          <w:sz w:val="22"/>
          <w:szCs w:val="22"/>
        </w:rPr>
        <w:t>i</w:t>
      </w:r>
      <w:r w:rsidRPr="0043494A">
        <w:rPr>
          <w:i/>
          <w:sz w:val="22"/>
          <w:szCs w:val="22"/>
        </w:rPr>
        <w:t>ficaciones.</w:t>
      </w:r>
    </w:p>
    <w:p w:rsidR="009868F9" w:rsidRPr="0043494A" w:rsidRDefault="009868F9" w:rsidP="009868F9">
      <w:pPr>
        <w:pStyle w:val="texto"/>
        <w:rPr>
          <w:i/>
          <w:sz w:val="22"/>
          <w:szCs w:val="22"/>
        </w:rPr>
      </w:pPr>
      <w:r w:rsidRPr="0043494A">
        <w:rPr>
          <w:i/>
          <w:sz w:val="22"/>
          <w:szCs w:val="22"/>
        </w:rPr>
        <w:t>b) El déficit relativo a los Depositarios Funcionarios, Comadronas de nómina y plantilla, restantes funcionarios administrativos y subalternos, se girará a los Ayuntamientos en pr</w:t>
      </w:r>
      <w:r w:rsidRPr="0043494A">
        <w:rPr>
          <w:i/>
          <w:sz w:val="22"/>
          <w:szCs w:val="22"/>
        </w:rPr>
        <w:t>o</w:t>
      </w:r>
      <w:r w:rsidRPr="0043494A">
        <w:rPr>
          <w:i/>
          <w:sz w:val="22"/>
          <w:szCs w:val="22"/>
        </w:rPr>
        <w:t>porción al número de sus empleados. Quedarán exentos de este reparto pasivo los Ayunt</w:t>
      </w:r>
      <w:r w:rsidRPr="0043494A">
        <w:rPr>
          <w:i/>
          <w:sz w:val="22"/>
          <w:szCs w:val="22"/>
        </w:rPr>
        <w:t>a</w:t>
      </w:r>
      <w:r w:rsidRPr="0043494A">
        <w:rPr>
          <w:i/>
          <w:sz w:val="22"/>
          <w:szCs w:val="22"/>
        </w:rPr>
        <w:t>mientos que por sus Reglamentos de régimen interior, tuvieren asignados a sus propias e</w:t>
      </w:r>
      <w:r w:rsidRPr="0043494A">
        <w:rPr>
          <w:i/>
          <w:sz w:val="22"/>
          <w:szCs w:val="22"/>
        </w:rPr>
        <w:t>x</w:t>
      </w:r>
      <w:r w:rsidRPr="0043494A">
        <w:rPr>
          <w:i/>
          <w:sz w:val="22"/>
          <w:szCs w:val="22"/>
        </w:rPr>
        <w:t>pensas los derechos pasivos de sus funcionarios, y que, por consiguiente, no pertenezcan al Montepío”.</w:t>
      </w:r>
    </w:p>
    <w:p w:rsidR="009868F9" w:rsidRPr="00E52F02" w:rsidRDefault="009868F9" w:rsidP="009868F9">
      <w:pPr>
        <w:pStyle w:val="texto"/>
        <w:rPr>
          <w:szCs w:val="26"/>
        </w:rPr>
      </w:pPr>
      <w:r w:rsidRPr="00E52F02">
        <w:rPr>
          <w:szCs w:val="26"/>
        </w:rPr>
        <w:t>Están exentos de</w:t>
      </w:r>
      <w:r w:rsidR="00450C4D">
        <w:rPr>
          <w:szCs w:val="26"/>
        </w:rPr>
        <w:t>l reparto del déficit los ayuntamientos de</w:t>
      </w:r>
      <w:r w:rsidRPr="00E52F02">
        <w:rPr>
          <w:szCs w:val="26"/>
        </w:rPr>
        <w:t xml:space="preserve"> Pamplona, Tudela y Tafalla, que cuentan con </w:t>
      </w:r>
      <w:r w:rsidR="009E7093">
        <w:rPr>
          <w:szCs w:val="26"/>
        </w:rPr>
        <w:t>m</w:t>
      </w:r>
      <w:r w:rsidRPr="00E52F02">
        <w:rPr>
          <w:szCs w:val="26"/>
        </w:rPr>
        <w:t>ontepío propio. No obstante, hay que señalar que esta excepción no es total en los tres casos, ya que en Tudela sus funcionarios sanitarios están incluidos en el Montepío general y Tafalla tiene incluidos a su secretario y sus funcionarios sanitarios en el Montepío general.</w:t>
      </w:r>
    </w:p>
    <w:p w:rsidR="009868F9" w:rsidRPr="00E52F02" w:rsidRDefault="009868F9" w:rsidP="009868F9">
      <w:pPr>
        <w:pStyle w:val="texto"/>
        <w:rPr>
          <w:szCs w:val="26"/>
        </w:rPr>
      </w:pPr>
      <w:r w:rsidRPr="00E52F02">
        <w:rPr>
          <w:szCs w:val="26"/>
        </w:rPr>
        <w:t>El Acuerdo de la Diputación Foral, de 21 de febrero de 1980, estableció un nuevo sistema retributivo con incidencia en materia de derechos pasivos. Esta norma dio lugar, a efectos del cálculo de los derechos pasivos, a dos colectivos diferenciados, uno formado por los funcionarios ingresados con anterioridad al 14 de julio de 1973 y otro por los ingresados con posterioridad.</w:t>
      </w:r>
    </w:p>
    <w:p w:rsidR="009868F9" w:rsidRPr="00E52F02" w:rsidRDefault="009868F9" w:rsidP="009868F9">
      <w:pPr>
        <w:pStyle w:val="texto"/>
        <w:rPr>
          <w:szCs w:val="26"/>
        </w:rPr>
      </w:pPr>
      <w:r w:rsidRPr="00E52F02">
        <w:rPr>
          <w:szCs w:val="26"/>
        </w:rPr>
        <w:t>La Ley Foral 13/1983, de 30 de marzo, reguladora del Estatuto del Personal al servicio de las Administraciones Públicas de Navarra, estableció el sistema retributivo y de niveles de encuadramiento que actualmente rige para los fu</w:t>
      </w:r>
      <w:r w:rsidRPr="00E52F02">
        <w:rPr>
          <w:szCs w:val="26"/>
        </w:rPr>
        <w:t>n</w:t>
      </w:r>
      <w:r w:rsidRPr="00E52F02">
        <w:rPr>
          <w:szCs w:val="26"/>
        </w:rPr>
        <w:t xml:space="preserve">cionarios en situación de servicio activo de las Administraciones Públicas de la Comunidad Foral. </w:t>
      </w:r>
      <w:r w:rsidR="00087286">
        <w:rPr>
          <w:szCs w:val="26"/>
        </w:rPr>
        <w:t>E</w:t>
      </w:r>
      <w:r w:rsidRPr="00E52F02">
        <w:rPr>
          <w:szCs w:val="26"/>
        </w:rPr>
        <w:t>n su Disposición transitoria tercera</w:t>
      </w:r>
      <w:r w:rsidR="00087286">
        <w:rPr>
          <w:szCs w:val="26"/>
        </w:rPr>
        <w:t xml:space="preserve">, </w:t>
      </w:r>
      <w:r w:rsidR="00087286" w:rsidRPr="00E52F02">
        <w:rPr>
          <w:szCs w:val="26"/>
        </w:rPr>
        <w:t>determinó</w:t>
      </w:r>
      <w:r w:rsidRPr="00E52F02">
        <w:rPr>
          <w:szCs w:val="26"/>
        </w:rPr>
        <w:t xml:space="preserve"> que mie</w:t>
      </w:r>
      <w:r w:rsidRPr="00E52F02">
        <w:rPr>
          <w:szCs w:val="26"/>
        </w:rPr>
        <w:t>n</w:t>
      </w:r>
      <w:r w:rsidRPr="00E52F02">
        <w:rPr>
          <w:szCs w:val="26"/>
        </w:rPr>
        <w:t xml:space="preserve">tras no entrara en vigor el Reglamento de Derechos Pasivos </w:t>
      </w:r>
      <w:r w:rsidR="009E7093">
        <w:rPr>
          <w:szCs w:val="26"/>
        </w:rPr>
        <w:t>que</w:t>
      </w:r>
      <w:r w:rsidRPr="00E52F02">
        <w:rPr>
          <w:szCs w:val="26"/>
        </w:rPr>
        <w:t xml:space="preserve"> desarroll</w:t>
      </w:r>
      <w:r w:rsidR="009E7093">
        <w:rPr>
          <w:szCs w:val="26"/>
        </w:rPr>
        <w:t>a</w:t>
      </w:r>
      <w:r w:rsidRPr="00E52F02">
        <w:rPr>
          <w:szCs w:val="26"/>
        </w:rPr>
        <w:t xml:space="preserve"> la Ley Foral, las jubilaciones se regirían por las disposiciones vigentes al mome</w:t>
      </w:r>
      <w:r w:rsidRPr="00E52F02">
        <w:rPr>
          <w:szCs w:val="26"/>
        </w:rPr>
        <w:t>n</w:t>
      </w:r>
      <w:r w:rsidRPr="00E52F02">
        <w:rPr>
          <w:szCs w:val="26"/>
        </w:rPr>
        <w:t xml:space="preserve">to de la aprobación de dicha </w:t>
      </w:r>
      <w:r w:rsidR="00925D20">
        <w:rPr>
          <w:szCs w:val="26"/>
        </w:rPr>
        <w:t>norma</w:t>
      </w:r>
      <w:r w:rsidRPr="00E52F02">
        <w:rPr>
          <w:szCs w:val="26"/>
        </w:rPr>
        <w:t>.</w:t>
      </w:r>
    </w:p>
    <w:p w:rsidR="009868F9" w:rsidRPr="00E52F02" w:rsidRDefault="009868F9" w:rsidP="009868F9">
      <w:pPr>
        <w:pStyle w:val="texto"/>
        <w:rPr>
          <w:szCs w:val="26"/>
        </w:rPr>
      </w:pPr>
      <w:r w:rsidRPr="00E52F02">
        <w:rPr>
          <w:szCs w:val="26"/>
        </w:rPr>
        <w:t>La Ley Foral 13/1993, de 30 de diciembre, de Presupuestos Generales de Navarra para el ejercicio 1994, estableció que los funcionarios de nuevo ingr</w:t>
      </w:r>
      <w:r w:rsidRPr="00E52F02">
        <w:rPr>
          <w:szCs w:val="26"/>
        </w:rPr>
        <w:t>e</w:t>
      </w:r>
      <w:r w:rsidRPr="00E52F02">
        <w:rPr>
          <w:szCs w:val="26"/>
        </w:rPr>
        <w:lastRenderedPageBreak/>
        <w:t>so de las Administraciones Locales de la Comunidad Foral serían dados de alta y, en su caso, afiliados al Régimen General de la Seguridad Social.</w:t>
      </w:r>
    </w:p>
    <w:p w:rsidR="009868F9" w:rsidRPr="00E52F02" w:rsidRDefault="009868F9" w:rsidP="009868F9">
      <w:pPr>
        <w:pStyle w:val="texto"/>
        <w:rPr>
          <w:szCs w:val="26"/>
        </w:rPr>
      </w:pPr>
      <w:r w:rsidRPr="00E52F02">
        <w:rPr>
          <w:szCs w:val="26"/>
        </w:rPr>
        <w:t xml:space="preserve">Con esta disposición normativa se cerró el ingreso de funcionarios de las Administraciones Locales de la Comunidad Foral en el </w:t>
      </w:r>
      <w:r w:rsidR="00B04729">
        <w:rPr>
          <w:szCs w:val="26"/>
        </w:rPr>
        <w:t>Montepío</w:t>
      </w:r>
      <w:r w:rsidRPr="00E52F02">
        <w:rPr>
          <w:szCs w:val="26"/>
        </w:rPr>
        <w:t>, de manera que los funcionarios acogidos al mismo quedaron como un colectivo “a exti</w:t>
      </w:r>
      <w:r w:rsidRPr="00E52F02">
        <w:rPr>
          <w:szCs w:val="26"/>
        </w:rPr>
        <w:t>n</w:t>
      </w:r>
      <w:r w:rsidRPr="00E52F02">
        <w:rPr>
          <w:szCs w:val="26"/>
        </w:rPr>
        <w:t>guir”.</w:t>
      </w:r>
    </w:p>
    <w:p w:rsidR="009868F9" w:rsidRPr="009868F9" w:rsidRDefault="009868F9" w:rsidP="009868F9">
      <w:pPr>
        <w:pStyle w:val="texto"/>
        <w:rPr>
          <w:szCs w:val="26"/>
        </w:rPr>
      </w:pPr>
      <w:r w:rsidRPr="009868F9">
        <w:rPr>
          <w:szCs w:val="26"/>
        </w:rPr>
        <w:t>No se llegó a elaborar y aprobar el reglamento de pasivos en desarrollo de la Ley Foral 13/1983. En su lugar, se optó por aprobar la Ley Foral 10/2003, de 5 de marzo, sobre régimen transitorio de los derechos pasivos del personal fu</w:t>
      </w:r>
      <w:r w:rsidRPr="009868F9">
        <w:rPr>
          <w:szCs w:val="26"/>
        </w:rPr>
        <w:t>n</w:t>
      </w:r>
      <w:r w:rsidRPr="009868F9">
        <w:rPr>
          <w:szCs w:val="26"/>
        </w:rPr>
        <w:t xml:space="preserve">cionario de los </w:t>
      </w:r>
      <w:r w:rsidR="00B04729">
        <w:rPr>
          <w:szCs w:val="26"/>
        </w:rPr>
        <w:t>Montepío</w:t>
      </w:r>
      <w:r w:rsidRPr="009868F9">
        <w:rPr>
          <w:szCs w:val="26"/>
        </w:rPr>
        <w:t xml:space="preserve">s de las </w:t>
      </w:r>
      <w:r w:rsidR="00A03E3B">
        <w:rPr>
          <w:szCs w:val="26"/>
        </w:rPr>
        <w:t>A</w:t>
      </w:r>
      <w:r w:rsidRPr="009868F9">
        <w:rPr>
          <w:szCs w:val="26"/>
        </w:rPr>
        <w:t xml:space="preserve">dministraciones </w:t>
      </w:r>
      <w:r w:rsidR="00A03E3B">
        <w:rPr>
          <w:szCs w:val="26"/>
        </w:rPr>
        <w:t>P</w:t>
      </w:r>
      <w:r w:rsidRPr="009868F9">
        <w:rPr>
          <w:szCs w:val="26"/>
        </w:rPr>
        <w:t>úblicas de Navarra que r</w:t>
      </w:r>
      <w:r w:rsidRPr="009868F9">
        <w:rPr>
          <w:szCs w:val="26"/>
        </w:rPr>
        <w:t>e</w:t>
      </w:r>
      <w:r w:rsidRPr="009868F9">
        <w:rPr>
          <w:szCs w:val="26"/>
        </w:rPr>
        <w:t xml:space="preserve">gula, con carácter provisional, el nuevo sistema de prestaciones pasivas de los funcionarios de los </w:t>
      </w:r>
      <w:r w:rsidR="00B04729">
        <w:rPr>
          <w:szCs w:val="26"/>
        </w:rPr>
        <w:t>Montepío</w:t>
      </w:r>
      <w:r w:rsidRPr="009868F9">
        <w:rPr>
          <w:szCs w:val="26"/>
        </w:rPr>
        <w:t>s.</w:t>
      </w:r>
    </w:p>
    <w:p w:rsidR="00900E6C" w:rsidRDefault="009868F9" w:rsidP="009868F9">
      <w:pPr>
        <w:pStyle w:val="texto"/>
        <w:rPr>
          <w:szCs w:val="26"/>
        </w:rPr>
      </w:pPr>
      <w:r w:rsidRPr="009868F9">
        <w:rPr>
          <w:szCs w:val="26"/>
        </w:rPr>
        <w:t>La pretensión del legislador era la integración de este colectivo de funcion</w:t>
      </w:r>
      <w:r w:rsidRPr="009868F9">
        <w:rPr>
          <w:szCs w:val="26"/>
        </w:rPr>
        <w:t>a</w:t>
      </w:r>
      <w:r w:rsidRPr="009868F9">
        <w:rPr>
          <w:szCs w:val="26"/>
        </w:rPr>
        <w:t>rios en el régimen general de la Seguridad Social</w:t>
      </w:r>
      <w:r w:rsidR="001675E9">
        <w:rPr>
          <w:szCs w:val="26"/>
        </w:rPr>
        <w:t>;</w:t>
      </w:r>
      <w:r w:rsidRPr="009868F9">
        <w:rPr>
          <w:szCs w:val="26"/>
        </w:rPr>
        <w:t xml:space="preserve"> sin embargo, este régimen provisional </w:t>
      </w:r>
      <w:r w:rsidR="00900E6C">
        <w:rPr>
          <w:szCs w:val="26"/>
        </w:rPr>
        <w:t>sigue vigente en la actualidad.</w:t>
      </w:r>
    </w:p>
    <w:p w:rsidR="009868F9" w:rsidRPr="009868F9" w:rsidRDefault="009868F9" w:rsidP="009868F9">
      <w:pPr>
        <w:pStyle w:val="texto"/>
        <w:rPr>
          <w:szCs w:val="26"/>
        </w:rPr>
      </w:pPr>
      <w:r w:rsidRPr="009868F9">
        <w:rPr>
          <w:szCs w:val="26"/>
        </w:rPr>
        <w:t>El sistema de derechos pasivos contemplado en la Ley Foral10/2003, de 5 de marzo, que es de aplicación exclusivamente al citado colectivo “a extinguir” que se ha adherido voluntariamente a dicho régimen, establece un sistema sim</w:t>
      </w:r>
      <w:r w:rsidRPr="009868F9">
        <w:rPr>
          <w:szCs w:val="26"/>
        </w:rPr>
        <w:t>i</w:t>
      </w:r>
      <w:r w:rsidRPr="009868F9">
        <w:rPr>
          <w:szCs w:val="26"/>
        </w:rPr>
        <w:t>lar al del Régimen General de la Seguridad Social, en el que las cuantías de las pensiones vienen dadas por las retribuciones percibidas en activo, sin perjuicio de que operen unos límites en forma de topes máximos, al igual que en este ú</w:t>
      </w:r>
      <w:r w:rsidRPr="009868F9">
        <w:rPr>
          <w:szCs w:val="26"/>
        </w:rPr>
        <w:t>l</w:t>
      </w:r>
      <w:r w:rsidRPr="009868F9">
        <w:rPr>
          <w:szCs w:val="26"/>
        </w:rPr>
        <w:t>timo sistema.</w:t>
      </w:r>
    </w:p>
    <w:p w:rsidR="009868F9" w:rsidRPr="009868F9" w:rsidRDefault="009868F9" w:rsidP="009868F9">
      <w:pPr>
        <w:pStyle w:val="texto"/>
        <w:rPr>
          <w:szCs w:val="26"/>
        </w:rPr>
      </w:pPr>
      <w:r w:rsidRPr="009868F9">
        <w:rPr>
          <w:szCs w:val="26"/>
        </w:rPr>
        <w:t>La Ley Foral</w:t>
      </w:r>
      <w:r w:rsidR="00062C69">
        <w:rPr>
          <w:szCs w:val="26"/>
        </w:rPr>
        <w:t xml:space="preserve"> </w:t>
      </w:r>
      <w:r w:rsidRPr="009868F9">
        <w:rPr>
          <w:szCs w:val="26"/>
        </w:rPr>
        <w:t>10/2003 prevé, en su Disposición Adicional Novena, que las Administraciones Públicas de Navarra continuarán llevando a cabo las funci</w:t>
      </w:r>
      <w:r w:rsidRPr="009868F9">
        <w:rPr>
          <w:szCs w:val="26"/>
        </w:rPr>
        <w:t>o</w:t>
      </w:r>
      <w:r w:rsidRPr="009868F9">
        <w:rPr>
          <w:szCs w:val="26"/>
        </w:rPr>
        <w:t xml:space="preserve">nes y servicios que tienen encomendados actualmente en relación con los </w:t>
      </w:r>
      <w:r w:rsidR="001675E9">
        <w:rPr>
          <w:szCs w:val="26"/>
        </w:rPr>
        <w:t>m</w:t>
      </w:r>
      <w:r w:rsidR="00B04729">
        <w:rPr>
          <w:szCs w:val="26"/>
        </w:rPr>
        <w:t>o</w:t>
      </w:r>
      <w:r w:rsidR="00B04729">
        <w:rPr>
          <w:szCs w:val="26"/>
        </w:rPr>
        <w:t>n</w:t>
      </w:r>
      <w:r w:rsidR="00B04729">
        <w:rPr>
          <w:szCs w:val="26"/>
        </w:rPr>
        <w:t>tepío</w:t>
      </w:r>
      <w:r w:rsidRPr="009868F9">
        <w:rPr>
          <w:szCs w:val="26"/>
        </w:rPr>
        <w:t>s comprendidos en sus respectivos ámbitos de gestión y no podrán modif</w:t>
      </w:r>
      <w:r w:rsidRPr="009868F9">
        <w:rPr>
          <w:szCs w:val="26"/>
        </w:rPr>
        <w:t>i</w:t>
      </w:r>
      <w:r w:rsidRPr="009868F9">
        <w:rPr>
          <w:szCs w:val="26"/>
        </w:rPr>
        <w:t>car la normativa reguladora de derechos pasivos vigente, en cada uno de ellos, con anterioridad a la entrada en vigor de esta Ley Foral.</w:t>
      </w:r>
    </w:p>
    <w:p w:rsidR="009868F9" w:rsidRPr="009868F9" w:rsidRDefault="009868F9" w:rsidP="009868F9">
      <w:pPr>
        <w:pStyle w:val="texto"/>
        <w:rPr>
          <w:szCs w:val="26"/>
        </w:rPr>
      </w:pPr>
      <w:r w:rsidRPr="009868F9">
        <w:rPr>
          <w:szCs w:val="26"/>
        </w:rPr>
        <w:t>La disposición Adicional Novena de la Ley Foral 2/1995, de 10 de marzo, de las Haciendas Locales de Navarra establece que, “el Gobierno de Navarra co</w:t>
      </w:r>
      <w:r w:rsidRPr="009868F9">
        <w:rPr>
          <w:szCs w:val="26"/>
        </w:rPr>
        <w:t>n</w:t>
      </w:r>
      <w:r w:rsidRPr="009868F9">
        <w:rPr>
          <w:szCs w:val="26"/>
        </w:rPr>
        <w:t xml:space="preserve">tribuirá a la financiación de los </w:t>
      </w:r>
      <w:r w:rsidR="00B04729">
        <w:rPr>
          <w:szCs w:val="26"/>
        </w:rPr>
        <w:t>Montepío</w:t>
      </w:r>
      <w:r w:rsidRPr="009868F9">
        <w:rPr>
          <w:szCs w:val="26"/>
        </w:rPr>
        <w:t>s municipales a través de las partidas que a tal efecto figuren en los Presupuestos Generales de Navarra.</w:t>
      </w:r>
    </w:p>
    <w:p w:rsidR="009868F9" w:rsidRPr="009868F9" w:rsidRDefault="009868F9" w:rsidP="009868F9">
      <w:pPr>
        <w:pStyle w:val="texto"/>
        <w:rPr>
          <w:szCs w:val="26"/>
        </w:rPr>
      </w:pPr>
      <w:r w:rsidRPr="009868F9">
        <w:rPr>
          <w:szCs w:val="26"/>
        </w:rPr>
        <w:t>La Disp</w:t>
      </w:r>
      <w:r w:rsidR="00062C69">
        <w:rPr>
          <w:szCs w:val="26"/>
        </w:rPr>
        <w:t xml:space="preserve">osición Adicional Décima de la </w:t>
      </w:r>
      <w:r w:rsidRPr="009868F9">
        <w:rPr>
          <w:szCs w:val="26"/>
        </w:rPr>
        <w:t>Ley Foral</w:t>
      </w:r>
      <w:r w:rsidR="00062C69">
        <w:rPr>
          <w:szCs w:val="26"/>
        </w:rPr>
        <w:t xml:space="preserve"> </w:t>
      </w:r>
      <w:r w:rsidRPr="009868F9">
        <w:rPr>
          <w:szCs w:val="26"/>
        </w:rPr>
        <w:t xml:space="preserve">10/2003 establece respecto a la “Financiación de los </w:t>
      </w:r>
      <w:r w:rsidR="00B04729">
        <w:rPr>
          <w:szCs w:val="26"/>
        </w:rPr>
        <w:t>Montepío</w:t>
      </w:r>
      <w:r w:rsidRPr="009868F9">
        <w:rPr>
          <w:szCs w:val="26"/>
        </w:rPr>
        <w:t>s Municipales” lo siguiente:</w:t>
      </w:r>
    </w:p>
    <w:p w:rsidR="009868F9" w:rsidRPr="0043494A" w:rsidRDefault="009868F9" w:rsidP="009868F9">
      <w:pPr>
        <w:pStyle w:val="texto"/>
        <w:rPr>
          <w:i/>
          <w:sz w:val="22"/>
          <w:szCs w:val="22"/>
        </w:rPr>
      </w:pPr>
      <w:r w:rsidRPr="0043494A">
        <w:rPr>
          <w:i/>
          <w:sz w:val="22"/>
          <w:szCs w:val="22"/>
        </w:rPr>
        <w:t>“1. Las Entidades Locales de Navarra financiarán el coste neto global anual de las cl</w:t>
      </w:r>
      <w:r w:rsidRPr="0043494A">
        <w:rPr>
          <w:i/>
          <w:sz w:val="22"/>
          <w:szCs w:val="22"/>
        </w:rPr>
        <w:t>a</w:t>
      </w:r>
      <w:r w:rsidRPr="0043494A">
        <w:rPr>
          <w:i/>
          <w:sz w:val="22"/>
          <w:szCs w:val="22"/>
        </w:rPr>
        <w:t xml:space="preserve">ses pasivas del </w:t>
      </w:r>
      <w:r w:rsidR="00B04729">
        <w:rPr>
          <w:i/>
          <w:sz w:val="22"/>
          <w:szCs w:val="22"/>
        </w:rPr>
        <w:t>Montepío</w:t>
      </w:r>
      <w:r w:rsidRPr="0043494A">
        <w:rPr>
          <w:i/>
          <w:sz w:val="22"/>
          <w:szCs w:val="22"/>
        </w:rPr>
        <w:t xml:space="preserve"> de Funcionarios Municipales de Navarra en el 64,3 por 100, sin que la cifra resultante pueda superar, en ningún caso, la cantidad de 10.682.014 euros, a</w:t>
      </w:r>
      <w:r w:rsidRPr="0043494A">
        <w:rPr>
          <w:i/>
          <w:sz w:val="22"/>
          <w:szCs w:val="22"/>
        </w:rPr>
        <w:t>c</w:t>
      </w:r>
      <w:r w:rsidRPr="0043494A">
        <w:rPr>
          <w:i/>
          <w:sz w:val="22"/>
          <w:szCs w:val="22"/>
        </w:rPr>
        <w:t>tualizada, al ejercicio de que se trate, con los incrementos que para las pensiones se fijen en las sucesivas Leyes Forales de Presupuestos Generales de Navarra a partir del año 2002 inclusive.</w:t>
      </w:r>
    </w:p>
    <w:p w:rsidR="009868F9" w:rsidRPr="0043494A" w:rsidRDefault="009868F9" w:rsidP="00321174">
      <w:pPr>
        <w:pStyle w:val="texto"/>
        <w:rPr>
          <w:i/>
          <w:sz w:val="22"/>
          <w:szCs w:val="22"/>
        </w:rPr>
      </w:pPr>
      <w:r w:rsidRPr="0043494A">
        <w:rPr>
          <w:i/>
          <w:sz w:val="22"/>
          <w:szCs w:val="22"/>
        </w:rPr>
        <w:lastRenderedPageBreak/>
        <w:t xml:space="preserve">2. Los Ayuntamientos de Pamplona, Tafalla y Tudela, financiarán el coste neto anual de las clases pasivas de sus </w:t>
      </w:r>
      <w:r w:rsidR="00B04729">
        <w:rPr>
          <w:i/>
          <w:sz w:val="22"/>
          <w:szCs w:val="22"/>
        </w:rPr>
        <w:t>Montepío</w:t>
      </w:r>
      <w:r w:rsidRPr="0043494A">
        <w:rPr>
          <w:i/>
          <w:sz w:val="22"/>
          <w:szCs w:val="22"/>
        </w:rPr>
        <w:t>s propios en el 77,1 por 100, sin que las cifras resultantes puedan superar, en ningún caso, las cantidades de 9.312.961 euros, 454.520 euros y 1.082.046 euros respectivamente, actualizadas, al ejercicio de que se trate, con los incr</w:t>
      </w:r>
      <w:r w:rsidRPr="0043494A">
        <w:rPr>
          <w:i/>
          <w:sz w:val="22"/>
          <w:szCs w:val="22"/>
        </w:rPr>
        <w:t>e</w:t>
      </w:r>
      <w:r w:rsidRPr="0043494A">
        <w:rPr>
          <w:i/>
          <w:sz w:val="22"/>
          <w:szCs w:val="22"/>
        </w:rPr>
        <w:t>mentos que para las pensiones se fijen en las sucesivas Leyes Forales de Presupuestos Gen</w:t>
      </w:r>
      <w:r w:rsidRPr="0043494A">
        <w:rPr>
          <w:i/>
          <w:sz w:val="22"/>
          <w:szCs w:val="22"/>
        </w:rPr>
        <w:t>e</w:t>
      </w:r>
      <w:r w:rsidRPr="0043494A">
        <w:rPr>
          <w:i/>
          <w:sz w:val="22"/>
          <w:szCs w:val="22"/>
        </w:rPr>
        <w:t>rales de Navarra a partir del año 2002 inclusive.</w:t>
      </w:r>
    </w:p>
    <w:p w:rsidR="009868F9" w:rsidRPr="0043494A" w:rsidRDefault="009868F9" w:rsidP="00321174">
      <w:pPr>
        <w:pStyle w:val="texto"/>
        <w:rPr>
          <w:i/>
          <w:sz w:val="22"/>
          <w:szCs w:val="22"/>
        </w:rPr>
      </w:pPr>
      <w:r w:rsidRPr="0043494A">
        <w:rPr>
          <w:i/>
          <w:sz w:val="22"/>
          <w:szCs w:val="22"/>
        </w:rPr>
        <w:t>3. Las cantidades complementarias necesarias para financiar la totalidad del coste neto global anterior serán atendidas con cargo a los Presupuestos Generales de Navarra”.</w:t>
      </w:r>
    </w:p>
    <w:p w:rsidR="009868F9" w:rsidRPr="009868F9" w:rsidRDefault="009868F9" w:rsidP="00321174">
      <w:pPr>
        <w:pStyle w:val="texto"/>
        <w:rPr>
          <w:szCs w:val="26"/>
        </w:rPr>
      </w:pPr>
      <w:r w:rsidRPr="009868F9">
        <w:rPr>
          <w:szCs w:val="26"/>
        </w:rPr>
        <w:t xml:space="preserve">Las leyes de presupuesto de cada año recogen las partidas presupuestarias para poder cumplir con estos preceptos. </w:t>
      </w:r>
    </w:p>
    <w:p w:rsidR="009868F9" w:rsidRPr="009868F9" w:rsidRDefault="009868F9" w:rsidP="00321174">
      <w:pPr>
        <w:pStyle w:val="texto"/>
        <w:rPr>
          <w:szCs w:val="26"/>
        </w:rPr>
      </w:pPr>
      <w:r w:rsidRPr="009868F9">
        <w:rPr>
          <w:szCs w:val="26"/>
        </w:rPr>
        <w:t>Cada año por resolución de la Dir</w:t>
      </w:r>
      <w:r w:rsidR="00BD51E0">
        <w:rPr>
          <w:szCs w:val="26"/>
        </w:rPr>
        <w:t>ección General de Función P</w:t>
      </w:r>
      <w:r w:rsidRPr="009868F9">
        <w:rPr>
          <w:szCs w:val="26"/>
        </w:rPr>
        <w:t xml:space="preserve">ública se aprueba el déficit generado por el </w:t>
      </w:r>
      <w:r w:rsidR="00B04729">
        <w:rPr>
          <w:szCs w:val="26"/>
        </w:rPr>
        <w:t>Montepío</w:t>
      </w:r>
      <w:r w:rsidRPr="009868F9">
        <w:rPr>
          <w:szCs w:val="26"/>
        </w:rPr>
        <w:t xml:space="preserve"> Municipal y su reparto entre las entidades locales de Navarra.</w:t>
      </w:r>
    </w:p>
    <w:p w:rsidR="009868F9" w:rsidRPr="009868F9" w:rsidRDefault="009868F9" w:rsidP="00321174">
      <w:pPr>
        <w:pStyle w:val="texto"/>
        <w:rPr>
          <w:szCs w:val="26"/>
        </w:rPr>
      </w:pPr>
      <w:r w:rsidRPr="009868F9">
        <w:rPr>
          <w:szCs w:val="26"/>
        </w:rPr>
        <w:t>Los importes resultantes se cargan trimestralmente a las entidades locales a través de la Cuenta de Repartimientos. También trimestralmente se les abona en la misma cuenta el 3</w:t>
      </w:r>
      <w:r w:rsidR="00BD51E0">
        <w:rPr>
          <w:szCs w:val="26"/>
        </w:rPr>
        <w:t>5</w:t>
      </w:r>
      <w:r w:rsidRPr="009868F9">
        <w:rPr>
          <w:szCs w:val="26"/>
        </w:rPr>
        <w:t>,7 por ciento que se financia con cargo a los Pres</w:t>
      </w:r>
      <w:r w:rsidRPr="009868F9">
        <w:rPr>
          <w:szCs w:val="26"/>
        </w:rPr>
        <w:t>u</w:t>
      </w:r>
      <w:r w:rsidRPr="009868F9">
        <w:rPr>
          <w:szCs w:val="26"/>
        </w:rPr>
        <w:t>puestos Generales de Navarra</w:t>
      </w:r>
    </w:p>
    <w:p w:rsidR="009868F9" w:rsidRPr="009868F9" w:rsidRDefault="009868F9" w:rsidP="009868F9">
      <w:pPr>
        <w:pStyle w:val="atitulo2"/>
        <w:spacing w:before="240"/>
      </w:pPr>
      <w:bookmarkStart w:id="7" w:name="_Toc482946241"/>
      <w:r w:rsidRPr="009868F9">
        <w:t>II.3</w:t>
      </w:r>
      <w:r w:rsidR="006A0483">
        <w:t>.</w:t>
      </w:r>
      <w:r w:rsidRPr="009868F9">
        <w:t xml:space="preserve"> Aplicación práctica del reparto del déficit del </w:t>
      </w:r>
      <w:r w:rsidR="00B04729">
        <w:t>Montepío</w:t>
      </w:r>
      <w:r w:rsidRPr="009868F9">
        <w:t xml:space="preserve"> Municipal</w:t>
      </w:r>
      <w:bookmarkEnd w:id="7"/>
    </w:p>
    <w:p w:rsidR="009868F9" w:rsidRPr="009868F9" w:rsidRDefault="009868F9" w:rsidP="0077337B">
      <w:pPr>
        <w:pStyle w:val="texto"/>
        <w:rPr>
          <w:szCs w:val="26"/>
        </w:rPr>
      </w:pPr>
      <w:r w:rsidRPr="009868F9">
        <w:rPr>
          <w:szCs w:val="26"/>
        </w:rPr>
        <w:t>En la práctica, toda la normativa y criterios anteriormente señalados, se pu</w:t>
      </w:r>
      <w:r w:rsidRPr="009868F9">
        <w:rPr>
          <w:szCs w:val="26"/>
        </w:rPr>
        <w:t>e</w:t>
      </w:r>
      <w:r w:rsidRPr="009868F9">
        <w:rPr>
          <w:szCs w:val="26"/>
        </w:rPr>
        <w:t xml:space="preserve">den resumir en el siguiente procedimiento: </w:t>
      </w:r>
    </w:p>
    <w:p w:rsidR="009868F9" w:rsidRPr="009868F9" w:rsidRDefault="009868F9" w:rsidP="00897EED">
      <w:pPr>
        <w:pStyle w:val="texto"/>
        <w:numPr>
          <w:ilvl w:val="0"/>
          <w:numId w:val="21"/>
        </w:numPr>
        <w:ind w:left="426"/>
        <w:rPr>
          <w:szCs w:val="26"/>
        </w:rPr>
      </w:pPr>
      <w:r w:rsidRPr="009868F9">
        <w:rPr>
          <w:szCs w:val="26"/>
        </w:rPr>
        <w:t xml:space="preserve">Las nóminas de los funcionarios municipales que pasan a la situación de pensionistas, o sus beneficiarios, son elaboradas por los gestores del </w:t>
      </w:r>
      <w:r w:rsidR="00B04729">
        <w:rPr>
          <w:szCs w:val="26"/>
        </w:rPr>
        <w:t>Mo</w:t>
      </w:r>
      <w:r w:rsidR="00B04729">
        <w:rPr>
          <w:szCs w:val="26"/>
        </w:rPr>
        <w:t>n</w:t>
      </w:r>
      <w:r w:rsidR="00B04729">
        <w:rPr>
          <w:szCs w:val="26"/>
        </w:rPr>
        <w:t>tepío</w:t>
      </w:r>
      <w:r w:rsidRPr="009868F9">
        <w:rPr>
          <w:szCs w:val="26"/>
        </w:rPr>
        <w:t xml:space="preserve"> Municipal; es decir por el Servicio de Prestaciones Sociales de la D</w:t>
      </w:r>
      <w:r w:rsidRPr="009868F9">
        <w:rPr>
          <w:szCs w:val="26"/>
        </w:rPr>
        <w:t>i</w:t>
      </w:r>
      <w:r w:rsidRPr="009868F9">
        <w:rPr>
          <w:szCs w:val="26"/>
        </w:rPr>
        <w:t>rección General de Función Pública.</w:t>
      </w:r>
    </w:p>
    <w:p w:rsidR="009868F9" w:rsidRPr="009868F9" w:rsidRDefault="009868F9" w:rsidP="00897EED">
      <w:pPr>
        <w:pStyle w:val="texto"/>
        <w:numPr>
          <w:ilvl w:val="0"/>
          <w:numId w:val="21"/>
        </w:numPr>
        <w:ind w:left="426"/>
        <w:rPr>
          <w:szCs w:val="26"/>
        </w:rPr>
      </w:pPr>
      <w:r w:rsidRPr="009868F9">
        <w:rPr>
          <w:szCs w:val="26"/>
        </w:rPr>
        <w:t>Las cuotas de los funcionarios las recaudan los correspondientes ayunt</w:t>
      </w:r>
      <w:r w:rsidRPr="009868F9">
        <w:rPr>
          <w:szCs w:val="26"/>
        </w:rPr>
        <w:t>a</w:t>
      </w:r>
      <w:r w:rsidRPr="009868F9">
        <w:rPr>
          <w:szCs w:val="26"/>
        </w:rPr>
        <w:t xml:space="preserve">mientos. Estos comunican las bases de cotización al </w:t>
      </w:r>
      <w:r w:rsidR="00B04729">
        <w:rPr>
          <w:szCs w:val="26"/>
        </w:rPr>
        <w:t>Montepío</w:t>
      </w:r>
      <w:r w:rsidRPr="009868F9">
        <w:rPr>
          <w:szCs w:val="26"/>
        </w:rPr>
        <w:t>, que tras los cálculos correspondientes, carga las cuotas a los ayuntamientos en la cuenta de Repartimientos.</w:t>
      </w:r>
    </w:p>
    <w:p w:rsidR="009868F9" w:rsidRPr="009868F9" w:rsidRDefault="009868F9" w:rsidP="00897EED">
      <w:pPr>
        <w:pStyle w:val="texto"/>
        <w:numPr>
          <w:ilvl w:val="0"/>
          <w:numId w:val="21"/>
        </w:numPr>
        <w:ind w:left="426"/>
        <w:rPr>
          <w:szCs w:val="26"/>
        </w:rPr>
      </w:pPr>
      <w:r w:rsidRPr="009868F9">
        <w:rPr>
          <w:szCs w:val="26"/>
        </w:rPr>
        <w:t>El déficit del ejercicio “X” para el año “X+1” se calcula como diferencia entre las pensiones del año “X” y las cuotas del “X-1”.</w:t>
      </w:r>
    </w:p>
    <w:p w:rsidR="009868F9" w:rsidRPr="009868F9" w:rsidRDefault="009868F9" w:rsidP="00897EED">
      <w:pPr>
        <w:pStyle w:val="texto"/>
        <w:numPr>
          <w:ilvl w:val="0"/>
          <w:numId w:val="21"/>
        </w:numPr>
        <w:ind w:left="426"/>
        <w:rPr>
          <w:szCs w:val="26"/>
        </w:rPr>
      </w:pPr>
      <w:r w:rsidRPr="009868F9">
        <w:rPr>
          <w:szCs w:val="26"/>
        </w:rPr>
        <w:t>Contablemente los Presupuestos de Navarra recogen el pago de las pensi</w:t>
      </w:r>
      <w:r w:rsidRPr="009868F9">
        <w:rPr>
          <w:szCs w:val="26"/>
        </w:rPr>
        <w:t>o</w:t>
      </w:r>
      <w:r w:rsidRPr="009868F9">
        <w:rPr>
          <w:szCs w:val="26"/>
        </w:rPr>
        <w:t>nes en el capítulo de Activos financieros, ya que constituye un anticipo.</w:t>
      </w:r>
    </w:p>
    <w:p w:rsidR="009868F9" w:rsidRPr="009868F9" w:rsidRDefault="009868F9" w:rsidP="00897EED">
      <w:pPr>
        <w:pStyle w:val="texto"/>
        <w:numPr>
          <w:ilvl w:val="0"/>
          <w:numId w:val="21"/>
        </w:numPr>
        <w:ind w:left="426"/>
        <w:rPr>
          <w:szCs w:val="26"/>
        </w:rPr>
      </w:pPr>
      <w:r w:rsidRPr="009868F9">
        <w:rPr>
          <w:szCs w:val="26"/>
        </w:rPr>
        <w:t xml:space="preserve">El déficit anual </w:t>
      </w:r>
      <w:r w:rsidR="001318B7">
        <w:rPr>
          <w:szCs w:val="26"/>
        </w:rPr>
        <w:t xml:space="preserve">del </w:t>
      </w:r>
      <w:r w:rsidR="00B04729">
        <w:rPr>
          <w:szCs w:val="26"/>
        </w:rPr>
        <w:t>Montepío</w:t>
      </w:r>
      <w:r w:rsidR="001318B7">
        <w:rPr>
          <w:szCs w:val="26"/>
        </w:rPr>
        <w:t xml:space="preserve"> Municipal </w:t>
      </w:r>
      <w:r w:rsidRPr="009868F9">
        <w:rPr>
          <w:szCs w:val="26"/>
        </w:rPr>
        <w:t>es la suma de siete déficit</w:t>
      </w:r>
      <w:r w:rsidR="000A55F1">
        <w:rPr>
          <w:szCs w:val="26"/>
        </w:rPr>
        <w:t>s</w:t>
      </w:r>
      <w:r w:rsidRPr="009868F9">
        <w:rPr>
          <w:szCs w:val="26"/>
        </w:rPr>
        <w:t xml:space="preserve"> parci</w:t>
      </w:r>
      <w:r w:rsidRPr="009868F9">
        <w:rPr>
          <w:szCs w:val="26"/>
        </w:rPr>
        <w:t>a</w:t>
      </w:r>
      <w:r w:rsidRPr="009868F9">
        <w:rPr>
          <w:szCs w:val="26"/>
        </w:rPr>
        <w:t xml:space="preserve">les, correspondientes a las pensiones de: </w:t>
      </w:r>
    </w:p>
    <w:p w:rsidR="009868F9" w:rsidRPr="009868F9" w:rsidRDefault="009868F9" w:rsidP="00322961">
      <w:pPr>
        <w:pStyle w:val="texto"/>
        <w:numPr>
          <w:ilvl w:val="0"/>
          <w:numId w:val="22"/>
        </w:numPr>
        <w:spacing w:after="120"/>
        <w:ind w:left="850" w:hanging="357"/>
        <w:rPr>
          <w:szCs w:val="26"/>
        </w:rPr>
      </w:pPr>
      <w:r w:rsidRPr="009868F9">
        <w:rPr>
          <w:szCs w:val="26"/>
        </w:rPr>
        <w:t>Secretarios</w:t>
      </w:r>
      <w:r w:rsidR="002D704D">
        <w:rPr>
          <w:szCs w:val="26"/>
        </w:rPr>
        <w:t>.</w:t>
      </w:r>
    </w:p>
    <w:p w:rsidR="009868F9" w:rsidRPr="009868F9" w:rsidRDefault="009868F9" w:rsidP="00322961">
      <w:pPr>
        <w:pStyle w:val="texto"/>
        <w:numPr>
          <w:ilvl w:val="0"/>
          <w:numId w:val="22"/>
        </w:numPr>
        <w:spacing w:after="120"/>
        <w:ind w:left="851"/>
        <w:rPr>
          <w:szCs w:val="26"/>
        </w:rPr>
      </w:pPr>
      <w:r w:rsidRPr="009868F9">
        <w:rPr>
          <w:szCs w:val="26"/>
        </w:rPr>
        <w:t>Médicos</w:t>
      </w:r>
      <w:r w:rsidR="002D704D">
        <w:rPr>
          <w:szCs w:val="26"/>
        </w:rPr>
        <w:t>.</w:t>
      </w:r>
    </w:p>
    <w:p w:rsidR="009868F9" w:rsidRPr="009868F9" w:rsidRDefault="009868F9" w:rsidP="00322961">
      <w:pPr>
        <w:pStyle w:val="texto"/>
        <w:numPr>
          <w:ilvl w:val="0"/>
          <w:numId w:val="22"/>
        </w:numPr>
        <w:spacing w:after="120"/>
        <w:ind w:left="851"/>
        <w:rPr>
          <w:szCs w:val="26"/>
        </w:rPr>
      </w:pPr>
      <w:r w:rsidRPr="009868F9">
        <w:rPr>
          <w:szCs w:val="26"/>
        </w:rPr>
        <w:t>Practicantes</w:t>
      </w:r>
      <w:r w:rsidR="002D704D">
        <w:rPr>
          <w:szCs w:val="26"/>
        </w:rPr>
        <w:t>.</w:t>
      </w:r>
    </w:p>
    <w:p w:rsidR="009868F9" w:rsidRPr="009868F9" w:rsidRDefault="009868F9" w:rsidP="00322961">
      <w:pPr>
        <w:pStyle w:val="texto"/>
        <w:numPr>
          <w:ilvl w:val="0"/>
          <w:numId w:val="22"/>
        </w:numPr>
        <w:spacing w:after="120"/>
        <w:ind w:left="851"/>
        <w:rPr>
          <w:szCs w:val="26"/>
        </w:rPr>
      </w:pPr>
      <w:r w:rsidRPr="009868F9">
        <w:rPr>
          <w:szCs w:val="26"/>
        </w:rPr>
        <w:lastRenderedPageBreak/>
        <w:t>Veterinarios</w:t>
      </w:r>
      <w:r w:rsidR="002D704D">
        <w:rPr>
          <w:szCs w:val="26"/>
        </w:rPr>
        <w:t>.</w:t>
      </w:r>
    </w:p>
    <w:p w:rsidR="009868F9" w:rsidRPr="009868F9" w:rsidRDefault="009868F9" w:rsidP="00322961">
      <w:pPr>
        <w:pStyle w:val="texto"/>
        <w:numPr>
          <w:ilvl w:val="0"/>
          <w:numId w:val="22"/>
        </w:numPr>
        <w:spacing w:after="120"/>
        <w:ind w:left="851"/>
        <w:rPr>
          <w:szCs w:val="26"/>
        </w:rPr>
      </w:pPr>
      <w:r w:rsidRPr="009868F9">
        <w:rPr>
          <w:szCs w:val="26"/>
        </w:rPr>
        <w:t>Farmacéuticos</w:t>
      </w:r>
      <w:r w:rsidR="002D704D">
        <w:rPr>
          <w:szCs w:val="26"/>
        </w:rPr>
        <w:t>.</w:t>
      </w:r>
    </w:p>
    <w:p w:rsidR="009868F9" w:rsidRPr="009868F9" w:rsidRDefault="009868F9" w:rsidP="00897EED">
      <w:pPr>
        <w:pStyle w:val="texto"/>
        <w:numPr>
          <w:ilvl w:val="0"/>
          <w:numId w:val="22"/>
        </w:numPr>
        <w:ind w:left="851"/>
        <w:rPr>
          <w:szCs w:val="26"/>
        </w:rPr>
      </w:pPr>
      <w:r w:rsidRPr="009868F9">
        <w:rPr>
          <w:szCs w:val="26"/>
        </w:rPr>
        <w:t>Administrativos</w:t>
      </w:r>
      <w:r w:rsidR="002D704D">
        <w:rPr>
          <w:szCs w:val="26"/>
        </w:rPr>
        <w:t>.</w:t>
      </w:r>
    </w:p>
    <w:p w:rsidR="009868F9" w:rsidRPr="009868F9" w:rsidRDefault="009868F9" w:rsidP="00897EED">
      <w:pPr>
        <w:pStyle w:val="texto"/>
        <w:numPr>
          <w:ilvl w:val="0"/>
          <w:numId w:val="22"/>
        </w:numPr>
        <w:ind w:left="851"/>
        <w:rPr>
          <w:szCs w:val="26"/>
        </w:rPr>
      </w:pPr>
      <w:r w:rsidRPr="009868F9">
        <w:rPr>
          <w:szCs w:val="26"/>
        </w:rPr>
        <w:t>Subalternos</w:t>
      </w:r>
      <w:r w:rsidR="002D704D">
        <w:rPr>
          <w:szCs w:val="26"/>
        </w:rPr>
        <w:t>.</w:t>
      </w:r>
    </w:p>
    <w:p w:rsidR="009868F9" w:rsidRPr="009868F9" w:rsidRDefault="009868F9" w:rsidP="00897EED">
      <w:pPr>
        <w:pStyle w:val="texto"/>
        <w:ind w:left="426" w:firstLine="0"/>
        <w:rPr>
          <w:szCs w:val="26"/>
        </w:rPr>
      </w:pPr>
      <w:r w:rsidRPr="009868F9">
        <w:rPr>
          <w:szCs w:val="26"/>
        </w:rPr>
        <w:t>A cada uno de estos grupos se les deduce de las pensiones abonadas las cuotas correspondientes a ese colectivo. En el reparto publicado en el Bol</w:t>
      </w:r>
      <w:r w:rsidRPr="009868F9">
        <w:rPr>
          <w:szCs w:val="26"/>
        </w:rPr>
        <w:t>e</w:t>
      </w:r>
      <w:r w:rsidRPr="009868F9">
        <w:rPr>
          <w:szCs w:val="26"/>
        </w:rPr>
        <w:t>tín Oficial de Navarra se presentan cinco grupos ya que se agrupan, por un lado, médicos y practicantes y, por otro, veterinarios y farmacéuticos.</w:t>
      </w:r>
    </w:p>
    <w:p w:rsidR="009868F9" w:rsidRPr="009868F9" w:rsidRDefault="009868F9" w:rsidP="00897EED">
      <w:pPr>
        <w:pStyle w:val="texto"/>
        <w:numPr>
          <w:ilvl w:val="0"/>
          <w:numId w:val="21"/>
        </w:numPr>
        <w:ind w:left="426"/>
        <w:rPr>
          <w:szCs w:val="26"/>
        </w:rPr>
      </w:pPr>
      <w:r w:rsidRPr="009868F9">
        <w:rPr>
          <w:szCs w:val="26"/>
        </w:rPr>
        <w:t>El déficit de los secretarios y sanitarios se distribuyen entre los ayunt</w:t>
      </w:r>
      <w:r w:rsidRPr="009868F9">
        <w:rPr>
          <w:szCs w:val="26"/>
        </w:rPr>
        <w:t>a</w:t>
      </w:r>
      <w:r w:rsidRPr="009868F9">
        <w:rPr>
          <w:szCs w:val="26"/>
        </w:rPr>
        <w:t xml:space="preserve">mientos en función de la población y el de administrativos y subalternos en función de los activos acogidos al </w:t>
      </w:r>
      <w:r w:rsidR="00B04729">
        <w:rPr>
          <w:szCs w:val="26"/>
        </w:rPr>
        <w:t>Montepío</w:t>
      </w:r>
      <w:r w:rsidRPr="009868F9">
        <w:rPr>
          <w:szCs w:val="26"/>
        </w:rPr>
        <w:t xml:space="preserve">. El reparto se efectúa para cada uno de los siete subgrupos. Así, por ejemplo, un ayuntamiento que tenga únicamente subalternos en activo acogidos al </w:t>
      </w:r>
      <w:r w:rsidR="00B04729">
        <w:rPr>
          <w:szCs w:val="26"/>
        </w:rPr>
        <w:t>Montepío</w:t>
      </w:r>
      <w:r w:rsidRPr="009868F9">
        <w:rPr>
          <w:szCs w:val="26"/>
        </w:rPr>
        <w:t xml:space="preserve"> no aportará nada al déficit de los administrativos. </w:t>
      </w:r>
    </w:p>
    <w:p w:rsidR="009868F9" w:rsidRPr="009868F9" w:rsidRDefault="0016124B" w:rsidP="00897EED">
      <w:pPr>
        <w:pStyle w:val="texto"/>
        <w:numPr>
          <w:ilvl w:val="0"/>
          <w:numId w:val="21"/>
        </w:numPr>
        <w:ind w:left="426"/>
        <w:rPr>
          <w:szCs w:val="26"/>
        </w:rPr>
      </w:pPr>
      <w:r>
        <w:rPr>
          <w:szCs w:val="26"/>
        </w:rPr>
        <w:t>A</w:t>
      </w:r>
      <w:r w:rsidRPr="009868F9">
        <w:rPr>
          <w:szCs w:val="26"/>
        </w:rPr>
        <w:t>unque cuentan con pasivos</w:t>
      </w:r>
      <w:r>
        <w:rPr>
          <w:szCs w:val="26"/>
        </w:rPr>
        <w:t>,</w:t>
      </w:r>
      <w:r w:rsidRPr="009868F9">
        <w:rPr>
          <w:szCs w:val="26"/>
        </w:rPr>
        <w:t xml:space="preserve"> </w:t>
      </w:r>
      <w:r>
        <w:rPr>
          <w:szCs w:val="26"/>
        </w:rPr>
        <w:t>n</w:t>
      </w:r>
      <w:r w:rsidR="009868F9" w:rsidRPr="009868F9">
        <w:rPr>
          <w:szCs w:val="26"/>
        </w:rPr>
        <w:t xml:space="preserve">o </w:t>
      </w:r>
      <w:r>
        <w:rPr>
          <w:szCs w:val="26"/>
        </w:rPr>
        <w:t xml:space="preserve">participan en el reparto del </w:t>
      </w:r>
      <w:r w:rsidR="00EA05FA">
        <w:rPr>
          <w:szCs w:val="26"/>
        </w:rPr>
        <w:t xml:space="preserve">déficit el </w:t>
      </w:r>
      <w:r w:rsidR="004B2020">
        <w:rPr>
          <w:szCs w:val="26"/>
        </w:rPr>
        <w:t>v</w:t>
      </w:r>
      <w:r w:rsidR="009868F9" w:rsidRPr="009868F9">
        <w:rPr>
          <w:szCs w:val="26"/>
        </w:rPr>
        <w:t xml:space="preserve">alle de Salazar, la Mancomunidad de Sakana </w:t>
      </w:r>
      <w:r w:rsidR="00445804">
        <w:rPr>
          <w:szCs w:val="26"/>
        </w:rPr>
        <w:t>y</w:t>
      </w:r>
      <w:r w:rsidR="009868F9" w:rsidRPr="009868F9">
        <w:rPr>
          <w:szCs w:val="26"/>
        </w:rPr>
        <w:t xml:space="preserve"> la Comunidad de Bardenas Reales de Navarra.</w:t>
      </w:r>
    </w:p>
    <w:p w:rsidR="009868F9" w:rsidRPr="009868F9" w:rsidRDefault="009868F9" w:rsidP="00897EED">
      <w:pPr>
        <w:pStyle w:val="texto"/>
        <w:numPr>
          <w:ilvl w:val="0"/>
          <w:numId w:val="21"/>
        </w:numPr>
        <w:ind w:left="426"/>
        <w:rPr>
          <w:szCs w:val="26"/>
        </w:rPr>
      </w:pPr>
      <w:r w:rsidRPr="009868F9">
        <w:rPr>
          <w:szCs w:val="26"/>
        </w:rPr>
        <w:t>Para el reparto de</w:t>
      </w:r>
      <w:r w:rsidR="00900E6C">
        <w:rPr>
          <w:szCs w:val="26"/>
        </w:rPr>
        <w:t>l</w:t>
      </w:r>
      <w:r w:rsidRPr="009868F9">
        <w:rPr>
          <w:szCs w:val="26"/>
        </w:rPr>
        <w:t xml:space="preserve"> déficit</w:t>
      </w:r>
      <w:r w:rsidR="00900E6C">
        <w:rPr>
          <w:szCs w:val="26"/>
        </w:rPr>
        <w:t xml:space="preserve"> de secretarios y sanitarios,</w:t>
      </w:r>
      <w:r w:rsidRPr="009868F9">
        <w:rPr>
          <w:szCs w:val="26"/>
        </w:rPr>
        <w:t xml:space="preserve"> que se hace en propo</w:t>
      </w:r>
      <w:r w:rsidRPr="009868F9">
        <w:rPr>
          <w:szCs w:val="26"/>
        </w:rPr>
        <w:t>r</w:t>
      </w:r>
      <w:r w:rsidRPr="009868F9">
        <w:rPr>
          <w:szCs w:val="26"/>
        </w:rPr>
        <w:t>ción a la población</w:t>
      </w:r>
      <w:r w:rsidR="00900E6C">
        <w:rPr>
          <w:szCs w:val="26"/>
        </w:rPr>
        <w:t>,</w:t>
      </w:r>
      <w:r w:rsidRPr="009868F9">
        <w:rPr>
          <w:szCs w:val="26"/>
        </w:rPr>
        <w:t xml:space="preserve"> no se consideran:</w:t>
      </w:r>
    </w:p>
    <w:p w:rsidR="009868F9" w:rsidRPr="009868F9" w:rsidRDefault="009868F9" w:rsidP="00897EED">
      <w:pPr>
        <w:pStyle w:val="texto"/>
        <w:numPr>
          <w:ilvl w:val="0"/>
          <w:numId w:val="22"/>
        </w:numPr>
        <w:ind w:left="851"/>
        <w:rPr>
          <w:szCs w:val="26"/>
        </w:rPr>
      </w:pPr>
      <w:r w:rsidRPr="009868F9">
        <w:rPr>
          <w:szCs w:val="26"/>
        </w:rPr>
        <w:t>Castillonuevo.</w:t>
      </w:r>
    </w:p>
    <w:p w:rsidR="009868F9" w:rsidRPr="009868F9" w:rsidRDefault="009868F9" w:rsidP="00897EED">
      <w:pPr>
        <w:pStyle w:val="texto"/>
        <w:numPr>
          <w:ilvl w:val="0"/>
          <w:numId w:val="22"/>
        </w:numPr>
        <w:ind w:left="851"/>
        <w:rPr>
          <w:szCs w:val="26"/>
        </w:rPr>
      </w:pPr>
      <w:r w:rsidRPr="009868F9">
        <w:rPr>
          <w:szCs w:val="26"/>
        </w:rPr>
        <w:t xml:space="preserve">Tudela del grupo de Secretarios porque no tiene secretario en este </w:t>
      </w:r>
      <w:r w:rsidR="00B04729">
        <w:rPr>
          <w:szCs w:val="26"/>
        </w:rPr>
        <w:t>Mo</w:t>
      </w:r>
      <w:r w:rsidR="00B04729">
        <w:rPr>
          <w:szCs w:val="26"/>
        </w:rPr>
        <w:t>n</w:t>
      </w:r>
      <w:r w:rsidR="00B04729">
        <w:rPr>
          <w:szCs w:val="26"/>
        </w:rPr>
        <w:t>tepío</w:t>
      </w:r>
      <w:r w:rsidRPr="009868F9">
        <w:rPr>
          <w:szCs w:val="26"/>
        </w:rPr>
        <w:t>.</w:t>
      </w:r>
    </w:p>
    <w:p w:rsidR="009868F9" w:rsidRPr="009868F9" w:rsidRDefault="009868F9" w:rsidP="00897EED">
      <w:pPr>
        <w:pStyle w:val="texto"/>
        <w:numPr>
          <w:ilvl w:val="0"/>
          <w:numId w:val="22"/>
        </w:numPr>
        <w:ind w:left="851"/>
        <w:rPr>
          <w:szCs w:val="26"/>
        </w:rPr>
      </w:pPr>
      <w:r w:rsidRPr="009868F9">
        <w:rPr>
          <w:szCs w:val="26"/>
        </w:rPr>
        <w:t xml:space="preserve">Petilla de Aragón del grupo de Médicos y Farmacéuticos </w:t>
      </w:r>
    </w:p>
    <w:p w:rsidR="009868F9" w:rsidRPr="009868F9" w:rsidRDefault="009868F9" w:rsidP="00897EED">
      <w:pPr>
        <w:pStyle w:val="texto"/>
        <w:numPr>
          <w:ilvl w:val="0"/>
          <w:numId w:val="22"/>
        </w:numPr>
        <w:ind w:left="851"/>
        <w:rPr>
          <w:szCs w:val="26"/>
        </w:rPr>
      </w:pPr>
      <w:r w:rsidRPr="009868F9">
        <w:rPr>
          <w:szCs w:val="26"/>
        </w:rPr>
        <w:t>Lapoblación del grupo de Médicos.</w:t>
      </w:r>
    </w:p>
    <w:p w:rsidR="009868F9" w:rsidRPr="009868F9" w:rsidRDefault="009868F9" w:rsidP="00897EED">
      <w:pPr>
        <w:pStyle w:val="texto"/>
        <w:numPr>
          <w:ilvl w:val="0"/>
          <w:numId w:val="22"/>
        </w:numPr>
        <w:ind w:left="851"/>
        <w:rPr>
          <w:szCs w:val="26"/>
        </w:rPr>
      </w:pPr>
      <w:r w:rsidRPr="009868F9">
        <w:rPr>
          <w:szCs w:val="26"/>
        </w:rPr>
        <w:t xml:space="preserve">Pamplona ya que todos sus funcionarios están acogidos a su propio </w:t>
      </w:r>
      <w:r w:rsidR="00B04729">
        <w:rPr>
          <w:szCs w:val="26"/>
        </w:rPr>
        <w:t>Montepío</w:t>
      </w:r>
    </w:p>
    <w:p w:rsidR="009868F9" w:rsidRDefault="009868F9" w:rsidP="00897EED">
      <w:pPr>
        <w:pStyle w:val="texto"/>
        <w:numPr>
          <w:ilvl w:val="0"/>
          <w:numId w:val="21"/>
        </w:numPr>
        <w:ind w:left="426"/>
        <w:rPr>
          <w:szCs w:val="26"/>
        </w:rPr>
      </w:pPr>
      <w:r w:rsidRPr="009868F9">
        <w:rPr>
          <w:szCs w:val="26"/>
        </w:rPr>
        <w:t xml:space="preserve">Para el reparto del déficit </w:t>
      </w:r>
      <w:r w:rsidR="00900E6C">
        <w:rPr>
          <w:szCs w:val="26"/>
        </w:rPr>
        <w:t xml:space="preserve">de administrativos y subalternos, </w:t>
      </w:r>
      <w:r w:rsidRPr="009868F9">
        <w:rPr>
          <w:szCs w:val="26"/>
        </w:rPr>
        <w:t>que se hace en función de los activos, se tiene en cuenta los meses que han trabajado</w:t>
      </w:r>
      <w:r w:rsidR="0016124B">
        <w:rPr>
          <w:szCs w:val="26"/>
        </w:rPr>
        <w:t xml:space="preserve"> d</w:t>
      </w:r>
      <w:r w:rsidR="0016124B">
        <w:rPr>
          <w:szCs w:val="26"/>
        </w:rPr>
        <w:t>i</w:t>
      </w:r>
      <w:r w:rsidR="0016124B">
        <w:rPr>
          <w:szCs w:val="26"/>
        </w:rPr>
        <w:t>chos activos</w:t>
      </w:r>
      <w:r w:rsidRPr="009868F9">
        <w:rPr>
          <w:szCs w:val="26"/>
        </w:rPr>
        <w:t xml:space="preserve"> en el año</w:t>
      </w:r>
      <w:r w:rsidR="0016124B">
        <w:rPr>
          <w:szCs w:val="26"/>
        </w:rPr>
        <w:t>,</w:t>
      </w:r>
      <w:r w:rsidRPr="009868F9">
        <w:rPr>
          <w:szCs w:val="26"/>
        </w:rPr>
        <w:t xml:space="preserve"> tanto en el grupo de subalternos como en el de a</w:t>
      </w:r>
      <w:r w:rsidRPr="009868F9">
        <w:rPr>
          <w:szCs w:val="26"/>
        </w:rPr>
        <w:t>d</w:t>
      </w:r>
      <w:r w:rsidRPr="009868F9">
        <w:rPr>
          <w:szCs w:val="26"/>
        </w:rPr>
        <w:t>ministrativos.</w:t>
      </w:r>
    </w:p>
    <w:p w:rsidR="00F507B8" w:rsidRPr="00F507B8" w:rsidRDefault="009868F9" w:rsidP="00897EED">
      <w:pPr>
        <w:pStyle w:val="texto"/>
        <w:numPr>
          <w:ilvl w:val="0"/>
          <w:numId w:val="21"/>
        </w:numPr>
        <w:ind w:left="426" w:hanging="578"/>
        <w:rPr>
          <w:i/>
          <w:sz w:val="22"/>
          <w:szCs w:val="22"/>
        </w:rPr>
      </w:pPr>
      <w:r w:rsidRPr="00F507B8">
        <w:rPr>
          <w:szCs w:val="26"/>
        </w:rPr>
        <w:t>Aprobado el reparto del déficit entre los diferentes ayuntamientos su impo</w:t>
      </w:r>
      <w:r w:rsidRPr="00F507B8">
        <w:rPr>
          <w:szCs w:val="26"/>
        </w:rPr>
        <w:t>r</w:t>
      </w:r>
      <w:r w:rsidRPr="00F507B8">
        <w:rPr>
          <w:szCs w:val="26"/>
        </w:rPr>
        <w:t>te se carga trimestralmente en la Cuenta de Repartimientos. También tr</w:t>
      </w:r>
      <w:r w:rsidRPr="00F507B8">
        <w:rPr>
          <w:szCs w:val="26"/>
        </w:rPr>
        <w:t>i</w:t>
      </w:r>
      <w:r w:rsidRPr="00F507B8">
        <w:rPr>
          <w:szCs w:val="26"/>
        </w:rPr>
        <w:t>mestralmente se abona en la Cuenta de Repartimientos el importe corre</w:t>
      </w:r>
      <w:r w:rsidRPr="00F507B8">
        <w:rPr>
          <w:szCs w:val="26"/>
        </w:rPr>
        <w:t>s</w:t>
      </w:r>
      <w:r w:rsidRPr="00F507B8">
        <w:rPr>
          <w:szCs w:val="26"/>
        </w:rPr>
        <w:t>pondiente</w:t>
      </w:r>
      <w:r w:rsidR="00900E6C" w:rsidRPr="00F507B8">
        <w:rPr>
          <w:szCs w:val="26"/>
        </w:rPr>
        <w:t xml:space="preserve"> a</w:t>
      </w:r>
      <w:r w:rsidRPr="00F507B8">
        <w:rPr>
          <w:szCs w:val="26"/>
        </w:rPr>
        <w:t xml:space="preserve"> la parte del déficit </w:t>
      </w:r>
      <w:r w:rsidR="00900E6C" w:rsidRPr="00F507B8">
        <w:rPr>
          <w:szCs w:val="26"/>
        </w:rPr>
        <w:t>subvencionado por</w:t>
      </w:r>
      <w:r w:rsidRPr="00F507B8">
        <w:rPr>
          <w:szCs w:val="26"/>
        </w:rPr>
        <w:t xml:space="preserve"> los Presupuestos Gener</w:t>
      </w:r>
      <w:r w:rsidRPr="00F507B8">
        <w:rPr>
          <w:szCs w:val="26"/>
        </w:rPr>
        <w:t>a</w:t>
      </w:r>
      <w:r w:rsidRPr="00F507B8">
        <w:rPr>
          <w:szCs w:val="26"/>
        </w:rPr>
        <w:t xml:space="preserve">les de Navarra, de conformidad con la Disposición Adicional Décima de la Ley Foral10/2003 que establece: </w:t>
      </w:r>
    </w:p>
    <w:p w:rsidR="009868F9" w:rsidRPr="00F507B8" w:rsidRDefault="009868F9" w:rsidP="00F507B8">
      <w:pPr>
        <w:pStyle w:val="texto"/>
        <w:ind w:left="426" w:firstLine="0"/>
        <w:rPr>
          <w:i/>
          <w:sz w:val="22"/>
          <w:szCs w:val="22"/>
        </w:rPr>
      </w:pPr>
      <w:r w:rsidRPr="00F507B8">
        <w:rPr>
          <w:i/>
          <w:sz w:val="22"/>
          <w:szCs w:val="22"/>
        </w:rPr>
        <w:lastRenderedPageBreak/>
        <w:t xml:space="preserve">“Las Entidades Locales de Navarra financiarán el coste neto global anual de las clases pasivas del </w:t>
      </w:r>
      <w:r w:rsidR="00B04729" w:rsidRPr="00F507B8">
        <w:rPr>
          <w:i/>
          <w:sz w:val="22"/>
          <w:szCs w:val="22"/>
        </w:rPr>
        <w:t>Montepío</w:t>
      </w:r>
      <w:r w:rsidRPr="00F507B8">
        <w:rPr>
          <w:i/>
          <w:sz w:val="22"/>
          <w:szCs w:val="22"/>
        </w:rPr>
        <w:t xml:space="preserve"> de Funcionarios Municipales de Navarra en el 64,3 por </w:t>
      </w:r>
      <w:r w:rsidR="003A3671" w:rsidRPr="00F507B8">
        <w:rPr>
          <w:i/>
          <w:sz w:val="22"/>
          <w:szCs w:val="22"/>
        </w:rPr>
        <w:t>100</w:t>
      </w:r>
      <w:r w:rsidRPr="00F507B8">
        <w:rPr>
          <w:i/>
          <w:sz w:val="22"/>
          <w:szCs w:val="22"/>
        </w:rPr>
        <w:t>, sin que la cifra resultante pueda superar, en ningún caso, la cantidad de 10.682.014 euros, actualizada, al ejercicio de que se trate.</w:t>
      </w:r>
      <w:r w:rsidR="00521ED4" w:rsidRPr="00F507B8">
        <w:rPr>
          <w:i/>
          <w:sz w:val="22"/>
          <w:szCs w:val="22"/>
        </w:rPr>
        <w:t>”</w:t>
      </w:r>
    </w:p>
    <w:p w:rsidR="009868F9" w:rsidRDefault="009868F9" w:rsidP="00897EED">
      <w:pPr>
        <w:pStyle w:val="texto"/>
        <w:numPr>
          <w:ilvl w:val="0"/>
          <w:numId w:val="21"/>
        </w:numPr>
        <w:ind w:left="426" w:hanging="578"/>
        <w:rPr>
          <w:szCs w:val="26"/>
        </w:rPr>
      </w:pPr>
      <w:r w:rsidRPr="009868F9">
        <w:rPr>
          <w:szCs w:val="26"/>
        </w:rPr>
        <w:t xml:space="preserve">El Gobierno de Navarra financia parte del déficit del </w:t>
      </w:r>
      <w:r w:rsidR="00B04729">
        <w:rPr>
          <w:szCs w:val="26"/>
        </w:rPr>
        <w:t>Montepío</w:t>
      </w:r>
      <w:r w:rsidRPr="009868F9">
        <w:rPr>
          <w:szCs w:val="26"/>
        </w:rPr>
        <w:t xml:space="preserve"> Municipal, así como de los de Pamplona, Tudela y Tafalla, de conformidad con lo s</w:t>
      </w:r>
      <w:r w:rsidRPr="009868F9">
        <w:rPr>
          <w:szCs w:val="26"/>
        </w:rPr>
        <w:t>e</w:t>
      </w:r>
      <w:r w:rsidRPr="009868F9">
        <w:rPr>
          <w:szCs w:val="26"/>
        </w:rPr>
        <w:t xml:space="preserve">ñalado en la, ya comentada, </w:t>
      </w:r>
      <w:r w:rsidR="00C63F22">
        <w:rPr>
          <w:szCs w:val="26"/>
        </w:rPr>
        <w:t>Ley F</w:t>
      </w:r>
      <w:r w:rsidRPr="009868F9">
        <w:rPr>
          <w:szCs w:val="26"/>
        </w:rPr>
        <w:t>oral 10/2003.</w:t>
      </w:r>
    </w:p>
    <w:p w:rsidR="00071CAE" w:rsidRDefault="00071CAE">
      <w:pPr>
        <w:spacing w:after="0"/>
        <w:ind w:firstLine="0"/>
        <w:jc w:val="left"/>
        <w:rPr>
          <w:spacing w:val="6"/>
          <w:sz w:val="26"/>
          <w:szCs w:val="26"/>
        </w:rPr>
      </w:pPr>
      <w:r>
        <w:rPr>
          <w:szCs w:val="26"/>
        </w:rPr>
        <w:br w:type="page"/>
      </w:r>
    </w:p>
    <w:p w:rsidR="009868F9" w:rsidRPr="009868F9" w:rsidRDefault="009868F9" w:rsidP="009868F9">
      <w:pPr>
        <w:pStyle w:val="atitulo1"/>
      </w:pPr>
      <w:bookmarkStart w:id="8" w:name="_Toc482946242"/>
      <w:r w:rsidRPr="009868F9">
        <w:lastRenderedPageBreak/>
        <w:t xml:space="preserve">III. </w:t>
      </w:r>
      <w:r w:rsidR="00F74D05">
        <w:t>Conclusión</w:t>
      </w:r>
      <w:r w:rsidRPr="009868F9">
        <w:t xml:space="preserve"> general</w:t>
      </w:r>
      <w:bookmarkEnd w:id="8"/>
    </w:p>
    <w:p w:rsidR="00E52F02" w:rsidRDefault="00AE1876" w:rsidP="00AE1876">
      <w:pPr>
        <w:pStyle w:val="texto"/>
        <w:rPr>
          <w:szCs w:val="26"/>
        </w:rPr>
      </w:pPr>
      <w:r>
        <w:rPr>
          <w:szCs w:val="26"/>
        </w:rPr>
        <w:t>Del trabajo realizado se desprenden las siguientes conclusiones generales, que se detallan o amplían en el siguiente epígrafe.</w:t>
      </w:r>
    </w:p>
    <w:p w:rsidR="00AE1876" w:rsidRDefault="006E6CC2" w:rsidP="00AE1876">
      <w:pPr>
        <w:pStyle w:val="texto"/>
        <w:rPr>
          <w:szCs w:val="26"/>
        </w:rPr>
      </w:pPr>
      <w:r w:rsidRPr="009868F9">
        <w:rPr>
          <w:szCs w:val="26"/>
        </w:rPr>
        <w:t xml:space="preserve">El </w:t>
      </w:r>
      <w:r w:rsidR="00B04729">
        <w:rPr>
          <w:szCs w:val="26"/>
        </w:rPr>
        <w:t>Montepío</w:t>
      </w:r>
      <w:r w:rsidRPr="009868F9">
        <w:rPr>
          <w:szCs w:val="26"/>
        </w:rPr>
        <w:t xml:space="preserve"> Municipal, establecido en 194</w:t>
      </w:r>
      <w:r>
        <w:rPr>
          <w:szCs w:val="26"/>
        </w:rPr>
        <w:t>6</w:t>
      </w:r>
      <w:r w:rsidRPr="009868F9">
        <w:rPr>
          <w:szCs w:val="26"/>
        </w:rPr>
        <w:t>, se configuró como un modelo de reparto, no de capitalización, y solidario entre los ayuntamientos. Así, cada ayuntamiento financia la parte que le corresponde del gasto que generan la tot</w:t>
      </w:r>
      <w:r w:rsidRPr="009868F9">
        <w:rPr>
          <w:szCs w:val="26"/>
        </w:rPr>
        <w:t>a</w:t>
      </w:r>
      <w:r w:rsidRPr="009868F9">
        <w:rPr>
          <w:szCs w:val="26"/>
        </w:rPr>
        <w:t>lidad de los pensionistas.</w:t>
      </w:r>
      <w:r w:rsidR="00AE1876">
        <w:rPr>
          <w:szCs w:val="26"/>
        </w:rPr>
        <w:t xml:space="preserve"> </w:t>
      </w:r>
    </w:p>
    <w:p w:rsidR="00AE1876" w:rsidRDefault="00AE1876" w:rsidP="00AE1876">
      <w:pPr>
        <w:pStyle w:val="texto"/>
        <w:rPr>
          <w:szCs w:val="26"/>
        </w:rPr>
      </w:pPr>
      <w:r>
        <w:rPr>
          <w:szCs w:val="26"/>
        </w:rPr>
        <w:t>En 1971, se modificó el anterior método de reparto del déficit entre los ayu</w:t>
      </w:r>
      <w:r>
        <w:rPr>
          <w:szCs w:val="26"/>
        </w:rPr>
        <w:t>n</w:t>
      </w:r>
      <w:r>
        <w:rPr>
          <w:szCs w:val="26"/>
        </w:rPr>
        <w:t xml:space="preserve">tamientos, al establecer que una parte se </w:t>
      </w:r>
      <w:r w:rsidR="00445804">
        <w:rPr>
          <w:szCs w:val="26"/>
        </w:rPr>
        <w:t>distribuía</w:t>
      </w:r>
      <w:r>
        <w:rPr>
          <w:szCs w:val="26"/>
        </w:rPr>
        <w:t xml:space="preserve"> por población y otra en fu</w:t>
      </w:r>
      <w:r>
        <w:rPr>
          <w:szCs w:val="26"/>
        </w:rPr>
        <w:t>n</w:t>
      </w:r>
      <w:r>
        <w:rPr>
          <w:szCs w:val="26"/>
        </w:rPr>
        <w:t xml:space="preserve">ción de los activos adscritos al </w:t>
      </w:r>
      <w:r w:rsidR="00B04729">
        <w:rPr>
          <w:szCs w:val="26"/>
        </w:rPr>
        <w:t>Montepío</w:t>
      </w:r>
      <w:r>
        <w:rPr>
          <w:szCs w:val="26"/>
        </w:rPr>
        <w:t>.</w:t>
      </w:r>
    </w:p>
    <w:p w:rsidR="00F74D05" w:rsidRDefault="00F74D05" w:rsidP="00AE1876">
      <w:pPr>
        <w:pStyle w:val="texto"/>
        <w:rPr>
          <w:szCs w:val="26"/>
        </w:rPr>
      </w:pPr>
      <w:r>
        <w:rPr>
          <w:szCs w:val="26"/>
        </w:rPr>
        <w:t>Desde 1994 los nuevos funcionarios se integran en el régimen de la Segur</w:t>
      </w:r>
      <w:r>
        <w:rPr>
          <w:szCs w:val="26"/>
        </w:rPr>
        <w:t>i</w:t>
      </w:r>
      <w:r>
        <w:rPr>
          <w:szCs w:val="26"/>
        </w:rPr>
        <w:t>dad Social por lo que, al no incorporarse nuevo personal, queda en situación “a extinguir”.</w:t>
      </w:r>
    </w:p>
    <w:p w:rsidR="00AE1876" w:rsidRDefault="006E6CC2" w:rsidP="00AE1876">
      <w:pPr>
        <w:pStyle w:val="texto"/>
        <w:rPr>
          <w:szCs w:val="26"/>
        </w:rPr>
      </w:pPr>
      <w:r w:rsidRPr="009868F9">
        <w:rPr>
          <w:szCs w:val="26"/>
        </w:rPr>
        <w:t>Los diferentes cambios realizados en este periodo en materia de personal, principalmente en el sistema de retribuciones y de pasivos</w:t>
      </w:r>
      <w:r w:rsidR="004B2020">
        <w:rPr>
          <w:szCs w:val="26"/>
        </w:rPr>
        <w:t>,</w:t>
      </w:r>
      <w:r w:rsidRPr="009868F9">
        <w:rPr>
          <w:szCs w:val="26"/>
        </w:rPr>
        <w:t xml:space="preserve"> no han supuesto modificaciones en el</w:t>
      </w:r>
      <w:r>
        <w:rPr>
          <w:szCs w:val="26"/>
        </w:rPr>
        <w:t xml:space="preserve"> sistema de reparto del déficit, por lo que</w:t>
      </w:r>
      <w:r w:rsidR="00445804">
        <w:rPr>
          <w:szCs w:val="26"/>
        </w:rPr>
        <w:t>,</w:t>
      </w:r>
      <w:r>
        <w:rPr>
          <w:szCs w:val="26"/>
        </w:rPr>
        <w:t xml:space="preserve"> </w:t>
      </w:r>
      <w:r w:rsidR="00AE1876">
        <w:rPr>
          <w:szCs w:val="26"/>
        </w:rPr>
        <w:t xml:space="preserve">en las actuales circunstancias, </w:t>
      </w:r>
      <w:r>
        <w:rPr>
          <w:szCs w:val="26"/>
        </w:rPr>
        <w:t>se generan</w:t>
      </w:r>
      <w:r w:rsidR="00AE1876">
        <w:rPr>
          <w:szCs w:val="26"/>
        </w:rPr>
        <w:t xml:space="preserve"> situaciones que podemos calificar como ilógicas y a futuro totalmente insostenibles, ya que llegará un momento en el que no habrá personal activo sobre el que repartir el déficit.</w:t>
      </w:r>
    </w:p>
    <w:p w:rsidR="006A5816" w:rsidRDefault="006A5816" w:rsidP="00AE1876">
      <w:pPr>
        <w:pStyle w:val="texto"/>
        <w:rPr>
          <w:szCs w:val="26"/>
        </w:rPr>
      </w:pPr>
      <w:r>
        <w:rPr>
          <w:szCs w:val="26"/>
        </w:rPr>
        <w:t>A este respecto, debemos señalar que la media del déficit en los últimos años asciende a 18 millones de euros y en 2015 en el reparto por personal activo por cada subalterno correspondieron 72.000 euros.</w:t>
      </w:r>
    </w:p>
    <w:p w:rsidR="00AE1876" w:rsidRDefault="00AE1876" w:rsidP="00AE1876">
      <w:pPr>
        <w:pStyle w:val="texto"/>
        <w:rPr>
          <w:szCs w:val="26"/>
        </w:rPr>
      </w:pPr>
      <w:r>
        <w:rPr>
          <w:szCs w:val="26"/>
        </w:rPr>
        <w:t xml:space="preserve">De ello deriva la necesidad y urgencia </w:t>
      </w:r>
      <w:r w:rsidR="004B2020">
        <w:rPr>
          <w:szCs w:val="26"/>
        </w:rPr>
        <w:t>d</w:t>
      </w:r>
      <w:r>
        <w:rPr>
          <w:szCs w:val="26"/>
        </w:rPr>
        <w:t>e modificar el actual sistema de r</w:t>
      </w:r>
      <w:r>
        <w:rPr>
          <w:szCs w:val="26"/>
        </w:rPr>
        <w:t>e</w:t>
      </w:r>
      <w:r>
        <w:rPr>
          <w:szCs w:val="26"/>
        </w:rPr>
        <w:t xml:space="preserve">parto del déficit del </w:t>
      </w:r>
      <w:r w:rsidR="00B04729">
        <w:rPr>
          <w:szCs w:val="26"/>
        </w:rPr>
        <w:t>Montepío</w:t>
      </w:r>
      <w:r>
        <w:rPr>
          <w:szCs w:val="26"/>
        </w:rPr>
        <w:t xml:space="preserve"> </w:t>
      </w:r>
      <w:r w:rsidR="00445804">
        <w:rPr>
          <w:szCs w:val="26"/>
        </w:rPr>
        <w:t>G</w:t>
      </w:r>
      <w:r>
        <w:rPr>
          <w:szCs w:val="26"/>
        </w:rPr>
        <w:t xml:space="preserve">eneral </w:t>
      </w:r>
      <w:r w:rsidR="00445804">
        <w:rPr>
          <w:szCs w:val="26"/>
        </w:rPr>
        <w:t>M</w:t>
      </w:r>
      <w:r>
        <w:rPr>
          <w:szCs w:val="26"/>
        </w:rPr>
        <w:t xml:space="preserve">unicipal, cuestión que debería haberse abordado en 1994 al dejar de incorporar los activos al </w:t>
      </w:r>
      <w:r w:rsidR="00B04729">
        <w:rPr>
          <w:szCs w:val="26"/>
        </w:rPr>
        <w:t>Montepío</w:t>
      </w:r>
      <w:r>
        <w:rPr>
          <w:szCs w:val="26"/>
        </w:rPr>
        <w:t>.</w:t>
      </w:r>
    </w:p>
    <w:p w:rsidR="00AE1876" w:rsidRDefault="00AE1876" w:rsidP="00AE1876">
      <w:pPr>
        <w:pStyle w:val="texto"/>
        <w:rPr>
          <w:szCs w:val="26"/>
        </w:rPr>
      </w:pPr>
      <w:r>
        <w:rPr>
          <w:szCs w:val="26"/>
        </w:rPr>
        <w:t>Para poder asegurar que el actual sistema “beneficia” o “perjudica” a una e</w:t>
      </w:r>
      <w:r>
        <w:rPr>
          <w:szCs w:val="26"/>
        </w:rPr>
        <w:t>n</w:t>
      </w:r>
      <w:r w:rsidR="0048138B">
        <w:rPr>
          <w:szCs w:val="26"/>
        </w:rPr>
        <w:t>tidad es necesario valorar</w:t>
      </w:r>
      <w:r w:rsidR="00C5615B">
        <w:rPr>
          <w:szCs w:val="26"/>
        </w:rPr>
        <w:t xml:space="preserve"> los resultados a lo largo de la historia del </w:t>
      </w:r>
      <w:r w:rsidR="00B04729">
        <w:rPr>
          <w:szCs w:val="26"/>
        </w:rPr>
        <w:t>Montepío</w:t>
      </w:r>
      <w:r w:rsidR="00C5615B">
        <w:rPr>
          <w:szCs w:val="26"/>
        </w:rPr>
        <w:t>, ya que, en caso contrario, estamos realizando análisis parciales.</w:t>
      </w:r>
    </w:p>
    <w:p w:rsidR="00C5615B" w:rsidRDefault="00C5615B" w:rsidP="00AE1876">
      <w:pPr>
        <w:pStyle w:val="texto"/>
        <w:rPr>
          <w:szCs w:val="26"/>
        </w:rPr>
      </w:pPr>
      <w:r>
        <w:rPr>
          <w:szCs w:val="26"/>
        </w:rPr>
        <w:t>Hemos realizado varias estimaciones de los resultados que se producirían en el reparto del déficit en función de considerar diferentes variables, que se pr</w:t>
      </w:r>
      <w:r>
        <w:rPr>
          <w:szCs w:val="26"/>
        </w:rPr>
        <w:t>e</w:t>
      </w:r>
      <w:r>
        <w:rPr>
          <w:szCs w:val="26"/>
        </w:rPr>
        <w:t>sentan en el epígrafe siguiente.</w:t>
      </w:r>
    </w:p>
    <w:p w:rsidR="00445804" w:rsidRDefault="00445804" w:rsidP="00445804">
      <w:pPr>
        <w:pStyle w:val="texto"/>
        <w:rPr>
          <w:szCs w:val="26"/>
        </w:rPr>
      </w:pPr>
      <w:r>
        <w:rPr>
          <w:szCs w:val="26"/>
        </w:rPr>
        <w:t xml:space="preserve">En </w:t>
      </w:r>
      <w:r w:rsidR="00C742F8">
        <w:rPr>
          <w:szCs w:val="26"/>
        </w:rPr>
        <w:t>el actual contexto</w:t>
      </w:r>
      <w:r>
        <w:rPr>
          <w:szCs w:val="26"/>
        </w:rPr>
        <w:t>, no hemos podido determinar un sistema de reparto del déficit que pueda satisfacer a todas las entidades afectadas, ya que al tratarse de un reparto entre un número fijo de entidades, si alguna “sale beneficiada”</w:t>
      </w:r>
      <w:r w:rsidR="00C742F8">
        <w:rPr>
          <w:szCs w:val="26"/>
        </w:rPr>
        <w:t xml:space="preserve"> otra “sale perjudicada”</w:t>
      </w:r>
      <w:r>
        <w:rPr>
          <w:szCs w:val="26"/>
        </w:rPr>
        <w:t>.</w:t>
      </w:r>
    </w:p>
    <w:p w:rsidR="00C5615B" w:rsidRDefault="00C5615B" w:rsidP="00AE1876">
      <w:pPr>
        <w:pStyle w:val="texto"/>
        <w:rPr>
          <w:szCs w:val="26"/>
        </w:rPr>
      </w:pPr>
      <w:r>
        <w:rPr>
          <w:szCs w:val="26"/>
        </w:rPr>
        <w:t>No podemos decantarnos por ninguna de ellas, ya que todas presentan “ve</w:t>
      </w:r>
      <w:r>
        <w:rPr>
          <w:szCs w:val="26"/>
        </w:rPr>
        <w:t>n</w:t>
      </w:r>
      <w:r>
        <w:rPr>
          <w:szCs w:val="26"/>
        </w:rPr>
        <w:t xml:space="preserve">tajas” e “inconvenientes”, por lo que las presentamos para ofrecer una visión más amplia de la situación del </w:t>
      </w:r>
      <w:r w:rsidR="00B04729">
        <w:rPr>
          <w:szCs w:val="26"/>
        </w:rPr>
        <w:t>Montepío</w:t>
      </w:r>
      <w:r w:rsidR="0048138B">
        <w:rPr>
          <w:szCs w:val="26"/>
        </w:rPr>
        <w:t>.</w:t>
      </w:r>
    </w:p>
    <w:p w:rsidR="00C742F8" w:rsidRPr="00204F98" w:rsidRDefault="00C742F8" w:rsidP="00AE1876">
      <w:pPr>
        <w:pStyle w:val="texto"/>
        <w:rPr>
          <w:szCs w:val="26"/>
          <w:u w:val="single"/>
        </w:rPr>
      </w:pPr>
      <w:r>
        <w:rPr>
          <w:szCs w:val="26"/>
        </w:rPr>
        <w:lastRenderedPageBreak/>
        <w:t>Como criterio general, debemos señalar que si se deja de repartir una parte del déficit en función de</w:t>
      </w:r>
      <w:r w:rsidR="00CF5AF2">
        <w:rPr>
          <w:szCs w:val="26"/>
        </w:rPr>
        <w:t xml:space="preserve">l personal </w:t>
      </w:r>
      <w:r>
        <w:rPr>
          <w:szCs w:val="26"/>
        </w:rPr>
        <w:t>activo existente, los ayuntamientos que cuenten con activos saldrán “beneficiados” y al repartir ese importe entre el resto, éstos resultarán “perjudicados”</w:t>
      </w:r>
      <w:r w:rsidR="00AD5F8D">
        <w:rPr>
          <w:szCs w:val="26"/>
        </w:rPr>
        <w:t>.</w:t>
      </w:r>
    </w:p>
    <w:p w:rsidR="00C5615B" w:rsidRDefault="002849FE" w:rsidP="00AE1876">
      <w:pPr>
        <w:pStyle w:val="texto"/>
        <w:rPr>
          <w:szCs w:val="26"/>
        </w:rPr>
      </w:pPr>
      <w:r>
        <w:rPr>
          <w:szCs w:val="26"/>
        </w:rPr>
        <w:t xml:space="preserve">Nos encontramos, por lo tanto, ante un </w:t>
      </w:r>
      <w:r w:rsidR="00B04729">
        <w:rPr>
          <w:szCs w:val="26"/>
        </w:rPr>
        <w:t>Montepío</w:t>
      </w:r>
      <w:r>
        <w:rPr>
          <w:szCs w:val="26"/>
        </w:rPr>
        <w:t xml:space="preserve"> que requiere una urgente modificación del sistema de reparto sin que exista una solución óptima.</w:t>
      </w:r>
    </w:p>
    <w:p w:rsidR="002849FE" w:rsidRDefault="002849FE" w:rsidP="00AE1876">
      <w:pPr>
        <w:pStyle w:val="texto"/>
        <w:rPr>
          <w:szCs w:val="26"/>
        </w:rPr>
      </w:pPr>
      <w:r>
        <w:rPr>
          <w:szCs w:val="26"/>
        </w:rPr>
        <w:t>En nuestra opinión, los aspectos que deben tenerse en cuenta para adoptar la solución más equilibrada son:</w:t>
      </w:r>
    </w:p>
    <w:p w:rsidR="00C5615B" w:rsidRDefault="00716F8B" w:rsidP="00AE1876">
      <w:pPr>
        <w:pStyle w:val="texto"/>
        <w:rPr>
          <w:szCs w:val="26"/>
        </w:rPr>
      </w:pPr>
      <w:r>
        <w:rPr>
          <w:szCs w:val="26"/>
        </w:rPr>
        <w:t>a</w:t>
      </w:r>
      <w:r w:rsidR="00C5615B">
        <w:rPr>
          <w:szCs w:val="26"/>
        </w:rPr>
        <w:t xml:space="preserve">) </w:t>
      </w:r>
      <w:r w:rsidR="002849FE">
        <w:rPr>
          <w:szCs w:val="26"/>
        </w:rPr>
        <w:t>Qué entidades deben participar en el reparto</w:t>
      </w:r>
      <w:r w:rsidR="00C5615B">
        <w:rPr>
          <w:szCs w:val="26"/>
        </w:rPr>
        <w:t xml:space="preserve"> </w:t>
      </w:r>
      <w:r w:rsidR="002849FE">
        <w:rPr>
          <w:szCs w:val="26"/>
        </w:rPr>
        <w:t>del déficit, ya que</w:t>
      </w:r>
      <w:r w:rsidR="008272DC">
        <w:rPr>
          <w:szCs w:val="26"/>
        </w:rPr>
        <w:t>,</w:t>
      </w:r>
      <w:r w:rsidR="00C5615B">
        <w:rPr>
          <w:szCs w:val="26"/>
        </w:rPr>
        <w:t xml:space="preserve"> actua</w:t>
      </w:r>
      <w:r w:rsidR="00C5615B">
        <w:rPr>
          <w:szCs w:val="26"/>
        </w:rPr>
        <w:t>l</w:t>
      </w:r>
      <w:r w:rsidR="00C5615B">
        <w:rPr>
          <w:szCs w:val="26"/>
        </w:rPr>
        <w:t>mente</w:t>
      </w:r>
      <w:r w:rsidR="008272DC">
        <w:rPr>
          <w:szCs w:val="26"/>
        </w:rPr>
        <w:t>,</w:t>
      </w:r>
      <w:r w:rsidR="00C5615B">
        <w:rPr>
          <w:szCs w:val="26"/>
        </w:rPr>
        <w:t xml:space="preserve"> hay algunos ayuntamientos que no participan, así como alguna entidad asociativa que cuenta con pasivos y no aporta al déficit.</w:t>
      </w:r>
    </w:p>
    <w:p w:rsidR="00C5615B" w:rsidRDefault="00716F8B" w:rsidP="00AE1876">
      <w:pPr>
        <w:pStyle w:val="texto"/>
        <w:rPr>
          <w:szCs w:val="26"/>
        </w:rPr>
      </w:pPr>
      <w:r>
        <w:rPr>
          <w:szCs w:val="26"/>
        </w:rPr>
        <w:t>b</w:t>
      </w:r>
      <w:r w:rsidR="00C5615B">
        <w:rPr>
          <w:szCs w:val="26"/>
        </w:rPr>
        <w:t xml:space="preserve">) </w:t>
      </w:r>
      <w:r w:rsidR="008272DC">
        <w:rPr>
          <w:szCs w:val="26"/>
        </w:rPr>
        <w:t xml:space="preserve">Si la solución debe contemplar al </w:t>
      </w:r>
      <w:r w:rsidR="00B04729">
        <w:rPr>
          <w:szCs w:val="26"/>
        </w:rPr>
        <w:t>Montepío</w:t>
      </w:r>
      <w:r w:rsidR="008272DC">
        <w:rPr>
          <w:szCs w:val="26"/>
        </w:rPr>
        <w:t xml:space="preserve"> General o también a los otros tres </w:t>
      </w:r>
      <w:r w:rsidR="00B04729">
        <w:rPr>
          <w:szCs w:val="26"/>
        </w:rPr>
        <w:t>Montepío</w:t>
      </w:r>
      <w:r w:rsidR="008272DC">
        <w:rPr>
          <w:szCs w:val="26"/>
        </w:rPr>
        <w:t>s municipales, ya que, actualmente, son subvencionados en dif</w:t>
      </w:r>
      <w:r w:rsidR="008272DC">
        <w:rPr>
          <w:szCs w:val="26"/>
        </w:rPr>
        <w:t>e</w:t>
      </w:r>
      <w:r w:rsidR="008272DC">
        <w:rPr>
          <w:szCs w:val="26"/>
        </w:rPr>
        <w:t>rente proporción</w:t>
      </w:r>
      <w:r w:rsidR="00C5615B">
        <w:rPr>
          <w:szCs w:val="26"/>
        </w:rPr>
        <w:t>.</w:t>
      </w:r>
    </w:p>
    <w:p w:rsidR="00445804" w:rsidRDefault="00445804" w:rsidP="00AE1876">
      <w:pPr>
        <w:pStyle w:val="texto"/>
        <w:rPr>
          <w:szCs w:val="26"/>
        </w:rPr>
      </w:pPr>
      <w:r>
        <w:rPr>
          <w:szCs w:val="26"/>
        </w:rPr>
        <w:t xml:space="preserve">c) </w:t>
      </w:r>
      <w:r w:rsidR="0087507F">
        <w:rPr>
          <w:szCs w:val="26"/>
        </w:rPr>
        <w:t xml:space="preserve">Que el </w:t>
      </w:r>
      <w:r>
        <w:rPr>
          <w:szCs w:val="26"/>
        </w:rPr>
        <w:t>criterio de reparto del déficit más sencillo</w:t>
      </w:r>
      <w:r w:rsidR="0087507F">
        <w:rPr>
          <w:szCs w:val="26"/>
        </w:rPr>
        <w:t xml:space="preserve"> técnicamente</w:t>
      </w:r>
      <w:r>
        <w:rPr>
          <w:szCs w:val="26"/>
        </w:rPr>
        <w:t xml:space="preserve"> es la p</w:t>
      </w:r>
      <w:r>
        <w:rPr>
          <w:szCs w:val="26"/>
        </w:rPr>
        <w:t>o</w:t>
      </w:r>
      <w:r>
        <w:rPr>
          <w:szCs w:val="26"/>
        </w:rPr>
        <w:t>blación</w:t>
      </w:r>
      <w:r w:rsidR="0085580C">
        <w:rPr>
          <w:szCs w:val="26"/>
        </w:rPr>
        <w:t>.</w:t>
      </w:r>
    </w:p>
    <w:p w:rsidR="00445804" w:rsidRDefault="00445804" w:rsidP="00AE1876">
      <w:pPr>
        <w:pStyle w:val="texto"/>
        <w:rPr>
          <w:szCs w:val="26"/>
        </w:rPr>
      </w:pPr>
      <w:r>
        <w:rPr>
          <w:szCs w:val="26"/>
        </w:rPr>
        <w:t xml:space="preserve">d) Si se elimina como criterio de reparto el número de activos, parece lógico que se establezca una aportación empresarial al </w:t>
      </w:r>
      <w:r w:rsidR="00B04729">
        <w:rPr>
          <w:szCs w:val="26"/>
        </w:rPr>
        <w:t>Montepío</w:t>
      </w:r>
      <w:r>
        <w:rPr>
          <w:szCs w:val="26"/>
        </w:rPr>
        <w:t xml:space="preserve">, equivalente a la que se realiza a la Seguridad Social por los empleados acogidos al </w:t>
      </w:r>
      <w:r w:rsidR="00B04729">
        <w:rPr>
          <w:szCs w:val="26"/>
        </w:rPr>
        <w:t>Montepío</w:t>
      </w:r>
      <w:r>
        <w:rPr>
          <w:szCs w:val="26"/>
        </w:rPr>
        <w:t>.</w:t>
      </w:r>
    </w:p>
    <w:p w:rsidR="00C5615B" w:rsidRDefault="00445804" w:rsidP="00AE1876">
      <w:pPr>
        <w:pStyle w:val="texto"/>
        <w:rPr>
          <w:szCs w:val="26"/>
        </w:rPr>
      </w:pPr>
      <w:r>
        <w:rPr>
          <w:szCs w:val="26"/>
        </w:rPr>
        <w:t>e</w:t>
      </w:r>
      <w:r w:rsidR="00C5615B">
        <w:rPr>
          <w:szCs w:val="26"/>
        </w:rPr>
        <w:t>) La solución más fácil es la asunción en un mayor porcentaje que actua</w:t>
      </w:r>
      <w:r w:rsidR="00C5615B">
        <w:rPr>
          <w:szCs w:val="26"/>
        </w:rPr>
        <w:t>l</w:t>
      </w:r>
      <w:r w:rsidR="00C5615B">
        <w:rPr>
          <w:szCs w:val="26"/>
        </w:rPr>
        <w:t>mente, o incluso, totalmente, del déficit por los Presupuestos Generales de N</w:t>
      </w:r>
      <w:r w:rsidR="00C5615B">
        <w:rPr>
          <w:szCs w:val="26"/>
        </w:rPr>
        <w:t>a</w:t>
      </w:r>
      <w:r w:rsidR="00C5615B">
        <w:rPr>
          <w:szCs w:val="26"/>
        </w:rPr>
        <w:t>varra, o con cargo al Fondo de Haciendas Locales.</w:t>
      </w:r>
    </w:p>
    <w:p w:rsidR="00C5615B" w:rsidRDefault="00C5615B" w:rsidP="00AE1876">
      <w:pPr>
        <w:pStyle w:val="texto"/>
        <w:rPr>
          <w:szCs w:val="26"/>
        </w:rPr>
      </w:pPr>
      <w:r>
        <w:rPr>
          <w:szCs w:val="26"/>
        </w:rPr>
        <w:t>Esta opción se contempla en el proyect</w:t>
      </w:r>
      <w:r w:rsidR="00530055">
        <w:rPr>
          <w:szCs w:val="26"/>
        </w:rPr>
        <w:t>o de Reforma de la Administració</w:t>
      </w:r>
      <w:r>
        <w:rPr>
          <w:szCs w:val="26"/>
        </w:rPr>
        <w:t>n Local de Navarra, aunque no se ha concretado. Sin aprobar el proyecto ni c</w:t>
      </w:r>
      <w:r>
        <w:rPr>
          <w:szCs w:val="26"/>
        </w:rPr>
        <w:t>o</w:t>
      </w:r>
      <w:r>
        <w:rPr>
          <w:szCs w:val="26"/>
        </w:rPr>
        <w:t xml:space="preserve">nocer la composición del Fondo de Haciendas Locales no es posible </w:t>
      </w:r>
      <w:r w:rsidR="0048138B">
        <w:rPr>
          <w:szCs w:val="26"/>
        </w:rPr>
        <w:t>valorar</w:t>
      </w:r>
      <w:r>
        <w:rPr>
          <w:szCs w:val="26"/>
        </w:rPr>
        <w:t xml:space="preserve"> e</w:t>
      </w:r>
      <w:r>
        <w:rPr>
          <w:szCs w:val="26"/>
        </w:rPr>
        <w:t>s</w:t>
      </w:r>
      <w:r>
        <w:rPr>
          <w:szCs w:val="26"/>
        </w:rPr>
        <w:t>ta propuesta.</w:t>
      </w:r>
    </w:p>
    <w:p w:rsidR="00C5615B" w:rsidRDefault="00C5615B" w:rsidP="00AE1876">
      <w:pPr>
        <w:pStyle w:val="texto"/>
        <w:rPr>
          <w:szCs w:val="26"/>
        </w:rPr>
      </w:pPr>
      <w:r>
        <w:rPr>
          <w:szCs w:val="26"/>
        </w:rPr>
        <w:t xml:space="preserve">Es evidente que, en la situación actual, si el fondo asume el déficit del </w:t>
      </w:r>
      <w:r w:rsidR="00B04729">
        <w:rPr>
          <w:szCs w:val="26"/>
        </w:rPr>
        <w:t>Mo</w:t>
      </w:r>
      <w:r w:rsidR="00B04729">
        <w:rPr>
          <w:szCs w:val="26"/>
        </w:rPr>
        <w:t>n</w:t>
      </w:r>
      <w:r w:rsidR="00B04729">
        <w:rPr>
          <w:szCs w:val="26"/>
        </w:rPr>
        <w:t>tepío</w:t>
      </w:r>
      <w:r>
        <w:rPr>
          <w:szCs w:val="26"/>
        </w:rPr>
        <w:t xml:space="preserve"> sin incrementar su importe, se estaría haciendo un reparto en función de la población, que es el factor más significativo al </w:t>
      </w:r>
      <w:r w:rsidR="00445804">
        <w:rPr>
          <w:szCs w:val="26"/>
        </w:rPr>
        <w:t>distribuir</w:t>
      </w:r>
      <w:r>
        <w:rPr>
          <w:szCs w:val="26"/>
        </w:rPr>
        <w:t xml:space="preserve"> actualmente el Fo</w:t>
      </w:r>
      <w:r>
        <w:rPr>
          <w:szCs w:val="26"/>
        </w:rPr>
        <w:t>n</w:t>
      </w:r>
      <w:r>
        <w:rPr>
          <w:szCs w:val="26"/>
        </w:rPr>
        <w:t>d</w:t>
      </w:r>
      <w:r w:rsidR="001B53D5">
        <w:rPr>
          <w:szCs w:val="26"/>
        </w:rPr>
        <w:t>o</w:t>
      </w:r>
      <w:r>
        <w:rPr>
          <w:szCs w:val="26"/>
        </w:rPr>
        <w:t xml:space="preserve"> de Haciendas Locales.</w:t>
      </w:r>
    </w:p>
    <w:p w:rsidR="00716F8B" w:rsidRDefault="008C2CE6" w:rsidP="00716F8B">
      <w:pPr>
        <w:pStyle w:val="texto"/>
        <w:rPr>
          <w:szCs w:val="26"/>
        </w:rPr>
      </w:pPr>
      <w:r>
        <w:rPr>
          <w:szCs w:val="26"/>
        </w:rPr>
        <w:t>f</w:t>
      </w:r>
      <w:r w:rsidR="00716F8B">
        <w:rPr>
          <w:szCs w:val="26"/>
        </w:rPr>
        <w:t xml:space="preserve">) Al elegir los criterios de reparto del déficit, </w:t>
      </w:r>
      <w:r>
        <w:rPr>
          <w:szCs w:val="26"/>
        </w:rPr>
        <w:t>debe</w:t>
      </w:r>
      <w:r w:rsidR="0034140D">
        <w:rPr>
          <w:szCs w:val="26"/>
        </w:rPr>
        <w:t>n</w:t>
      </w:r>
      <w:r>
        <w:rPr>
          <w:szCs w:val="26"/>
        </w:rPr>
        <w:t xml:space="preserve"> tenerse </w:t>
      </w:r>
      <w:r w:rsidR="00716F8B">
        <w:rPr>
          <w:szCs w:val="26"/>
        </w:rPr>
        <w:t>en cuenta ta</w:t>
      </w:r>
      <w:r w:rsidR="00716F8B">
        <w:rPr>
          <w:szCs w:val="26"/>
        </w:rPr>
        <w:t>m</w:t>
      </w:r>
      <w:r w:rsidR="00716F8B">
        <w:rPr>
          <w:szCs w:val="26"/>
        </w:rPr>
        <w:t>bién las dificultades que algunas variables pueden presentar para su aplica</w:t>
      </w:r>
      <w:r>
        <w:rPr>
          <w:szCs w:val="26"/>
        </w:rPr>
        <w:t>ción (presupuestos, totalidad de</w:t>
      </w:r>
      <w:r w:rsidR="0034140D">
        <w:rPr>
          <w:szCs w:val="26"/>
        </w:rPr>
        <w:t>l personal</w:t>
      </w:r>
      <w:r>
        <w:rPr>
          <w:szCs w:val="26"/>
        </w:rPr>
        <w:t xml:space="preserve"> activo, …)</w:t>
      </w:r>
      <w:r w:rsidR="00AD5F8D">
        <w:rPr>
          <w:szCs w:val="26"/>
        </w:rPr>
        <w:t>.</w:t>
      </w:r>
    </w:p>
    <w:p w:rsidR="00E52F02" w:rsidRPr="00AE1876" w:rsidRDefault="00E52F02" w:rsidP="00AE1876">
      <w:pPr>
        <w:pStyle w:val="texto"/>
        <w:rPr>
          <w:szCs w:val="26"/>
        </w:rPr>
      </w:pPr>
    </w:p>
    <w:p w:rsidR="0010298C" w:rsidRDefault="0010298C">
      <w:pPr>
        <w:spacing w:after="0"/>
        <w:ind w:firstLine="0"/>
        <w:jc w:val="left"/>
        <w:rPr>
          <w:rFonts w:asciiTheme="minorHAnsi" w:eastAsiaTheme="minorHAnsi" w:hAnsiTheme="minorHAnsi" w:cstheme="minorBidi"/>
          <w:sz w:val="22"/>
          <w:szCs w:val="22"/>
          <w:lang w:val="es-ES"/>
        </w:rPr>
      </w:pPr>
      <w:r>
        <w:rPr>
          <w:rFonts w:asciiTheme="minorHAnsi" w:eastAsiaTheme="minorHAnsi" w:hAnsiTheme="minorHAnsi" w:cstheme="minorBidi"/>
          <w:sz w:val="22"/>
          <w:szCs w:val="22"/>
          <w:lang w:val="es-ES"/>
        </w:rPr>
        <w:br w:type="page"/>
      </w:r>
    </w:p>
    <w:p w:rsidR="009868F9" w:rsidRPr="009868F9" w:rsidRDefault="009868F9" w:rsidP="009868F9">
      <w:pPr>
        <w:pStyle w:val="atitulo1"/>
      </w:pPr>
      <w:bookmarkStart w:id="9" w:name="_Toc482946243"/>
      <w:r w:rsidRPr="009868F9">
        <w:lastRenderedPageBreak/>
        <w:t>IV. Conclusiones</w:t>
      </w:r>
      <w:bookmarkEnd w:id="9"/>
    </w:p>
    <w:p w:rsidR="009868F9" w:rsidRPr="009868F9" w:rsidRDefault="009868F9" w:rsidP="0077337B">
      <w:pPr>
        <w:pStyle w:val="texto"/>
        <w:rPr>
          <w:szCs w:val="26"/>
        </w:rPr>
      </w:pPr>
      <w:r w:rsidRPr="009868F9">
        <w:rPr>
          <w:szCs w:val="26"/>
        </w:rPr>
        <w:t>Presentamos a continuación las conclusiones que se derivan del trabajo real</w:t>
      </w:r>
      <w:r w:rsidRPr="009868F9">
        <w:rPr>
          <w:szCs w:val="26"/>
        </w:rPr>
        <w:t>i</w:t>
      </w:r>
      <w:r w:rsidRPr="009868F9">
        <w:rPr>
          <w:szCs w:val="26"/>
        </w:rPr>
        <w:t>zado</w:t>
      </w:r>
      <w:r w:rsidR="00627F95">
        <w:rPr>
          <w:szCs w:val="26"/>
        </w:rPr>
        <w:t>, que amplían o concretan la conclusión general del epígrafe anterior</w:t>
      </w:r>
      <w:r w:rsidRPr="009868F9">
        <w:rPr>
          <w:szCs w:val="26"/>
        </w:rPr>
        <w:t xml:space="preserve">: </w:t>
      </w:r>
    </w:p>
    <w:p w:rsidR="009868F9" w:rsidRPr="009868F9" w:rsidRDefault="009868F9" w:rsidP="009868F9">
      <w:pPr>
        <w:pStyle w:val="atitulo2"/>
        <w:spacing w:before="240"/>
      </w:pPr>
      <w:bookmarkStart w:id="10" w:name="_Toc482946244"/>
      <w:r w:rsidRPr="009868F9">
        <w:t>IV.1. Aspectos generales</w:t>
      </w:r>
      <w:bookmarkEnd w:id="10"/>
    </w:p>
    <w:p w:rsidR="009868F9" w:rsidRPr="009868F9" w:rsidRDefault="00867D31" w:rsidP="0077337B">
      <w:pPr>
        <w:pStyle w:val="texto"/>
        <w:rPr>
          <w:szCs w:val="26"/>
        </w:rPr>
      </w:pPr>
      <w:r w:rsidRPr="00FB1FFE">
        <w:rPr>
          <w:b/>
          <w:szCs w:val="26"/>
        </w:rPr>
        <w:t>1</w:t>
      </w:r>
      <w:r w:rsidR="00FB1FFE" w:rsidRPr="00FB1FFE">
        <w:rPr>
          <w:b/>
          <w:szCs w:val="26"/>
        </w:rPr>
        <w:t>.</w:t>
      </w:r>
      <w:r w:rsidRPr="00FB1FFE">
        <w:rPr>
          <w:b/>
          <w:szCs w:val="26"/>
        </w:rPr>
        <w:t>ª</w:t>
      </w:r>
      <w:r>
        <w:rPr>
          <w:szCs w:val="26"/>
        </w:rPr>
        <w:t xml:space="preserve"> Las</w:t>
      </w:r>
      <w:r w:rsidR="009868F9" w:rsidRPr="009868F9">
        <w:rPr>
          <w:szCs w:val="26"/>
        </w:rPr>
        <w:t xml:space="preserve"> circunstancias </w:t>
      </w:r>
      <w:r>
        <w:rPr>
          <w:szCs w:val="26"/>
        </w:rPr>
        <w:t xml:space="preserve">señaladas en el </w:t>
      </w:r>
      <w:r w:rsidR="00D53287">
        <w:rPr>
          <w:szCs w:val="26"/>
        </w:rPr>
        <w:t>resumen</w:t>
      </w:r>
      <w:r>
        <w:rPr>
          <w:szCs w:val="26"/>
        </w:rPr>
        <w:t xml:space="preserve"> general </w:t>
      </w:r>
      <w:r w:rsidR="009868F9" w:rsidRPr="009868F9">
        <w:rPr>
          <w:szCs w:val="26"/>
        </w:rPr>
        <w:t>provocan distorsiones en el reparto entre los ayuntamientos. No obstante</w:t>
      </w:r>
      <w:r w:rsidR="000058FB">
        <w:rPr>
          <w:szCs w:val="26"/>
        </w:rPr>
        <w:t>,</w:t>
      </w:r>
      <w:r w:rsidR="009868F9" w:rsidRPr="009868F9">
        <w:rPr>
          <w:szCs w:val="26"/>
        </w:rPr>
        <w:t xml:space="preserve"> sería necesario analizar toda la historia del </w:t>
      </w:r>
      <w:r w:rsidR="00B04729">
        <w:rPr>
          <w:szCs w:val="26"/>
        </w:rPr>
        <w:t>Montepío</w:t>
      </w:r>
      <w:r w:rsidR="009868F9" w:rsidRPr="009868F9">
        <w:rPr>
          <w:szCs w:val="26"/>
        </w:rPr>
        <w:t xml:space="preserve"> para valorar exactamente la incidencia de estas disto</w:t>
      </w:r>
      <w:r w:rsidR="009868F9" w:rsidRPr="009868F9">
        <w:rPr>
          <w:szCs w:val="26"/>
        </w:rPr>
        <w:t>r</w:t>
      </w:r>
      <w:r w:rsidR="009868F9" w:rsidRPr="009868F9">
        <w:rPr>
          <w:szCs w:val="26"/>
        </w:rPr>
        <w:t xml:space="preserve">siones en cada ayuntamiento y no podemos olvidar que el </w:t>
      </w:r>
      <w:r w:rsidR="00B04729">
        <w:rPr>
          <w:szCs w:val="26"/>
        </w:rPr>
        <w:t>Montepío</w:t>
      </w:r>
      <w:r w:rsidR="009868F9" w:rsidRPr="009868F9">
        <w:rPr>
          <w:szCs w:val="26"/>
        </w:rPr>
        <w:t xml:space="preserve"> está basado en la solidaridad entre los ayuntamientos. Asimismo, debemos destacar que la distorsión más significativa se produce como consecuencia de la no incorpor</w:t>
      </w:r>
      <w:r w:rsidR="009868F9" w:rsidRPr="009868F9">
        <w:rPr>
          <w:szCs w:val="26"/>
        </w:rPr>
        <w:t>a</w:t>
      </w:r>
      <w:r w:rsidR="009868F9" w:rsidRPr="009868F9">
        <w:rPr>
          <w:szCs w:val="26"/>
        </w:rPr>
        <w:t>ción de nuevos activos desde el año 1994, momento en el que, como muy tarde, se debería haber modificado el sistema de reparto del déficit.</w:t>
      </w:r>
    </w:p>
    <w:p w:rsidR="009868F9" w:rsidRPr="00071CAE" w:rsidRDefault="00671BF3" w:rsidP="0077337B">
      <w:pPr>
        <w:pStyle w:val="texto"/>
        <w:rPr>
          <w:sz w:val="22"/>
          <w:szCs w:val="22"/>
        </w:rPr>
      </w:pPr>
      <w:r w:rsidRPr="00FB1FFE">
        <w:rPr>
          <w:b/>
          <w:szCs w:val="26"/>
        </w:rPr>
        <w:t>2</w:t>
      </w:r>
      <w:r w:rsidR="00FB1FFE">
        <w:rPr>
          <w:b/>
          <w:szCs w:val="26"/>
        </w:rPr>
        <w:t>.</w:t>
      </w:r>
      <w:r w:rsidR="009868F9" w:rsidRPr="00FB1FFE">
        <w:rPr>
          <w:b/>
          <w:szCs w:val="26"/>
        </w:rPr>
        <w:t>ª</w:t>
      </w:r>
      <w:r w:rsidR="009868F9" w:rsidRPr="009868F9">
        <w:rPr>
          <w:szCs w:val="26"/>
        </w:rPr>
        <w:t xml:space="preserve"> Esta situación era conocida ya que se ha puesto de manifiesto en difere</w:t>
      </w:r>
      <w:r w:rsidR="009868F9" w:rsidRPr="009868F9">
        <w:rPr>
          <w:szCs w:val="26"/>
        </w:rPr>
        <w:t>n</w:t>
      </w:r>
      <w:r w:rsidR="009868F9" w:rsidRPr="009868F9">
        <w:rPr>
          <w:szCs w:val="26"/>
        </w:rPr>
        <w:t>tes informes, tanto externos, como internos. Así en el informe de la Cámara de Comptos del año 2001, anteriormente citado, se decía</w:t>
      </w:r>
      <w:r w:rsidR="009868F9" w:rsidRPr="00071CAE">
        <w:rPr>
          <w:sz w:val="22"/>
          <w:szCs w:val="22"/>
        </w:rPr>
        <w:t xml:space="preserve">: </w:t>
      </w:r>
      <w:r w:rsidR="009868F9" w:rsidRPr="00071CAE">
        <w:rPr>
          <w:i/>
          <w:sz w:val="22"/>
          <w:szCs w:val="22"/>
        </w:rPr>
        <w:t>“En conclusión y a modo de resumen final esta Cámara manifiesta: la actualización del sistema de pasivos de los e</w:t>
      </w:r>
      <w:r w:rsidR="009868F9" w:rsidRPr="00071CAE">
        <w:rPr>
          <w:i/>
          <w:sz w:val="22"/>
          <w:szCs w:val="22"/>
        </w:rPr>
        <w:t>m</w:t>
      </w:r>
      <w:r w:rsidR="009868F9" w:rsidRPr="00071CAE">
        <w:rPr>
          <w:i/>
          <w:sz w:val="22"/>
          <w:szCs w:val="22"/>
        </w:rPr>
        <w:t>pleados públicos forales es una necesidad urgente e inaplazable, prevista ya en la propia legislación foral y demandad</w:t>
      </w:r>
      <w:r w:rsidRPr="00071CAE">
        <w:rPr>
          <w:i/>
          <w:sz w:val="22"/>
          <w:szCs w:val="22"/>
        </w:rPr>
        <w:t>a</w:t>
      </w:r>
      <w:r w:rsidR="009868F9" w:rsidRPr="00071CAE">
        <w:rPr>
          <w:i/>
          <w:sz w:val="22"/>
          <w:szCs w:val="22"/>
        </w:rPr>
        <w:t xml:space="preserve"> al menos desde 1983. Permitirá resolver una situación inad</w:t>
      </w:r>
      <w:r w:rsidR="009868F9" w:rsidRPr="00071CAE">
        <w:rPr>
          <w:i/>
          <w:sz w:val="22"/>
          <w:szCs w:val="22"/>
        </w:rPr>
        <w:t>e</w:t>
      </w:r>
      <w:r w:rsidR="009868F9" w:rsidRPr="00071CAE">
        <w:rPr>
          <w:i/>
          <w:sz w:val="22"/>
          <w:szCs w:val="22"/>
        </w:rPr>
        <w:t>cuada para una correcta gestión de personal de las Administraciones Públicas de Navarra”</w:t>
      </w:r>
      <w:r w:rsidR="009868F9" w:rsidRPr="00071CAE">
        <w:rPr>
          <w:sz w:val="22"/>
          <w:szCs w:val="22"/>
        </w:rPr>
        <w:t>.</w:t>
      </w:r>
    </w:p>
    <w:p w:rsidR="009868F9" w:rsidRPr="00071CAE" w:rsidRDefault="009868F9" w:rsidP="0077337B">
      <w:pPr>
        <w:pStyle w:val="texto"/>
        <w:rPr>
          <w:sz w:val="22"/>
          <w:szCs w:val="22"/>
        </w:rPr>
      </w:pPr>
      <w:r w:rsidRPr="009868F9">
        <w:rPr>
          <w:szCs w:val="26"/>
        </w:rPr>
        <w:t>Y en el informe sobre el Sector Público Local del ejercicio 2003, se co</w:t>
      </w:r>
      <w:r w:rsidRPr="009868F9">
        <w:rPr>
          <w:szCs w:val="26"/>
        </w:rPr>
        <w:t>n</w:t>
      </w:r>
      <w:r w:rsidRPr="009868F9">
        <w:rPr>
          <w:szCs w:val="26"/>
        </w:rPr>
        <w:t xml:space="preserve">cluía: </w:t>
      </w:r>
      <w:r w:rsidRPr="00071CAE">
        <w:rPr>
          <w:i/>
          <w:sz w:val="22"/>
          <w:szCs w:val="22"/>
        </w:rPr>
        <w:t xml:space="preserve">“En resumen, la disparidad de los resultados obtenidos se produce principalmente por la no incorporación de nuevos funcionarios al sistema, que, aunque puede permanecer vigente muchos años, es ya un sistema a extinguir. Puede afirmarse, por lo tanto, que se han alterado las condiciones básicas de su funcionamiento al coexistir empleados acogidos al </w:t>
      </w:r>
      <w:r w:rsidR="00B04729">
        <w:rPr>
          <w:i/>
          <w:sz w:val="22"/>
          <w:szCs w:val="22"/>
        </w:rPr>
        <w:t>Montepío</w:t>
      </w:r>
      <w:r w:rsidRPr="00071CAE">
        <w:rPr>
          <w:i/>
          <w:sz w:val="22"/>
          <w:szCs w:val="22"/>
        </w:rPr>
        <w:t xml:space="preserve"> y otros al sistema de Seguridad Social. Igualmente debe tenerse presente la tran</w:t>
      </w:r>
      <w:r w:rsidRPr="00071CAE">
        <w:rPr>
          <w:i/>
          <w:sz w:val="22"/>
          <w:szCs w:val="22"/>
        </w:rPr>
        <w:t>s</w:t>
      </w:r>
      <w:r w:rsidRPr="00071CAE">
        <w:rPr>
          <w:i/>
          <w:sz w:val="22"/>
          <w:szCs w:val="22"/>
        </w:rPr>
        <w:t>ferencia al Gobierno de Navarra de los funcionarios sanitarios municipales”</w:t>
      </w:r>
      <w:r w:rsidRPr="00071CAE">
        <w:rPr>
          <w:sz w:val="22"/>
          <w:szCs w:val="22"/>
        </w:rPr>
        <w:t xml:space="preserve">. </w:t>
      </w:r>
    </w:p>
    <w:p w:rsidR="009868F9" w:rsidRPr="009868F9" w:rsidRDefault="009868F9" w:rsidP="0077337B">
      <w:pPr>
        <w:pStyle w:val="texto"/>
        <w:rPr>
          <w:szCs w:val="26"/>
        </w:rPr>
      </w:pPr>
      <w:r w:rsidRPr="009868F9">
        <w:rPr>
          <w:szCs w:val="26"/>
        </w:rPr>
        <w:t>En este mismo sentido</w:t>
      </w:r>
      <w:r w:rsidR="0011393C">
        <w:rPr>
          <w:szCs w:val="26"/>
        </w:rPr>
        <w:t xml:space="preserve">, </w:t>
      </w:r>
      <w:r w:rsidRPr="009868F9">
        <w:rPr>
          <w:szCs w:val="26"/>
        </w:rPr>
        <w:t xml:space="preserve">hemos constatado la existencia de informes internos </w:t>
      </w:r>
      <w:r w:rsidR="00E52F02">
        <w:rPr>
          <w:szCs w:val="26"/>
        </w:rPr>
        <w:t>en el Gobierno de Navarra, los últimos del</w:t>
      </w:r>
      <w:r w:rsidRPr="009868F9">
        <w:rPr>
          <w:szCs w:val="26"/>
        </w:rPr>
        <w:t xml:space="preserve"> Servicio de Prestaciones Sociales de los años 2014 y 2016</w:t>
      </w:r>
      <w:r w:rsidR="0011393C" w:rsidRPr="009868F9">
        <w:rPr>
          <w:szCs w:val="26"/>
        </w:rPr>
        <w:t xml:space="preserve">, </w:t>
      </w:r>
      <w:r w:rsidR="0011393C">
        <w:rPr>
          <w:szCs w:val="26"/>
        </w:rPr>
        <w:t>que señalan la necesidad, urgencia y dificultad para c</w:t>
      </w:r>
      <w:r w:rsidR="0011393C">
        <w:rPr>
          <w:szCs w:val="26"/>
        </w:rPr>
        <w:t>o</w:t>
      </w:r>
      <w:r w:rsidR="0011393C">
        <w:rPr>
          <w:szCs w:val="26"/>
        </w:rPr>
        <w:t xml:space="preserve">rregir la situación del </w:t>
      </w:r>
      <w:r w:rsidR="00B04729">
        <w:rPr>
          <w:szCs w:val="26"/>
        </w:rPr>
        <w:t>Montepío</w:t>
      </w:r>
      <w:r w:rsidR="0011393C">
        <w:rPr>
          <w:szCs w:val="26"/>
        </w:rPr>
        <w:t>, derivada de la no incorporación de nuevos a</w:t>
      </w:r>
      <w:r w:rsidR="0011393C">
        <w:rPr>
          <w:szCs w:val="26"/>
        </w:rPr>
        <w:t>c</w:t>
      </w:r>
      <w:r w:rsidR="0011393C">
        <w:rPr>
          <w:szCs w:val="26"/>
        </w:rPr>
        <w:t>tivos y la forma de realizar el reparto del déficit entre los ayuntamientos. As</w:t>
      </w:r>
      <w:r w:rsidR="0011393C">
        <w:rPr>
          <w:szCs w:val="26"/>
        </w:rPr>
        <w:t>i</w:t>
      </w:r>
      <w:r w:rsidR="0011393C">
        <w:rPr>
          <w:szCs w:val="26"/>
        </w:rPr>
        <w:t>mismo, señala</w:t>
      </w:r>
      <w:r w:rsidR="00A623B8">
        <w:rPr>
          <w:szCs w:val="26"/>
        </w:rPr>
        <w:t>n</w:t>
      </w:r>
      <w:r w:rsidR="0011393C">
        <w:rPr>
          <w:szCs w:val="26"/>
        </w:rPr>
        <w:t xml:space="preserve"> las diferencias que se producen en la financiación de los dif</w:t>
      </w:r>
      <w:r w:rsidR="0011393C">
        <w:rPr>
          <w:szCs w:val="26"/>
        </w:rPr>
        <w:t>e</w:t>
      </w:r>
      <w:r w:rsidR="0011393C">
        <w:rPr>
          <w:szCs w:val="26"/>
        </w:rPr>
        <w:t xml:space="preserve">rentes </w:t>
      </w:r>
      <w:r w:rsidR="00B04729">
        <w:rPr>
          <w:szCs w:val="26"/>
        </w:rPr>
        <w:t>Montepío</w:t>
      </w:r>
      <w:r w:rsidR="0011393C">
        <w:rPr>
          <w:szCs w:val="26"/>
        </w:rPr>
        <w:t>s de los funcionarios municipales</w:t>
      </w:r>
    </w:p>
    <w:p w:rsidR="009868F9" w:rsidRPr="009868F9" w:rsidRDefault="009868F9" w:rsidP="009868F9">
      <w:pPr>
        <w:pStyle w:val="atitulo2"/>
        <w:spacing w:before="240"/>
      </w:pPr>
      <w:bookmarkStart w:id="11" w:name="_Toc482946245"/>
      <w:r w:rsidRPr="009868F9">
        <w:t>IV.2. Sobre los datos generales</w:t>
      </w:r>
      <w:bookmarkEnd w:id="11"/>
    </w:p>
    <w:p w:rsidR="009868F9" w:rsidRPr="009868F9" w:rsidRDefault="009868F9" w:rsidP="0077337B">
      <w:pPr>
        <w:pStyle w:val="texto"/>
        <w:rPr>
          <w:szCs w:val="26"/>
        </w:rPr>
      </w:pPr>
      <w:r w:rsidRPr="009868F9">
        <w:rPr>
          <w:szCs w:val="26"/>
        </w:rPr>
        <w:t xml:space="preserve">Los importes que se incluyen en las siguientes conclusiones corresponden al déficit que se genera en el </w:t>
      </w:r>
      <w:r w:rsidR="00B04729">
        <w:rPr>
          <w:szCs w:val="26"/>
        </w:rPr>
        <w:t>Montepío</w:t>
      </w:r>
      <w:r w:rsidRPr="009868F9">
        <w:rPr>
          <w:szCs w:val="26"/>
        </w:rPr>
        <w:t xml:space="preserve"> y hay que tener en cuenta que, con cargo a los Presupuestos de Navarra, se subvenciona un 35,7 por ciento, de manera que el importe máximo a financiar por las entidades locales no supere la cantidad de 10.682.014 euros, actualizada, al ejercicio de que se trate, con los increme</w:t>
      </w:r>
      <w:r w:rsidRPr="009868F9">
        <w:rPr>
          <w:szCs w:val="26"/>
        </w:rPr>
        <w:t>n</w:t>
      </w:r>
      <w:r w:rsidRPr="009868F9">
        <w:rPr>
          <w:szCs w:val="26"/>
        </w:rPr>
        <w:lastRenderedPageBreak/>
        <w:t>tos que para las pensiones se fijen en las sucesivas Leyes Forales de Presupue</w:t>
      </w:r>
      <w:r w:rsidRPr="009868F9">
        <w:rPr>
          <w:szCs w:val="26"/>
        </w:rPr>
        <w:t>s</w:t>
      </w:r>
      <w:r w:rsidRPr="009868F9">
        <w:rPr>
          <w:szCs w:val="26"/>
        </w:rPr>
        <w:t>tos Generales de Navarra a partir del año 2002 inclusive.</w:t>
      </w:r>
    </w:p>
    <w:p w:rsidR="009868F9" w:rsidRPr="009868F9" w:rsidRDefault="00C86E81" w:rsidP="0077337B">
      <w:pPr>
        <w:pStyle w:val="texto"/>
        <w:rPr>
          <w:szCs w:val="26"/>
        </w:rPr>
      </w:pPr>
      <w:r w:rsidRPr="00FB1FFE">
        <w:rPr>
          <w:b/>
          <w:szCs w:val="26"/>
        </w:rPr>
        <w:t>3</w:t>
      </w:r>
      <w:r w:rsidR="00FB1FFE" w:rsidRPr="00FB1FFE">
        <w:rPr>
          <w:b/>
          <w:szCs w:val="26"/>
        </w:rPr>
        <w:t>.</w:t>
      </w:r>
      <w:r w:rsidR="009868F9" w:rsidRPr="00FB1FFE">
        <w:rPr>
          <w:b/>
          <w:szCs w:val="26"/>
        </w:rPr>
        <w:t>ª</w:t>
      </w:r>
      <w:r w:rsidR="009868F9" w:rsidRPr="009868F9">
        <w:rPr>
          <w:szCs w:val="26"/>
        </w:rPr>
        <w:t xml:space="preserve"> En el cuadro siguiente, se presenta, para los años 2006 a 2016, el importe del déficit del </w:t>
      </w:r>
      <w:r w:rsidR="00B04729">
        <w:rPr>
          <w:szCs w:val="26"/>
        </w:rPr>
        <w:t>Montepío</w:t>
      </w:r>
      <w:r w:rsidR="009868F9" w:rsidRPr="009868F9">
        <w:rPr>
          <w:szCs w:val="26"/>
        </w:rPr>
        <w:t>, así como el número de pasivos y activos en cada año:</w:t>
      </w:r>
    </w:p>
    <w:tbl>
      <w:tblPr>
        <w:tblW w:w="885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73"/>
        <w:gridCol w:w="1544"/>
        <w:gridCol w:w="1402"/>
        <w:gridCol w:w="1830"/>
        <w:gridCol w:w="1130"/>
        <w:gridCol w:w="1050"/>
        <w:gridCol w:w="1127"/>
      </w:tblGrid>
      <w:tr w:rsidR="00271B99" w:rsidRPr="009868F9" w:rsidTr="00071CAE">
        <w:trPr>
          <w:trHeight w:val="198"/>
          <w:jc w:val="center"/>
        </w:trPr>
        <w:tc>
          <w:tcPr>
            <w:tcW w:w="773" w:type="dxa"/>
            <w:shd w:val="clear" w:color="auto" w:fill="FABF8F" w:themeFill="accent6" w:themeFillTint="99"/>
            <w:noWrap/>
            <w:vAlign w:val="center"/>
            <w:hideMark/>
          </w:tcPr>
          <w:p w:rsidR="00271B99" w:rsidRPr="006A0483" w:rsidRDefault="00271B99" w:rsidP="00CC4CE7">
            <w:pPr>
              <w:pStyle w:val="cuadroCabe"/>
              <w:rPr>
                <w:snapToGrid w:val="0"/>
              </w:rPr>
            </w:pPr>
            <w:bookmarkStart w:id="12" w:name="OLE_LINK1"/>
            <w:r w:rsidRPr="006A0483">
              <w:rPr>
                <w:snapToGrid w:val="0"/>
              </w:rPr>
              <w:t>Año</w:t>
            </w:r>
          </w:p>
        </w:tc>
        <w:tc>
          <w:tcPr>
            <w:tcW w:w="1544" w:type="dxa"/>
            <w:shd w:val="clear" w:color="auto" w:fill="FABF8F" w:themeFill="accent6" w:themeFillTint="99"/>
            <w:vAlign w:val="center"/>
          </w:tcPr>
          <w:p w:rsidR="00271B99" w:rsidRDefault="00271B99" w:rsidP="009B0D90">
            <w:pPr>
              <w:pStyle w:val="cuadroCabe"/>
              <w:jc w:val="right"/>
              <w:rPr>
                <w:rFonts w:ascii="Calibri" w:hAnsi="Calibri"/>
                <w:color w:val="000000"/>
                <w:sz w:val="24"/>
              </w:rPr>
            </w:pPr>
            <w:r>
              <w:rPr>
                <w:rFonts w:ascii="Calibri" w:hAnsi="Calibri"/>
                <w:color w:val="000000"/>
              </w:rPr>
              <w:t xml:space="preserve">Reparto s/población  (Secr+Méd+Farm)      </w:t>
            </w:r>
          </w:p>
        </w:tc>
        <w:tc>
          <w:tcPr>
            <w:tcW w:w="1402" w:type="dxa"/>
            <w:shd w:val="clear" w:color="auto" w:fill="FABF8F" w:themeFill="accent6" w:themeFillTint="99"/>
            <w:vAlign w:val="center"/>
          </w:tcPr>
          <w:p w:rsidR="00271B99" w:rsidRDefault="00271B99" w:rsidP="009B0D90">
            <w:pPr>
              <w:pStyle w:val="cuadroCabe"/>
              <w:jc w:val="right"/>
              <w:rPr>
                <w:rFonts w:ascii="Calibri" w:hAnsi="Calibri"/>
                <w:color w:val="000000"/>
                <w:sz w:val="24"/>
              </w:rPr>
            </w:pPr>
            <w:r>
              <w:rPr>
                <w:rFonts w:ascii="Calibri" w:hAnsi="Calibri"/>
                <w:color w:val="000000"/>
              </w:rPr>
              <w:t xml:space="preserve">Reparto s/nº activos  (Adm+Subal)         </w:t>
            </w:r>
          </w:p>
        </w:tc>
        <w:tc>
          <w:tcPr>
            <w:tcW w:w="1830" w:type="dxa"/>
            <w:shd w:val="clear" w:color="auto" w:fill="FABF8F" w:themeFill="accent6" w:themeFillTint="99"/>
            <w:noWrap/>
            <w:vAlign w:val="center"/>
            <w:hideMark/>
          </w:tcPr>
          <w:p w:rsidR="00271B99" w:rsidRPr="006A0483" w:rsidRDefault="00271B99" w:rsidP="009B0D90">
            <w:pPr>
              <w:pStyle w:val="cuadroCabe"/>
              <w:jc w:val="right"/>
              <w:rPr>
                <w:snapToGrid w:val="0"/>
              </w:rPr>
            </w:pPr>
            <w:r w:rsidRPr="006A0483">
              <w:rPr>
                <w:snapToGrid w:val="0"/>
              </w:rPr>
              <w:t xml:space="preserve">Déficit </w:t>
            </w:r>
            <w:r w:rsidR="00B04729">
              <w:rPr>
                <w:snapToGrid w:val="0"/>
              </w:rPr>
              <w:t>Montepío</w:t>
            </w:r>
            <w:r w:rsidRPr="006A0483">
              <w:rPr>
                <w:snapToGrid w:val="0"/>
              </w:rPr>
              <w:t xml:space="preserve"> gral</w:t>
            </w:r>
            <w:r>
              <w:rPr>
                <w:snapToGrid w:val="0"/>
              </w:rPr>
              <w:t xml:space="preserve"> </w:t>
            </w:r>
          </w:p>
        </w:tc>
        <w:tc>
          <w:tcPr>
            <w:tcW w:w="1130" w:type="dxa"/>
            <w:shd w:val="clear" w:color="auto" w:fill="FABF8F" w:themeFill="accent6" w:themeFillTint="99"/>
            <w:noWrap/>
            <w:vAlign w:val="center"/>
            <w:hideMark/>
          </w:tcPr>
          <w:p w:rsidR="00271B99" w:rsidRPr="006A0483" w:rsidRDefault="00271B99" w:rsidP="009B0D90">
            <w:pPr>
              <w:pStyle w:val="cuadroCabe"/>
              <w:jc w:val="right"/>
              <w:rPr>
                <w:snapToGrid w:val="0"/>
              </w:rPr>
            </w:pPr>
            <w:r w:rsidRPr="006A0483">
              <w:rPr>
                <w:snapToGrid w:val="0"/>
              </w:rPr>
              <w:t xml:space="preserve">Pasivos* </w:t>
            </w:r>
          </w:p>
        </w:tc>
        <w:tc>
          <w:tcPr>
            <w:tcW w:w="1050" w:type="dxa"/>
            <w:shd w:val="clear" w:color="auto" w:fill="FABF8F" w:themeFill="accent6" w:themeFillTint="99"/>
            <w:noWrap/>
            <w:vAlign w:val="center"/>
            <w:hideMark/>
          </w:tcPr>
          <w:p w:rsidR="00271B99" w:rsidRPr="006A0483" w:rsidRDefault="00271B99" w:rsidP="009B0D90">
            <w:pPr>
              <w:pStyle w:val="cuadroCabe"/>
              <w:jc w:val="right"/>
              <w:rPr>
                <w:snapToGrid w:val="0"/>
              </w:rPr>
            </w:pPr>
            <w:r w:rsidRPr="006A0483">
              <w:rPr>
                <w:snapToGrid w:val="0"/>
              </w:rPr>
              <w:t>Activos</w:t>
            </w:r>
          </w:p>
        </w:tc>
        <w:tc>
          <w:tcPr>
            <w:tcW w:w="1127" w:type="dxa"/>
            <w:shd w:val="clear" w:color="auto" w:fill="FABF8F" w:themeFill="accent6" w:themeFillTint="99"/>
            <w:vAlign w:val="center"/>
          </w:tcPr>
          <w:p w:rsidR="00B05162" w:rsidRDefault="00271B99" w:rsidP="009B0D90">
            <w:pPr>
              <w:pStyle w:val="cuadroCabe"/>
              <w:jc w:val="right"/>
              <w:rPr>
                <w:snapToGrid w:val="0"/>
              </w:rPr>
            </w:pPr>
            <w:r w:rsidRPr="006A0483">
              <w:rPr>
                <w:snapToGrid w:val="0"/>
              </w:rPr>
              <w:t>Déficit</w:t>
            </w:r>
            <w:r w:rsidR="0011393C">
              <w:rPr>
                <w:snapToGrid w:val="0"/>
              </w:rPr>
              <w:t>/</w:t>
            </w:r>
          </w:p>
          <w:p w:rsidR="00271B99" w:rsidRPr="006A0483" w:rsidRDefault="00271B99" w:rsidP="009B0D90">
            <w:pPr>
              <w:pStyle w:val="cuadroCabe"/>
              <w:jc w:val="right"/>
              <w:rPr>
                <w:snapToGrid w:val="0"/>
              </w:rPr>
            </w:pPr>
            <w:r w:rsidRPr="006A0483">
              <w:rPr>
                <w:snapToGrid w:val="0"/>
              </w:rPr>
              <w:t>Pasivo</w:t>
            </w:r>
          </w:p>
        </w:tc>
      </w:tr>
      <w:tr w:rsidR="00271B99" w:rsidRPr="006A0483" w:rsidTr="00071CAE">
        <w:trPr>
          <w:trHeight w:val="198"/>
          <w:jc w:val="center"/>
        </w:trPr>
        <w:tc>
          <w:tcPr>
            <w:tcW w:w="773" w:type="dxa"/>
            <w:tcBorders>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2006</w:t>
            </w:r>
          </w:p>
        </w:tc>
        <w:tc>
          <w:tcPr>
            <w:tcW w:w="1544" w:type="dxa"/>
            <w:tcBorders>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8.597.791</w:t>
            </w:r>
          </w:p>
        </w:tc>
        <w:tc>
          <w:tcPr>
            <w:tcW w:w="1402" w:type="dxa"/>
            <w:tcBorders>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8.662.298</w:t>
            </w:r>
          </w:p>
        </w:tc>
        <w:tc>
          <w:tcPr>
            <w:tcW w:w="1830" w:type="dxa"/>
            <w:tcBorders>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17.260.090</w:t>
            </w:r>
          </w:p>
        </w:tc>
        <w:tc>
          <w:tcPr>
            <w:tcW w:w="1130" w:type="dxa"/>
            <w:tcBorders>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1.127</w:t>
            </w:r>
          </w:p>
        </w:tc>
        <w:tc>
          <w:tcPr>
            <w:tcW w:w="1050" w:type="dxa"/>
            <w:tcBorders>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385</w:t>
            </w:r>
          </w:p>
        </w:tc>
        <w:tc>
          <w:tcPr>
            <w:tcW w:w="1127" w:type="dxa"/>
            <w:tcBorders>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15.315</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2007</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8.444.243</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8.914.039</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17.358.281</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1.101</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362</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15.766</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2008</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8.676.868</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9.676.474</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18.353.342</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1.077</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329</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17.041</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2009</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8.354.747</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9.661.636</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18.016.383</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1.037</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311</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17.374</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2010</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8.145.295</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9.650.194</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17.795.489</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1.008</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293</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17.654</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2011</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8.348.947</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10.004.412</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18.353.359</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979</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258</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18.747</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2012</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7.998.891</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9.881.183</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17.880.073</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956</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256</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18.703</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2013</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8.124.275</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9.940.220</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18.064.495</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933</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237</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19.362</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2014</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8.022.822</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10.046.882</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18.069.704</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927</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214</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19.493</w:t>
            </w:r>
          </w:p>
        </w:tc>
      </w:tr>
      <w:tr w:rsidR="00271B99" w:rsidRPr="006A0483" w:rsidTr="00071CAE">
        <w:trPr>
          <w:trHeight w:val="198"/>
          <w:jc w:val="center"/>
        </w:trPr>
        <w:tc>
          <w:tcPr>
            <w:tcW w:w="773" w:type="dxa"/>
            <w:tcBorders>
              <w:top w:val="single" w:sz="2" w:space="0" w:color="auto"/>
              <w:bottom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2015</w:t>
            </w:r>
          </w:p>
        </w:tc>
        <w:tc>
          <w:tcPr>
            <w:tcW w:w="1544"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7.873.552</w:t>
            </w:r>
          </w:p>
        </w:tc>
        <w:tc>
          <w:tcPr>
            <w:tcW w:w="1402"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10.233.611</w:t>
            </w:r>
          </w:p>
        </w:tc>
        <w:tc>
          <w:tcPr>
            <w:tcW w:w="18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18.107.163</w:t>
            </w:r>
          </w:p>
        </w:tc>
        <w:tc>
          <w:tcPr>
            <w:tcW w:w="113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899</w:t>
            </w:r>
          </w:p>
        </w:tc>
        <w:tc>
          <w:tcPr>
            <w:tcW w:w="1050" w:type="dxa"/>
            <w:tcBorders>
              <w:top w:val="single" w:sz="2" w:space="0" w:color="auto"/>
              <w:bottom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192</w:t>
            </w:r>
          </w:p>
        </w:tc>
        <w:tc>
          <w:tcPr>
            <w:tcW w:w="1127" w:type="dxa"/>
            <w:tcBorders>
              <w:top w:val="single" w:sz="2" w:space="0" w:color="auto"/>
              <w:bottom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20.141</w:t>
            </w:r>
          </w:p>
        </w:tc>
      </w:tr>
      <w:tr w:rsidR="00271B99" w:rsidRPr="006A0483" w:rsidTr="00071CAE">
        <w:trPr>
          <w:trHeight w:val="198"/>
          <w:jc w:val="center"/>
        </w:trPr>
        <w:tc>
          <w:tcPr>
            <w:tcW w:w="773" w:type="dxa"/>
            <w:tcBorders>
              <w:top w:val="single" w:sz="2" w:space="0" w:color="auto"/>
            </w:tcBorders>
            <w:noWrap/>
            <w:vAlign w:val="center"/>
            <w:hideMark/>
          </w:tcPr>
          <w:p w:rsidR="00271B99" w:rsidRPr="00B05162" w:rsidRDefault="00271B99" w:rsidP="00CC4CE7">
            <w:pPr>
              <w:pStyle w:val="cuadroCabe"/>
              <w:rPr>
                <w:rFonts w:ascii="Arial Narrow" w:hAnsi="Arial Narrow"/>
                <w:snapToGrid w:val="0"/>
                <w:sz w:val="20"/>
                <w:szCs w:val="20"/>
              </w:rPr>
            </w:pPr>
            <w:r w:rsidRPr="00B05162">
              <w:rPr>
                <w:rFonts w:ascii="Arial Narrow" w:hAnsi="Arial Narrow"/>
                <w:snapToGrid w:val="0"/>
                <w:sz w:val="20"/>
                <w:szCs w:val="20"/>
              </w:rPr>
              <w:t>2016</w:t>
            </w:r>
          </w:p>
        </w:tc>
        <w:tc>
          <w:tcPr>
            <w:tcW w:w="1544" w:type="dxa"/>
            <w:tcBorders>
              <w:top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7.601.186</w:t>
            </w:r>
          </w:p>
        </w:tc>
        <w:tc>
          <w:tcPr>
            <w:tcW w:w="1402" w:type="dxa"/>
            <w:tcBorders>
              <w:top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10.252.612</w:t>
            </w:r>
          </w:p>
        </w:tc>
        <w:tc>
          <w:tcPr>
            <w:tcW w:w="1830" w:type="dxa"/>
            <w:tcBorders>
              <w:top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85580C">
              <w:rPr>
                <w:rFonts w:ascii="Arial Narrow" w:hAnsi="Arial Narrow"/>
                <w:snapToGrid w:val="0"/>
                <w:sz w:val="20"/>
                <w:szCs w:val="20"/>
              </w:rPr>
              <w:t>17.853.7</w:t>
            </w:r>
            <w:r w:rsidR="0085580C" w:rsidRPr="0085580C">
              <w:rPr>
                <w:rFonts w:ascii="Arial Narrow" w:hAnsi="Arial Narrow"/>
                <w:snapToGrid w:val="0"/>
                <w:sz w:val="20"/>
                <w:szCs w:val="20"/>
              </w:rPr>
              <w:t>98</w:t>
            </w:r>
          </w:p>
        </w:tc>
        <w:tc>
          <w:tcPr>
            <w:tcW w:w="1130" w:type="dxa"/>
            <w:tcBorders>
              <w:top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873</w:t>
            </w:r>
          </w:p>
        </w:tc>
        <w:tc>
          <w:tcPr>
            <w:tcW w:w="1050" w:type="dxa"/>
            <w:tcBorders>
              <w:top w:val="single" w:sz="2" w:space="0" w:color="auto"/>
            </w:tcBorders>
            <w:noWrap/>
            <w:vAlign w:val="center"/>
            <w:hideMark/>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161</w:t>
            </w:r>
          </w:p>
        </w:tc>
        <w:tc>
          <w:tcPr>
            <w:tcW w:w="1127" w:type="dxa"/>
            <w:tcBorders>
              <w:top w:val="single" w:sz="2" w:space="0" w:color="auto"/>
            </w:tcBorders>
            <w:vAlign w:val="center"/>
          </w:tcPr>
          <w:p w:rsidR="00271B99" w:rsidRPr="00B05162" w:rsidRDefault="00271B99" w:rsidP="009B0D90">
            <w:pPr>
              <w:pStyle w:val="cuadroCabe"/>
              <w:jc w:val="right"/>
              <w:rPr>
                <w:rFonts w:ascii="Arial Narrow" w:hAnsi="Arial Narrow"/>
                <w:snapToGrid w:val="0"/>
                <w:sz w:val="20"/>
                <w:szCs w:val="20"/>
              </w:rPr>
            </w:pPr>
            <w:r w:rsidRPr="00B05162">
              <w:rPr>
                <w:rFonts w:ascii="Arial Narrow" w:hAnsi="Arial Narrow"/>
                <w:snapToGrid w:val="0"/>
                <w:sz w:val="20"/>
                <w:szCs w:val="20"/>
              </w:rPr>
              <w:t>20.451</w:t>
            </w:r>
          </w:p>
        </w:tc>
      </w:tr>
    </w:tbl>
    <w:bookmarkEnd w:id="12"/>
    <w:p w:rsidR="009868F9" w:rsidRPr="006A0483" w:rsidRDefault="009868F9" w:rsidP="00071CAE">
      <w:pPr>
        <w:spacing w:after="240" w:line="300" w:lineRule="atLeast"/>
        <w:ind w:right="75" w:firstLine="0"/>
        <w:rPr>
          <w:rFonts w:ascii="Arial" w:hAnsi="Arial" w:cs="Arial"/>
          <w:sz w:val="16"/>
          <w:szCs w:val="16"/>
          <w:lang w:val="es-ES" w:eastAsia="es-ES"/>
        </w:rPr>
      </w:pPr>
      <w:r w:rsidRPr="006A0483">
        <w:rPr>
          <w:rFonts w:ascii="Arial" w:hAnsi="Arial" w:cs="Arial"/>
          <w:sz w:val="16"/>
          <w:szCs w:val="16"/>
          <w:lang w:val="es-ES" w:eastAsia="es-ES"/>
        </w:rPr>
        <w:t>* Incluye a los perceptores de pensiones de jubilación, viudedad y orfandad</w:t>
      </w:r>
    </w:p>
    <w:p w:rsidR="009868F9" w:rsidRDefault="00943631" w:rsidP="0077337B">
      <w:pPr>
        <w:pStyle w:val="texto"/>
        <w:rPr>
          <w:szCs w:val="26"/>
        </w:rPr>
      </w:pPr>
      <w:r>
        <w:rPr>
          <w:szCs w:val="26"/>
        </w:rPr>
        <w:t xml:space="preserve">Como se desprende </w:t>
      </w:r>
      <w:r w:rsidR="009868F9" w:rsidRPr="009868F9">
        <w:rPr>
          <w:szCs w:val="26"/>
        </w:rPr>
        <w:t>de los datos del cuadro, el importe se mantiene práct</w:t>
      </w:r>
      <w:r w:rsidR="009868F9" w:rsidRPr="009868F9">
        <w:rPr>
          <w:szCs w:val="26"/>
        </w:rPr>
        <w:t>i</w:t>
      </w:r>
      <w:r w:rsidR="009868F9" w:rsidRPr="009868F9">
        <w:rPr>
          <w:szCs w:val="26"/>
        </w:rPr>
        <w:t>camente constante alrededor de los 18 millones de euros, mientras que el núm</w:t>
      </w:r>
      <w:r w:rsidR="009868F9" w:rsidRPr="009868F9">
        <w:rPr>
          <w:szCs w:val="26"/>
        </w:rPr>
        <w:t>e</w:t>
      </w:r>
      <w:r w:rsidR="009868F9" w:rsidRPr="009868F9">
        <w:rPr>
          <w:szCs w:val="26"/>
        </w:rPr>
        <w:t>ro de pasivos desciende un 23 por ciento, al pasar de 1.127 a 873 y los activos disminuyen en un 58 por ciento, al pasar de 385 a 161 y el déficit por pasivo</w:t>
      </w:r>
      <w:r w:rsidR="000A55F1">
        <w:rPr>
          <w:szCs w:val="26"/>
        </w:rPr>
        <w:t>s</w:t>
      </w:r>
      <w:r w:rsidR="009868F9" w:rsidRPr="009868F9">
        <w:rPr>
          <w:szCs w:val="26"/>
        </w:rPr>
        <w:t xml:space="preserve"> aumenta un 34 por ciento, pasando de 15.315 a 20.451 euros. </w:t>
      </w:r>
    </w:p>
    <w:p w:rsidR="00E52F02" w:rsidRDefault="00E52F02" w:rsidP="0077337B">
      <w:pPr>
        <w:pStyle w:val="texto"/>
        <w:rPr>
          <w:szCs w:val="26"/>
        </w:rPr>
      </w:pPr>
      <w:r>
        <w:rPr>
          <w:szCs w:val="26"/>
        </w:rPr>
        <w:t xml:space="preserve">Si consideramos también los </w:t>
      </w:r>
      <w:r w:rsidR="00B04729">
        <w:rPr>
          <w:szCs w:val="26"/>
        </w:rPr>
        <w:t>Montepío</w:t>
      </w:r>
      <w:r>
        <w:rPr>
          <w:szCs w:val="26"/>
        </w:rPr>
        <w:t>s de Pamplona, Tafalla y Tudela, el déficit anual supera los 40 millones de euros.</w:t>
      </w:r>
    </w:p>
    <w:p w:rsidR="00EB6280" w:rsidRPr="00EB6280" w:rsidRDefault="00EB6280" w:rsidP="00CC4CE7">
      <w:pPr>
        <w:pStyle w:val="texto"/>
        <w:spacing w:after="240"/>
        <w:rPr>
          <w:szCs w:val="26"/>
          <w:lang w:val="es-ES"/>
        </w:rPr>
      </w:pPr>
      <w:r w:rsidRPr="00EB6280">
        <w:rPr>
          <w:szCs w:val="26"/>
          <w:lang w:val="es-ES"/>
        </w:rPr>
        <w:t>En 2016</w:t>
      </w:r>
      <w:r w:rsidR="00E52F02">
        <w:rPr>
          <w:szCs w:val="26"/>
          <w:lang w:val="es-ES"/>
        </w:rPr>
        <w:t>,</w:t>
      </w:r>
      <w:r w:rsidRPr="00EB6280">
        <w:rPr>
          <w:szCs w:val="26"/>
          <w:lang w:val="es-ES"/>
        </w:rPr>
        <w:t xml:space="preserve"> </w:t>
      </w:r>
      <w:r w:rsidR="00E52F02">
        <w:rPr>
          <w:szCs w:val="26"/>
          <w:lang w:val="es-ES"/>
        </w:rPr>
        <w:t>el</w:t>
      </w:r>
      <w:r w:rsidRPr="00EB6280">
        <w:rPr>
          <w:szCs w:val="26"/>
          <w:lang w:val="es-ES"/>
        </w:rPr>
        <w:t xml:space="preserve"> déficit global </w:t>
      </w:r>
      <w:r w:rsidR="00E52F02">
        <w:rPr>
          <w:szCs w:val="26"/>
          <w:lang w:val="es-ES"/>
        </w:rPr>
        <w:t xml:space="preserve">del </w:t>
      </w:r>
      <w:r w:rsidR="00B04729">
        <w:rPr>
          <w:szCs w:val="26"/>
          <w:lang w:val="es-ES"/>
        </w:rPr>
        <w:t>Montepío</w:t>
      </w:r>
      <w:r w:rsidR="00E52F02">
        <w:rPr>
          <w:szCs w:val="26"/>
          <w:lang w:val="es-ES"/>
        </w:rPr>
        <w:t xml:space="preserve"> general municipal </w:t>
      </w:r>
      <w:r w:rsidRPr="00EB6280">
        <w:rPr>
          <w:szCs w:val="26"/>
          <w:lang w:val="es-ES"/>
        </w:rPr>
        <w:t>se compone de los siguientes déficit</w:t>
      </w:r>
      <w:r w:rsidR="000A55F1">
        <w:rPr>
          <w:szCs w:val="26"/>
          <w:lang w:val="es-ES"/>
        </w:rPr>
        <w:t>s</w:t>
      </w:r>
      <w:r w:rsidRPr="00EB6280">
        <w:rPr>
          <w:szCs w:val="26"/>
          <w:lang w:val="es-ES"/>
        </w:rPr>
        <w:t xml:space="preserve"> parciales:</w:t>
      </w:r>
    </w:p>
    <w:tbl>
      <w:tblPr>
        <w:tblW w:w="0" w:type="auto"/>
        <w:tblInd w:w="108" w:type="dxa"/>
        <w:tblCellMar>
          <w:left w:w="0" w:type="dxa"/>
          <w:right w:w="0" w:type="dxa"/>
        </w:tblCellMar>
        <w:tblLook w:val="04A0" w:firstRow="1" w:lastRow="0" w:firstColumn="1" w:lastColumn="0" w:noHBand="0" w:noVBand="1"/>
      </w:tblPr>
      <w:tblGrid>
        <w:gridCol w:w="2552"/>
        <w:gridCol w:w="2025"/>
        <w:gridCol w:w="2227"/>
        <w:gridCol w:w="1985"/>
      </w:tblGrid>
      <w:tr w:rsidR="00EB6280" w:rsidRPr="0010298C" w:rsidTr="00E820FB">
        <w:trPr>
          <w:trHeight w:val="227"/>
        </w:trPr>
        <w:tc>
          <w:tcPr>
            <w:tcW w:w="2552"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B61F51">
            <w:pPr>
              <w:pStyle w:val="cuadroCabe"/>
              <w:rPr>
                <w:snapToGrid w:val="0"/>
              </w:rPr>
            </w:pPr>
            <w:r w:rsidRPr="00B61F51">
              <w:rPr>
                <w:snapToGrid w:val="0"/>
              </w:rPr>
              <w:t xml:space="preserve">Concepto </w:t>
            </w:r>
          </w:p>
        </w:tc>
        <w:tc>
          <w:tcPr>
            <w:tcW w:w="2025"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DF297E">
            <w:pPr>
              <w:pStyle w:val="cuadroCabe"/>
              <w:jc w:val="right"/>
              <w:rPr>
                <w:snapToGrid w:val="0"/>
              </w:rPr>
            </w:pPr>
            <w:r w:rsidRPr="00B61F51">
              <w:rPr>
                <w:snapToGrid w:val="0"/>
              </w:rPr>
              <w:t>Importe pensiones</w:t>
            </w:r>
          </w:p>
        </w:tc>
        <w:tc>
          <w:tcPr>
            <w:tcW w:w="2227"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DF297E">
            <w:pPr>
              <w:pStyle w:val="cuadroCabe"/>
              <w:jc w:val="right"/>
              <w:rPr>
                <w:snapToGrid w:val="0"/>
              </w:rPr>
            </w:pPr>
            <w:r w:rsidRPr="00B61F51">
              <w:rPr>
                <w:snapToGrid w:val="0"/>
              </w:rPr>
              <w:t>Aportación activos</w:t>
            </w:r>
          </w:p>
        </w:tc>
        <w:tc>
          <w:tcPr>
            <w:tcW w:w="1985"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B61F51" w:rsidRDefault="00EB6280" w:rsidP="00DF297E">
            <w:pPr>
              <w:pStyle w:val="cuadroCabe"/>
              <w:jc w:val="right"/>
              <w:rPr>
                <w:snapToGrid w:val="0"/>
              </w:rPr>
            </w:pPr>
            <w:r w:rsidRPr="00B61F51">
              <w:rPr>
                <w:snapToGrid w:val="0"/>
              </w:rPr>
              <w:t>Déficit</w:t>
            </w:r>
          </w:p>
        </w:tc>
      </w:tr>
      <w:tr w:rsidR="00EB6280" w:rsidRPr="00EB6280" w:rsidTr="00E820FB">
        <w:trPr>
          <w:trHeight w:val="227"/>
        </w:trPr>
        <w:tc>
          <w:tcPr>
            <w:tcW w:w="2552"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Secretarios</w:t>
            </w:r>
          </w:p>
        </w:tc>
        <w:tc>
          <w:tcPr>
            <w:tcW w:w="2025"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4.789.470</w:t>
            </w:r>
          </w:p>
        </w:tc>
        <w:tc>
          <w:tcPr>
            <w:tcW w:w="2227"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78.158</w:t>
            </w:r>
          </w:p>
        </w:tc>
        <w:tc>
          <w:tcPr>
            <w:tcW w:w="1985" w:type="dxa"/>
            <w:tcBorders>
              <w:top w:val="single" w:sz="4"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4.711.312</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Farmac</w:t>
            </w:r>
            <w:r>
              <w:rPr>
                <w:rFonts w:ascii="Arial Narrow" w:hAnsi="Arial Narrow"/>
                <w:sz w:val="20"/>
                <w:szCs w:val="20"/>
                <w:lang w:val="es-ES"/>
              </w:rPr>
              <w:t>é</w:t>
            </w:r>
            <w:r w:rsidRPr="00EB6280">
              <w:rPr>
                <w:rFonts w:ascii="Arial Narrow" w:hAnsi="Arial Narrow"/>
                <w:sz w:val="20"/>
                <w:szCs w:val="20"/>
                <w:lang w:val="es-ES"/>
              </w:rPr>
              <w:t>uticos</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709.879</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709.879</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Pr>
                <w:rFonts w:ascii="Arial Narrow" w:hAnsi="Arial Narrow"/>
                <w:sz w:val="20"/>
                <w:szCs w:val="20"/>
                <w:lang w:val="es-ES"/>
              </w:rPr>
              <w:t>Veteri</w:t>
            </w:r>
            <w:r w:rsidRPr="00EB6280">
              <w:rPr>
                <w:rFonts w:ascii="Arial Narrow" w:hAnsi="Arial Narrow"/>
                <w:sz w:val="20"/>
                <w:szCs w:val="20"/>
                <w:lang w:val="es-ES"/>
              </w:rPr>
              <w:t>narios</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611.730</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611.730</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Médicos</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1.115.482</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1.115.482</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Practicantes</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452.782</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0</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452.782</w:t>
            </w:r>
          </w:p>
        </w:tc>
      </w:tr>
      <w:tr w:rsidR="00EB6280" w:rsidRPr="00EB6280" w:rsidTr="00E820FB">
        <w:trPr>
          <w:trHeight w:val="227"/>
        </w:trPr>
        <w:tc>
          <w:tcPr>
            <w:tcW w:w="2552"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Administrativos</w:t>
            </w:r>
          </w:p>
        </w:tc>
        <w:tc>
          <w:tcPr>
            <w:tcW w:w="202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2.655.799</w:t>
            </w:r>
          </w:p>
        </w:tc>
        <w:tc>
          <w:tcPr>
            <w:tcW w:w="2227"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70.093</w:t>
            </w: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2.585.706</w:t>
            </w:r>
          </w:p>
        </w:tc>
      </w:tr>
      <w:tr w:rsidR="00EB6280" w:rsidRPr="00EB6280" w:rsidTr="00E820FB">
        <w:trPr>
          <w:trHeight w:val="227"/>
        </w:trPr>
        <w:tc>
          <w:tcPr>
            <w:tcW w:w="2552"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Subalternos</w:t>
            </w:r>
          </w:p>
        </w:tc>
        <w:tc>
          <w:tcPr>
            <w:tcW w:w="2025"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7.848.788</w:t>
            </w:r>
          </w:p>
        </w:tc>
        <w:tc>
          <w:tcPr>
            <w:tcW w:w="2227"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181.882</w:t>
            </w:r>
          </w:p>
        </w:tc>
        <w:tc>
          <w:tcPr>
            <w:tcW w:w="1985" w:type="dxa"/>
            <w:tcBorders>
              <w:top w:val="single" w:sz="2" w:space="0" w:color="auto"/>
            </w:tcBorders>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7.666.906</w:t>
            </w:r>
          </w:p>
        </w:tc>
      </w:tr>
      <w:tr w:rsidR="00EB6280" w:rsidRPr="00EB6280" w:rsidTr="00E820FB">
        <w:trPr>
          <w:trHeight w:val="227"/>
        </w:trPr>
        <w:tc>
          <w:tcPr>
            <w:tcW w:w="2552"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ind w:firstLine="0"/>
              <w:rPr>
                <w:rFonts w:ascii="Arial Narrow" w:hAnsi="Arial Narrow"/>
                <w:sz w:val="20"/>
                <w:szCs w:val="20"/>
                <w:lang w:val="es-ES"/>
              </w:rPr>
            </w:pPr>
            <w:r w:rsidRPr="00EB6280">
              <w:rPr>
                <w:rFonts w:ascii="Arial Narrow" w:hAnsi="Arial Narrow"/>
                <w:sz w:val="20"/>
                <w:szCs w:val="20"/>
                <w:lang w:val="es-ES"/>
              </w:rPr>
              <w:t xml:space="preserve">Total </w:t>
            </w:r>
          </w:p>
        </w:tc>
        <w:tc>
          <w:tcPr>
            <w:tcW w:w="2025"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18.183.931</w:t>
            </w:r>
          </w:p>
        </w:tc>
        <w:tc>
          <w:tcPr>
            <w:tcW w:w="2227"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EB6280">
              <w:rPr>
                <w:rFonts w:ascii="Arial Narrow" w:hAnsi="Arial Narrow"/>
                <w:sz w:val="20"/>
                <w:szCs w:val="20"/>
                <w:lang w:val="es-ES"/>
              </w:rPr>
              <w:t>330.133</w:t>
            </w:r>
          </w:p>
        </w:tc>
        <w:tc>
          <w:tcPr>
            <w:tcW w:w="1985" w:type="dxa"/>
            <w:tcBorders>
              <w:bottom w:val="single" w:sz="4" w:space="0" w:color="auto"/>
            </w:tcBorders>
            <w:shd w:val="clear" w:color="auto" w:fill="FABF8F" w:themeFill="accent6" w:themeFillTint="99"/>
            <w:tcMar>
              <w:top w:w="0" w:type="dxa"/>
              <w:left w:w="108" w:type="dxa"/>
              <w:bottom w:w="0" w:type="dxa"/>
              <w:right w:w="108" w:type="dxa"/>
            </w:tcMar>
            <w:vAlign w:val="center"/>
            <w:hideMark/>
          </w:tcPr>
          <w:p w:rsidR="00EB6280" w:rsidRPr="00EB6280" w:rsidRDefault="00EB6280" w:rsidP="00EB6280">
            <w:pPr>
              <w:pStyle w:val="texto"/>
              <w:spacing w:after="0"/>
              <w:jc w:val="right"/>
              <w:rPr>
                <w:rFonts w:ascii="Arial Narrow" w:hAnsi="Arial Narrow"/>
                <w:sz w:val="20"/>
                <w:szCs w:val="20"/>
                <w:lang w:val="es-ES"/>
              </w:rPr>
            </w:pPr>
            <w:r w:rsidRPr="0085580C">
              <w:rPr>
                <w:rFonts w:ascii="Arial Narrow" w:hAnsi="Arial Narrow"/>
                <w:sz w:val="20"/>
                <w:szCs w:val="20"/>
                <w:lang w:val="es-ES"/>
              </w:rPr>
              <w:t>17.853.798</w:t>
            </w:r>
          </w:p>
        </w:tc>
      </w:tr>
    </w:tbl>
    <w:p w:rsidR="00380C1D" w:rsidRPr="00380C1D" w:rsidRDefault="00380C1D" w:rsidP="00380C1D">
      <w:pPr>
        <w:pStyle w:val="texto"/>
        <w:spacing w:after="120"/>
        <w:rPr>
          <w:sz w:val="20"/>
          <w:szCs w:val="20"/>
        </w:rPr>
      </w:pPr>
    </w:p>
    <w:p w:rsidR="00CE667B" w:rsidRDefault="00CE667B" w:rsidP="00C91443">
      <w:pPr>
        <w:pStyle w:val="texto"/>
        <w:spacing w:after="240"/>
        <w:rPr>
          <w:b/>
          <w:szCs w:val="26"/>
        </w:rPr>
      </w:pPr>
    </w:p>
    <w:p w:rsidR="00CE667B" w:rsidRDefault="00CE667B" w:rsidP="00C91443">
      <w:pPr>
        <w:pStyle w:val="texto"/>
        <w:spacing w:after="240"/>
        <w:rPr>
          <w:b/>
          <w:szCs w:val="26"/>
        </w:rPr>
      </w:pPr>
    </w:p>
    <w:p w:rsidR="00CE667B" w:rsidRDefault="00CE667B" w:rsidP="00C91443">
      <w:pPr>
        <w:pStyle w:val="texto"/>
        <w:spacing w:after="240"/>
        <w:rPr>
          <w:b/>
          <w:szCs w:val="26"/>
        </w:rPr>
      </w:pPr>
    </w:p>
    <w:p w:rsidR="000058FB" w:rsidRDefault="000058FB" w:rsidP="00C91443">
      <w:pPr>
        <w:pStyle w:val="texto"/>
        <w:spacing w:after="240"/>
        <w:rPr>
          <w:b/>
          <w:szCs w:val="26"/>
        </w:rPr>
      </w:pPr>
    </w:p>
    <w:p w:rsidR="009868F9" w:rsidRPr="009868F9" w:rsidRDefault="00287B38" w:rsidP="00C91443">
      <w:pPr>
        <w:pStyle w:val="texto"/>
        <w:spacing w:after="240"/>
        <w:rPr>
          <w:szCs w:val="26"/>
        </w:rPr>
      </w:pPr>
      <w:r w:rsidRPr="00FB1FFE">
        <w:rPr>
          <w:b/>
          <w:szCs w:val="26"/>
        </w:rPr>
        <w:lastRenderedPageBreak/>
        <w:t>4</w:t>
      </w:r>
      <w:r w:rsidR="00FB1FFE" w:rsidRPr="00FB1FFE">
        <w:rPr>
          <w:b/>
          <w:szCs w:val="26"/>
        </w:rPr>
        <w:t>.</w:t>
      </w:r>
      <w:r w:rsidR="009868F9" w:rsidRPr="00FB1FFE">
        <w:rPr>
          <w:b/>
          <w:szCs w:val="26"/>
        </w:rPr>
        <w:t>ª</w:t>
      </w:r>
      <w:r w:rsidR="009868F9" w:rsidRPr="009868F9">
        <w:rPr>
          <w:szCs w:val="26"/>
        </w:rPr>
        <w:t xml:space="preserve"> La distribución de los 899 pasivos del año 2015 es la siguiente:</w:t>
      </w:r>
    </w:p>
    <w:tbl>
      <w:tblPr>
        <w:tblW w:w="8789" w:type="dxa"/>
        <w:tblInd w:w="70"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2694"/>
        <w:gridCol w:w="1701"/>
        <w:gridCol w:w="2126"/>
        <w:gridCol w:w="2268"/>
      </w:tblGrid>
      <w:tr w:rsidR="00943631" w:rsidRPr="009868F9" w:rsidTr="00A64E7B">
        <w:trPr>
          <w:trHeight w:val="255"/>
        </w:trPr>
        <w:tc>
          <w:tcPr>
            <w:tcW w:w="2694"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rPr>
                <w:snapToGrid w:val="0"/>
              </w:rPr>
            </w:pPr>
            <w:r w:rsidRPr="00943631">
              <w:rPr>
                <w:snapToGrid w:val="0"/>
              </w:rPr>
              <w:t> </w:t>
            </w:r>
          </w:p>
        </w:tc>
        <w:tc>
          <w:tcPr>
            <w:tcW w:w="1701"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sidRPr="00943631">
              <w:rPr>
                <w:snapToGrid w:val="0"/>
              </w:rPr>
              <w:t>Nº entidades</w:t>
            </w:r>
          </w:p>
        </w:tc>
        <w:tc>
          <w:tcPr>
            <w:tcW w:w="2126"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Pr>
                <w:snapToGrid w:val="0"/>
              </w:rPr>
              <w:t>N</w:t>
            </w:r>
            <w:r w:rsidRPr="00943631">
              <w:rPr>
                <w:snapToGrid w:val="0"/>
              </w:rPr>
              <w:t>º pensionistas</w:t>
            </w:r>
          </w:p>
        </w:tc>
        <w:tc>
          <w:tcPr>
            <w:tcW w:w="2268" w:type="dxa"/>
            <w:tcBorders>
              <w:top w:val="single" w:sz="4" w:space="0" w:color="auto"/>
              <w:bottom w:val="single" w:sz="4" w:space="0" w:color="auto"/>
            </w:tcBorders>
            <w:shd w:val="clear" w:color="auto" w:fill="FABF8F" w:themeFill="accent6" w:themeFillTint="99"/>
            <w:vAlign w:val="center"/>
          </w:tcPr>
          <w:p w:rsidR="00943631" w:rsidRPr="00943631" w:rsidRDefault="00943631" w:rsidP="00943631">
            <w:pPr>
              <w:pStyle w:val="cuadroCabe"/>
              <w:jc w:val="right"/>
              <w:rPr>
                <w:snapToGrid w:val="0"/>
              </w:rPr>
            </w:pPr>
            <w:r w:rsidRPr="00943631">
              <w:rPr>
                <w:snapToGrid w:val="0"/>
              </w:rPr>
              <w:t>% pensionistas/total</w:t>
            </w:r>
          </w:p>
        </w:tc>
      </w:tr>
      <w:tr w:rsidR="00943631" w:rsidRPr="00943631" w:rsidTr="00A64E7B">
        <w:trPr>
          <w:trHeight w:val="218"/>
        </w:trPr>
        <w:tc>
          <w:tcPr>
            <w:tcW w:w="2694" w:type="dxa"/>
            <w:tcBorders>
              <w:top w:val="single" w:sz="4" w:space="0" w:color="auto"/>
            </w:tcBorders>
            <w:shd w:val="clear" w:color="auto" w:fill="auto"/>
            <w:noWrap/>
            <w:vAlign w:val="center"/>
            <w:hideMark/>
          </w:tcPr>
          <w:p w:rsidR="00943631" w:rsidRPr="00943631" w:rsidRDefault="00943631" w:rsidP="00943631">
            <w:pPr>
              <w:pStyle w:val="cuadroCabe"/>
              <w:rPr>
                <w:rFonts w:ascii="Arial Narrow" w:hAnsi="Arial Narrow"/>
                <w:snapToGrid w:val="0"/>
              </w:rPr>
            </w:pPr>
            <w:r w:rsidRPr="00943631">
              <w:rPr>
                <w:rFonts w:ascii="Arial Narrow" w:hAnsi="Arial Narrow"/>
                <w:snapToGrid w:val="0"/>
              </w:rPr>
              <w:t>Sin pensionistas</w:t>
            </w:r>
          </w:p>
        </w:tc>
        <w:tc>
          <w:tcPr>
            <w:tcW w:w="1701" w:type="dxa"/>
            <w:tcBorders>
              <w:top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88</w:t>
            </w:r>
          </w:p>
        </w:tc>
        <w:tc>
          <w:tcPr>
            <w:tcW w:w="2126" w:type="dxa"/>
            <w:tcBorders>
              <w:top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0</w:t>
            </w:r>
          </w:p>
        </w:tc>
        <w:tc>
          <w:tcPr>
            <w:tcW w:w="2268" w:type="dxa"/>
            <w:tcBorders>
              <w:top w:val="single" w:sz="4" w:space="0" w:color="auto"/>
            </w:tcBorders>
            <w:vAlign w:val="center"/>
          </w:tcPr>
          <w:p w:rsidR="00943631" w:rsidRPr="00943631" w:rsidRDefault="00943631" w:rsidP="00943631">
            <w:pPr>
              <w:pStyle w:val="cuadroCabe"/>
              <w:jc w:val="right"/>
              <w:rPr>
                <w:rFonts w:ascii="Arial Narrow" w:hAnsi="Arial Narrow"/>
                <w:snapToGrid w:val="0"/>
              </w:rPr>
            </w:pP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sidRPr="00943631">
              <w:rPr>
                <w:rFonts w:ascii="Arial Narrow" w:hAnsi="Arial Narrow"/>
                <w:snapToGrid w:val="0"/>
              </w:rPr>
              <w:t>Con 1 pensionista</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58</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58</w:t>
            </w:r>
          </w:p>
        </w:tc>
        <w:tc>
          <w:tcPr>
            <w:tcW w:w="2268" w:type="dxa"/>
            <w:vAlign w:val="center"/>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6</w:t>
            </w: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sidRPr="00943631">
              <w:rPr>
                <w:rFonts w:ascii="Arial Narrow" w:hAnsi="Arial Narrow"/>
                <w:snapToGrid w:val="0"/>
              </w:rPr>
              <w:t>Más de 1 ≤ 5</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71</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221</w:t>
            </w:r>
          </w:p>
        </w:tc>
        <w:tc>
          <w:tcPr>
            <w:tcW w:w="2268" w:type="dxa"/>
            <w:vAlign w:val="center"/>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25</w:t>
            </w: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sidRPr="00943631">
              <w:rPr>
                <w:rFonts w:ascii="Arial Narrow" w:hAnsi="Arial Narrow"/>
                <w:snapToGrid w:val="0"/>
              </w:rPr>
              <w:t>Más de 5 ≤ 10</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35</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260</w:t>
            </w:r>
          </w:p>
        </w:tc>
        <w:tc>
          <w:tcPr>
            <w:tcW w:w="2268" w:type="dxa"/>
            <w:vAlign w:val="center"/>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29</w:t>
            </w:r>
          </w:p>
        </w:tc>
      </w:tr>
      <w:tr w:rsidR="00943631" w:rsidRPr="00943631" w:rsidTr="00A64E7B">
        <w:trPr>
          <w:trHeight w:val="218"/>
        </w:trPr>
        <w:tc>
          <w:tcPr>
            <w:tcW w:w="2694" w:type="dxa"/>
            <w:shd w:val="clear" w:color="auto" w:fill="auto"/>
            <w:noWrap/>
            <w:vAlign w:val="center"/>
            <w:hideMark/>
          </w:tcPr>
          <w:p w:rsidR="00943631" w:rsidRPr="00943631" w:rsidRDefault="00943631" w:rsidP="00943631">
            <w:pPr>
              <w:pStyle w:val="cuadroCabe"/>
              <w:rPr>
                <w:rFonts w:ascii="Arial Narrow" w:hAnsi="Arial Narrow"/>
                <w:snapToGrid w:val="0"/>
              </w:rPr>
            </w:pPr>
            <w:r w:rsidRPr="00943631">
              <w:rPr>
                <w:rFonts w:ascii="Arial Narrow" w:hAnsi="Arial Narrow"/>
                <w:snapToGrid w:val="0"/>
              </w:rPr>
              <w:t>Más de 10 ≤ 20</w:t>
            </w:r>
          </w:p>
        </w:tc>
        <w:tc>
          <w:tcPr>
            <w:tcW w:w="1701"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19</w:t>
            </w:r>
          </w:p>
        </w:tc>
        <w:tc>
          <w:tcPr>
            <w:tcW w:w="2126" w:type="dxa"/>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266</w:t>
            </w:r>
          </w:p>
        </w:tc>
        <w:tc>
          <w:tcPr>
            <w:tcW w:w="2268" w:type="dxa"/>
            <w:vAlign w:val="center"/>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30</w:t>
            </w:r>
          </w:p>
        </w:tc>
      </w:tr>
      <w:tr w:rsidR="00943631" w:rsidRPr="00943631" w:rsidTr="00A64E7B">
        <w:trPr>
          <w:trHeight w:val="218"/>
        </w:trPr>
        <w:tc>
          <w:tcPr>
            <w:tcW w:w="2694" w:type="dxa"/>
            <w:tcBorders>
              <w:bottom w:val="single" w:sz="4" w:space="0" w:color="auto"/>
            </w:tcBorders>
            <w:shd w:val="clear" w:color="auto" w:fill="auto"/>
            <w:noWrap/>
            <w:vAlign w:val="center"/>
            <w:hideMark/>
          </w:tcPr>
          <w:p w:rsidR="00943631" w:rsidRPr="00943631" w:rsidRDefault="00943631" w:rsidP="00943631">
            <w:pPr>
              <w:pStyle w:val="cuadroCabe"/>
              <w:rPr>
                <w:rFonts w:ascii="Arial Narrow" w:hAnsi="Arial Narrow"/>
                <w:snapToGrid w:val="0"/>
              </w:rPr>
            </w:pPr>
            <w:r w:rsidRPr="00943631">
              <w:rPr>
                <w:rFonts w:ascii="Arial Narrow" w:hAnsi="Arial Narrow"/>
                <w:snapToGrid w:val="0"/>
              </w:rPr>
              <w:t>&gt;20</w:t>
            </w:r>
          </w:p>
        </w:tc>
        <w:tc>
          <w:tcPr>
            <w:tcW w:w="1701" w:type="dxa"/>
            <w:tcBorders>
              <w:bottom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2</w:t>
            </w:r>
          </w:p>
        </w:tc>
        <w:tc>
          <w:tcPr>
            <w:tcW w:w="2126" w:type="dxa"/>
            <w:tcBorders>
              <w:bottom w:val="single" w:sz="4" w:space="0" w:color="auto"/>
            </w:tcBorders>
            <w:shd w:val="clear" w:color="auto" w:fill="auto"/>
            <w:noWrap/>
            <w:vAlign w:val="center"/>
            <w:hideMark/>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94</w:t>
            </w:r>
          </w:p>
        </w:tc>
        <w:tc>
          <w:tcPr>
            <w:tcW w:w="2268" w:type="dxa"/>
            <w:tcBorders>
              <w:bottom w:val="single" w:sz="4" w:space="0" w:color="auto"/>
            </w:tcBorders>
            <w:vAlign w:val="center"/>
          </w:tcPr>
          <w:p w:rsidR="00943631" w:rsidRPr="00943631" w:rsidRDefault="00943631" w:rsidP="00943631">
            <w:pPr>
              <w:pStyle w:val="cuadroCabe"/>
              <w:jc w:val="right"/>
              <w:rPr>
                <w:rFonts w:ascii="Arial Narrow" w:hAnsi="Arial Narrow"/>
                <w:snapToGrid w:val="0"/>
              </w:rPr>
            </w:pPr>
            <w:r w:rsidRPr="00943631">
              <w:rPr>
                <w:rFonts w:ascii="Arial Narrow" w:hAnsi="Arial Narrow"/>
                <w:snapToGrid w:val="0"/>
              </w:rPr>
              <w:t>10</w:t>
            </w:r>
          </w:p>
        </w:tc>
      </w:tr>
      <w:tr w:rsidR="00943631" w:rsidRPr="009868F9" w:rsidTr="00A64E7B">
        <w:trPr>
          <w:trHeight w:val="255"/>
        </w:trPr>
        <w:tc>
          <w:tcPr>
            <w:tcW w:w="2694"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rPr>
                <w:snapToGrid w:val="0"/>
              </w:rPr>
            </w:pPr>
            <w:r w:rsidRPr="00943631">
              <w:rPr>
                <w:snapToGrid w:val="0"/>
              </w:rPr>
              <w:t>Total</w:t>
            </w:r>
          </w:p>
        </w:tc>
        <w:tc>
          <w:tcPr>
            <w:tcW w:w="1701"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sidRPr="00943631">
              <w:rPr>
                <w:snapToGrid w:val="0"/>
              </w:rPr>
              <w:t>273*</w:t>
            </w:r>
          </w:p>
        </w:tc>
        <w:tc>
          <w:tcPr>
            <w:tcW w:w="2126" w:type="dxa"/>
            <w:tcBorders>
              <w:top w:val="single" w:sz="4" w:space="0" w:color="auto"/>
              <w:bottom w:val="single" w:sz="4" w:space="0" w:color="auto"/>
            </w:tcBorders>
            <w:shd w:val="clear" w:color="auto" w:fill="FABF8F" w:themeFill="accent6" w:themeFillTint="99"/>
            <w:noWrap/>
            <w:vAlign w:val="center"/>
            <w:hideMark/>
          </w:tcPr>
          <w:p w:rsidR="00943631" w:rsidRPr="00943631" w:rsidRDefault="00943631" w:rsidP="00943631">
            <w:pPr>
              <w:pStyle w:val="cuadroCabe"/>
              <w:jc w:val="right"/>
              <w:rPr>
                <w:snapToGrid w:val="0"/>
              </w:rPr>
            </w:pPr>
            <w:r w:rsidRPr="00943631">
              <w:rPr>
                <w:snapToGrid w:val="0"/>
              </w:rPr>
              <w:t>899</w:t>
            </w:r>
          </w:p>
        </w:tc>
        <w:tc>
          <w:tcPr>
            <w:tcW w:w="2268" w:type="dxa"/>
            <w:tcBorders>
              <w:top w:val="single" w:sz="4" w:space="0" w:color="auto"/>
              <w:bottom w:val="single" w:sz="4" w:space="0" w:color="auto"/>
            </w:tcBorders>
            <w:shd w:val="clear" w:color="auto" w:fill="FABF8F" w:themeFill="accent6" w:themeFillTint="99"/>
            <w:vAlign w:val="center"/>
          </w:tcPr>
          <w:p w:rsidR="00943631" w:rsidRPr="00943631" w:rsidRDefault="00943631" w:rsidP="00943631">
            <w:pPr>
              <w:pStyle w:val="cuadroCabe"/>
              <w:jc w:val="right"/>
              <w:rPr>
                <w:snapToGrid w:val="0"/>
              </w:rPr>
            </w:pPr>
            <w:r w:rsidRPr="00943631">
              <w:rPr>
                <w:snapToGrid w:val="0"/>
              </w:rPr>
              <w:t>100</w:t>
            </w:r>
          </w:p>
        </w:tc>
      </w:tr>
    </w:tbl>
    <w:p w:rsidR="009868F9" w:rsidRPr="00943631" w:rsidRDefault="009868F9" w:rsidP="00DF297E">
      <w:pPr>
        <w:spacing w:after="0" w:line="240" w:lineRule="atLeast"/>
        <w:ind w:left="142" w:firstLine="0"/>
        <w:jc w:val="left"/>
        <w:rPr>
          <w:rFonts w:ascii="Arial" w:hAnsi="Arial" w:cs="Arial"/>
          <w:sz w:val="16"/>
          <w:szCs w:val="16"/>
          <w:lang w:val="es-ES" w:eastAsia="es-ES"/>
        </w:rPr>
      </w:pPr>
      <w:r w:rsidRPr="00943631">
        <w:rPr>
          <w:rFonts w:ascii="Arial" w:hAnsi="Arial" w:cs="Arial"/>
          <w:sz w:val="16"/>
          <w:szCs w:val="16"/>
          <w:lang w:val="es-ES" w:eastAsia="es-ES"/>
        </w:rPr>
        <w:t>*Las 273 corresponden a 272 ayuntamientos menos Pamplona y C</w:t>
      </w:r>
      <w:r w:rsidR="00943631">
        <w:rPr>
          <w:rFonts w:ascii="Arial" w:hAnsi="Arial" w:cs="Arial"/>
          <w:sz w:val="16"/>
          <w:szCs w:val="16"/>
          <w:lang w:val="es-ES" w:eastAsia="es-ES"/>
        </w:rPr>
        <w:t xml:space="preserve">astillonuevo más las entidades </w:t>
      </w:r>
      <w:r w:rsidRPr="00943631">
        <w:rPr>
          <w:rFonts w:ascii="Arial" w:hAnsi="Arial" w:cs="Arial"/>
          <w:sz w:val="16"/>
          <w:szCs w:val="16"/>
          <w:lang w:val="es-ES" w:eastAsia="es-ES"/>
        </w:rPr>
        <w:t>a las que no se reparte el déficit antes citadas: Mancomunidad de Sakana, Valle de Salazar y Comunidad de Bardenas Reales</w:t>
      </w:r>
    </w:p>
    <w:p w:rsidR="009868F9" w:rsidRPr="009868F9" w:rsidRDefault="009868F9" w:rsidP="00943631">
      <w:pPr>
        <w:pStyle w:val="texto"/>
        <w:spacing w:before="240"/>
        <w:rPr>
          <w:szCs w:val="26"/>
        </w:rPr>
      </w:pPr>
      <w:r w:rsidRPr="009868F9">
        <w:rPr>
          <w:szCs w:val="26"/>
        </w:rPr>
        <w:t>Como se deduce de los datos del cuadro</w:t>
      </w:r>
      <w:r w:rsidR="00E52F02">
        <w:rPr>
          <w:szCs w:val="26"/>
        </w:rPr>
        <w:t>,</w:t>
      </w:r>
      <w:r w:rsidRPr="009868F9">
        <w:rPr>
          <w:szCs w:val="26"/>
        </w:rPr>
        <w:t xml:space="preserve"> la distribución de los pensionistas entre los diferentes ayuntamientos es muy irregular: entre los 88 ayuntamientos que no cuentan con pensionistas y los dos que tiene el diez por ciento del total.</w:t>
      </w:r>
    </w:p>
    <w:p w:rsidR="009868F9" w:rsidRPr="009868F9" w:rsidRDefault="00287B38" w:rsidP="0077337B">
      <w:pPr>
        <w:pStyle w:val="texto"/>
        <w:rPr>
          <w:szCs w:val="26"/>
        </w:rPr>
      </w:pPr>
      <w:r w:rsidRPr="00FB1FFE">
        <w:rPr>
          <w:b/>
          <w:szCs w:val="26"/>
        </w:rPr>
        <w:t>5</w:t>
      </w:r>
      <w:r w:rsidR="00FB1FFE" w:rsidRPr="00FB1FFE">
        <w:rPr>
          <w:b/>
          <w:szCs w:val="26"/>
        </w:rPr>
        <w:t>.</w:t>
      </w:r>
      <w:r w:rsidR="009868F9" w:rsidRPr="00FB1FFE">
        <w:rPr>
          <w:b/>
          <w:szCs w:val="26"/>
        </w:rPr>
        <w:t>ª</w:t>
      </w:r>
      <w:r w:rsidR="009868F9" w:rsidRPr="009868F9">
        <w:rPr>
          <w:szCs w:val="26"/>
        </w:rPr>
        <w:t xml:space="preserve"> Entre los años 2006 y 2015 los cargos por el déficit del </w:t>
      </w:r>
      <w:r w:rsidR="00B04729">
        <w:rPr>
          <w:szCs w:val="26"/>
        </w:rPr>
        <w:t>Montepío</w:t>
      </w:r>
      <w:r w:rsidR="009868F9" w:rsidRPr="009868F9">
        <w:rPr>
          <w:szCs w:val="26"/>
        </w:rPr>
        <w:t xml:space="preserve"> Mun</w:t>
      </w:r>
      <w:r w:rsidR="009868F9" w:rsidRPr="009868F9">
        <w:rPr>
          <w:szCs w:val="26"/>
        </w:rPr>
        <w:t>i</w:t>
      </w:r>
      <w:r w:rsidR="009868F9" w:rsidRPr="009868F9">
        <w:rPr>
          <w:szCs w:val="26"/>
        </w:rPr>
        <w:t>cipal han ascendido a 179.258.379 euros con un importe medio de 18 millones</w:t>
      </w:r>
      <w:r w:rsidR="00943631">
        <w:rPr>
          <w:szCs w:val="26"/>
        </w:rPr>
        <w:t>.</w:t>
      </w:r>
    </w:p>
    <w:p w:rsidR="009868F9" w:rsidRPr="009868F9" w:rsidRDefault="009868F9" w:rsidP="00E820FB">
      <w:pPr>
        <w:pStyle w:val="texto"/>
        <w:numPr>
          <w:ilvl w:val="0"/>
          <w:numId w:val="25"/>
        </w:numPr>
        <w:tabs>
          <w:tab w:val="clear" w:pos="2835"/>
          <w:tab w:val="center" w:pos="567"/>
        </w:tabs>
        <w:ind w:left="0" w:firstLine="284"/>
        <w:rPr>
          <w:szCs w:val="26"/>
        </w:rPr>
      </w:pPr>
      <w:r w:rsidRPr="009868F9">
        <w:rPr>
          <w:szCs w:val="26"/>
        </w:rPr>
        <w:t>Hay 88 ayuntamientos que no han tenido pasivos en los últimos 10 años y han abonado el cuatro por ciento del déficit</w:t>
      </w:r>
      <w:bookmarkStart w:id="13" w:name="tm_385744929"/>
      <w:r w:rsidRPr="009868F9">
        <w:rPr>
          <w:szCs w:val="26"/>
        </w:rPr>
        <w:t>.</w:t>
      </w:r>
      <w:bookmarkStart w:id="14" w:name="tm_385744957"/>
      <w:bookmarkEnd w:id="13"/>
      <w:bookmarkEnd w:id="14"/>
    </w:p>
    <w:p w:rsidR="009868F9" w:rsidRPr="009868F9" w:rsidRDefault="009868F9" w:rsidP="00E820FB">
      <w:pPr>
        <w:pStyle w:val="texto"/>
        <w:numPr>
          <w:ilvl w:val="0"/>
          <w:numId w:val="25"/>
        </w:numPr>
        <w:tabs>
          <w:tab w:val="clear" w:pos="2835"/>
          <w:tab w:val="center" w:pos="567"/>
        </w:tabs>
        <w:ind w:left="0" w:firstLine="284"/>
        <w:rPr>
          <w:szCs w:val="26"/>
        </w:rPr>
      </w:pPr>
      <w:r w:rsidRPr="009868F9">
        <w:rPr>
          <w:szCs w:val="26"/>
        </w:rPr>
        <w:t>Hay 80 ayuntamientos que no han tenido activos ni pasivos en los últimos diez años y han abonado el dos por ciento del déficit.</w:t>
      </w:r>
    </w:p>
    <w:p w:rsidR="009868F9" w:rsidRPr="009868F9" w:rsidRDefault="009868F9" w:rsidP="00C91443">
      <w:pPr>
        <w:pStyle w:val="texto"/>
        <w:spacing w:after="240"/>
        <w:rPr>
          <w:szCs w:val="26"/>
        </w:rPr>
      </w:pPr>
      <w:r w:rsidRPr="009868F9">
        <w:rPr>
          <w:szCs w:val="26"/>
        </w:rPr>
        <w:t>Los 20 ayuntamientos que más han pagado en los últimos 10 años han ab</w:t>
      </w:r>
      <w:r w:rsidRPr="009868F9">
        <w:rPr>
          <w:szCs w:val="26"/>
        </w:rPr>
        <w:t>o</w:t>
      </w:r>
      <w:r w:rsidRPr="009868F9">
        <w:rPr>
          <w:szCs w:val="26"/>
        </w:rPr>
        <w:t>nado el 55 por ciento del déficit, según el siguiente detalle:</w:t>
      </w:r>
    </w:p>
    <w:tbl>
      <w:tblPr>
        <w:tblW w:w="8806" w:type="dxa"/>
        <w:tblInd w:w="55" w:type="dxa"/>
        <w:tblCellMar>
          <w:left w:w="70" w:type="dxa"/>
          <w:right w:w="70" w:type="dxa"/>
        </w:tblCellMar>
        <w:tblLook w:val="04A0" w:firstRow="1" w:lastRow="0" w:firstColumn="1" w:lastColumn="0" w:noHBand="0" w:noVBand="1"/>
      </w:tblPr>
      <w:tblGrid>
        <w:gridCol w:w="1533"/>
        <w:gridCol w:w="1207"/>
        <w:gridCol w:w="1418"/>
        <w:gridCol w:w="1162"/>
        <w:gridCol w:w="1162"/>
        <w:gridCol w:w="1162"/>
        <w:gridCol w:w="1162"/>
      </w:tblGrid>
      <w:tr w:rsidR="009868F9" w:rsidRPr="00050124" w:rsidTr="00E52F02">
        <w:trPr>
          <w:trHeight w:val="567"/>
        </w:trPr>
        <w:tc>
          <w:tcPr>
            <w:tcW w:w="1533" w:type="dxa"/>
            <w:tcBorders>
              <w:top w:val="single" w:sz="4" w:space="0" w:color="auto"/>
              <w:bottom w:val="single" w:sz="4" w:space="0" w:color="auto"/>
            </w:tcBorders>
            <w:shd w:val="clear" w:color="auto" w:fill="FABF8F" w:themeFill="accent6" w:themeFillTint="99"/>
            <w:vAlign w:val="center"/>
            <w:hideMark/>
          </w:tcPr>
          <w:p w:rsidR="009868F9" w:rsidRPr="00050124" w:rsidRDefault="009868F9" w:rsidP="00DD5CFF">
            <w:pPr>
              <w:pStyle w:val="cuadroCabe"/>
              <w:jc w:val="left"/>
              <w:rPr>
                <w:snapToGrid w:val="0"/>
                <w:sz w:val="16"/>
                <w:szCs w:val="16"/>
              </w:rPr>
            </w:pPr>
            <w:r w:rsidRPr="00050124">
              <w:rPr>
                <w:snapToGrid w:val="0"/>
                <w:sz w:val="16"/>
                <w:szCs w:val="16"/>
              </w:rPr>
              <w:t>Los 20 que más han pagado 2006-2015</w:t>
            </w:r>
          </w:p>
        </w:tc>
        <w:tc>
          <w:tcPr>
            <w:tcW w:w="1207" w:type="dxa"/>
            <w:tcBorders>
              <w:top w:val="single" w:sz="4" w:space="0" w:color="auto"/>
              <w:bottom w:val="single" w:sz="4" w:space="0" w:color="auto"/>
            </w:tcBorders>
            <w:shd w:val="clear" w:color="auto" w:fill="FABF8F" w:themeFill="accent6" w:themeFillTint="99"/>
            <w:vAlign w:val="center"/>
            <w:hideMark/>
          </w:tcPr>
          <w:p w:rsidR="009868F9" w:rsidRPr="00050124" w:rsidRDefault="00943631" w:rsidP="00943631">
            <w:pPr>
              <w:pStyle w:val="cuadroCabe"/>
              <w:jc w:val="right"/>
              <w:rPr>
                <w:snapToGrid w:val="0"/>
                <w:sz w:val="16"/>
                <w:szCs w:val="16"/>
              </w:rPr>
            </w:pPr>
            <w:r w:rsidRPr="00050124">
              <w:rPr>
                <w:snapToGrid w:val="0"/>
                <w:sz w:val="16"/>
                <w:szCs w:val="16"/>
              </w:rPr>
              <w:t>Total cargo</w:t>
            </w:r>
            <w:r w:rsidR="009868F9" w:rsidRPr="00050124">
              <w:rPr>
                <w:snapToGrid w:val="0"/>
                <w:sz w:val="16"/>
                <w:szCs w:val="16"/>
              </w:rPr>
              <w:t xml:space="preserve">  2006</w:t>
            </w:r>
            <w:r w:rsidRPr="00050124">
              <w:rPr>
                <w:snapToGrid w:val="0"/>
                <w:sz w:val="16"/>
                <w:szCs w:val="16"/>
              </w:rPr>
              <w:t>-</w:t>
            </w:r>
            <w:r w:rsidR="009868F9" w:rsidRPr="00050124">
              <w:rPr>
                <w:snapToGrid w:val="0"/>
                <w:sz w:val="16"/>
                <w:szCs w:val="16"/>
              </w:rPr>
              <w:t>2015</w:t>
            </w:r>
          </w:p>
        </w:tc>
        <w:tc>
          <w:tcPr>
            <w:tcW w:w="1418" w:type="dxa"/>
            <w:tcBorders>
              <w:top w:val="single" w:sz="4" w:space="0" w:color="auto"/>
              <w:bottom w:val="single" w:sz="4" w:space="0" w:color="auto"/>
            </w:tcBorders>
            <w:shd w:val="clear" w:color="auto" w:fill="FABF8F" w:themeFill="accent6" w:themeFillTint="99"/>
            <w:vAlign w:val="center"/>
            <w:hideMark/>
          </w:tcPr>
          <w:p w:rsidR="009868F9" w:rsidRPr="00050124" w:rsidRDefault="00943631" w:rsidP="00943631">
            <w:pPr>
              <w:pStyle w:val="cuadroCabe"/>
              <w:jc w:val="right"/>
              <w:rPr>
                <w:snapToGrid w:val="0"/>
                <w:sz w:val="16"/>
                <w:szCs w:val="16"/>
              </w:rPr>
            </w:pPr>
            <w:r w:rsidRPr="00050124">
              <w:rPr>
                <w:snapToGrid w:val="0"/>
                <w:sz w:val="16"/>
                <w:szCs w:val="16"/>
              </w:rPr>
              <w:t>A</w:t>
            </w:r>
            <w:r w:rsidR="009868F9" w:rsidRPr="00050124">
              <w:rPr>
                <w:snapToGrid w:val="0"/>
                <w:sz w:val="16"/>
                <w:szCs w:val="16"/>
              </w:rPr>
              <w:t>umento cargo de 2006</w:t>
            </w:r>
            <w:r w:rsidRPr="00050124">
              <w:rPr>
                <w:snapToGrid w:val="0"/>
                <w:sz w:val="16"/>
                <w:szCs w:val="16"/>
              </w:rPr>
              <w:t>-</w:t>
            </w:r>
            <w:r w:rsidR="009868F9" w:rsidRPr="00050124">
              <w:rPr>
                <w:snapToGrid w:val="0"/>
                <w:sz w:val="16"/>
                <w:szCs w:val="16"/>
              </w:rPr>
              <w:t>2015 (valor absoluto)</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943631" w:rsidP="00050124">
            <w:pPr>
              <w:pStyle w:val="cuadroCabe"/>
              <w:jc w:val="right"/>
              <w:rPr>
                <w:snapToGrid w:val="0"/>
                <w:sz w:val="16"/>
                <w:szCs w:val="16"/>
              </w:rPr>
            </w:pPr>
            <w:r w:rsidRPr="00050124">
              <w:rPr>
                <w:snapToGrid w:val="0"/>
                <w:sz w:val="16"/>
                <w:szCs w:val="16"/>
              </w:rPr>
              <w:t>A</w:t>
            </w:r>
            <w:r w:rsidR="009868F9" w:rsidRPr="00050124">
              <w:rPr>
                <w:snapToGrid w:val="0"/>
                <w:sz w:val="16"/>
                <w:szCs w:val="16"/>
              </w:rPr>
              <w:t xml:space="preserve">umento </w:t>
            </w:r>
          </w:p>
          <w:p w:rsidR="00050124" w:rsidRDefault="009868F9" w:rsidP="00050124">
            <w:pPr>
              <w:pStyle w:val="cuadroCabe"/>
              <w:jc w:val="right"/>
              <w:rPr>
                <w:snapToGrid w:val="0"/>
                <w:sz w:val="16"/>
                <w:szCs w:val="16"/>
              </w:rPr>
            </w:pPr>
            <w:r w:rsidRPr="00050124">
              <w:rPr>
                <w:snapToGrid w:val="0"/>
                <w:sz w:val="16"/>
                <w:szCs w:val="16"/>
              </w:rPr>
              <w:t xml:space="preserve">cargo de </w:t>
            </w:r>
          </w:p>
          <w:p w:rsidR="009868F9" w:rsidRPr="00050124" w:rsidRDefault="009868F9" w:rsidP="00050124">
            <w:pPr>
              <w:pStyle w:val="cuadroCabe"/>
              <w:jc w:val="right"/>
              <w:rPr>
                <w:snapToGrid w:val="0"/>
                <w:sz w:val="16"/>
                <w:szCs w:val="16"/>
              </w:rPr>
            </w:pPr>
            <w:r w:rsidRPr="00050124">
              <w:rPr>
                <w:snapToGrid w:val="0"/>
                <w:sz w:val="16"/>
                <w:szCs w:val="16"/>
              </w:rPr>
              <w:t>2006</w:t>
            </w:r>
            <w:r w:rsidR="00943631" w:rsidRPr="00050124">
              <w:rPr>
                <w:snapToGrid w:val="0"/>
                <w:sz w:val="16"/>
                <w:szCs w:val="16"/>
              </w:rPr>
              <w:t>-</w:t>
            </w:r>
            <w:r w:rsidRPr="00050124">
              <w:rPr>
                <w:snapToGrid w:val="0"/>
                <w:sz w:val="16"/>
                <w:szCs w:val="16"/>
              </w:rPr>
              <w:t>2015</w:t>
            </w:r>
            <w:r w:rsidR="00050124" w:rsidRPr="00050124">
              <w:rPr>
                <w:snapToGrid w:val="0"/>
                <w:sz w:val="16"/>
                <w:szCs w:val="16"/>
              </w:rPr>
              <w:t xml:space="preserve"> </w:t>
            </w:r>
            <w:r w:rsidRPr="00050124">
              <w:rPr>
                <w:snapToGrid w:val="0"/>
                <w:sz w:val="16"/>
                <w:szCs w:val="16"/>
              </w:rPr>
              <w:t>%</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050124" w:rsidP="00050124">
            <w:pPr>
              <w:pStyle w:val="cuadroCabe"/>
              <w:jc w:val="right"/>
              <w:rPr>
                <w:snapToGrid w:val="0"/>
                <w:sz w:val="16"/>
                <w:szCs w:val="16"/>
              </w:rPr>
            </w:pPr>
            <w:r w:rsidRPr="00050124">
              <w:rPr>
                <w:snapToGrid w:val="0"/>
                <w:sz w:val="16"/>
                <w:szCs w:val="16"/>
              </w:rPr>
              <w:t>A</w:t>
            </w:r>
            <w:r w:rsidR="009868F9" w:rsidRPr="00050124">
              <w:rPr>
                <w:snapToGrid w:val="0"/>
                <w:sz w:val="16"/>
                <w:szCs w:val="16"/>
              </w:rPr>
              <w:t xml:space="preserve">umento </w:t>
            </w:r>
          </w:p>
          <w:p w:rsidR="00050124" w:rsidRDefault="009868F9" w:rsidP="00050124">
            <w:pPr>
              <w:pStyle w:val="cuadroCabe"/>
              <w:jc w:val="right"/>
              <w:rPr>
                <w:snapToGrid w:val="0"/>
                <w:sz w:val="16"/>
                <w:szCs w:val="16"/>
              </w:rPr>
            </w:pPr>
            <w:r w:rsidRPr="00050124">
              <w:rPr>
                <w:snapToGrid w:val="0"/>
                <w:sz w:val="16"/>
                <w:szCs w:val="16"/>
              </w:rPr>
              <w:t xml:space="preserve">población </w:t>
            </w:r>
          </w:p>
          <w:p w:rsidR="009868F9" w:rsidRPr="00050124" w:rsidRDefault="009868F9" w:rsidP="00050124">
            <w:pPr>
              <w:pStyle w:val="cuadroCabe"/>
              <w:jc w:val="right"/>
              <w:rPr>
                <w:snapToGrid w:val="0"/>
                <w:sz w:val="16"/>
                <w:szCs w:val="16"/>
              </w:rPr>
            </w:pPr>
            <w:r w:rsidRPr="00050124">
              <w:rPr>
                <w:snapToGrid w:val="0"/>
                <w:sz w:val="16"/>
                <w:szCs w:val="16"/>
              </w:rPr>
              <w:t>2006-2015</w:t>
            </w:r>
            <w:r w:rsidR="00050124" w:rsidRPr="00050124">
              <w:rPr>
                <w:snapToGrid w:val="0"/>
                <w:sz w:val="16"/>
                <w:szCs w:val="16"/>
              </w:rPr>
              <w:t xml:space="preserve"> </w:t>
            </w:r>
            <w:r w:rsidRPr="00050124">
              <w:rPr>
                <w:snapToGrid w:val="0"/>
                <w:sz w:val="16"/>
                <w:szCs w:val="16"/>
              </w:rPr>
              <w:t>%</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050124" w:rsidP="00050124">
            <w:pPr>
              <w:pStyle w:val="cuadroCabe"/>
              <w:jc w:val="right"/>
              <w:rPr>
                <w:snapToGrid w:val="0"/>
                <w:sz w:val="16"/>
                <w:szCs w:val="16"/>
              </w:rPr>
            </w:pPr>
            <w:r w:rsidRPr="00050124">
              <w:rPr>
                <w:snapToGrid w:val="0"/>
                <w:sz w:val="16"/>
                <w:szCs w:val="16"/>
              </w:rPr>
              <w:t>A</w:t>
            </w:r>
            <w:r w:rsidR="009868F9" w:rsidRPr="00050124">
              <w:rPr>
                <w:snapToGrid w:val="0"/>
                <w:sz w:val="16"/>
                <w:szCs w:val="16"/>
              </w:rPr>
              <w:t xml:space="preserve">umento </w:t>
            </w:r>
          </w:p>
          <w:p w:rsidR="00050124" w:rsidRDefault="009868F9" w:rsidP="00050124">
            <w:pPr>
              <w:pStyle w:val="cuadroCabe"/>
              <w:jc w:val="right"/>
              <w:rPr>
                <w:snapToGrid w:val="0"/>
                <w:sz w:val="16"/>
                <w:szCs w:val="16"/>
              </w:rPr>
            </w:pPr>
            <w:r w:rsidRPr="00050124">
              <w:rPr>
                <w:snapToGrid w:val="0"/>
                <w:sz w:val="16"/>
                <w:szCs w:val="16"/>
              </w:rPr>
              <w:t xml:space="preserve">pasivos </w:t>
            </w:r>
          </w:p>
          <w:p w:rsidR="009868F9" w:rsidRPr="00050124" w:rsidRDefault="009868F9" w:rsidP="00050124">
            <w:pPr>
              <w:pStyle w:val="cuadroCabe"/>
              <w:jc w:val="right"/>
              <w:rPr>
                <w:snapToGrid w:val="0"/>
                <w:sz w:val="16"/>
                <w:szCs w:val="16"/>
              </w:rPr>
            </w:pPr>
            <w:r w:rsidRPr="00050124">
              <w:rPr>
                <w:snapToGrid w:val="0"/>
                <w:sz w:val="16"/>
                <w:szCs w:val="16"/>
              </w:rPr>
              <w:t>2006-2015</w:t>
            </w:r>
            <w:r w:rsidR="00050124" w:rsidRPr="00050124">
              <w:rPr>
                <w:snapToGrid w:val="0"/>
                <w:sz w:val="16"/>
                <w:szCs w:val="16"/>
              </w:rPr>
              <w:t xml:space="preserve"> </w:t>
            </w:r>
            <w:r w:rsidRPr="00050124">
              <w:rPr>
                <w:snapToGrid w:val="0"/>
                <w:sz w:val="16"/>
                <w:szCs w:val="16"/>
              </w:rPr>
              <w:t>%</w:t>
            </w:r>
          </w:p>
        </w:tc>
        <w:tc>
          <w:tcPr>
            <w:tcW w:w="1162" w:type="dxa"/>
            <w:tcBorders>
              <w:top w:val="single" w:sz="4" w:space="0" w:color="auto"/>
              <w:bottom w:val="single" w:sz="4" w:space="0" w:color="auto"/>
            </w:tcBorders>
            <w:shd w:val="clear" w:color="auto" w:fill="FABF8F" w:themeFill="accent6" w:themeFillTint="99"/>
            <w:vAlign w:val="center"/>
            <w:hideMark/>
          </w:tcPr>
          <w:p w:rsidR="00050124" w:rsidRDefault="00050124" w:rsidP="00050124">
            <w:pPr>
              <w:pStyle w:val="cuadroCabe"/>
              <w:jc w:val="right"/>
              <w:rPr>
                <w:snapToGrid w:val="0"/>
                <w:sz w:val="16"/>
                <w:szCs w:val="16"/>
              </w:rPr>
            </w:pPr>
            <w:r w:rsidRPr="00050124">
              <w:rPr>
                <w:snapToGrid w:val="0"/>
                <w:sz w:val="16"/>
                <w:szCs w:val="16"/>
              </w:rPr>
              <w:t>A</w:t>
            </w:r>
            <w:r w:rsidR="009868F9" w:rsidRPr="00050124">
              <w:rPr>
                <w:snapToGrid w:val="0"/>
                <w:sz w:val="16"/>
                <w:szCs w:val="16"/>
              </w:rPr>
              <w:t xml:space="preserve">umento </w:t>
            </w:r>
          </w:p>
          <w:p w:rsidR="00050124" w:rsidRDefault="009868F9" w:rsidP="00050124">
            <w:pPr>
              <w:pStyle w:val="cuadroCabe"/>
              <w:jc w:val="right"/>
              <w:rPr>
                <w:snapToGrid w:val="0"/>
                <w:sz w:val="16"/>
                <w:szCs w:val="16"/>
              </w:rPr>
            </w:pPr>
            <w:r w:rsidRPr="00050124">
              <w:rPr>
                <w:snapToGrid w:val="0"/>
                <w:sz w:val="16"/>
                <w:szCs w:val="16"/>
              </w:rPr>
              <w:t xml:space="preserve">activos  </w:t>
            </w:r>
          </w:p>
          <w:p w:rsidR="009868F9" w:rsidRPr="00050124" w:rsidRDefault="009868F9" w:rsidP="00050124">
            <w:pPr>
              <w:pStyle w:val="cuadroCabe"/>
              <w:jc w:val="right"/>
              <w:rPr>
                <w:snapToGrid w:val="0"/>
                <w:sz w:val="16"/>
                <w:szCs w:val="16"/>
              </w:rPr>
            </w:pPr>
            <w:r w:rsidRPr="00050124">
              <w:rPr>
                <w:snapToGrid w:val="0"/>
                <w:sz w:val="16"/>
                <w:szCs w:val="16"/>
              </w:rPr>
              <w:t>2006-2015</w:t>
            </w:r>
            <w:r w:rsidR="00050124" w:rsidRPr="00050124">
              <w:rPr>
                <w:snapToGrid w:val="0"/>
                <w:sz w:val="16"/>
                <w:szCs w:val="16"/>
              </w:rPr>
              <w:t xml:space="preserve"> </w:t>
            </w:r>
            <w:r w:rsidRPr="00050124">
              <w:rPr>
                <w:snapToGrid w:val="0"/>
                <w:sz w:val="16"/>
                <w:szCs w:val="16"/>
              </w:rPr>
              <w:t>%</w:t>
            </w:r>
          </w:p>
        </w:tc>
      </w:tr>
      <w:tr w:rsidR="009868F9" w:rsidRPr="00943631" w:rsidTr="00B05162">
        <w:trPr>
          <w:trHeight w:val="198"/>
        </w:trPr>
        <w:tc>
          <w:tcPr>
            <w:tcW w:w="1533" w:type="dxa"/>
            <w:tcBorders>
              <w:top w:val="single" w:sz="4"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Burlada</w:t>
            </w:r>
          </w:p>
        </w:tc>
        <w:tc>
          <w:tcPr>
            <w:tcW w:w="1207"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12.590.797</w:t>
            </w:r>
          </w:p>
        </w:tc>
        <w:tc>
          <w:tcPr>
            <w:tcW w:w="1418"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-153.491</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-12</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29</w:t>
            </w:r>
          </w:p>
        </w:tc>
        <w:tc>
          <w:tcPr>
            <w:tcW w:w="1162" w:type="dxa"/>
            <w:tcBorders>
              <w:top w:val="single" w:sz="4"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-60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Barañáin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10.405.208</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78.337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-35</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Estella-Lizarra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9.785.419</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195.101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-38</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Villava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7.573.588</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176.034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-38</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Corella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6.330.016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365.023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78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Baztan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5.020.650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54.489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Altsasu/Alsasua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4.970.096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-36.967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-58</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Cortes</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4.416.753</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210.713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65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-36</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Ansoáin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4.384.154</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100.779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-17</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San Adrián</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3.880.802</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138.736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-14</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Cintruénigo</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3.691.380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66.414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19</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Valle de Egüés</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3.515.496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276.660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148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264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Peralta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3.125.280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-3.401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Sangüesa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3.092.204</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84.511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Tudela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3.063.950</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-105.872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CE667B"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w:t>
            </w:r>
            <w:r w:rsidR="009868F9" w:rsidRPr="00DD5CFF">
              <w:rPr>
                <w:rFonts w:ascii="Arial Narrow" w:hAnsi="Arial Narrow"/>
                <w:snapToGrid w:val="0"/>
                <w:sz w:val="20"/>
                <w:szCs w:val="20"/>
              </w:rPr>
              <w:t> </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Berriozar</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2.860.029</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42.426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-25</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Murchante</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2.737.816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76.315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36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14</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Zizur Mayor</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2.732.782</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-21.405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-7</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10</w:t>
            </w:r>
          </w:p>
        </w:tc>
        <w:tc>
          <w:tcPr>
            <w:tcW w:w="1162" w:type="dxa"/>
            <w:tcBorders>
              <w:top w:val="single" w:sz="2" w:space="0" w:color="auto"/>
              <w:bottom w:val="single" w:sz="2" w:space="0" w:color="auto"/>
            </w:tcBorders>
            <w:noWrap/>
            <w:vAlign w:val="center"/>
            <w:hideMark/>
          </w:tcPr>
          <w:p w:rsidR="009868F9" w:rsidRPr="00DD5CFF" w:rsidRDefault="00CE667B"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w:t>
            </w:r>
            <w:r w:rsidR="009868F9" w:rsidRPr="00DD5CFF">
              <w:rPr>
                <w:rFonts w:ascii="Arial Narrow" w:hAnsi="Arial Narrow"/>
                <w:snapToGrid w:val="0"/>
                <w:sz w:val="20"/>
                <w:szCs w:val="20"/>
              </w:rPr>
              <w:t> </w:t>
            </w:r>
          </w:p>
        </w:tc>
        <w:tc>
          <w:tcPr>
            <w:tcW w:w="1162" w:type="dxa"/>
            <w:tcBorders>
              <w:top w:val="single" w:sz="2" w:space="0" w:color="auto"/>
              <w:bottom w:val="single" w:sz="2" w:space="0" w:color="auto"/>
            </w:tcBorders>
            <w:noWrap/>
            <w:vAlign w:val="center"/>
            <w:hideMark/>
          </w:tcPr>
          <w:p w:rsidR="009868F9" w:rsidRPr="00DD5CFF" w:rsidRDefault="00CE667B"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w:t>
            </w:r>
            <w:r w:rsidR="009868F9" w:rsidRPr="00DD5CFF">
              <w:rPr>
                <w:rFonts w:ascii="Arial Narrow" w:hAnsi="Arial Narrow"/>
                <w:snapToGrid w:val="0"/>
                <w:sz w:val="20"/>
                <w:szCs w:val="20"/>
              </w:rPr>
              <w:t> </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Huarte</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2.560.313</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-2.042</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45</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-50</w:t>
            </w:r>
          </w:p>
        </w:tc>
      </w:tr>
      <w:tr w:rsidR="009868F9" w:rsidRPr="00943631" w:rsidTr="00B05162">
        <w:trPr>
          <w:trHeight w:val="198"/>
        </w:trPr>
        <w:tc>
          <w:tcPr>
            <w:tcW w:w="1533" w:type="dxa"/>
            <w:tcBorders>
              <w:top w:val="single" w:sz="2" w:space="0" w:color="auto"/>
              <w:bottom w:val="single" w:sz="2" w:space="0" w:color="auto"/>
            </w:tcBorders>
            <w:noWrap/>
            <w:vAlign w:val="center"/>
            <w:hideMark/>
          </w:tcPr>
          <w:p w:rsidR="009868F9" w:rsidRPr="00DD5CFF" w:rsidRDefault="009868F9" w:rsidP="00CC4CE7">
            <w:pPr>
              <w:pStyle w:val="cuadroCabe"/>
              <w:rPr>
                <w:rFonts w:ascii="Arial Narrow" w:hAnsi="Arial Narrow"/>
                <w:snapToGrid w:val="0"/>
                <w:sz w:val="20"/>
                <w:szCs w:val="20"/>
              </w:rPr>
            </w:pPr>
            <w:r w:rsidRPr="00DD5CFF">
              <w:rPr>
                <w:rFonts w:ascii="Arial Narrow" w:hAnsi="Arial Narrow"/>
                <w:snapToGrid w:val="0"/>
                <w:sz w:val="20"/>
                <w:szCs w:val="20"/>
              </w:rPr>
              <w:t>Ribaforada</w:t>
            </w:r>
          </w:p>
        </w:tc>
        <w:tc>
          <w:tcPr>
            <w:tcW w:w="1207"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2.531.386</w:t>
            </w:r>
          </w:p>
        </w:tc>
        <w:tc>
          <w:tcPr>
            <w:tcW w:w="1418"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112.298</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53</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6</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0</w:t>
            </w:r>
          </w:p>
        </w:tc>
        <w:tc>
          <w:tcPr>
            <w:tcW w:w="1162" w:type="dxa"/>
            <w:tcBorders>
              <w:top w:val="single" w:sz="2" w:space="0" w:color="auto"/>
              <w:bottom w:val="single" w:sz="2" w:space="0" w:color="auto"/>
            </w:tcBorders>
            <w:noWrap/>
            <w:vAlign w:val="center"/>
            <w:hideMark/>
          </w:tcPr>
          <w:p w:rsidR="009868F9" w:rsidRPr="00DD5CFF" w:rsidRDefault="009868F9" w:rsidP="00CC4CE7">
            <w:pPr>
              <w:pStyle w:val="cuadroCabe"/>
              <w:jc w:val="right"/>
              <w:rPr>
                <w:rFonts w:ascii="Arial Narrow" w:hAnsi="Arial Narrow"/>
                <w:snapToGrid w:val="0"/>
                <w:sz w:val="20"/>
                <w:szCs w:val="20"/>
              </w:rPr>
            </w:pPr>
            <w:r w:rsidRPr="00DD5CFF">
              <w:rPr>
                <w:rFonts w:ascii="Arial Narrow" w:hAnsi="Arial Narrow"/>
                <w:snapToGrid w:val="0"/>
                <w:sz w:val="20"/>
                <w:szCs w:val="20"/>
              </w:rPr>
              <w:t>-43</w:t>
            </w:r>
          </w:p>
        </w:tc>
      </w:tr>
      <w:tr w:rsidR="009868F9" w:rsidRPr="00DD5CFF" w:rsidTr="00D53287">
        <w:trPr>
          <w:trHeight w:val="198"/>
        </w:trPr>
        <w:tc>
          <w:tcPr>
            <w:tcW w:w="1533"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rPr>
                <w:rFonts w:cs="Arial"/>
                <w:i/>
                <w:snapToGrid w:val="0"/>
              </w:rPr>
            </w:pPr>
            <w:r w:rsidRPr="00DD5CFF">
              <w:rPr>
                <w:rFonts w:cs="Arial"/>
                <w:i/>
                <w:snapToGrid w:val="0"/>
              </w:rPr>
              <w:t>Subtotal</w:t>
            </w:r>
          </w:p>
        </w:tc>
        <w:tc>
          <w:tcPr>
            <w:tcW w:w="1207"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sidRPr="00DD5CFF">
              <w:rPr>
                <w:rFonts w:cs="Arial"/>
                <w:i/>
                <w:snapToGrid w:val="0"/>
              </w:rPr>
              <w:t>99.268.120</w:t>
            </w:r>
          </w:p>
        </w:tc>
        <w:tc>
          <w:tcPr>
            <w:tcW w:w="1418"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sidRPr="00DD5CFF">
              <w:rPr>
                <w:rFonts w:cs="Arial"/>
                <w:i/>
                <w:snapToGrid w:val="0"/>
              </w:rPr>
              <w:t>1.654.658</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sidRPr="00DD5CFF">
              <w:rPr>
                <w:rFonts w:cs="Arial"/>
                <w:i/>
                <w:snapToGrid w:val="0"/>
              </w:rPr>
              <w:t>18</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sidRPr="00DD5CFF">
              <w:rPr>
                <w:rFonts w:cs="Arial"/>
                <w:i/>
                <w:snapToGrid w:val="0"/>
              </w:rPr>
              <w:t>11</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sidRPr="00DD5CFF">
              <w:rPr>
                <w:rFonts w:cs="Arial"/>
                <w:i/>
                <w:snapToGrid w:val="0"/>
              </w:rPr>
              <w:t>-10</w:t>
            </w:r>
          </w:p>
        </w:tc>
        <w:tc>
          <w:tcPr>
            <w:tcW w:w="1162" w:type="dxa"/>
            <w:tcBorders>
              <w:top w:val="single" w:sz="2" w:space="0" w:color="auto"/>
              <w:bottom w:val="single" w:sz="4" w:space="0" w:color="auto"/>
            </w:tcBorders>
            <w:shd w:val="clear" w:color="auto" w:fill="FABF8F" w:themeFill="accent6" w:themeFillTint="99"/>
            <w:noWrap/>
            <w:vAlign w:val="center"/>
            <w:hideMark/>
          </w:tcPr>
          <w:p w:rsidR="009868F9" w:rsidRPr="00DD5CFF" w:rsidRDefault="009868F9" w:rsidP="00CC4CE7">
            <w:pPr>
              <w:pStyle w:val="cuadroCabe"/>
              <w:jc w:val="right"/>
              <w:rPr>
                <w:rFonts w:cs="Arial"/>
                <w:i/>
                <w:snapToGrid w:val="0"/>
              </w:rPr>
            </w:pPr>
            <w:r w:rsidRPr="00DD5CFF">
              <w:rPr>
                <w:rFonts w:cs="Arial"/>
                <w:i/>
                <w:snapToGrid w:val="0"/>
              </w:rPr>
              <w:t>-40</w:t>
            </w:r>
          </w:p>
        </w:tc>
      </w:tr>
      <w:tr w:rsidR="009868F9" w:rsidRPr="00DD5CFF" w:rsidTr="00D53287">
        <w:trPr>
          <w:trHeight w:val="255"/>
        </w:trPr>
        <w:tc>
          <w:tcPr>
            <w:tcW w:w="1533"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rPr>
                <w:rFonts w:cs="Arial"/>
                <w:snapToGrid w:val="0"/>
              </w:rPr>
            </w:pPr>
            <w:r w:rsidRPr="00DD5CFF">
              <w:rPr>
                <w:rFonts w:cs="Arial"/>
                <w:snapToGrid w:val="0"/>
              </w:rPr>
              <w:t>Total general</w:t>
            </w:r>
          </w:p>
        </w:tc>
        <w:tc>
          <w:tcPr>
            <w:tcW w:w="1207"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r w:rsidRPr="00DD5CFF">
              <w:rPr>
                <w:rFonts w:cs="Arial"/>
                <w:snapToGrid w:val="0"/>
              </w:rPr>
              <w:t>179.258.379</w:t>
            </w:r>
          </w:p>
        </w:tc>
        <w:tc>
          <w:tcPr>
            <w:tcW w:w="1418"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c>
          <w:tcPr>
            <w:tcW w:w="1162" w:type="dxa"/>
            <w:tcBorders>
              <w:top w:val="single" w:sz="4" w:space="0" w:color="auto"/>
              <w:bottom w:val="single" w:sz="4" w:space="0" w:color="auto"/>
            </w:tcBorders>
            <w:shd w:val="clear" w:color="auto" w:fill="FFFFFF" w:themeFill="background1"/>
            <w:noWrap/>
            <w:vAlign w:val="center"/>
            <w:hideMark/>
          </w:tcPr>
          <w:p w:rsidR="009868F9" w:rsidRPr="00DD5CFF" w:rsidRDefault="009868F9" w:rsidP="00943631">
            <w:pPr>
              <w:pStyle w:val="cuadroCabe"/>
              <w:jc w:val="right"/>
              <w:rPr>
                <w:rFonts w:cs="Arial"/>
                <w:snapToGrid w:val="0"/>
              </w:rPr>
            </w:pPr>
          </w:p>
        </w:tc>
      </w:tr>
    </w:tbl>
    <w:p w:rsidR="009868F9" w:rsidRPr="009868F9" w:rsidRDefault="009868F9" w:rsidP="00050124">
      <w:pPr>
        <w:pStyle w:val="texto"/>
        <w:spacing w:before="120"/>
        <w:rPr>
          <w:szCs w:val="26"/>
        </w:rPr>
      </w:pPr>
      <w:r w:rsidRPr="009868F9">
        <w:rPr>
          <w:szCs w:val="26"/>
        </w:rPr>
        <w:lastRenderedPageBreak/>
        <w:t>Es decir, que estos veinte ayuntamientos, que han financiado el 55 por ciento del déficit, han visto incrementada su aportación, entre  2006 y 2015, en 1,65 millones</w:t>
      </w:r>
      <w:r w:rsidR="000058FB">
        <w:rPr>
          <w:szCs w:val="26"/>
        </w:rPr>
        <w:t>:</w:t>
      </w:r>
      <w:r w:rsidRPr="009868F9">
        <w:rPr>
          <w:szCs w:val="26"/>
        </w:rPr>
        <w:t xml:space="preserve"> el 18 por ciento. En el mismo periodo, su población se incrementaba en un 11 por ciento, el número de pasivos se reducía en un 10 por ciento y los activos afiliados al </w:t>
      </w:r>
      <w:r w:rsidR="00B04729">
        <w:rPr>
          <w:szCs w:val="26"/>
        </w:rPr>
        <w:t>Montepío</w:t>
      </w:r>
      <w:r w:rsidRPr="009868F9">
        <w:rPr>
          <w:szCs w:val="26"/>
        </w:rPr>
        <w:t xml:space="preserve"> disminuían también  en un 40 por ciento.</w:t>
      </w:r>
    </w:p>
    <w:p w:rsidR="009868F9" w:rsidRDefault="00287B38" w:rsidP="00CE667B">
      <w:pPr>
        <w:pStyle w:val="texto"/>
        <w:spacing w:after="240"/>
        <w:rPr>
          <w:szCs w:val="26"/>
        </w:rPr>
      </w:pPr>
      <w:r w:rsidRPr="00FB1FFE">
        <w:rPr>
          <w:b/>
          <w:szCs w:val="26"/>
        </w:rPr>
        <w:t>6</w:t>
      </w:r>
      <w:r w:rsidR="00FB1FFE" w:rsidRPr="00FB1FFE">
        <w:rPr>
          <w:b/>
          <w:szCs w:val="26"/>
        </w:rPr>
        <w:t>.</w:t>
      </w:r>
      <w:r w:rsidR="009868F9" w:rsidRPr="00FB1FFE">
        <w:rPr>
          <w:b/>
          <w:szCs w:val="26"/>
        </w:rPr>
        <w:t>ª</w:t>
      </w:r>
      <w:r w:rsidR="009868F9" w:rsidRPr="009868F9">
        <w:rPr>
          <w:szCs w:val="26"/>
        </w:rPr>
        <w:t xml:space="preserve"> La distribución, por tipos de pensión, de las 899 correspondientes al año 2015 es la siguiente: </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467"/>
      </w:tblGrid>
      <w:tr w:rsidR="009868F9" w:rsidRPr="00050124" w:rsidTr="00BA71F5">
        <w:trPr>
          <w:trHeight w:val="255"/>
        </w:trPr>
        <w:tc>
          <w:tcPr>
            <w:tcW w:w="4322"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rPr>
                <w:rFonts w:eastAsia="Times New Roman" w:cs="Times New Roman"/>
                <w:snapToGrid w:val="0"/>
              </w:rPr>
            </w:pPr>
            <w:r w:rsidRPr="00050124">
              <w:rPr>
                <w:rFonts w:eastAsia="Times New Roman" w:cs="Times New Roman"/>
                <w:snapToGrid w:val="0"/>
              </w:rPr>
              <w:t>Tipo de pensión</w:t>
            </w:r>
          </w:p>
        </w:tc>
        <w:tc>
          <w:tcPr>
            <w:tcW w:w="4467"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jc w:val="right"/>
              <w:rPr>
                <w:rFonts w:eastAsia="Times New Roman" w:cs="Times New Roman"/>
                <w:snapToGrid w:val="0"/>
              </w:rPr>
            </w:pPr>
            <w:r w:rsidRPr="00050124">
              <w:rPr>
                <w:rFonts w:eastAsia="Times New Roman" w:cs="Times New Roman"/>
                <w:snapToGrid w:val="0"/>
              </w:rPr>
              <w:t>Número de pensionistas</w:t>
            </w:r>
          </w:p>
        </w:tc>
      </w:tr>
      <w:tr w:rsidR="009868F9" w:rsidRPr="00BA71F5" w:rsidTr="00BA71F5">
        <w:trPr>
          <w:trHeight w:val="198"/>
        </w:trPr>
        <w:tc>
          <w:tcPr>
            <w:tcW w:w="4322" w:type="dxa"/>
            <w:tcBorders>
              <w:top w:val="single" w:sz="4"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Jubilación Voluntaria</w:t>
            </w:r>
          </w:p>
        </w:tc>
        <w:tc>
          <w:tcPr>
            <w:tcW w:w="4467" w:type="dxa"/>
            <w:tcBorders>
              <w:top w:val="single" w:sz="4"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254</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Jubilación Forzosa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67</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Incapacidad Total</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44</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Viudedad</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305</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Orfandad</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169</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Invalidez absoluta</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57</w:t>
            </w:r>
          </w:p>
        </w:tc>
      </w:tr>
      <w:tr w:rsidR="009868F9" w:rsidRPr="00BA71F5" w:rsidTr="00BA71F5">
        <w:trPr>
          <w:trHeight w:val="198"/>
        </w:trPr>
        <w:tc>
          <w:tcPr>
            <w:tcW w:w="4322" w:type="dxa"/>
            <w:tcBorders>
              <w:top w:val="single" w:sz="2" w:space="0" w:color="auto"/>
              <w:bottom w:val="single" w:sz="2"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Estabilizadas*</w:t>
            </w:r>
          </w:p>
        </w:tc>
        <w:tc>
          <w:tcPr>
            <w:tcW w:w="4467" w:type="dxa"/>
            <w:tcBorders>
              <w:top w:val="single" w:sz="2" w:space="0" w:color="auto"/>
              <w:bottom w:val="single" w:sz="2"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1</w:t>
            </w:r>
          </w:p>
        </w:tc>
      </w:tr>
      <w:tr w:rsidR="009868F9" w:rsidRPr="00BA71F5" w:rsidTr="00BA71F5">
        <w:trPr>
          <w:trHeight w:val="198"/>
        </w:trPr>
        <w:tc>
          <w:tcPr>
            <w:tcW w:w="4322" w:type="dxa"/>
            <w:tcBorders>
              <w:top w:val="single" w:sz="2" w:space="0" w:color="auto"/>
              <w:bottom w:val="single" w:sz="4" w:space="0" w:color="auto"/>
            </w:tcBorders>
            <w:vAlign w:val="center"/>
          </w:tcPr>
          <w:p w:rsidR="009868F9" w:rsidRPr="00BA71F5" w:rsidRDefault="009868F9" w:rsidP="00050124">
            <w:pPr>
              <w:pStyle w:val="cuadroCabe"/>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Gran invalidez</w:t>
            </w:r>
          </w:p>
        </w:tc>
        <w:tc>
          <w:tcPr>
            <w:tcW w:w="4467" w:type="dxa"/>
            <w:tcBorders>
              <w:top w:val="single" w:sz="2" w:space="0" w:color="auto"/>
              <w:bottom w:val="single" w:sz="4" w:space="0" w:color="auto"/>
            </w:tcBorders>
            <w:vAlign w:val="center"/>
          </w:tcPr>
          <w:p w:rsidR="009868F9" w:rsidRPr="00BA71F5" w:rsidRDefault="009868F9" w:rsidP="00050124">
            <w:pPr>
              <w:pStyle w:val="cuadroCabe"/>
              <w:jc w:val="right"/>
              <w:rPr>
                <w:rFonts w:ascii="Arial Narrow" w:eastAsia="Times New Roman" w:hAnsi="Arial Narrow" w:cs="Times New Roman"/>
                <w:snapToGrid w:val="0"/>
                <w:sz w:val="20"/>
                <w:szCs w:val="20"/>
              </w:rPr>
            </w:pPr>
            <w:r w:rsidRPr="00BA71F5">
              <w:rPr>
                <w:rFonts w:ascii="Arial Narrow" w:eastAsia="Times New Roman" w:hAnsi="Arial Narrow" w:cs="Times New Roman"/>
                <w:snapToGrid w:val="0"/>
                <w:sz w:val="20"/>
                <w:szCs w:val="20"/>
              </w:rPr>
              <w:t>2</w:t>
            </w:r>
          </w:p>
        </w:tc>
      </w:tr>
      <w:tr w:rsidR="009868F9" w:rsidRPr="00050124" w:rsidTr="00BA71F5">
        <w:trPr>
          <w:trHeight w:val="255"/>
        </w:trPr>
        <w:tc>
          <w:tcPr>
            <w:tcW w:w="4322"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rPr>
                <w:rFonts w:eastAsia="Times New Roman" w:cs="Times New Roman"/>
                <w:snapToGrid w:val="0"/>
              </w:rPr>
            </w:pPr>
            <w:r w:rsidRPr="00050124">
              <w:rPr>
                <w:rFonts w:eastAsia="Times New Roman" w:cs="Times New Roman"/>
                <w:snapToGrid w:val="0"/>
              </w:rPr>
              <w:t>T</w:t>
            </w:r>
            <w:r w:rsidR="00050124">
              <w:rPr>
                <w:rFonts w:eastAsia="Times New Roman" w:cs="Times New Roman"/>
                <w:snapToGrid w:val="0"/>
              </w:rPr>
              <w:t>otal</w:t>
            </w:r>
            <w:r w:rsidRPr="00050124">
              <w:rPr>
                <w:rFonts w:eastAsia="Times New Roman" w:cs="Times New Roman"/>
                <w:snapToGrid w:val="0"/>
              </w:rPr>
              <w:t xml:space="preserve"> </w:t>
            </w:r>
          </w:p>
        </w:tc>
        <w:tc>
          <w:tcPr>
            <w:tcW w:w="4467" w:type="dxa"/>
            <w:tcBorders>
              <w:top w:val="single" w:sz="4" w:space="0" w:color="auto"/>
              <w:bottom w:val="single" w:sz="4" w:space="0" w:color="auto"/>
            </w:tcBorders>
            <w:shd w:val="clear" w:color="auto" w:fill="FABF8F" w:themeFill="accent6" w:themeFillTint="99"/>
            <w:vAlign w:val="center"/>
          </w:tcPr>
          <w:p w:rsidR="009868F9" w:rsidRPr="00050124" w:rsidRDefault="009868F9" w:rsidP="00050124">
            <w:pPr>
              <w:pStyle w:val="cuadroCabe"/>
              <w:jc w:val="right"/>
              <w:rPr>
                <w:rFonts w:eastAsia="Times New Roman" w:cs="Times New Roman"/>
                <w:snapToGrid w:val="0"/>
              </w:rPr>
            </w:pPr>
            <w:r w:rsidRPr="00050124">
              <w:rPr>
                <w:rFonts w:eastAsia="Times New Roman" w:cs="Times New Roman"/>
                <w:snapToGrid w:val="0"/>
              </w:rPr>
              <w:t>899</w:t>
            </w:r>
          </w:p>
        </w:tc>
      </w:tr>
    </w:tbl>
    <w:p w:rsidR="009868F9" w:rsidRPr="00DF297E" w:rsidRDefault="00DF297E" w:rsidP="00050124">
      <w:pPr>
        <w:spacing w:after="240" w:line="300" w:lineRule="atLeast"/>
        <w:ind w:left="284" w:firstLine="0"/>
        <w:jc w:val="left"/>
        <w:rPr>
          <w:rFonts w:ascii="Arial" w:hAnsi="Arial" w:cs="Arial"/>
          <w:sz w:val="16"/>
          <w:szCs w:val="16"/>
          <w:lang w:val="es-ES" w:eastAsia="es-ES"/>
        </w:rPr>
      </w:pPr>
      <w:r>
        <w:rPr>
          <w:rFonts w:ascii="Arial" w:hAnsi="Arial" w:cs="Arial"/>
          <w:sz w:val="16"/>
          <w:szCs w:val="16"/>
          <w:lang w:val="es-ES" w:eastAsia="es-ES"/>
        </w:rPr>
        <w:t xml:space="preserve">* </w:t>
      </w:r>
      <w:r w:rsidR="009868F9" w:rsidRPr="00DF297E">
        <w:rPr>
          <w:rFonts w:ascii="Arial" w:hAnsi="Arial" w:cs="Arial"/>
          <w:sz w:val="16"/>
          <w:szCs w:val="16"/>
          <w:lang w:val="es-ES" w:eastAsia="es-ES"/>
        </w:rPr>
        <w:t>Las pensiones estabilizadas no se actualizan hasta que el beneficiario cumple 65 años</w:t>
      </w:r>
      <w:r w:rsidR="00050124" w:rsidRPr="00DF297E">
        <w:rPr>
          <w:rFonts w:ascii="Arial" w:hAnsi="Arial" w:cs="Arial"/>
          <w:sz w:val="16"/>
          <w:szCs w:val="16"/>
          <w:lang w:val="es-ES" w:eastAsia="es-ES"/>
        </w:rPr>
        <w:t>.</w:t>
      </w:r>
    </w:p>
    <w:p w:rsidR="009868F9" w:rsidRPr="009868F9" w:rsidRDefault="00287B38" w:rsidP="0077337B">
      <w:pPr>
        <w:pStyle w:val="texto"/>
        <w:rPr>
          <w:szCs w:val="26"/>
        </w:rPr>
      </w:pPr>
      <w:r w:rsidRPr="00FB1FFE">
        <w:rPr>
          <w:b/>
          <w:szCs w:val="26"/>
        </w:rPr>
        <w:t>7</w:t>
      </w:r>
      <w:r w:rsidR="00FB1FFE" w:rsidRPr="00FB1FFE">
        <w:rPr>
          <w:b/>
          <w:szCs w:val="26"/>
        </w:rPr>
        <w:t>.</w:t>
      </w:r>
      <w:r w:rsidR="009868F9" w:rsidRPr="00FB1FFE">
        <w:rPr>
          <w:b/>
          <w:szCs w:val="26"/>
        </w:rPr>
        <w:t>ª</w:t>
      </w:r>
      <w:r w:rsidR="009868F9" w:rsidRPr="009868F9">
        <w:rPr>
          <w:szCs w:val="26"/>
        </w:rPr>
        <w:t xml:space="preserve"> Tomando como referencia la pensión máxima de la </w:t>
      </w:r>
      <w:r w:rsidR="005442C5">
        <w:rPr>
          <w:szCs w:val="26"/>
        </w:rPr>
        <w:t>S</w:t>
      </w:r>
      <w:r w:rsidR="009868F9" w:rsidRPr="009868F9">
        <w:rPr>
          <w:szCs w:val="26"/>
        </w:rPr>
        <w:t xml:space="preserve">eguridad </w:t>
      </w:r>
      <w:r w:rsidR="005442C5">
        <w:rPr>
          <w:szCs w:val="26"/>
        </w:rPr>
        <w:t>S</w:t>
      </w:r>
      <w:r w:rsidR="009868F9" w:rsidRPr="009868F9">
        <w:rPr>
          <w:szCs w:val="26"/>
        </w:rPr>
        <w:t xml:space="preserve">ocial que, aproximadamente, asciende a 35.000 euros anuales y que el </w:t>
      </w:r>
      <w:r w:rsidR="00B04729">
        <w:rPr>
          <w:szCs w:val="26"/>
        </w:rPr>
        <w:t>Montepío</w:t>
      </w:r>
      <w:r w:rsidR="009868F9" w:rsidRPr="009868F9">
        <w:rPr>
          <w:szCs w:val="26"/>
        </w:rPr>
        <w:t xml:space="preserve"> se ha asimilado al sistema general, hemos calculado, por una parte, en cuántos ayu</w:t>
      </w:r>
      <w:r w:rsidR="009868F9" w:rsidRPr="009868F9">
        <w:rPr>
          <w:szCs w:val="26"/>
        </w:rPr>
        <w:t>n</w:t>
      </w:r>
      <w:r w:rsidR="009868F9" w:rsidRPr="009868F9">
        <w:rPr>
          <w:szCs w:val="26"/>
        </w:rPr>
        <w:t>tamientos, en 2015, el cargo</w:t>
      </w:r>
      <w:r w:rsidR="000058FB">
        <w:rPr>
          <w:szCs w:val="26"/>
        </w:rPr>
        <w:t xml:space="preserve"> por pasivo supera este importe;</w:t>
      </w:r>
      <w:r w:rsidR="009868F9" w:rsidRPr="009868F9">
        <w:rPr>
          <w:szCs w:val="26"/>
        </w:rPr>
        <w:t xml:space="preserve"> y, por otra parte, en cuántos se supera este importe en la media del periodo 2006-2015, obt</w:t>
      </w:r>
      <w:r w:rsidR="009868F9" w:rsidRPr="009868F9">
        <w:rPr>
          <w:szCs w:val="26"/>
        </w:rPr>
        <w:t>e</w:t>
      </w:r>
      <w:r w:rsidR="009868F9" w:rsidRPr="009868F9">
        <w:rPr>
          <w:szCs w:val="26"/>
        </w:rPr>
        <w:t xml:space="preserve">niendo el siguiente resultado: </w:t>
      </w: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CE667B" w:rsidRDefault="00CE667B" w:rsidP="0077337B">
      <w:pPr>
        <w:pStyle w:val="texto"/>
        <w:rPr>
          <w:szCs w:val="26"/>
        </w:rPr>
      </w:pPr>
    </w:p>
    <w:p w:rsidR="00571C68" w:rsidRDefault="00571C68" w:rsidP="0077337B">
      <w:pPr>
        <w:pStyle w:val="texto"/>
        <w:rPr>
          <w:szCs w:val="26"/>
        </w:rPr>
      </w:pPr>
    </w:p>
    <w:p w:rsidR="009868F9" w:rsidRPr="009868F9" w:rsidRDefault="009868F9" w:rsidP="0077337B">
      <w:pPr>
        <w:pStyle w:val="texto"/>
        <w:rPr>
          <w:szCs w:val="26"/>
        </w:rPr>
      </w:pPr>
      <w:r w:rsidRPr="009868F9">
        <w:rPr>
          <w:szCs w:val="26"/>
        </w:rPr>
        <w:lastRenderedPageBreak/>
        <w:t>Entidades con coste por pasivo &gt; 35.000 euros  de media en los 10 años de 2006 a 2015 y su comparación con el coste en 2015</w:t>
      </w:r>
    </w:p>
    <w:tbl>
      <w:tblPr>
        <w:tblW w:w="8882" w:type="dxa"/>
        <w:jc w:val="center"/>
        <w:tblCellMar>
          <w:left w:w="70" w:type="dxa"/>
          <w:right w:w="70" w:type="dxa"/>
        </w:tblCellMar>
        <w:tblLook w:val="04A0" w:firstRow="1" w:lastRow="0" w:firstColumn="1" w:lastColumn="0" w:noHBand="0" w:noVBand="1"/>
      </w:tblPr>
      <w:tblGrid>
        <w:gridCol w:w="1397"/>
        <w:gridCol w:w="939"/>
        <w:gridCol w:w="1392"/>
        <w:gridCol w:w="995"/>
        <w:gridCol w:w="994"/>
        <w:gridCol w:w="1120"/>
        <w:gridCol w:w="1213"/>
        <w:gridCol w:w="862"/>
      </w:tblGrid>
      <w:tr w:rsidR="00F61EAA" w:rsidRPr="002342BA" w:rsidTr="00B26CC0">
        <w:trPr>
          <w:trHeight w:val="198"/>
          <w:jc w:val="center"/>
        </w:trPr>
        <w:tc>
          <w:tcPr>
            <w:tcW w:w="4723" w:type="dxa"/>
            <w:gridSpan w:val="4"/>
            <w:tcBorders>
              <w:top w:val="single" w:sz="4" w:space="0" w:color="auto"/>
              <w:bottom w:val="single" w:sz="4" w:space="0" w:color="auto"/>
              <w:right w:val="single" w:sz="8" w:space="0" w:color="auto"/>
            </w:tcBorders>
            <w:shd w:val="clear" w:color="auto" w:fill="FABF8F" w:themeFill="accent6" w:themeFillTint="99"/>
            <w:noWrap/>
            <w:vAlign w:val="center"/>
          </w:tcPr>
          <w:p w:rsidR="00F61EAA" w:rsidRPr="002342BA" w:rsidRDefault="00F61EAA" w:rsidP="002342BA">
            <w:pPr>
              <w:pStyle w:val="cuadroCabe"/>
              <w:jc w:val="center"/>
              <w:rPr>
                <w:snapToGrid w:val="0"/>
                <w:sz w:val="20"/>
                <w:szCs w:val="20"/>
              </w:rPr>
            </w:pPr>
            <w:r w:rsidRPr="002342BA">
              <w:rPr>
                <w:snapToGrid w:val="0"/>
                <w:sz w:val="20"/>
                <w:szCs w:val="20"/>
              </w:rPr>
              <w:t>PERIODO 2006-2015</w:t>
            </w:r>
          </w:p>
        </w:tc>
        <w:tc>
          <w:tcPr>
            <w:tcW w:w="4159" w:type="dxa"/>
            <w:gridSpan w:val="4"/>
            <w:tcBorders>
              <w:top w:val="single" w:sz="4" w:space="0" w:color="auto"/>
              <w:left w:val="single" w:sz="8" w:space="0" w:color="auto"/>
              <w:bottom w:val="single" w:sz="4" w:space="0" w:color="auto"/>
            </w:tcBorders>
            <w:shd w:val="clear" w:color="auto" w:fill="FABF8F" w:themeFill="accent6" w:themeFillTint="99"/>
            <w:vAlign w:val="center"/>
          </w:tcPr>
          <w:p w:rsidR="00F61EAA" w:rsidRPr="002342BA" w:rsidRDefault="00F61EAA" w:rsidP="00F61EAA">
            <w:pPr>
              <w:pStyle w:val="cuadroCabe"/>
              <w:jc w:val="center"/>
              <w:rPr>
                <w:snapToGrid w:val="0"/>
                <w:sz w:val="20"/>
                <w:szCs w:val="20"/>
              </w:rPr>
            </w:pPr>
            <w:r w:rsidRPr="002342BA">
              <w:rPr>
                <w:snapToGrid w:val="0"/>
                <w:sz w:val="20"/>
                <w:szCs w:val="20"/>
              </w:rPr>
              <w:t>AÑO 2015</w:t>
            </w:r>
          </w:p>
        </w:tc>
      </w:tr>
      <w:tr w:rsidR="00411190" w:rsidRPr="009E2811" w:rsidTr="00B26CC0">
        <w:trPr>
          <w:trHeight w:val="560"/>
          <w:jc w:val="center"/>
        </w:trPr>
        <w:tc>
          <w:tcPr>
            <w:tcW w:w="1397" w:type="dxa"/>
            <w:tcBorders>
              <w:top w:val="single" w:sz="4" w:space="0" w:color="auto"/>
              <w:bottom w:val="single" w:sz="4" w:space="0" w:color="auto"/>
            </w:tcBorders>
            <w:shd w:val="clear" w:color="auto" w:fill="FABF8F" w:themeFill="accent6" w:themeFillTint="99"/>
            <w:noWrap/>
            <w:vAlign w:val="center"/>
            <w:hideMark/>
          </w:tcPr>
          <w:p w:rsidR="009868F9" w:rsidRPr="009E2811" w:rsidRDefault="009868F9" w:rsidP="00C16E7D">
            <w:pPr>
              <w:pStyle w:val="cuadroCabe"/>
              <w:jc w:val="center"/>
              <w:rPr>
                <w:snapToGrid w:val="0"/>
                <w:sz w:val="16"/>
                <w:szCs w:val="16"/>
              </w:rPr>
            </w:pPr>
            <w:r w:rsidRPr="009E2811">
              <w:rPr>
                <w:snapToGrid w:val="0"/>
                <w:sz w:val="16"/>
                <w:szCs w:val="16"/>
              </w:rPr>
              <w:t>Entidad</w:t>
            </w:r>
          </w:p>
        </w:tc>
        <w:tc>
          <w:tcPr>
            <w:tcW w:w="939" w:type="dxa"/>
            <w:tcBorders>
              <w:top w:val="single" w:sz="4" w:space="0" w:color="auto"/>
              <w:bottom w:val="single" w:sz="4" w:space="0" w:color="auto"/>
            </w:tcBorders>
            <w:shd w:val="clear" w:color="auto" w:fill="FABF8F" w:themeFill="accent6" w:themeFillTint="99"/>
            <w:vAlign w:val="center"/>
            <w:hideMark/>
          </w:tcPr>
          <w:p w:rsidR="009868F9" w:rsidRPr="009E2811" w:rsidRDefault="009868F9" w:rsidP="009E2811">
            <w:pPr>
              <w:pStyle w:val="cuadroCabe"/>
              <w:jc w:val="right"/>
              <w:rPr>
                <w:snapToGrid w:val="0"/>
                <w:sz w:val="16"/>
                <w:szCs w:val="16"/>
              </w:rPr>
            </w:pPr>
            <w:r w:rsidRPr="009E2811">
              <w:rPr>
                <w:snapToGrid w:val="0"/>
                <w:sz w:val="16"/>
                <w:szCs w:val="16"/>
              </w:rPr>
              <w:t>∑ déficit 2006-2015 (</w:t>
            </w:r>
            <w:r w:rsidR="00E52F02" w:rsidRPr="009E2811">
              <w:rPr>
                <w:snapToGrid w:val="0"/>
                <w:sz w:val="16"/>
                <w:szCs w:val="16"/>
              </w:rPr>
              <w:t>a</w:t>
            </w:r>
            <w:r w:rsidRPr="009E2811">
              <w:rPr>
                <w:snapToGrid w:val="0"/>
                <w:sz w:val="16"/>
                <w:szCs w:val="16"/>
              </w:rPr>
              <w:t>)</w:t>
            </w:r>
          </w:p>
        </w:tc>
        <w:tc>
          <w:tcPr>
            <w:tcW w:w="1392" w:type="dxa"/>
            <w:tcBorders>
              <w:top w:val="single" w:sz="4" w:space="0" w:color="auto"/>
              <w:bottom w:val="single" w:sz="4" w:space="0" w:color="auto"/>
            </w:tcBorders>
            <w:shd w:val="clear" w:color="auto" w:fill="FABF8F" w:themeFill="accent6" w:themeFillTint="99"/>
            <w:vAlign w:val="center"/>
            <w:hideMark/>
          </w:tcPr>
          <w:p w:rsidR="00A0564C" w:rsidRDefault="00A0564C" w:rsidP="009E2811">
            <w:pPr>
              <w:pStyle w:val="cuadroCabe"/>
              <w:ind w:left="248" w:hanging="248"/>
              <w:jc w:val="right"/>
              <w:rPr>
                <w:snapToGrid w:val="0"/>
                <w:sz w:val="16"/>
                <w:szCs w:val="16"/>
              </w:rPr>
            </w:pPr>
            <w:r>
              <w:rPr>
                <w:snapToGrid w:val="0"/>
                <w:sz w:val="16"/>
                <w:szCs w:val="16"/>
              </w:rPr>
              <w:t>N</w:t>
            </w:r>
            <w:r w:rsidR="009868F9" w:rsidRPr="009E2811">
              <w:rPr>
                <w:snapToGrid w:val="0"/>
                <w:sz w:val="16"/>
                <w:szCs w:val="16"/>
              </w:rPr>
              <w:t>º</w:t>
            </w:r>
            <w:r w:rsidR="002342BA" w:rsidRPr="009E2811">
              <w:rPr>
                <w:snapToGrid w:val="0"/>
                <w:sz w:val="16"/>
                <w:szCs w:val="16"/>
              </w:rPr>
              <w:t xml:space="preserve"> </w:t>
            </w:r>
            <w:r w:rsidR="009868F9" w:rsidRPr="009E2811">
              <w:rPr>
                <w:snapToGrid w:val="0"/>
                <w:sz w:val="16"/>
                <w:szCs w:val="16"/>
              </w:rPr>
              <w:t>pasivos</w:t>
            </w:r>
            <w:r w:rsidR="00411190">
              <w:rPr>
                <w:snapToGrid w:val="0"/>
                <w:sz w:val="16"/>
                <w:szCs w:val="16"/>
              </w:rPr>
              <w:t xml:space="preserve"> </w:t>
            </w:r>
          </w:p>
          <w:p w:rsidR="002342BA" w:rsidRPr="009E2811" w:rsidRDefault="009868F9" w:rsidP="009E2811">
            <w:pPr>
              <w:pStyle w:val="cuadroCabe"/>
              <w:ind w:left="248" w:hanging="248"/>
              <w:jc w:val="right"/>
              <w:rPr>
                <w:snapToGrid w:val="0"/>
                <w:sz w:val="16"/>
                <w:szCs w:val="16"/>
              </w:rPr>
            </w:pPr>
            <w:r w:rsidRPr="009E2811">
              <w:rPr>
                <w:snapToGrid w:val="0"/>
                <w:sz w:val="16"/>
                <w:szCs w:val="16"/>
              </w:rPr>
              <w:t>media</w:t>
            </w:r>
            <w:r w:rsidR="00411190">
              <w:rPr>
                <w:snapToGrid w:val="0"/>
                <w:sz w:val="16"/>
                <w:szCs w:val="16"/>
              </w:rPr>
              <w:t xml:space="preserve"> </w:t>
            </w:r>
            <w:r w:rsidRPr="009E2811">
              <w:rPr>
                <w:snapToGrid w:val="0"/>
                <w:sz w:val="16"/>
                <w:szCs w:val="16"/>
              </w:rPr>
              <w:t>anual</w:t>
            </w:r>
          </w:p>
          <w:p w:rsidR="009868F9" w:rsidRPr="009E2811" w:rsidRDefault="009868F9" w:rsidP="009E2811">
            <w:pPr>
              <w:pStyle w:val="cuadroCabe"/>
              <w:jc w:val="right"/>
              <w:rPr>
                <w:snapToGrid w:val="0"/>
                <w:sz w:val="16"/>
                <w:szCs w:val="16"/>
              </w:rPr>
            </w:pPr>
            <w:r w:rsidRPr="009E2811">
              <w:rPr>
                <w:snapToGrid w:val="0"/>
                <w:sz w:val="16"/>
                <w:szCs w:val="16"/>
              </w:rPr>
              <w:t xml:space="preserve">2006-2015 </w:t>
            </w:r>
            <w:r w:rsidR="00E52F02" w:rsidRPr="009E2811">
              <w:rPr>
                <w:snapToGrid w:val="0"/>
                <w:sz w:val="16"/>
                <w:szCs w:val="16"/>
              </w:rPr>
              <w:t xml:space="preserve"> (b)</w:t>
            </w:r>
          </w:p>
        </w:tc>
        <w:tc>
          <w:tcPr>
            <w:tcW w:w="995" w:type="dxa"/>
            <w:tcBorders>
              <w:top w:val="single" w:sz="4" w:space="0" w:color="auto"/>
              <w:bottom w:val="single" w:sz="4" w:space="0" w:color="auto"/>
              <w:right w:val="single" w:sz="8" w:space="0" w:color="auto"/>
            </w:tcBorders>
            <w:shd w:val="clear" w:color="auto" w:fill="FABF8F" w:themeFill="accent6" w:themeFillTint="99"/>
            <w:vAlign w:val="center"/>
            <w:hideMark/>
          </w:tcPr>
          <w:p w:rsidR="002342BA" w:rsidRPr="009E2811" w:rsidRDefault="009868F9" w:rsidP="009E2811">
            <w:pPr>
              <w:pStyle w:val="cuadroCabe"/>
              <w:jc w:val="right"/>
              <w:rPr>
                <w:snapToGrid w:val="0"/>
                <w:sz w:val="16"/>
                <w:szCs w:val="16"/>
              </w:rPr>
            </w:pPr>
            <w:r w:rsidRPr="009E2811">
              <w:rPr>
                <w:snapToGrid w:val="0"/>
                <w:sz w:val="16"/>
                <w:szCs w:val="16"/>
              </w:rPr>
              <w:t xml:space="preserve"> </w:t>
            </w:r>
            <w:r w:rsidR="00B26CC0">
              <w:rPr>
                <w:snapToGrid w:val="0"/>
                <w:sz w:val="16"/>
                <w:szCs w:val="16"/>
              </w:rPr>
              <w:t>D</w:t>
            </w:r>
            <w:r w:rsidRPr="009E2811">
              <w:rPr>
                <w:snapToGrid w:val="0"/>
                <w:sz w:val="16"/>
                <w:szCs w:val="16"/>
              </w:rPr>
              <w:t>éficit</w:t>
            </w:r>
            <w:r w:rsidR="005442C5" w:rsidRPr="009E2811">
              <w:rPr>
                <w:snapToGrid w:val="0"/>
                <w:sz w:val="16"/>
                <w:szCs w:val="16"/>
              </w:rPr>
              <w:t xml:space="preserve"> /</w:t>
            </w:r>
          </w:p>
          <w:p w:rsidR="009868F9" w:rsidRPr="009E2811" w:rsidRDefault="009868F9" w:rsidP="009E2811">
            <w:pPr>
              <w:pStyle w:val="cuadroCabe"/>
              <w:jc w:val="right"/>
              <w:rPr>
                <w:snapToGrid w:val="0"/>
                <w:sz w:val="16"/>
                <w:szCs w:val="16"/>
              </w:rPr>
            </w:pPr>
            <w:r w:rsidRPr="009E2811">
              <w:rPr>
                <w:snapToGrid w:val="0"/>
                <w:sz w:val="16"/>
                <w:szCs w:val="16"/>
              </w:rPr>
              <w:t>pasivos (1)</w:t>
            </w:r>
          </w:p>
          <w:p w:rsidR="00E52F02" w:rsidRPr="009E2811" w:rsidRDefault="00E52F02" w:rsidP="009E2811">
            <w:pPr>
              <w:pStyle w:val="cuadroCabe"/>
              <w:jc w:val="right"/>
              <w:rPr>
                <w:snapToGrid w:val="0"/>
                <w:sz w:val="16"/>
                <w:szCs w:val="16"/>
              </w:rPr>
            </w:pPr>
            <w:r w:rsidRPr="009E2811">
              <w:rPr>
                <w:snapToGrid w:val="0"/>
                <w:sz w:val="16"/>
                <w:szCs w:val="16"/>
              </w:rPr>
              <w:t>(c)</w:t>
            </w:r>
          </w:p>
        </w:tc>
        <w:tc>
          <w:tcPr>
            <w:tcW w:w="994" w:type="dxa"/>
            <w:tcBorders>
              <w:top w:val="single" w:sz="4" w:space="0" w:color="auto"/>
              <w:left w:val="single" w:sz="8" w:space="0" w:color="auto"/>
              <w:bottom w:val="single" w:sz="4" w:space="0" w:color="auto"/>
            </w:tcBorders>
            <w:shd w:val="clear" w:color="auto" w:fill="FABF8F" w:themeFill="accent6" w:themeFillTint="99"/>
            <w:vAlign w:val="center"/>
            <w:hideMark/>
          </w:tcPr>
          <w:p w:rsidR="009868F9" w:rsidRPr="009E2811" w:rsidRDefault="002342BA" w:rsidP="009E2811">
            <w:pPr>
              <w:pStyle w:val="cuadroCabe"/>
              <w:jc w:val="right"/>
              <w:rPr>
                <w:snapToGrid w:val="0"/>
                <w:sz w:val="16"/>
                <w:szCs w:val="16"/>
              </w:rPr>
            </w:pPr>
            <w:r w:rsidRPr="009E2811">
              <w:rPr>
                <w:snapToGrid w:val="0"/>
                <w:sz w:val="16"/>
                <w:szCs w:val="16"/>
              </w:rPr>
              <w:t>Total Ca</w:t>
            </w:r>
            <w:r w:rsidRPr="009E2811">
              <w:rPr>
                <w:snapToGrid w:val="0"/>
                <w:sz w:val="16"/>
                <w:szCs w:val="16"/>
              </w:rPr>
              <w:t>r</w:t>
            </w:r>
            <w:r w:rsidRPr="009E2811">
              <w:rPr>
                <w:snapToGrid w:val="0"/>
                <w:sz w:val="16"/>
                <w:szCs w:val="16"/>
              </w:rPr>
              <w:t>go</w:t>
            </w:r>
            <w:r w:rsidR="009868F9" w:rsidRPr="009E2811">
              <w:rPr>
                <w:snapToGrid w:val="0"/>
                <w:sz w:val="16"/>
                <w:szCs w:val="16"/>
              </w:rPr>
              <w:t xml:space="preserve"> </w:t>
            </w:r>
            <w:r w:rsidRPr="009E2811">
              <w:rPr>
                <w:snapToGrid w:val="0"/>
                <w:sz w:val="16"/>
                <w:szCs w:val="16"/>
              </w:rPr>
              <w:t>2015</w:t>
            </w:r>
          </w:p>
          <w:p w:rsidR="00E52F02" w:rsidRPr="009E2811" w:rsidRDefault="00E52F02" w:rsidP="009E2811">
            <w:pPr>
              <w:pStyle w:val="cuadroCabe"/>
              <w:jc w:val="right"/>
              <w:rPr>
                <w:snapToGrid w:val="0"/>
                <w:sz w:val="16"/>
                <w:szCs w:val="16"/>
              </w:rPr>
            </w:pPr>
            <w:r w:rsidRPr="009E2811">
              <w:rPr>
                <w:snapToGrid w:val="0"/>
                <w:sz w:val="16"/>
                <w:szCs w:val="16"/>
              </w:rPr>
              <w:t>(d)</w:t>
            </w:r>
          </w:p>
        </w:tc>
        <w:tc>
          <w:tcPr>
            <w:tcW w:w="1090" w:type="dxa"/>
            <w:tcBorders>
              <w:top w:val="single" w:sz="4" w:space="0" w:color="auto"/>
              <w:bottom w:val="single" w:sz="4" w:space="0" w:color="auto"/>
            </w:tcBorders>
            <w:shd w:val="clear" w:color="auto" w:fill="FABF8F" w:themeFill="accent6" w:themeFillTint="99"/>
            <w:vAlign w:val="center"/>
            <w:hideMark/>
          </w:tcPr>
          <w:p w:rsidR="002342BA" w:rsidRPr="009E2811" w:rsidRDefault="009868F9" w:rsidP="009E2811">
            <w:pPr>
              <w:pStyle w:val="cuadroCabe"/>
              <w:jc w:val="right"/>
              <w:rPr>
                <w:snapToGrid w:val="0"/>
                <w:sz w:val="16"/>
                <w:szCs w:val="16"/>
              </w:rPr>
            </w:pPr>
            <w:r w:rsidRPr="009E2811">
              <w:rPr>
                <w:snapToGrid w:val="0"/>
                <w:sz w:val="16"/>
                <w:szCs w:val="16"/>
              </w:rPr>
              <w:t>N</w:t>
            </w:r>
            <w:r w:rsidR="00C16E7D" w:rsidRPr="009E2811">
              <w:rPr>
                <w:snapToGrid w:val="0"/>
                <w:sz w:val="16"/>
                <w:szCs w:val="16"/>
              </w:rPr>
              <w:t>úmero</w:t>
            </w:r>
          </w:p>
          <w:p w:rsidR="009868F9" w:rsidRPr="009E2811" w:rsidRDefault="00E52F02" w:rsidP="009E2811">
            <w:pPr>
              <w:pStyle w:val="cuadroCabe"/>
              <w:jc w:val="right"/>
              <w:rPr>
                <w:snapToGrid w:val="0"/>
                <w:sz w:val="16"/>
                <w:szCs w:val="16"/>
              </w:rPr>
            </w:pPr>
            <w:r w:rsidRPr="009E2811">
              <w:rPr>
                <w:snapToGrid w:val="0"/>
                <w:sz w:val="16"/>
                <w:szCs w:val="16"/>
              </w:rPr>
              <w:t>P</w:t>
            </w:r>
            <w:r w:rsidR="009868F9" w:rsidRPr="009E2811">
              <w:rPr>
                <w:snapToGrid w:val="0"/>
                <w:sz w:val="16"/>
                <w:szCs w:val="16"/>
              </w:rPr>
              <w:t>ensionistas</w:t>
            </w:r>
          </w:p>
          <w:p w:rsidR="00E52F02" w:rsidRPr="009E2811" w:rsidRDefault="00E52F02" w:rsidP="00B26CC0">
            <w:pPr>
              <w:pStyle w:val="cuadroCabe"/>
              <w:jc w:val="right"/>
              <w:rPr>
                <w:snapToGrid w:val="0"/>
                <w:sz w:val="16"/>
                <w:szCs w:val="16"/>
              </w:rPr>
            </w:pPr>
            <w:r w:rsidRPr="009E2811">
              <w:rPr>
                <w:snapToGrid w:val="0"/>
                <w:sz w:val="16"/>
                <w:szCs w:val="16"/>
              </w:rPr>
              <w:t>(e)</w:t>
            </w:r>
          </w:p>
        </w:tc>
        <w:tc>
          <w:tcPr>
            <w:tcW w:w="1213" w:type="dxa"/>
            <w:tcBorders>
              <w:top w:val="single" w:sz="4" w:space="0" w:color="auto"/>
              <w:bottom w:val="single" w:sz="4" w:space="0" w:color="auto"/>
            </w:tcBorders>
            <w:shd w:val="clear" w:color="auto" w:fill="FABF8F" w:themeFill="accent6" w:themeFillTint="99"/>
            <w:vAlign w:val="center"/>
            <w:hideMark/>
          </w:tcPr>
          <w:p w:rsidR="009868F9" w:rsidRPr="009E2811" w:rsidRDefault="00DF297E" w:rsidP="009E2811">
            <w:pPr>
              <w:pStyle w:val="cuadroCabe"/>
              <w:jc w:val="right"/>
              <w:rPr>
                <w:snapToGrid w:val="0"/>
                <w:sz w:val="16"/>
                <w:szCs w:val="16"/>
              </w:rPr>
            </w:pPr>
            <w:r w:rsidRPr="009E2811">
              <w:rPr>
                <w:snapToGrid w:val="0"/>
                <w:sz w:val="16"/>
                <w:szCs w:val="16"/>
              </w:rPr>
              <w:t xml:space="preserve">Cargo </w:t>
            </w:r>
            <w:r w:rsidR="009868F9" w:rsidRPr="009E2811">
              <w:rPr>
                <w:snapToGrid w:val="0"/>
                <w:sz w:val="16"/>
                <w:szCs w:val="16"/>
              </w:rPr>
              <w:t>/nº pensionistas</w:t>
            </w:r>
          </w:p>
          <w:p w:rsidR="00E52F02" w:rsidRPr="009E2811" w:rsidRDefault="00E52F02" w:rsidP="009E2811">
            <w:pPr>
              <w:pStyle w:val="cuadroCabe"/>
              <w:jc w:val="right"/>
              <w:rPr>
                <w:snapToGrid w:val="0"/>
                <w:sz w:val="16"/>
                <w:szCs w:val="16"/>
              </w:rPr>
            </w:pPr>
            <w:r w:rsidRPr="009E2811">
              <w:rPr>
                <w:snapToGrid w:val="0"/>
                <w:sz w:val="16"/>
                <w:szCs w:val="16"/>
              </w:rPr>
              <w:t>(f)</w:t>
            </w:r>
          </w:p>
        </w:tc>
        <w:tc>
          <w:tcPr>
            <w:tcW w:w="862" w:type="dxa"/>
            <w:tcBorders>
              <w:top w:val="single" w:sz="4" w:space="0" w:color="auto"/>
              <w:bottom w:val="single" w:sz="4" w:space="0" w:color="auto"/>
            </w:tcBorders>
            <w:shd w:val="clear" w:color="auto" w:fill="FABF8F" w:themeFill="accent6" w:themeFillTint="99"/>
            <w:vAlign w:val="center"/>
          </w:tcPr>
          <w:p w:rsidR="009868F9" w:rsidRPr="009E2811" w:rsidRDefault="00E52F02" w:rsidP="009E2811">
            <w:pPr>
              <w:pStyle w:val="cuadroCabe"/>
              <w:jc w:val="right"/>
              <w:rPr>
                <w:snapToGrid w:val="0"/>
                <w:sz w:val="16"/>
                <w:szCs w:val="16"/>
              </w:rPr>
            </w:pPr>
            <w:r w:rsidRPr="009E2811">
              <w:rPr>
                <w:snapToGrid w:val="0"/>
                <w:sz w:val="16"/>
                <w:szCs w:val="16"/>
              </w:rPr>
              <w:t>Variación</w:t>
            </w:r>
          </w:p>
          <w:p w:rsidR="00E52F02" w:rsidRPr="009E2811" w:rsidRDefault="00E52F02" w:rsidP="009E2811">
            <w:pPr>
              <w:pStyle w:val="cuadroCabe"/>
              <w:jc w:val="right"/>
              <w:rPr>
                <w:snapToGrid w:val="0"/>
                <w:sz w:val="16"/>
                <w:szCs w:val="16"/>
              </w:rPr>
            </w:pPr>
            <w:r w:rsidRPr="009E2811">
              <w:rPr>
                <w:snapToGrid w:val="0"/>
                <w:sz w:val="16"/>
                <w:szCs w:val="16"/>
              </w:rPr>
              <w:t>f/c</w:t>
            </w:r>
          </w:p>
        </w:tc>
      </w:tr>
      <w:tr w:rsidR="00411190" w:rsidRPr="002342BA" w:rsidTr="00B26CC0">
        <w:trPr>
          <w:trHeight w:val="198"/>
          <w:jc w:val="center"/>
        </w:trPr>
        <w:tc>
          <w:tcPr>
            <w:tcW w:w="1397" w:type="dxa"/>
            <w:tcBorders>
              <w:top w:val="single" w:sz="4" w:space="0" w:color="auto"/>
              <w:bottom w:val="single" w:sz="2" w:space="0" w:color="auto"/>
            </w:tcBorders>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Ansoáin</w:t>
            </w:r>
          </w:p>
        </w:tc>
        <w:tc>
          <w:tcPr>
            <w:tcW w:w="939"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4.384.154</w:t>
            </w:r>
          </w:p>
        </w:tc>
        <w:tc>
          <w:tcPr>
            <w:tcW w:w="1392"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w:t>
            </w:r>
          </w:p>
        </w:tc>
        <w:tc>
          <w:tcPr>
            <w:tcW w:w="995" w:type="dxa"/>
            <w:tcBorders>
              <w:top w:val="single" w:sz="4" w:space="0" w:color="auto"/>
              <w:bottom w:val="single" w:sz="2" w:space="0" w:color="auto"/>
              <w:right w:val="single" w:sz="8"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137.005</w:t>
            </w:r>
          </w:p>
        </w:tc>
        <w:tc>
          <w:tcPr>
            <w:tcW w:w="994" w:type="dxa"/>
            <w:tcBorders>
              <w:top w:val="single" w:sz="4" w:space="0" w:color="auto"/>
              <w:left w:val="single" w:sz="8"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489.637</w:t>
            </w:r>
          </w:p>
        </w:tc>
        <w:tc>
          <w:tcPr>
            <w:tcW w:w="1090"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w:t>
            </w:r>
          </w:p>
        </w:tc>
        <w:tc>
          <w:tcPr>
            <w:tcW w:w="1213" w:type="dxa"/>
            <w:tcBorders>
              <w:top w:val="single" w:sz="4" w:space="0" w:color="auto"/>
              <w:bottom w:val="single" w:sz="2" w:space="0" w:color="auto"/>
            </w:tcBorders>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122.409</w:t>
            </w:r>
          </w:p>
        </w:tc>
        <w:tc>
          <w:tcPr>
            <w:tcW w:w="862" w:type="dxa"/>
            <w:tcBorders>
              <w:top w:val="single" w:sz="4" w:space="0" w:color="auto"/>
              <w:bottom w:val="single" w:sz="2" w:space="0" w:color="auto"/>
            </w:tcBorders>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5B69D1" w:rsidP="005B69D1">
            <w:pPr>
              <w:pStyle w:val="cuadroCabe"/>
              <w:rPr>
                <w:rFonts w:ascii="Arial Narrow" w:hAnsi="Arial Narrow"/>
                <w:i/>
                <w:snapToGrid w:val="0"/>
                <w:szCs w:val="18"/>
              </w:rPr>
            </w:pPr>
            <w:r w:rsidRPr="004A2A93">
              <w:rPr>
                <w:rFonts w:ascii="Arial Narrow" w:hAnsi="Arial Narrow"/>
                <w:i/>
                <w:snapToGrid w:val="0"/>
                <w:szCs w:val="18"/>
              </w:rPr>
              <w:t xml:space="preserve">Ayegui </w:t>
            </w:r>
            <w:r w:rsidRPr="004A2A93">
              <w:rPr>
                <w:rFonts w:ascii="Arial Narrow" w:hAnsi="Arial Narrow"/>
                <w:i/>
                <w:snapToGrid w:val="0"/>
                <w:szCs w:val="18"/>
                <w:vertAlign w:val="superscript"/>
              </w:rPr>
              <w:t>(2)</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708.329</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70.833</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41.312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20.656</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-71%</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sidRPr="004A2A93">
              <w:rPr>
                <w:rFonts w:ascii="Arial Narrow" w:hAnsi="Arial Narrow"/>
                <w:i/>
                <w:snapToGrid w:val="0"/>
                <w:szCs w:val="18"/>
              </w:rPr>
              <w:t>Aranguren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1.807.536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5</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33.473</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175.123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5</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35.025</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5%</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Barañáin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10.405.208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236.482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1.043.813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173.969</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-26%</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Berbinzana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645.188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64.519</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83.753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 </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83.753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30%</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Beriáin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726.725</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72.672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72.468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 </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72.468</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0%</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Berrioplano</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1.480.312</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74.016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193.582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96.791</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31%</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Berriozar</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2.860.029</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49.311</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323.268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5</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64.654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31%</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9E2811">
            <w:pPr>
              <w:pStyle w:val="cuadroCabe"/>
              <w:rPr>
                <w:rFonts w:ascii="Arial Narrow" w:hAnsi="Arial Narrow"/>
                <w:i/>
                <w:snapToGrid w:val="0"/>
                <w:szCs w:val="18"/>
              </w:rPr>
            </w:pPr>
            <w:r w:rsidRPr="004A2A93">
              <w:rPr>
                <w:rFonts w:ascii="Arial Narrow" w:hAnsi="Arial Narrow"/>
                <w:i/>
                <w:snapToGrid w:val="0"/>
                <w:szCs w:val="18"/>
              </w:rPr>
              <w:t>Cendea Olza</w:t>
            </w:r>
            <w:r w:rsidR="002342BA" w:rsidRPr="004A2A93">
              <w:rPr>
                <w:rFonts w:ascii="Arial Narrow" w:hAnsi="Arial Narrow"/>
                <w:i/>
                <w:snapToGrid w:val="0"/>
                <w:szCs w:val="18"/>
              </w:rPr>
              <w:t xml:space="preserve"> </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838.934</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29.962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105.909</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35.303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18%</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sidRPr="004A2A93">
              <w:rPr>
                <w:rFonts w:ascii="Arial Narrow" w:hAnsi="Arial Narrow"/>
                <w:i/>
                <w:snapToGrid w:val="0"/>
                <w:szCs w:val="18"/>
              </w:rPr>
              <w:t>Corella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6.330.016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30.000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833.164</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15</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55.544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85%</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Cortes</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4.416.753</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39.791</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532.543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10</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53.254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34%</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Irurtzun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446.661</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44.666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40.883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40.883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Lekunberri</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624.195</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62.419</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84.272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 </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84.272</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35%</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sidRPr="004A2A93">
              <w:rPr>
                <w:rFonts w:ascii="Arial Narrow" w:hAnsi="Arial Narrow"/>
                <w:i/>
                <w:snapToGrid w:val="0"/>
                <w:szCs w:val="18"/>
              </w:rPr>
              <w:t>Murchante</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2.737.816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9</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30.420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287.465</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8</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35.933</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18%</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Murillo el Fruto</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1.153.624</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52.437</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155.729</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155.729</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197%</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9E2811">
            <w:pPr>
              <w:pStyle w:val="cuadroCabe"/>
              <w:rPr>
                <w:rFonts w:ascii="Arial Narrow" w:hAnsi="Arial Narrow"/>
                <w:snapToGrid w:val="0"/>
                <w:szCs w:val="18"/>
              </w:rPr>
            </w:pPr>
            <w:r w:rsidRPr="004A2A93">
              <w:rPr>
                <w:rFonts w:ascii="Arial Narrow" w:hAnsi="Arial Narrow"/>
                <w:snapToGrid w:val="0"/>
                <w:szCs w:val="18"/>
              </w:rPr>
              <w:t>Noáin (V</w:t>
            </w:r>
            <w:r w:rsidR="009E2811">
              <w:rPr>
                <w:rFonts w:ascii="Arial Narrow" w:hAnsi="Arial Narrow"/>
                <w:snapToGrid w:val="0"/>
                <w:szCs w:val="18"/>
              </w:rPr>
              <w:t>.</w:t>
            </w:r>
            <w:r w:rsidRPr="004A2A93">
              <w:rPr>
                <w:rFonts w:ascii="Arial Narrow" w:hAnsi="Arial Narrow"/>
                <w:snapToGrid w:val="0"/>
                <w:szCs w:val="18"/>
              </w:rPr>
              <w:t>Elorz)</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1.841.164</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87.674</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177.043</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88.521</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Orkoien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1.107.062</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0</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110.706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88.240</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88.240</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-20%</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Ribaforada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2.531.386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42.190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325.988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54.331</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29%</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sidRPr="004A2A93">
              <w:rPr>
                <w:rFonts w:ascii="Arial Narrow" w:hAnsi="Arial Narrow"/>
                <w:i/>
                <w:snapToGrid w:val="0"/>
                <w:szCs w:val="18"/>
              </w:rPr>
              <w:t>Roncal</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558.337</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29.386</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76.187</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76.187</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159%</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sidRPr="004A2A93">
              <w:rPr>
                <w:rFonts w:ascii="Arial Narrow" w:hAnsi="Arial Narrow"/>
                <w:i/>
                <w:snapToGrid w:val="0"/>
                <w:szCs w:val="18"/>
              </w:rPr>
              <w:t>San Adrián</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3.880.802</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31.810</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439.382</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36.615</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15%</w:t>
            </w:r>
          </w:p>
        </w:tc>
      </w:tr>
      <w:tr w:rsidR="00411190" w:rsidRPr="007E119B"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i/>
                <w:snapToGrid w:val="0"/>
                <w:szCs w:val="18"/>
              </w:rPr>
            </w:pPr>
            <w:r w:rsidRPr="004A2A93">
              <w:rPr>
                <w:rFonts w:ascii="Arial Narrow" w:hAnsi="Arial Narrow"/>
                <w:i/>
                <w:snapToGrid w:val="0"/>
                <w:szCs w:val="18"/>
              </w:rPr>
              <w:t>Santacara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1.045.738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4</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27.519</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145.198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3</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48.399</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i/>
                <w:snapToGrid w:val="0"/>
                <w:szCs w:val="18"/>
              </w:rPr>
            </w:pPr>
            <w:r w:rsidRPr="004A2A93">
              <w:rPr>
                <w:rFonts w:ascii="Arial Narrow" w:hAnsi="Arial Narrow"/>
                <w:i/>
                <w:snapToGrid w:val="0"/>
                <w:szCs w:val="18"/>
              </w:rPr>
              <w:t>76%</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Tudela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3.063.950</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69.635</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248.840</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62.210</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Valle de Egüés</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3.515.496</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5</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78.122</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463.898</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115.974</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48%</w:t>
            </w:r>
          </w:p>
        </w:tc>
      </w:tr>
      <w:tr w:rsidR="00411190" w:rsidRPr="002342BA" w:rsidTr="00B26CC0">
        <w:trPr>
          <w:trHeight w:val="198"/>
          <w:jc w:val="center"/>
        </w:trPr>
        <w:tc>
          <w:tcPr>
            <w:tcW w:w="1397"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Villava</w:t>
            </w:r>
          </w:p>
        </w:tc>
        <w:tc>
          <w:tcPr>
            <w:tcW w:w="939"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7.573.588</w:t>
            </w:r>
          </w:p>
        </w:tc>
        <w:tc>
          <w:tcPr>
            <w:tcW w:w="1392"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12</w:t>
            </w:r>
          </w:p>
        </w:tc>
        <w:tc>
          <w:tcPr>
            <w:tcW w:w="995" w:type="dxa"/>
            <w:tcBorders>
              <w:top w:val="single" w:sz="2" w:space="0" w:color="auto"/>
              <w:bottom w:val="single" w:sz="2"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65.857</w:t>
            </w:r>
          </w:p>
        </w:tc>
        <w:tc>
          <w:tcPr>
            <w:tcW w:w="994" w:type="dxa"/>
            <w:tcBorders>
              <w:top w:val="single" w:sz="2" w:space="0" w:color="auto"/>
              <w:left w:val="single" w:sz="8"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864.895</w:t>
            </w:r>
          </w:p>
        </w:tc>
        <w:tc>
          <w:tcPr>
            <w:tcW w:w="1090"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12</w:t>
            </w:r>
          </w:p>
        </w:tc>
        <w:tc>
          <w:tcPr>
            <w:tcW w:w="1213" w:type="dxa"/>
            <w:tcBorders>
              <w:top w:val="single" w:sz="2" w:space="0" w:color="auto"/>
              <w:bottom w:val="single" w:sz="2"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72.075</w:t>
            </w:r>
          </w:p>
        </w:tc>
        <w:tc>
          <w:tcPr>
            <w:tcW w:w="862" w:type="dxa"/>
            <w:tcBorders>
              <w:top w:val="single" w:sz="2" w:space="0" w:color="auto"/>
              <w:bottom w:val="single" w:sz="2"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9%</w:t>
            </w:r>
          </w:p>
        </w:tc>
      </w:tr>
      <w:tr w:rsidR="00411190" w:rsidRPr="002342BA" w:rsidTr="00B26CC0">
        <w:trPr>
          <w:trHeight w:val="198"/>
          <w:jc w:val="center"/>
        </w:trPr>
        <w:tc>
          <w:tcPr>
            <w:tcW w:w="1397"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rPr>
                <w:rFonts w:ascii="Arial Narrow" w:hAnsi="Arial Narrow"/>
                <w:snapToGrid w:val="0"/>
                <w:szCs w:val="18"/>
              </w:rPr>
            </w:pPr>
            <w:r w:rsidRPr="004A2A93">
              <w:rPr>
                <w:rFonts w:ascii="Arial Narrow" w:hAnsi="Arial Narrow"/>
                <w:snapToGrid w:val="0"/>
                <w:szCs w:val="18"/>
              </w:rPr>
              <w:t>Zizur Mayor</w:t>
            </w:r>
          </w:p>
        </w:tc>
        <w:tc>
          <w:tcPr>
            <w:tcW w:w="939"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2.732.782</w:t>
            </w:r>
          </w:p>
        </w:tc>
        <w:tc>
          <w:tcPr>
            <w:tcW w:w="1392"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0</w:t>
            </w:r>
          </w:p>
        </w:tc>
        <w:tc>
          <w:tcPr>
            <w:tcW w:w="995" w:type="dxa"/>
            <w:tcBorders>
              <w:top w:val="single" w:sz="2" w:space="0" w:color="auto"/>
              <w:bottom w:val="single" w:sz="4" w:space="0" w:color="auto"/>
              <w:right w:val="single" w:sz="8"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273.278</w:t>
            </w:r>
          </w:p>
        </w:tc>
        <w:tc>
          <w:tcPr>
            <w:tcW w:w="994" w:type="dxa"/>
            <w:tcBorders>
              <w:top w:val="single" w:sz="2" w:space="0" w:color="auto"/>
              <w:left w:val="single" w:sz="8"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270.064</w:t>
            </w:r>
          </w:p>
        </w:tc>
        <w:tc>
          <w:tcPr>
            <w:tcW w:w="1090"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 </w:t>
            </w:r>
          </w:p>
        </w:tc>
        <w:tc>
          <w:tcPr>
            <w:tcW w:w="1213" w:type="dxa"/>
            <w:tcBorders>
              <w:top w:val="single" w:sz="2" w:space="0" w:color="auto"/>
              <w:bottom w:val="single" w:sz="4" w:space="0" w:color="auto"/>
            </w:tcBorders>
            <w:shd w:val="clear" w:color="auto" w:fill="FFFFFF" w:themeFill="background1"/>
            <w:noWrap/>
            <w:vAlign w:val="center"/>
            <w:hideMark/>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270.064</w:t>
            </w:r>
          </w:p>
        </w:tc>
        <w:tc>
          <w:tcPr>
            <w:tcW w:w="862" w:type="dxa"/>
            <w:tcBorders>
              <w:top w:val="single" w:sz="2" w:space="0" w:color="auto"/>
              <w:bottom w:val="single" w:sz="4" w:space="0" w:color="auto"/>
            </w:tcBorders>
            <w:shd w:val="clear" w:color="auto" w:fill="FFFFFF" w:themeFill="background1"/>
            <w:vAlign w:val="center"/>
          </w:tcPr>
          <w:p w:rsidR="009868F9" w:rsidRPr="004A2A93" w:rsidRDefault="009868F9" w:rsidP="002342BA">
            <w:pPr>
              <w:pStyle w:val="cuadroCabe"/>
              <w:jc w:val="right"/>
              <w:rPr>
                <w:rFonts w:ascii="Arial Narrow" w:hAnsi="Arial Narrow"/>
                <w:snapToGrid w:val="0"/>
                <w:szCs w:val="18"/>
              </w:rPr>
            </w:pPr>
            <w:r w:rsidRPr="004A2A93">
              <w:rPr>
                <w:rFonts w:ascii="Arial Narrow" w:hAnsi="Arial Narrow"/>
                <w:snapToGrid w:val="0"/>
                <w:szCs w:val="18"/>
              </w:rPr>
              <w:t>-1%</w:t>
            </w:r>
          </w:p>
        </w:tc>
      </w:tr>
    </w:tbl>
    <w:p w:rsidR="009868F9" w:rsidRPr="009E2811" w:rsidRDefault="00F867D3" w:rsidP="00F867D3">
      <w:pPr>
        <w:spacing w:before="60" w:after="0"/>
        <w:ind w:left="-74" w:firstLine="0"/>
        <w:rPr>
          <w:rFonts w:ascii="Arial" w:hAnsi="Arial" w:cs="Arial"/>
          <w:sz w:val="16"/>
          <w:szCs w:val="16"/>
        </w:rPr>
      </w:pPr>
      <w:r>
        <w:rPr>
          <w:rFonts w:ascii="Arial" w:hAnsi="Arial" w:cs="Arial"/>
          <w:sz w:val="16"/>
          <w:szCs w:val="16"/>
        </w:rPr>
        <w:t xml:space="preserve">(1) </w:t>
      </w:r>
      <w:r w:rsidR="009868F9" w:rsidRPr="009E2811">
        <w:rPr>
          <w:rFonts w:ascii="Arial" w:hAnsi="Arial" w:cs="Arial"/>
          <w:sz w:val="16"/>
          <w:szCs w:val="16"/>
        </w:rPr>
        <w:t>Si no hay pasivos o es menor que uno, ponemos la media anual de déficit</w:t>
      </w:r>
    </w:p>
    <w:p w:rsidR="002F064E" w:rsidRPr="00F867D3" w:rsidRDefault="00F867D3" w:rsidP="00F867D3">
      <w:pPr>
        <w:spacing w:before="60" w:after="0"/>
        <w:ind w:left="-74" w:firstLine="0"/>
        <w:rPr>
          <w:rFonts w:ascii="Arial" w:hAnsi="Arial" w:cs="Arial"/>
          <w:sz w:val="16"/>
          <w:szCs w:val="16"/>
        </w:rPr>
      </w:pPr>
      <w:r>
        <w:rPr>
          <w:rFonts w:ascii="Arial" w:hAnsi="Arial" w:cs="Arial"/>
          <w:sz w:val="16"/>
          <w:szCs w:val="16"/>
        </w:rPr>
        <w:t xml:space="preserve">(2) </w:t>
      </w:r>
      <w:r w:rsidR="002F064E" w:rsidRPr="004A2A93">
        <w:rPr>
          <w:rFonts w:ascii="Arial" w:hAnsi="Arial" w:cs="Arial"/>
          <w:sz w:val="16"/>
          <w:szCs w:val="16"/>
        </w:rPr>
        <w:t>En cursiva las entidades cuyo cargo por pasivo no supera los 35.000€ en la media o en el año 2015</w:t>
      </w:r>
      <w:r w:rsidR="002F064E" w:rsidRPr="00F867D3">
        <w:rPr>
          <w:rFonts w:ascii="Arial" w:hAnsi="Arial" w:cs="Arial"/>
          <w:sz w:val="16"/>
          <w:szCs w:val="16"/>
        </w:rPr>
        <w:t>.</w:t>
      </w:r>
    </w:p>
    <w:p w:rsidR="002F064E" w:rsidRPr="002F064E" w:rsidRDefault="002F064E" w:rsidP="002F064E">
      <w:pPr>
        <w:spacing w:after="0"/>
        <w:ind w:left="360" w:firstLine="0"/>
        <w:rPr>
          <w:rFonts w:ascii="Arial" w:eastAsiaTheme="minorHAnsi" w:hAnsi="Arial" w:cs="Arial"/>
          <w:sz w:val="16"/>
          <w:szCs w:val="16"/>
        </w:rPr>
      </w:pPr>
    </w:p>
    <w:p w:rsidR="009868F9" w:rsidRPr="009868F9" w:rsidRDefault="009868F9" w:rsidP="00DF297E">
      <w:pPr>
        <w:pStyle w:val="texto"/>
        <w:spacing w:before="240"/>
        <w:rPr>
          <w:szCs w:val="26"/>
        </w:rPr>
      </w:pPr>
      <w:r w:rsidRPr="009868F9">
        <w:rPr>
          <w:szCs w:val="26"/>
        </w:rPr>
        <w:t>Como puede verse, en 2015 hay veinte entidades que superan el importe de 35.000 euros por pensionista, además de otras cuatro que superan este importe sin tener pensionistas en 2015. Los importes máximos se sitúan en Zizur M</w:t>
      </w:r>
      <w:r w:rsidRPr="009868F9">
        <w:rPr>
          <w:szCs w:val="26"/>
        </w:rPr>
        <w:t>a</w:t>
      </w:r>
      <w:r w:rsidRPr="009868F9">
        <w:rPr>
          <w:szCs w:val="26"/>
        </w:rPr>
        <w:t xml:space="preserve">yor, 270.064 euros sin contar </w:t>
      </w:r>
      <w:r w:rsidR="006131C7">
        <w:rPr>
          <w:szCs w:val="26"/>
        </w:rPr>
        <w:t>con pensionista; y Barañá</w:t>
      </w:r>
      <w:r w:rsidRPr="009868F9">
        <w:rPr>
          <w:szCs w:val="26"/>
        </w:rPr>
        <w:t>in y Murillo el Fruto con 173.969 y 155.729, respectivamente.</w:t>
      </w:r>
    </w:p>
    <w:p w:rsidR="009868F9" w:rsidRPr="009868F9" w:rsidRDefault="009868F9" w:rsidP="0077337B">
      <w:pPr>
        <w:pStyle w:val="texto"/>
        <w:rPr>
          <w:szCs w:val="26"/>
        </w:rPr>
      </w:pPr>
      <w:r w:rsidRPr="009868F9">
        <w:rPr>
          <w:szCs w:val="26"/>
        </w:rPr>
        <w:t>En siete ayuntamientos el importe en 2015 supera los 35.000 euros, aunque no en la media del periodo, y en un caso lo hace en la media del periodo y no en el año 2015.</w:t>
      </w:r>
    </w:p>
    <w:p w:rsidR="009868F9" w:rsidRPr="009868F9" w:rsidRDefault="003A4DA2" w:rsidP="0077337B">
      <w:pPr>
        <w:pStyle w:val="texto"/>
        <w:rPr>
          <w:szCs w:val="26"/>
        </w:rPr>
      </w:pPr>
      <w:r>
        <w:rPr>
          <w:szCs w:val="26"/>
        </w:rPr>
        <w:t>Los mayores porcentajes de incremento en 2015 sobre la media del periodo, con porcentajes que oscilan entre el 48 y el 197 por cien, se producen en cinco ayuntamientos</w:t>
      </w:r>
      <w:r w:rsidR="009868F9" w:rsidRPr="009868F9">
        <w:rPr>
          <w:szCs w:val="26"/>
        </w:rPr>
        <w:t>.</w:t>
      </w:r>
    </w:p>
    <w:p w:rsidR="0017656E" w:rsidRPr="0017656E" w:rsidRDefault="0017656E" w:rsidP="0017656E">
      <w:pPr>
        <w:pStyle w:val="texto"/>
        <w:rPr>
          <w:szCs w:val="26"/>
        </w:rPr>
      </w:pPr>
      <w:bookmarkStart w:id="15" w:name="_Toc482946246"/>
    </w:p>
    <w:p w:rsidR="009868F9" w:rsidRPr="009868F9" w:rsidRDefault="009868F9" w:rsidP="009868F9">
      <w:pPr>
        <w:pStyle w:val="atitulo2"/>
        <w:spacing w:before="240"/>
      </w:pPr>
      <w:r w:rsidRPr="009868F9">
        <w:lastRenderedPageBreak/>
        <w:t>IV.3. Sobre el efecto de los activos en el reparto del déficit</w:t>
      </w:r>
      <w:bookmarkEnd w:id="15"/>
    </w:p>
    <w:p w:rsidR="009868F9" w:rsidRDefault="003A4DA2" w:rsidP="0077337B">
      <w:pPr>
        <w:pStyle w:val="texto"/>
        <w:rPr>
          <w:szCs w:val="26"/>
        </w:rPr>
      </w:pPr>
      <w:r w:rsidRPr="00FB1FFE">
        <w:rPr>
          <w:b/>
          <w:szCs w:val="26"/>
        </w:rPr>
        <w:t>8</w:t>
      </w:r>
      <w:r w:rsidR="00FB1FFE" w:rsidRPr="00FB1FFE">
        <w:rPr>
          <w:b/>
          <w:szCs w:val="26"/>
        </w:rPr>
        <w:t>.</w:t>
      </w:r>
      <w:r w:rsidR="009868F9" w:rsidRPr="00FB1FFE">
        <w:rPr>
          <w:b/>
          <w:szCs w:val="26"/>
        </w:rPr>
        <w:t>ª</w:t>
      </w:r>
      <w:r w:rsidR="009868F9" w:rsidRPr="009868F9">
        <w:rPr>
          <w:szCs w:val="26"/>
        </w:rPr>
        <w:t xml:space="preserve"> El gasto de pensiones del grupo “subalternos y administrativos” se repa</w:t>
      </w:r>
      <w:r w:rsidR="009868F9" w:rsidRPr="009868F9">
        <w:rPr>
          <w:szCs w:val="26"/>
        </w:rPr>
        <w:t>r</w:t>
      </w:r>
      <w:r w:rsidR="009868F9" w:rsidRPr="009868F9">
        <w:rPr>
          <w:szCs w:val="26"/>
        </w:rPr>
        <w:t xml:space="preserve">te entre los ayuntamientos, en proporción al número de activos que tenga cada ayuntamiento en cada una de estas categorías. </w:t>
      </w:r>
    </w:p>
    <w:p w:rsidR="009868F9" w:rsidRPr="009868F9" w:rsidRDefault="009868F9" w:rsidP="004124D0">
      <w:pPr>
        <w:pStyle w:val="texto"/>
        <w:spacing w:after="240"/>
        <w:rPr>
          <w:szCs w:val="26"/>
        </w:rPr>
      </w:pPr>
      <w:r w:rsidRPr="009868F9">
        <w:rPr>
          <w:szCs w:val="26"/>
        </w:rPr>
        <w:t>El déficit para cada uno de estos dos grupos ascendió a:</w:t>
      </w:r>
    </w:p>
    <w:tbl>
      <w:tblPr>
        <w:tblW w:w="8758" w:type="dxa"/>
        <w:jc w:val="center"/>
        <w:tblCellMar>
          <w:left w:w="70" w:type="dxa"/>
          <w:right w:w="70" w:type="dxa"/>
        </w:tblCellMar>
        <w:tblLook w:val="04A0" w:firstRow="1" w:lastRow="0" w:firstColumn="1" w:lastColumn="0" w:noHBand="0" w:noVBand="1"/>
      </w:tblPr>
      <w:tblGrid>
        <w:gridCol w:w="1009"/>
        <w:gridCol w:w="753"/>
        <w:gridCol w:w="768"/>
        <w:gridCol w:w="705"/>
        <w:gridCol w:w="806"/>
        <w:gridCol w:w="708"/>
        <w:gridCol w:w="831"/>
        <w:gridCol w:w="724"/>
        <w:gridCol w:w="904"/>
        <w:gridCol w:w="775"/>
        <w:gridCol w:w="775"/>
      </w:tblGrid>
      <w:tr w:rsidR="00A74407" w:rsidRPr="0048437F" w:rsidTr="00B26CC0">
        <w:trPr>
          <w:trHeight w:val="255"/>
          <w:jc w:val="center"/>
        </w:trPr>
        <w:tc>
          <w:tcPr>
            <w:tcW w:w="1009" w:type="dxa"/>
            <w:tcBorders>
              <w:top w:val="single" w:sz="4" w:space="0" w:color="auto"/>
              <w:bottom w:val="single" w:sz="4" w:space="0" w:color="auto"/>
            </w:tcBorders>
            <w:shd w:val="clear" w:color="auto" w:fill="FABF8F" w:themeFill="accent6" w:themeFillTint="99"/>
            <w:vAlign w:val="center"/>
            <w:hideMark/>
          </w:tcPr>
          <w:p w:rsidR="009868F9" w:rsidRPr="0048437F" w:rsidRDefault="009868F9" w:rsidP="002342BA">
            <w:pPr>
              <w:pStyle w:val="cuadroCabe"/>
              <w:rPr>
                <w:snapToGrid w:val="0"/>
                <w:sz w:val="16"/>
                <w:szCs w:val="16"/>
              </w:rPr>
            </w:pPr>
            <w:r w:rsidRPr="0048437F">
              <w:rPr>
                <w:snapToGrid w:val="0"/>
                <w:sz w:val="16"/>
                <w:szCs w:val="16"/>
              </w:rPr>
              <w:t xml:space="preserve">Déficit </w:t>
            </w:r>
          </w:p>
        </w:tc>
        <w:tc>
          <w:tcPr>
            <w:tcW w:w="753"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2006</w:t>
            </w:r>
          </w:p>
        </w:tc>
        <w:tc>
          <w:tcPr>
            <w:tcW w:w="768"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2007</w:t>
            </w:r>
          </w:p>
        </w:tc>
        <w:tc>
          <w:tcPr>
            <w:tcW w:w="705"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2008</w:t>
            </w:r>
          </w:p>
        </w:tc>
        <w:tc>
          <w:tcPr>
            <w:tcW w:w="806"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2009</w:t>
            </w:r>
          </w:p>
        </w:tc>
        <w:tc>
          <w:tcPr>
            <w:tcW w:w="708"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2010</w:t>
            </w:r>
          </w:p>
        </w:tc>
        <w:tc>
          <w:tcPr>
            <w:tcW w:w="831"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2011</w:t>
            </w:r>
          </w:p>
        </w:tc>
        <w:tc>
          <w:tcPr>
            <w:tcW w:w="724"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2012</w:t>
            </w:r>
          </w:p>
        </w:tc>
        <w:tc>
          <w:tcPr>
            <w:tcW w:w="904"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2013</w:t>
            </w:r>
          </w:p>
        </w:tc>
        <w:tc>
          <w:tcPr>
            <w:tcW w:w="775"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2014</w:t>
            </w:r>
          </w:p>
        </w:tc>
        <w:tc>
          <w:tcPr>
            <w:tcW w:w="775" w:type="dxa"/>
            <w:tcBorders>
              <w:top w:val="single" w:sz="4" w:space="0" w:color="auto"/>
              <w:bottom w:val="single" w:sz="4" w:space="0" w:color="auto"/>
            </w:tcBorders>
            <w:shd w:val="clear" w:color="auto" w:fill="FABF8F" w:themeFill="accent6" w:themeFillTint="99"/>
            <w:noWrap/>
            <w:vAlign w:val="center"/>
            <w:hideMark/>
          </w:tcPr>
          <w:p w:rsidR="009868F9" w:rsidRPr="0048437F" w:rsidRDefault="009868F9" w:rsidP="00A74407">
            <w:pPr>
              <w:pStyle w:val="cuadroCabe"/>
              <w:jc w:val="right"/>
              <w:rPr>
                <w:snapToGrid w:val="0"/>
                <w:sz w:val="16"/>
                <w:szCs w:val="16"/>
              </w:rPr>
            </w:pPr>
            <w:r w:rsidRPr="0048437F">
              <w:rPr>
                <w:snapToGrid w:val="0"/>
                <w:sz w:val="16"/>
                <w:szCs w:val="16"/>
              </w:rPr>
              <w:t>2015</w:t>
            </w:r>
          </w:p>
        </w:tc>
      </w:tr>
      <w:tr w:rsidR="009868F9" w:rsidRPr="0048437F" w:rsidTr="00B26CC0">
        <w:trPr>
          <w:trHeight w:val="227"/>
          <w:jc w:val="center"/>
        </w:trPr>
        <w:tc>
          <w:tcPr>
            <w:tcW w:w="1009" w:type="dxa"/>
            <w:tcBorders>
              <w:top w:val="single" w:sz="4" w:space="0" w:color="auto"/>
              <w:bottom w:val="single" w:sz="2" w:space="0" w:color="auto"/>
            </w:tcBorders>
            <w:vAlign w:val="center"/>
            <w:hideMark/>
          </w:tcPr>
          <w:p w:rsidR="009868F9" w:rsidRPr="0048437F" w:rsidRDefault="009868F9" w:rsidP="002342BA">
            <w:pPr>
              <w:pStyle w:val="cuadroCabe"/>
              <w:rPr>
                <w:rFonts w:ascii="Arial Narrow" w:hAnsi="Arial Narrow"/>
                <w:snapToGrid w:val="0"/>
                <w:sz w:val="14"/>
                <w:szCs w:val="14"/>
              </w:rPr>
            </w:pPr>
            <w:r w:rsidRPr="0048437F">
              <w:rPr>
                <w:rFonts w:ascii="Arial Narrow" w:hAnsi="Arial Narrow"/>
                <w:snapToGrid w:val="0"/>
                <w:sz w:val="14"/>
                <w:szCs w:val="14"/>
              </w:rPr>
              <w:t>Administrativos</w:t>
            </w:r>
          </w:p>
        </w:tc>
        <w:tc>
          <w:tcPr>
            <w:tcW w:w="753"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1.817.989</w:t>
            </w:r>
          </w:p>
        </w:tc>
        <w:tc>
          <w:tcPr>
            <w:tcW w:w="768"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1.836.731</w:t>
            </w:r>
          </w:p>
        </w:tc>
        <w:tc>
          <w:tcPr>
            <w:tcW w:w="705"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2.045.127</w:t>
            </w:r>
          </w:p>
        </w:tc>
        <w:tc>
          <w:tcPr>
            <w:tcW w:w="806"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2.103.059</w:t>
            </w:r>
          </w:p>
        </w:tc>
        <w:tc>
          <w:tcPr>
            <w:tcW w:w="708"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2.211.406</w:t>
            </w:r>
          </w:p>
        </w:tc>
        <w:tc>
          <w:tcPr>
            <w:tcW w:w="831"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2.397.712</w:t>
            </w:r>
          </w:p>
        </w:tc>
        <w:tc>
          <w:tcPr>
            <w:tcW w:w="724"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2.348.727</w:t>
            </w:r>
          </w:p>
        </w:tc>
        <w:tc>
          <w:tcPr>
            <w:tcW w:w="904"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2.369.916</w:t>
            </w:r>
          </w:p>
        </w:tc>
        <w:tc>
          <w:tcPr>
            <w:tcW w:w="775"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2.420.874</w:t>
            </w:r>
          </w:p>
        </w:tc>
        <w:tc>
          <w:tcPr>
            <w:tcW w:w="775" w:type="dxa"/>
            <w:tcBorders>
              <w:top w:val="single" w:sz="4"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2.558.147</w:t>
            </w:r>
          </w:p>
        </w:tc>
      </w:tr>
      <w:tr w:rsidR="009868F9" w:rsidRPr="0048437F" w:rsidTr="00B26CC0">
        <w:trPr>
          <w:trHeight w:val="227"/>
          <w:jc w:val="center"/>
        </w:trPr>
        <w:tc>
          <w:tcPr>
            <w:tcW w:w="1009" w:type="dxa"/>
            <w:tcBorders>
              <w:top w:val="single" w:sz="2" w:space="0" w:color="auto"/>
              <w:bottom w:val="single" w:sz="2" w:space="0" w:color="auto"/>
            </w:tcBorders>
            <w:vAlign w:val="center"/>
            <w:hideMark/>
          </w:tcPr>
          <w:p w:rsidR="009868F9" w:rsidRPr="0048437F" w:rsidRDefault="009868F9" w:rsidP="002342BA">
            <w:pPr>
              <w:pStyle w:val="cuadroCabe"/>
              <w:rPr>
                <w:rFonts w:ascii="Arial Narrow" w:hAnsi="Arial Narrow"/>
                <w:snapToGrid w:val="0"/>
                <w:sz w:val="14"/>
                <w:szCs w:val="14"/>
              </w:rPr>
            </w:pPr>
            <w:r w:rsidRPr="0048437F">
              <w:rPr>
                <w:rFonts w:ascii="Arial Narrow" w:hAnsi="Arial Narrow"/>
                <w:snapToGrid w:val="0"/>
                <w:sz w:val="14"/>
                <w:szCs w:val="14"/>
              </w:rPr>
              <w:t>Subalternos</w:t>
            </w:r>
          </w:p>
        </w:tc>
        <w:tc>
          <w:tcPr>
            <w:tcW w:w="753"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6.844.309</w:t>
            </w:r>
          </w:p>
        </w:tc>
        <w:tc>
          <w:tcPr>
            <w:tcW w:w="768"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7.077.308</w:t>
            </w:r>
          </w:p>
        </w:tc>
        <w:tc>
          <w:tcPr>
            <w:tcW w:w="705"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7.631.346</w:t>
            </w:r>
          </w:p>
        </w:tc>
        <w:tc>
          <w:tcPr>
            <w:tcW w:w="806"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7.558.577</w:t>
            </w:r>
          </w:p>
        </w:tc>
        <w:tc>
          <w:tcPr>
            <w:tcW w:w="708"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7.438.788</w:t>
            </w:r>
          </w:p>
        </w:tc>
        <w:tc>
          <w:tcPr>
            <w:tcW w:w="831"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7.606.700</w:t>
            </w:r>
          </w:p>
        </w:tc>
        <w:tc>
          <w:tcPr>
            <w:tcW w:w="724"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7.532.456</w:t>
            </w:r>
          </w:p>
        </w:tc>
        <w:tc>
          <w:tcPr>
            <w:tcW w:w="904"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7.570.304</w:t>
            </w:r>
          </w:p>
        </w:tc>
        <w:tc>
          <w:tcPr>
            <w:tcW w:w="775"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7.626.009</w:t>
            </w:r>
          </w:p>
        </w:tc>
        <w:tc>
          <w:tcPr>
            <w:tcW w:w="775" w:type="dxa"/>
            <w:tcBorders>
              <w:top w:val="single" w:sz="2" w:space="0" w:color="auto"/>
              <w:bottom w:val="single" w:sz="2"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7.675.464</w:t>
            </w:r>
          </w:p>
        </w:tc>
      </w:tr>
      <w:tr w:rsidR="009868F9" w:rsidRPr="0048437F" w:rsidTr="00B26CC0">
        <w:trPr>
          <w:trHeight w:val="227"/>
          <w:jc w:val="center"/>
        </w:trPr>
        <w:tc>
          <w:tcPr>
            <w:tcW w:w="1009" w:type="dxa"/>
            <w:tcBorders>
              <w:top w:val="single" w:sz="2" w:space="0" w:color="auto"/>
              <w:bottom w:val="single" w:sz="4" w:space="0" w:color="auto"/>
            </w:tcBorders>
            <w:vAlign w:val="center"/>
            <w:hideMark/>
          </w:tcPr>
          <w:p w:rsidR="009868F9" w:rsidRPr="0048437F" w:rsidRDefault="003A4DA2" w:rsidP="003A4DA2">
            <w:pPr>
              <w:pStyle w:val="cuadroCabe"/>
              <w:rPr>
                <w:rFonts w:ascii="Arial Narrow" w:hAnsi="Arial Narrow"/>
                <w:snapToGrid w:val="0"/>
                <w:sz w:val="14"/>
                <w:szCs w:val="14"/>
              </w:rPr>
            </w:pPr>
            <w:r w:rsidRPr="0048437F">
              <w:rPr>
                <w:rFonts w:ascii="Arial Narrow" w:hAnsi="Arial Narrow"/>
                <w:snapToGrid w:val="0"/>
                <w:sz w:val="14"/>
                <w:szCs w:val="14"/>
              </w:rPr>
              <w:t>Subtotal</w:t>
            </w:r>
            <w:r w:rsidR="009868F9" w:rsidRPr="0048437F">
              <w:rPr>
                <w:rFonts w:ascii="Arial Narrow" w:hAnsi="Arial Narrow"/>
                <w:snapToGrid w:val="0"/>
                <w:sz w:val="14"/>
                <w:szCs w:val="14"/>
              </w:rPr>
              <w:t xml:space="preserve"> </w:t>
            </w:r>
            <w:r w:rsidR="000A55F1" w:rsidRPr="0048437F">
              <w:rPr>
                <w:rFonts w:ascii="Arial Narrow" w:hAnsi="Arial Narrow"/>
                <w:snapToGrid w:val="0"/>
                <w:sz w:val="14"/>
                <w:szCs w:val="14"/>
              </w:rPr>
              <w:t>d</w:t>
            </w:r>
            <w:r w:rsidR="009868F9" w:rsidRPr="0048437F">
              <w:rPr>
                <w:rFonts w:ascii="Arial Narrow" w:hAnsi="Arial Narrow"/>
                <w:snapToGrid w:val="0"/>
                <w:sz w:val="14"/>
                <w:szCs w:val="14"/>
              </w:rPr>
              <w:t>éfici</w:t>
            </w:r>
            <w:r w:rsidRPr="0048437F">
              <w:rPr>
                <w:rFonts w:ascii="Arial Narrow" w:hAnsi="Arial Narrow"/>
                <w:snapToGrid w:val="0"/>
                <w:sz w:val="14"/>
                <w:szCs w:val="14"/>
              </w:rPr>
              <w:t>t por administr</w:t>
            </w:r>
            <w:r w:rsidRPr="0048437F">
              <w:rPr>
                <w:rFonts w:ascii="Arial Narrow" w:hAnsi="Arial Narrow"/>
                <w:snapToGrid w:val="0"/>
                <w:sz w:val="14"/>
                <w:szCs w:val="14"/>
              </w:rPr>
              <w:t>a</w:t>
            </w:r>
            <w:r w:rsidRPr="0048437F">
              <w:rPr>
                <w:rFonts w:ascii="Arial Narrow" w:hAnsi="Arial Narrow"/>
                <w:snapToGrid w:val="0"/>
                <w:sz w:val="14"/>
                <w:szCs w:val="14"/>
              </w:rPr>
              <w:t>tivos y suba</w:t>
            </w:r>
            <w:r w:rsidRPr="0048437F">
              <w:rPr>
                <w:rFonts w:ascii="Arial Narrow" w:hAnsi="Arial Narrow"/>
                <w:snapToGrid w:val="0"/>
                <w:sz w:val="14"/>
                <w:szCs w:val="14"/>
              </w:rPr>
              <w:t>l</w:t>
            </w:r>
            <w:r w:rsidRPr="0048437F">
              <w:rPr>
                <w:rFonts w:ascii="Arial Narrow" w:hAnsi="Arial Narrow"/>
                <w:snapToGrid w:val="0"/>
                <w:sz w:val="14"/>
                <w:szCs w:val="14"/>
              </w:rPr>
              <w:t>ternos</w:t>
            </w:r>
          </w:p>
        </w:tc>
        <w:tc>
          <w:tcPr>
            <w:tcW w:w="753"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8.662.298</w:t>
            </w:r>
          </w:p>
        </w:tc>
        <w:tc>
          <w:tcPr>
            <w:tcW w:w="768"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8.914.039</w:t>
            </w:r>
          </w:p>
        </w:tc>
        <w:tc>
          <w:tcPr>
            <w:tcW w:w="705"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9.676.474</w:t>
            </w:r>
          </w:p>
        </w:tc>
        <w:tc>
          <w:tcPr>
            <w:tcW w:w="806"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9.661.636</w:t>
            </w:r>
          </w:p>
        </w:tc>
        <w:tc>
          <w:tcPr>
            <w:tcW w:w="708"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9.650.194</w:t>
            </w:r>
          </w:p>
        </w:tc>
        <w:tc>
          <w:tcPr>
            <w:tcW w:w="831"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10.004.412</w:t>
            </w:r>
          </w:p>
        </w:tc>
        <w:tc>
          <w:tcPr>
            <w:tcW w:w="724"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9.881.183</w:t>
            </w:r>
          </w:p>
        </w:tc>
        <w:tc>
          <w:tcPr>
            <w:tcW w:w="904"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9.940.220</w:t>
            </w:r>
          </w:p>
        </w:tc>
        <w:tc>
          <w:tcPr>
            <w:tcW w:w="775"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10.046.882</w:t>
            </w:r>
          </w:p>
        </w:tc>
        <w:tc>
          <w:tcPr>
            <w:tcW w:w="775" w:type="dxa"/>
            <w:tcBorders>
              <w:top w:val="single" w:sz="2" w:space="0" w:color="auto"/>
              <w:bottom w:val="single" w:sz="4" w:space="0" w:color="auto"/>
            </w:tcBorders>
            <w:noWrap/>
            <w:vAlign w:val="center"/>
            <w:hideMark/>
          </w:tcPr>
          <w:p w:rsidR="009868F9" w:rsidRPr="0048437F" w:rsidRDefault="009868F9" w:rsidP="00A74407">
            <w:pPr>
              <w:pStyle w:val="cuadroCabe"/>
              <w:jc w:val="right"/>
              <w:rPr>
                <w:rFonts w:ascii="Arial Narrow" w:hAnsi="Arial Narrow"/>
                <w:snapToGrid w:val="0"/>
                <w:sz w:val="14"/>
                <w:szCs w:val="14"/>
              </w:rPr>
            </w:pPr>
            <w:r w:rsidRPr="0048437F">
              <w:rPr>
                <w:rFonts w:ascii="Arial Narrow" w:hAnsi="Arial Narrow"/>
                <w:snapToGrid w:val="0"/>
                <w:sz w:val="14"/>
                <w:szCs w:val="14"/>
              </w:rPr>
              <w:t>10.233.611</w:t>
            </w:r>
          </w:p>
        </w:tc>
      </w:tr>
    </w:tbl>
    <w:p w:rsidR="009868F9" w:rsidRPr="009868F9" w:rsidRDefault="009868F9" w:rsidP="004124D0">
      <w:pPr>
        <w:pStyle w:val="texto"/>
        <w:spacing w:before="240"/>
        <w:rPr>
          <w:szCs w:val="26"/>
        </w:rPr>
      </w:pPr>
      <w:r w:rsidRPr="009868F9">
        <w:rPr>
          <w:szCs w:val="26"/>
        </w:rPr>
        <w:t>Es decir</w:t>
      </w:r>
      <w:r w:rsidR="000058FB">
        <w:rPr>
          <w:szCs w:val="26"/>
        </w:rPr>
        <w:t>,</w:t>
      </w:r>
      <w:r w:rsidRPr="009868F9">
        <w:rPr>
          <w:szCs w:val="26"/>
        </w:rPr>
        <w:t xml:space="preserve"> de los 18,1 millones de déficit del </w:t>
      </w:r>
      <w:r w:rsidR="00B04729">
        <w:rPr>
          <w:szCs w:val="26"/>
        </w:rPr>
        <w:t>Montepío</w:t>
      </w:r>
      <w:r w:rsidRPr="009868F9">
        <w:rPr>
          <w:szCs w:val="26"/>
        </w:rPr>
        <w:t>, el grupo de los adm</w:t>
      </w:r>
      <w:r w:rsidRPr="009868F9">
        <w:rPr>
          <w:szCs w:val="26"/>
        </w:rPr>
        <w:t>i</w:t>
      </w:r>
      <w:r w:rsidRPr="009868F9">
        <w:rPr>
          <w:szCs w:val="26"/>
        </w:rPr>
        <w:t>nistrativos representa el 14 por ciento y el de los subalternos supone el 42 por ciento.</w:t>
      </w:r>
    </w:p>
    <w:p w:rsidR="009868F9" w:rsidRDefault="009868F9" w:rsidP="0077337B">
      <w:pPr>
        <w:pStyle w:val="texto"/>
        <w:rPr>
          <w:szCs w:val="26"/>
        </w:rPr>
      </w:pPr>
      <w:r w:rsidRPr="009868F9">
        <w:rPr>
          <w:szCs w:val="26"/>
        </w:rPr>
        <w:t>El número de activos de estas dos categorías se redujo a la mitad en el peri</w:t>
      </w:r>
      <w:r w:rsidRPr="009868F9">
        <w:rPr>
          <w:szCs w:val="26"/>
        </w:rPr>
        <w:t>o</w:t>
      </w:r>
      <w:r w:rsidRPr="009868F9">
        <w:rPr>
          <w:szCs w:val="26"/>
        </w:rPr>
        <w:t>do de 2006 a 2015:</w:t>
      </w:r>
    </w:p>
    <w:tbl>
      <w:tblPr>
        <w:tblW w:w="8856" w:type="dxa"/>
        <w:jc w:val="center"/>
        <w:tblCellMar>
          <w:left w:w="70" w:type="dxa"/>
          <w:right w:w="70" w:type="dxa"/>
        </w:tblCellMar>
        <w:tblLook w:val="04A0" w:firstRow="1" w:lastRow="0" w:firstColumn="1" w:lastColumn="0" w:noHBand="0" w:noVBand="1"/>
      </w:tblPr>
      <w:tblGrid>
        <w:gridCol w:w="1812"/>
        <w:gridCol w:w="680"/>
        <w:gridCol w:w="680"/>
        <w:gridCol w:w="680"/>
        <w:gridCol w:w="680"/>
        <w:gridCol w:w="680"/>
        <w:gridCol w:w="680"/>
        <w:gridCol w:w="680"/>
        <w:gridCol w:w="680"/>
        <w:gridCol w:w="824"/>
        <w:gridCol w:w="780"/>
      </w:tblGrid>
      <w:tr w:rsidR="00B26CC0" w:rsidRPr="00A74407" w:rsidTr="00B26CC0">
        <w:trPr>
          <w:trHeight w:val="255"/>
          <w:jc w:val="center"/>
        </w:trPr>
        <w:tc>
          <w:tcPr>
            <w:tcW w:w="1812" w:type="dxa"/>
            <w:tcBorders>
              <w:top w:val="single" w:sz="4" w:space="0" w:color="auto"/>
            </w:tcBorders>
            <w:shd w:val="clear" w:color="auto" w:fill="FABF8F" w:themeFill="accent6" w:themeFillTint="99"/>
            <w:noWrap/>
            <w:vAlign w:val="center"/>
          </w:tcPr>
          <w:p w:rsidR="00B26CC0" w:rsidRPr="00A74407" w:rsidRDefault="00B26CC0" w:rsidP="00B26CC0">
            <w:pPr>
              <w:pStyle w:val="cuadroCabe"/>
              <w:rPr>
                <w:rFonts w:ascii="Arial Narrow" w:hAnsi="Arial Narrow"/>
                <w:snapToGrid w:val="0"/>
                <w:sz w:val="20"/>
                <w:szCs w:val="20"/>
              </w:rPr>
            </w:pPr>
          </w:p>
        </w:tc>
        <w:tc>
          <w:tcPr>
            <w:tcW w:w="7044" w:type="dxa"/>
            <w:gridSpan w:val="10"/>
            <w:tcBorders>
              <w:top w:val="single" w:sz="4" w:space="0" w:color="auto"/>
              <w:bottom w:val="single" w:sz="4" w:space="0" w:color="auto"/>
            </w:tcBorders>
            <w:shd w:val="clear" w:color="auto" w:fill="FABF8F" w:themeFill="accent6" w:themeFillTint="99"/>
            <w:noWrap/>
            <w:vAlign w:val="center"/>
          </w:tcPr>
          <w:p w:rsidR="00B26CC0" w:rsidRPr="00A74407" w:rsidRDefault="00B26CC0" w:rsidP="00B26CC0">
            <w:pPr>
              <w:pStyle w:val="cuadroCabe"/>
              <w:jc w:val="center"/>
              <w:rPr>
                <w:rFonts w:ascii="Arial Narrow" w:hAnsi="Arial Narrow"/>
                <w:snapToGrid w:val="0"/>
                <w:sz w:val="20"/>
                <w:szCs w:val="20"/>
              </w:rPr>
            </w:pPr>
            <w:r>
              <w:rPr>
                <w:snapToGrid w:val="0"/>
                <w:szCs w:val="18"/>
              </w:rPr>
              <w:t>N</w:t>
            </w:r>
            <w:r w:rsidRPr="00A74407">
              <w:rPr>
                <w:snapToGrid w:val="0"/>
                <w:szCs w:val="18"/>
              </w:rPr>
              <w:t>º activos</w:t>
            </w:r>
            <w:r>
              <w:rPr>
                <w:snapToGrid w:val="0"/>
                <w:szCs w:val="18"/>
              </w:rPr>
              <w:t xml:space="preserve"> por categoría</w:t>
            </w:r>
          </w:p>
        </w:tc>
      </w:tr>
      <w:tr w:rsidR="00B26CC0" w:rsidRPr="00A74407" w:rsidTr="00B26CC0">
        <w:trPr>
          <w:trHeight w:val="255"/>
          <w:jc w:val="center"/>
        </w:trPr>
        <w:tc>
          <w:tcPr>
            <w:tcW w:w="1812" w:type="dxa"/>
            <w:tcBorders>
              <w:bottom w:val="single" w:sz="4" w:space="0" w:color="auto"/>
            </w:tcBorders>
            <w:shd w:val="clear" w:color="auto" w:fill="FABF8F" w:themeFill="accent6" w:themeFillTint="99"/>
            <w:noWrap/>
            <w:vAlign w:val="center"/>
            <w:hideMark/>
          </w:tcPr>
          <w:p w:rsidR="00B26CC0" w:rsidRPr="00A74407" w:rsidRDefault="00B26CC0" w:rsidP="00B26CC0">
            <w:pPr>
              <w:pStyle w:val="cuadroCabe"/>
              <w:rPr>
                <w:rFonts w:ascii="Arial Narrow" w:hAnsi="Arial Narrow"/>
                <w:snapToGrid w:val="0"/>
                <w:sz w:val="20"/>
                <w:szCs w:val="20"/>
              </w:rPr>
            </w:pP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2006</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2007</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2008</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2009</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2010</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2011</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2012</w:t>
            </w:r>
          </w:p>
        </w:tc>
        <w:tc>
          <w:tcPr>
            <w:tcW w:w="6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2013</w:t>
            </w:r>
          </w:p>
        </w:tc>
        <w:tc>
          <w:tcPr>
            <w:tcW w:w="824"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2014</w:t>
            </w:r>
          </w:p>
        </w:tc>
        <w:tc>
          <w:tcPr>
            <w:tcW w:w="780" w:type="dxa"/>
            <w:tcBorders>
              <w:top w:val="single" w:sz="4" w:space="0" w:color="auto"/>
              <w:bottom w:val="single" w:sz="4" w:space="0" w:color="auto"/>
            </w:tcBorders>
            <w:shd w:val="clear" w:color="auto" w:fill="FABF8F" w:themeFill="accent6" w:themeFillTint="99"/>
            <w:noWrap/>
            <w:vAlign w:val="center"/>
            <w:hideMark/>
          </w:tcPr>
          <w:p w:rsidR="00B26CC0" w:rsidRPr="005327F5" w:rsidRDefault="00B26CC0" w:rsidP="00B26CC0">
            <w:pPr>
              <w:pStyle w:val="cuadroCabe"/>
              <w:jc w:val="right"/>
              <w:rPr>
                <w:rFonts w:cs="Arial"/>
                <w:snapToGrid w:val="0"/>
                <w:szCs w:val="18"/>
              </w:rPr>
            </w:pPr>
            <w:r w:rsidRPr="005327F5">
              <w:rPr>
                <w:rFonts w:cs="Arial"/>
                <w:snapToGrid w:val="0"/>
                <w:szCs w:val="18"/>
              </w:rPr>
              <w:t>2015</w:t>
            </w:r>
          </w:p>
        </w:tc>
      </w:tr>
      <w:tr w:rsidR="00B26CC0" w:rsidRPr="00A74407" w:rsidTr="00B26CC0">
        <w:trPr>
          <w:trHeight w:val="198"/>
          <w:jc w:val="center"/>
        </w:trPr>
        <w:tc>
          <w:tcPr>
            <w:tcW w:w="1812" w:type="dxa"/>
            <w:tcBorders>
              <w:top w:val="single" w:sz="2" w:space="0" w:color="auto"/>
              <w:bottom w:val="single" w:sz="2" w:space="0" w:color="auto"/>
            </w:tcBorders>
            <w:vAlign w:val="center"/>
            <w:hideMark/>
          </w:tcPr>
          <w:p w:rsidR="00B26CC0" w:rsidRPr="00A74407" w:rsidRDefault="00B26CC0" w:rsidP="00B26CC0">
            <w:pPr>
              <w:pStyle w:val="cuadroCabe"/>
              <w:rPr>
                <w:rFonts w:ascii="Arial Narrow" w:hAnsi="Arial Narrow"/>
                <w:snapToGrid w:val="0"/>
                <w:sz w:val="20"/>
                <w:szCs w:val="20"/>
              </w:rPr>
            </w:pPr>
            <w:r>
              <w:rPr>
                <w:rFonts w:ascii="Arial Narrow" w:hAnsi="Arial Narrow"/>
                <w:snapToGrid w:val="0"/>
                <w:sz w:val="20"/>
                <w:szCs w:val="20"/>
              </w:rPr>
              <w:t>Administrativos</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90</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85</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77</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7</w:t>
            </w:r>
            <w:r>
              <w:rPr>
                <w:rFonts w:ascii="Arial Narrow" w:hAnsi="Arial Narrow"/>
                <w:snapToGrid w:val="0"/>
                <w:sz w:val="20"/>
                <w:szCs w:val="20"/>
              </w:rPr>
              <w:t>2</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6</w:t>
            </w:r>
            <w:r>
              <w:rPr>
                <w:rFonts w:ascii="Arial Narrow" w:hAnsi="Arial Narrow"/>
                <w:snapToGrid w:val="0"/>
                <w:sz w:val="20"/>
                <w:szCs w:val="20"/>
              </w:rPr>
              <w:t>7</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63</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61</w:t>
            </w:r>
          </w:p>
        </w:tc>
        <w:tc>
          <w:tcPr>
            <w:tcW w:w="6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57</w:t>
            </w:r>
          </w:p>
        </w:tc>
        <w:tc>
          <w:tcPr>
            <w:tcW w:w="824"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51</w:t>
            </w:r>
          </w:p>
        </w:tc>
        <w:tc>
          <w:tcPr>
            <w:tcW w:w="780" w:type="dxa"/>
            <w:tcBorders>
              <w:top w:val="single" w:sz="2" w:space="0" w:color="auto"/>
              <w:bottom w:val="single" w:sz="2"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45</w:t>
            </w:r>
          </w:p>
        </w:tc>
      </w:tr>
      <w:tr w:rsidR="00B26CC0" w:rsidRPr="00A74407" w:rsidTr="00B26CC0">
        <w:trPr>
          <w:trHeight w:val="198"/>
          <w:jc w:val="center"/>
        </w:trPr>
        <w:tc>
          <w:tcPr>
            <w:tcW w:w="1812" w:type="dxa"/>
            <w:tcBorders>
              <w:top w:val="single" w:sz="2" w:space="0" w:color="auto"/>
              <w:bottom w:val="single" w:sz="4" w:space="0" w:color="auto"/>
            </w:tcBorders>
            <w:vAlign w:val="center"/>
            <w:hideMark/>
          </w:tcPr>
          <w:p w:rsidR="00B26CC0" w:rsidRPr="00A74407" w:rsidRDefault="00B26CC0" w:rsidP="00B26CC0">
            <w:pPr>
              <w:pStyle w:val="cuadroCabe"/>
              <w:rPr>
                <w:rFonts w:ascii="Arial Narrow" w:hAnsi="Arial Narrow"/>
                <w:snapToGrid w:val="0"/>
                <w:sz w:val="20"/>
                <w:szCs w:val="20"/>
              </w:rPr>
            </w:pPr>
            <w:r w:rsidRPr="00A74407">
              <w:rPr>
                <w:rFonts w:ascii="Arial Narrow" w:hAnsi="Arial Narrow"/>
                <w:snapToGrid w:val="0"/>
                <w:sz w:val="20"/>
                <w:szCs w:val="20"/>
              </w:rPr>
              <w:t>Subalternos</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21</w:t>
            </w:r>
            <w:r>
              <w:rPr>
                <w:rFonts w:ascii="Arial Narrow" w:hAnsi="Arial Narrow"/>
                <w:snapToGrid w:val="0"/>
                <w:sz w:val="20"/>
                <w:szCs w:val="20"/>
              </w:rPr>
              <w:t>2</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19</w:t>
            </w:r>
            <w:r>
              <w:rPr>
                <w:rFonts w:ascii="Arial Narrow" w:hAnsi="Arial Narrow"/>
                <w:snapToGrid w:val="0"/>
                <w:sz w:val="20"/>
                <w:szCs w:val="20"/>
              </w:rPr>
              <w:t>3</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177</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168</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159</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148</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137</w:t>
            </w:r>
          </w:p>
        </w:tc>
        <w:tc>
          <w:tcPr>
            <w:tcW w:w="6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12</w:t>
            </w:r>
            <w:r>
              <w:rPr>
                <w:rFonts w:ascii="Arial Narrow" w:hAnsi="Arial Narrow"/>
                <w:snapToGrid w:val="0"/>
                <w:sz w:val="20"/>
                <w:szCs w:val="20"/>
              </w:rPr>
              <w:t>6</w:t>
            </w:r>
          </w:p>
        </w:tc>
        <w:tc>
          <w:tcPr>
            <w:tcW w:w="824"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117</w:t>
            </w:r>
          </w:p>
        </w:tc>
        <w:tc>
          <w:tcPr>
            <w:tcW w:w="780" w:type="dxa"/>
            <w:tcBorders>
              <w:top w:val="single" w:sz="2" w:space="0" w:color="auto"/>
              <w:bottom w:val="single" w:sz="4" w:space="0" w:color="auto"/>
            </w:tcBorders>
            <w:noWrap/>
            <w:vAlign w:val="center"/>
            <w:hideMark/>
          </w:tcPr>
          <w:p w:rsidR="00B26CC0" w:rsidRPr="00A74407" w:rsidRDefault="00B26CC0" w:rsidP="00B26CC0">
            <w:pPr>
              <w:pStyle w:val="cuadroCabe"/>
              <w:jc w:val="right"/>
              <w:rPr>
                <w:rFonts w:ascii="Arial Narrow" w:hAnsi="Arial Narrow"/>
                <w:snapToGrid w:val="0"/>
                <w:sz w:val="20"/>
                <w:szCs w:val="20"/>
              </w:rPr>
            </w:pPr>
            <w:r w:rsidRPr="00A74407">
              <w:rPr>
                <w:rFonts w:ascii="Arial Narrow" w:hAnsi="Arial Narrow"/>
                <w:snapToGrid w:val="0"/>
                <w:sz w:val="20"/>
                <w:szCs w:val="20"/>
              </w:rPr>
              <w:t>10</w:t>
            </w:r>
            <w:r>
              <w:rPr>
                <w:rFonts w:ascii="Arial Narrow" w:hAnsi="Arial Narrow"/>
                <w:snapToGrid w:val="0"/>
                <w:sz w:val="20"/>
                <w:szCs w:val="20"/>
              </w:rPr>
              <w:t>6</w:t>
            </w:r>
          </w:p>
        </w:tc>
      </w:tr>
    </w:tbl>
    <w:p w:rsidR="009868F9" w:rsidRPr="00DF297E" w:rsidRDefault="00A74407" w:rsidP="00A74407">
      <w:pPr>
        <w:spacing w:after="240" w:line="300" w:lineRule="atLeast"/>
        <w:ind w:left="284" w:firstLine="0"/>
        <w:jc w:val="left"/>
        <w:rPr>
          <w:rFonts w:ascii="Arial" w:hAnsi="Arial" w:cs="Arial"/>
          <w:sz w:val="16"/>
          <w:szCs w:val="16"/>
          <w:lang w:val="es-ES" w:eastAsia="es-ES"/>
        </w:rPr>
      </w:pPr>
      <w:r w:rsidRPr="00DF297E">
        <w:rPr>
          <w:rFonts w:ascii="Arial" w:hAnsi="Arial" w:cs="Arial"/>
          <w:sz w:val="16"/>
          <w:szCs w:val="16"/>
          <w:lang w:val="es-ES" w:eastAsia="es-ES"/>
        </w:rPr>
        <w:t xml:space="preserve">* </w:t>
      </w:r>
      <w:r w:rsidR="009868F9" w:rsidRPr="00DF297E">
        <w:rPr>
          <w:rFonts w:ascii="Arial" w:hAnsi="Arial" w:cs="Arial"/>
          <w:sz w:val="16"/>
          <w:szCs w:val="16"/>
          <w:lang w:val="es-ES" w:eastAsia="es-ES"/>
        </w:rPr>
        <w:t>El reparto se realiza por activo y mes por lo que hemos estimado la cifra anual</w:t>
      </w:r>
    </w:p>
    <w:p w:rsidR="009868F9" w:rsidRDefault="009868F9" w:rsidP="00B26CC0">
      <w:pPr>
        <w:pStyle w:val="texto"/>
        <w:spacing w:after="240"/>
        <w:rPr>
          <w:szCs w:val="26"/>
        </w:rPr>
      </w:pPr>
      <w:r w:rsidRPr="009868F9">
        <w:rPr>
          <w:szCs w:val="26"/>
        </w:rPr>
        <w:t>El número de ayuntamientos que tienen personal en estas categorías y entre los que hay que repartir el déficit asciende a:</w:t>
      </w:r>
    </w:p>
    <w:tbl>
      <w:tblPr>
        <w:tblW w:w="0" w:type="auto"/>
        <w:jc w:val="center"/>
        <w:tblBorders>
          <w:insideV w:val="single" w:sz="4" w:space="0" w:color="auto"/>
        </w:tblBorders>
        <w:tblLayout w:type="fixed"/>
        <w:tblCellMar>
          <w:left w:w="70" w:type="dxa"/>
          <w:right w:w="70" w:type="dxa"/>
        </w:tblCellMar>
        <w:tblLook w:val="04A0" w:firstRow="1" w:lastRow="0" w:firstColumn="1" w:lastColumn="0" w:noHBand="0" w:noVBand="1"/>
      </w:tblPr>
      <w:tblGrid>
        <w:gridCol w:w="3331"/>
        <w:gridCol w:w="854"/>
        <w:gridCol w:w="528"/>
        <w:gridCol w:w="527"/>
        <w:gridCol w:w="527"/>
        <w:gridCol w:w="527"/>
        <w:gridCol w:w="527"/>
        <w:gridCol w:w="527"/>
        <w:gridCol w:w="527"/>
        <w:gridCol w:w="527"/>
        <w:gridCol w:w="527"/>
      </w:tblGrid>
      <w:tr w:rsidR="00B26CC0" w:rsidRPr="00B61F51" w:rsidTr="00B26CC0">
        <w:trPr>
          <w:trHeight w:val="255"/>
          <w:jc w:val="center"/>
        </w:trPr>
        <w:tc>
          <w:tcPr>
            <w:tcW w:w="3331" w:type="dxa"/>
            <w:tcBorders>
              <w:top w:val="single" w:sz="4" w:space="0" w:color="auto"/>
              <w:bottom w:val="nil"/>
              <w:right w:val="nil"/>
            </w:tcBorders>
            <w:shd w:val="clear" w:color="auto" w:fill="FABF8F" w:themeFill="accent6" w:themeFillTint="99"/>
            <w:noWrap/>
            <w:vAlign w:val="center"/>
            <w:hideMark/>
          </w:tcPr>
          <w:p w:rsidR="00B26CC0" w:rsidRPr="00B61F51" w:rsidRDefault="00B26CC0" w:rsidP="00B26CC0">
            <w:pPr>
              <w:pStyle w:val="cuadroCabe"/>
              <w:jc w:val="center"/>
              <w:rPr>
                <w:snapToGrid w:val="0"/>
                <w:sz w:val="20"/>
                <w:szCs w:val="20"/>
              </w:rPr>
            </w:pPr>
          </w:p>
        </w:tc>
        <w:tc>
          <w:tcPr>
            <w:tcW w:w="5598" w:type="dxa"/>
            <w:gridSpan w:val="10"/>
            <w:tcBorders>
              <w:top w:val="single" w:sz="4" w:space="0" w:color="auto"/>
              <w:left w:val="nil"/>
              <w:bottom w:val="nil"/>
            </w:tcBorders>
            <w:shd w:val="clear" w:color="auto" w:fill="FABF8F" w:themeFill="accent6" w:themeFillTint="99"/>
            <w:vAlign w:val="center"/>
          </w:tcPr>
          <w:p w:rsidR="00B26CC0" w:rsidRPr="004D0737" w:rsidRDefault="00B26CC0" w:rsidP="00B26CC0">
            <w:pPr>
              <w:pStyle w:val="cuadroCabe"/>
              <w:jc w:val="center"/>
              <w:rPr>
                <w:snapToGrid w:val="0"/>
                <w:szCs w:val="18"/>
              </w:rPr>
            </w:pPr>
            <w:r w:rsidRPr="004D0737">
              <w:rPr>
                <w:snapToGrid w:val="0"/>
                <w:szCs w:val="18"/>
              </w:rPr>
              <w:t>Número ayuntamientos</w:t>
            </w:r>
          </w:p>
        </w:tc>
      </w:tr>
      <w:tr w:rsidR="00B26CC0" w:rsidRPr="00B61F51" w:rsidTr="00B26CC0">
        <w:trPr>
          <w:trHeight w:val="255"/>
          <w:jc w:val="center"/>
        </w:trPr>
        <w:tc>
          <w:tcPr>
            <w:tcW w:w="3331" w:type="dxa"/>
            <w:tcBorders>
              <w:top w:val="nil"/>
              <w:bottom w:val="single" w:sz="4" w:space="0" w:color="auto"/>
              <w:right w:val="nil"/>
            </w:tcBorders>
            <w:shd w:val="clear" w:color="auto" w:fill="FABF8F" w:themeFill="accent6" w:themeFillTint="99"/>
            <w:vAlign w:val="center"/>
            <w:hideMark/>
          </w:tcPr>
          <w:p w:rsidR="00B26CC0" w:rsidRPr="00B61F51" w:rsidRDefault="00B26CC0" w:rsidP="00B26CC0">
            <w:pPr>
              <w:pStyle w:val="cuadroCabe"/>
              <w:rPr>
                <w:rFonts w:ascii="Arial Narrow" w:hAnsi="Arial Narrow"/>
                <w:snapToGrid w:val="0"/>
                <w:sz w:val="20"/>
                <w:szCs w:val="20"/>
              </w:rPr>
            </w:pPr>
          </w:p>
        </w:tc>
        <w:tc>
          <w:tcPr>
            <w:tcW w:w="854"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2006</w:t>
            </w:r>
          </w:p>
        </w:tc>
        <w:tc>
          <w:tcPr>
            <w:tcW w:w="528"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2007</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2008</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2009</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2010</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2011</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2012</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2013</w:t>
            </w:r>
          </w:p>
        </w:tc>
        <w:tc>
          <w:tcPr>
            <w:tcW w:w="527" w:type="dxa"/>
            <w:tcBorders>
              <w:top w:val="single" w:sz="4" w:space="0" w:color="auto"/>
              <w:left w:val="nil"/>
              <w:bottom w:val="single" w:sz="4" w:space="0" w:color="auto"/>
              <w:right w:val="nil"/>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2014</w:t>
            </w:r>
          </w:p>
        </w:tc>
        <w:tc>
          <w:tcPr>
            <w:tcW w:w="527" w:type="dxa"/>
            <w:tcBorders>
              <w:top w:val="single" w:sz="4" w:space="0" w:color="auto"/>
              <w:left w:val="nil"/>
              <w:bottom w:val="single" w:sz="4" w:space="0" w:color="auto"/>
            </w:tcBorders>
            <w:shd w:val="clear" w:color="auto" w:fill="FABF8F" w:themeFill="accent6" w:themeFillTint="99"/>
            <w:noWrap/>
            <w:vAlign w:val="center"/>
            <w:hideMark/>
          </w:tcPr>
          <w:p w:rsidR="00B26CC0" w:rsidRPr="001A0A82" w:rsidRDefault="00B26CC0" w:rsidP="00B26CC0">
            <w:pPr>
              <w:pStyle w:val="cuadroCabe"/>
              <w:jc w:val="right"/>
              <w:rPr>
                <w:rFonts w:cs="Arial"/>
                <w:snapToGrid w:val="0"/>
                <w:sz w:val="16"/>
                <w:szCs w:val="16"/>
              </w:rPr>
            </w:pPr>
            <w:r w:rsidRPr="001A0A82">
              <w:rPr>
                <w:rFonts w:cs="Arial"/>
                <w:snapToGrid w:val="0"/>
                <w:sz w:val="16"/>
                <w:szCs w:val="16"/>
              </w:rPr>
              <w:t>2015</w:t>
            </w:r>
          </w:p>
        </w:tc>
      </w:tr>
      <w:tr w:rsidR="00B26CC0" w:rsidRPr="00B61F51" w:rsidTr="00B26CC0">
        <w:trPr>
          <w:trHeight w:val="198"/>
          <w:jc w:val="center"/>
        </w:trPr>
        <w:tc>
          <w:tcPr>
            <w:tcW w:w="3331" w:type="dxa"/>
            <w:tcBorders>
              <w:top w:val="single" w:sz="4" w:space="0" w:color="auto"/>
              <w:bottom w:val="single" w:sz="2" w:space="0" w:color="auto"/>
              <w:right w:val="nil"/>
            </w:tcBorders>
            <w:vAlign w:val="center"/>
            <w:hideMark/>
          </w:tcPr>
          <w:p w:rsidR="00B26CC0" w:rsidRPr="00B61F51" w:rsidRDefault="00B26CC0" w:rsidP="00B26CC0">
            <w:pPr>
              <w:pStyle w:val="cuadroCabe"/>
              <w:rPr>
                <w:rFonts w:ascii="Arial Narrow" w:hAnsi="Arial Narrow"/>
                <w:snapToGrid w:val="0"/>
                <w:sz w:val="20"/>
                <w:szCs w:val="20"/>
              </w:rPr>
            </w:pPr>
            <w:r w:rsidRPr="00B61F51">
              <w:rPr>
                <w:rFonts w:ascii="Arial Narrow" w:hAnsi="Arial Narrow"/>
                <w:snapToGrid w:val="0"/>
                <w:sz w:val="20"/>
                <w:szCs w:val="20"/>
              </w:rPr>
              <w:t>Administrativos</w:t>
            </w:r>
          </w:p>
        </w:tc>
        <w:tc>
          <w:tcPr>
            <w:tcW w:w="854"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52</w:t>
            </w:r>
          </w:p>
        </w:tc>
        <w:tc>
          <w:tcPr>
            <w:tcW w:w="528"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50</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49</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48</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46</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43</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41</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40</w:t>
            </w:r>
          </w:p>
        </w:tc>
        <w:tc>
          <w:tcPr>
            <w:tcW w:w="527" w:type="dxa"/>
            <w:tcBorders>
              <w:top w:val="single" w:sz="4"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38</w:t>
            </w:r>
          </w:p>
        </w:tc>
        <w:tc>
          <w:tcPr>
            <w:tcW w:w="527" w:type="dxa"/>
            <w:tcBorders>
              <w:top w:val="single" w:sz="4" w:space="0" w:color="auto"/>
              <w:left w:val="nil"/>
              <w:bottom w:val="single" w:sz="2" w:space="0" w:color="auto"/>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32</w:t>
            </w:r>
          </w:p>
        </w:tc>
      </w:tr>
      <w:tr w:rsidR="00B26CC0" w:rsidRPr="00B61F51" w:rsidTr="00B26CC0">
        <w:trPr>
          <w:trHeight w:val="198"/>
          <w:jc w:val="center"/>
        </w:trPr>
        <w:tc>
          <w:tcPr>
            <w:tcW w:w="3331" w:type="dxa"/>
            <w:tcBorders>
              <w:top w:val="single" w:sz="2" w:space="0" w:color="auto"/>
              <w:bottom w:val="single" w:sz="2" w:space="0" w:color="auto"/>
              <w:right w:val="nil"/>
            </w:tcBorders>
            <w:vAlign w:val="center"/>
            <w:hideMark/>
          </w:tcPr>
          <w:p w:rsidR="00B26CC0" w:rsidRPr="00B61F51" w:rsidRDefault="00B26CC0" w:rsidP="00B26CC0">
            <w:pPr>
              <w:pStyle w:val="cuadroCabe"/>
              <w:rPr>
                <w:rFonts w:ascii="Arial Narrow" w:hAnsi="Arial Narrow"/>
                <w:snapToGrid w:val="0"/>
                <w:sz w:val="20"/>
                <w:szCs w:val="20"/>
              </w:rPr>
            </w:pPr>
            <w:r w:rsidRPr="00B61F51">
              <w:rPr>
                <w:rFonts w:ascii="Arial Narrow" w:hAnsi="Arial Narrow"/>
                <w:snapToGrid w:val="0"/>
                <w:sz w:val="20"/>
                <w:szCs w:val="20"/>
              </w:rPr>
              <w:t>Subalternos</w:t>
            </w:r>
          </w:p>
        </w:tc>
        <w:tc>
          <w:tcPr>
            <w:tcW w:w="854"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68</w:t>
            </w:r>
          </w:p>
        </w:tc>
        <w:tc>
          <w:tcPr>
            <w:tcW w:w="528"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65</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60</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59</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57</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54</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52</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50</w:t>
            </w:r>
          </w:p>
        </w:tc>
        <w:tc>
          <w:tcPr>
            <w:tcW w:w="527" w:type="dxa"/>
            <w:tcBorders>
              <w:top w:val="single" w:sz="2" w:space="0" w:color="auto"/>
              <w:left w:val="nil"/>
              <w:bottom w:val="single" w:sz="2"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45</w:t>
            </w:r>
          </w:p>
        </w:tc>
        <w:tc>
          <w:tcPr>
            <w:tcW w:w="527" w:type="dxa"/>
            <w:tcBorders>
              <w:top w:val="single" w:sz="2" w:space="0" w:color="auto"/>
              <w:left w:val="nil"/>
              <w:bottom w:val="single" w:sz="2" w:space="0" w:color="auto"/>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42</w:t>
            </w:r>
          </w:p>
        </w:tc>
      </w:tr>
      <w:tr w:rsidR="00B26CC0" w:rsidRPr="00B61F51" w:rsidTr="00B26CC0">
        <w:trPr>
          <w:trHeight w:val="198"/>
          <w:jc w:val="center"/>
        </w:trPr>
        <w:tc>
          <w:tcPr>
            <w:tcW w:w="3331" w:type="dxa"/>
            <w:tcBorders>
              <w:top w:val="single" w:sz="2" w:space="0" w:color="auto"/>
              <w:bottom w:val="single" w:sz="4" w:space="0" w:color="auto"/>
              <w:right w:val="nil"/>
            </w:tcBorders>
            <w:vAlign w:val="center"/>
            <w:hideMark/>
          </w:tcPr>
          <w:p w:rsidR="00B26CC0" w:rsidRDefault="00B26CC0" w:rsidP="00B26CC0">
            <w:pPr>
              <w:pStyle w:val="cuadroCabe"/>
              <w:rPr>
                <w:rFonts w:ascii="Arial Narrow" w:hAnsi="Arial Narrow"/>
                <w:snapToGrid w:val="0"/>
                <w:sz w:val="20"/>
                <w:szCs w:val="20"/>
              </w:rPr>
            </w:pPr>
            <w:r w:rsidRPr="00B61F51">
              <w:rPr>
                <w:rFonts w:ascii="Arial Narrow" w:hAnsi="Arial Narrow"/>
                <w:snapToGrid w:val="0"/>
                <w:sz w:val="20"/>
                <w:szCs w:val="20"/>
              </w:rPr>
              <w:t xml:space="preserve">Nº Aytos con activos en alguna </w:t>
            </w:r>
          </w:p>
          <w:p w:rsidR="00B26CC0" w:rsidRPr="00B61F51" w:rsidRDefault="00B26CC0" w:rsidP="00B26CC0">
            <w:pPr>
              <w:pStyle w:val="cuadroCabe"/>
              <w:rPr>
                <w:rFonts w:ascii="Arial Narrow" w:hAnsi="Arial Narrow"/>
                <w:snapToGrid w:val="0"/>
                <w:sz w:val="20"/>
                <w:szCs w:val="20"/>
              </w:rPr>
            </w:pPr>
            <w:r w:rsidRPr="00B61F51">
              <w:rPr>
                <w:rFonts w:ascii="Arial Narrow" w:hAnsi="Arial Narrow"/>
                <w:snapToGrid w:val="0"/>
                <w:sz w:val="20"/>
                <w:szCs w:val="20"/>
              </w:rPr>
              <w:t>de estas dos categorías</w:t>
            </w:r>
          </w:p>
        </w:tc>
        <w:tc>
          <w:tcPr>
            <w:tcW w:w="854"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75</w:t>
            </w:r>
          </w:p>
        </w:tc>
        <w:tc>
          <w:tcPr>
            <w:tcW w:w="528"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75</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72</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71</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69</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68</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66</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63</w:t>
            </w:r>
          </w:p>
        </w:tc>
        <w:tc>
          <w:tcPr>
            <w:tcW w:w="527" w:type="dxa"/>
            <w:tcBorders>
              <w:top w:val="single" w:sz="2" w:space="0" w:color="auto"/>
              <w:left w:val="nil"/>
              <w:bottom w:val="single" w:sz="4" w:space="0" w:color="auto"/>
              <w:right w:val="nil"/>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59</w:t>
            </w:r>
          </w:p>
        </w:tc>
        <w:tc>
          <w:tcPr>
            <w:tcW w:w="527" w:type="dxa"/>
            <w:tcBorders>
              <w:top w:val="single" w:sz="2" w:space="0" w:color="auto"/>
              <w:left w:val="nil"/>
              <w:bottom w:val="single" w:sz="4" w:space="0" w:color="auto"/>
            </w:tcBorders>
            <w:noWrap/>
            <w:vAlign w:val="center"/>
            <w:hideMark/>
          </w:tcPr>
          <w:p w:rsidR="00B26CC0" w:rsidRPr="00B61F51" w:rsidRDefault="00B26CC0" w:rsidP="00B26CC0">
            <w:pPr>
              <w:pStyle w:val="cuadroCabe"/>
              <w:jc w:val="right"/>
              <w:rPr>
                <w:rFonts w:ascii="Arial Narrow" w:hAnsi="Arial Narrow"/>
                <w:snapToGrid w:val="0"/>
                <w:sz w:val="20"/>
                <w:szCs w:val="20"/>
              </w:rPr>
            </w:pPr>
            <w:r w:rsidRPr="00B61F51">
              <w:rPr>
                <w:rFonts w:ascii="Arial Narrow" w:hAnsi="Arial Narrow"/>
                <w:snapToGrid w:val="0"/>
                <w:sz w:val="20"/>
                <w:szCs w:val="20"/>
              </w:rPr>
              <w:t>53</w:t>
            </w:r>
          </w:p>
        </w:tc>
      </w:tr>
    </w:tbl>
    <w:p w:rsidR="00B26CC0" w:rsidRDefault="00B26CC0" w:rsidP="0077337B">
      <w:pPr>
        <w:pStyle w:val="texto"/>
        <w:rPr>
          <w:szCs w:val="26"/>
        </w:rPr>
      </w:pPr>
    </w:p>
    <w:p w:rsidR="009868F9" w:rsidRPr="009868F9" w:rsidRDefault="00D37E06" w:rsidP="0077337B">
      <w:pPr>
        <w:pStyle w:val="texto"/>
        <w:rPr>
          <w:szCs w:val="26"/>
        </w:rPr>
      </w:pPr>
      <w:r>
        <w:rPr>
          <w:szCs w:val="26"/>
        </w:rPr>
        <w:t>El número total de ayuntamientos es menor que la suma, ya que hay ayunt</w:t>
      </w:r>
      <w:r>
        <w:rPr>
          <w:szCs w:val="26"/>
        </w:rPr>
        <w:t>a</w:t>
      </w:r>
      <w:r>
        <w:rPr>
          <w:szCs w:val="26"/>
        </w:rPr>
        <w:t>mientos con personas en las dos categorías. En definitiva, hay 22 ayuntamie</w:t>
      </w:r>
      <w:r>
        <w:rPr>
          <w:szCs w:val="26"/>
        </w:rPr>
        <w:t>n</w:t>
      </w:r>
      <w:r>
        <w:rPr>
          <w:szCs w:val="26"/>
        </w:rPr>
        <w:t>tos menos para repartir el déficit, al pasar de 75</w:t>
      </w:r>
      <w:r w:rsidR="0060040A">
        <w:rPr>
          <w:szCs w:val="26"/>
        </w:rPr>
        <w:t>,</w:t>
      </w:r>
      <w:r>
        <w:rPr>
          <w:szCs w:val="26"/>
        </w:rPr>
        <w:t xml:space="preserve"> en 2006</w:t>
      </w:r>
      <w:r w:rsidR="0060040A">
        <w:rPr>
          <w:szCs w:val="26"/>
        </w:rPr>
        <w:t>,</w:t>
      </w:r>
      <w:r>
        <w:rPr>
          <w:szCs w:val="26"/>
        </w:rPr>
        <w:t xml:space="preserve"> a 53 en 2015</w:t>
      </w:r>
      <w:r w:rsidR="009868F9" w:rsidRPr="009868F9">
        <w:rPr>
          <w:szCs w:val="26"/>
        </w:rPr>
        <w:t>.</w:t>
      </w:r>
    </w:p>
    <w:p w:rsidR="009868F9" w:rsidRDefault="009868F9" w:rsidP="0077337B">
      <w:pPr>
        <w:pStyle w:val="texto"/>
        <w:rPr>
          <w:szCs w:val="26"/>
        </w:rPr>
      </w:pPr>
      <w:r w:rsidRPr="009868F9">
        <w:rPr>
          <w:szCs w:val="26"/>
        </w:rPr>
        <w:t>En resumen, las pensiones de estos dos grupos se han incrementado en un 18 por ciento, mientras que las personas entre  las que se reparte han disminuido en un 50 por ciento, lo que provoca que la repercusión por activo se haya i</w:t>
      </w:r>
      <w:r w:rsidRPr="009868F9">
        <w:rPr>
          <w:szCs w:val="26"/>
        </w:rPr>
        <w:t>n</w:t>
      </w:r>
      <w:r w:rsidRPr="009868F9">
        <w:rPr>
          <w:szCs w:val="26"/>
        </w:rPr>
        <w:t>crementado notablemente, como se describe en la siguiente conclusión.</w:t>
      </w:r>
    </w:p>
    <w:p w:rsidR="0017656E" w:rsidRDefault="0017656E" w:rsidP="0077337B">
      <w:pPr>
        <w:pStyle w:val="texto"/>
        <w:rPr>
          <w:b/>
          <w:szCs w:val="26"/>
        </w:rPr>
      </w:pPr>
    </w:p>
    <w:p w:rsidR="009868F9" w:rsidRPr="009868F9" w:rsidRDefault="00722BF2" w:rsidP="0077337B">
      <w:pPr>
        <w:pStyle w:val="texto"/>
        <w:rPr>
          <w:szCs w:val="26"/>
        </w:rPr>
      </w:pPr>
      <w:r w:rsidRPr="00FB1FFE">
        <w:rPr>
          <w:b/>
          <w:szCs w:val="26"/>
        </w:rPr>
        <w:lastRenderedPageBreak/>
        <w:t>9</w:t>
      </w:r>
      <w:r w:rsidR="00FB1FFE">
        <w:rPr>
          <w:b/>
          <w:szCs w:val="26"/>
        </w:rPr>
        <w:t>.</w:t>
      </w:r>
      <w:r w:rsidR="009868F9" w:rsidRPr="00FB1FFE">
        <w:rPr>
          <w:b/>
          <w:szCs w:val="26"/>
        </w:rPr>
        <w:t>ª</w:t>
      </w:r>
      <w:r w:rsidR="009868F9" w:rsidRPr="009868F9">
        <w:rPr>
          <w:szCs w:val="26"/>
        </w:rPr>
        <w:t xml:space="preserve"> La repercusión por activo en el reparto del déficit del </w:t>
      </w:r>
      <w:r w:rsidR="00B04729">
        <w:rPr>
          <w:szCs w:val="26"/>
        </w:rPr>
        <w:t>Montepío</w:t>
      </w:r>
      <w:r w:rsidR="009868F9" w:rsidRPr="009868F9">
        <w:rPr>
          <w:szCs w:val="26"/>
        </w:rPr>
        <w:t xml:space="preserve"> puede verse en el cuadro siguiente: </w:t>
      </w:r>
    </w:p>
    <w:tbl>
      <w:tblPr>
        <w:tblW w:w="8836" w:type="dxa"/>
        <w:jc w:val="center"/>
        <w:tblCellMar>
          <w:left w:w="70" w:type="dxa"/>
          <w:right w:w="70" w:type="dxa"/>
        </w:tblCellMar>
        <w:tblLook w:val="04A0" w:firstRow="1" w:lastRow="0" w:firstColumn="1" w:lastColumn="0" w:noHBand="0" w:noVBand="1"/>
      </w:tblPr>
      <w:tblGrid>
        <w:gridCol w:w="1466"/>
        <w:gridCol w:w="118"/>
        <w:gridCol w:w="619"/>
        <w:gridCol w:w="737"/>
        <w:gridCol w:w="737"/>
        <w:gridCol w:w="737"/>
        <w:gridCol w:w="737"/>
        <w:gridCol w:w="737"/>
        <w:gridCol w:w="737"/>
        <w:gridCol w:w="737"/>
        <w:gridCol w:w="737"/>
        <w:gridCol w:w="737"/>
      </w:tblGrid>
      <w:tr w:rsidR="009868F9" w:rsidRPr="00E77424" w:rsidTr="00E77424">
        <w:trPr>
          <w:trHeight w:val="600"/>
          <w:jc w:val="center"/>
        </w:trPr>
        <w:tc>
          <w:tcPr>
            <w:tcW w:w="1584" w:type="dxa"/>
            <w:gridSpan w:val="2"/>
            <w:tcBorders>
              <w:top w:val="single" w:sz="4" w:space="0" w:color="auto"/>
              <w:bottom w:val="single" w:sz="4" w:space="0" w:color="auto"/>
            </w:tcBorders>
            <w:shd w:val="clear" w:color="auto" w:fill="FABF8F" w:themeFill="accent6" w:themeFillTint="99"/>
            <w:vAlign w:val="center"/>
            <w:hideMark/>
          </w:tcPr>
          <w:p w:rsidR="009868F9" w:rsidRPr="00E77424" w:rsidRDefault="007A16AB" w:rsidP="00E77424">
            <w:pPr>
              <w:pStyle w:val="cuadroCabe"/>
              <w:jc w:val="left"/>
              <w:rPr>
                <w:snapToGrid w:val="0"/>
                <w:szCs w:val="18"/>
              </w:rPr>
            </w:pPr>
            <w:r w:rsidRPr="00E77424">
              <w:rPr>
                <w:snapToGrid w:val="0"/>
                <w:szCs w:val="18"/>
              </w:rPr>
              <w:t>C</w:t>
            </w:r>
            <w:r w:rsidR="009868F9" w:rsidRPr="00E77424">
              <w:rPr>
                <w:snapToGrid w:val="0"/>
                <w:szCs w:val="18"/>
              </w:rPr>
              <w:t xml:space="preserve">oste de tener un </w:t>
            </w:r>
            <w:r w:rsidR="00E52F02" w:rsidRPr="00E77424">
              <w:rPr>
                <w:snapToGrid w:val="0"/>
                <w:szCs w:val="18"/>
              </w:rPr>
              <w:t>activo</w:t>
            </w:r>
            <w:r w:rsidR="009868F9" w:rsidRPr="00E77424">
              <w:rPr>
                <w:snapToGrid w:val="0"/>
                <w:szCs w:val="18"/>
              </w:rPr>
              <w:t xml:space="preserve"> en estas categorías</w:t>
            </w:r>
          </w:p>
        </w:tc>
        <w:tc>
          <w:tcPr>
            <w:tcW w:w="619"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2006</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2007</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2008</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2009</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2010</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2011</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2012</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2013</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2014</w:t>
            </w:r>
          </w:p>
        </w:tc>
        <w:tc>
          <w:tcPr>
            <w:tcW w:w="737" w:type="dxa"/>
            <w:tcBorders>
              <w:top w:val="single" w:sz="4" w:space="0" w:color="auto"/>
              <w:bottom w:val="single" w:sz="4" w:space="0" w:color="auto"/>
            </w:tcBorders>
            <w:shd w:val="clear" w:color="auto" w:fill="FABF8F" w:themeFill="accent6" w:themeFillTint="99"/>
            <w:noWrap/>
            <w:vAlign w:val="center"/>
            <w:hideMark/>
          </w:tcPr>
          <w:p w:rsidR="009868F9" w:rsidRPr="00E77424" w:rsidRDefault="009868F9" w:rsidP="007A16AB">
            <w:pPr>
              <w:pStyle w:val="cuadroCabe"/>
              <w:jc w:val="right"/>
              <w:rPr>
                <w:snapToGrid w:val="0"/>
                <w:szCs w:val="18"/>
              </w:rPr>
            </w:pPr>
            <w:r w:rsidRPr="00E77424">
              <w:rPr>
                <w:snapToGrid w:val="0"/>
                <w:szCs w:val="18"/>
              </w:rPr>
              <w:t>2015</w:t>
            </w:r>
          </w:p>
        </w:tc>
      </w:tr>
      <w:tr w:rsidR="009868F9" w:rsidRPr="00E77424" w:rsidTr="00E77424">
        <w:trPr>
          <w:trHeight w:val="198"/>
          <w:jc w:val="center"/>
        </w:trPr>
        <w:tc>
          <w:tcPr>
            <w:tcW w:w="1466" w:type="dxa"/>
            <w:tcBorders>
              <w:top w:val="single" w:sz="4" w:space="0" w:color="auto"/>
              <w:bottom w:val="single" w:sz="2" w:space="0" w:color="auto"/>
            </w:tcBorders>
            <w:vAlign w:val="center"/>
            <w:hideMark/>
          </w:tcPr>
          <w:p w:rsidR="009868F9" w:rsidRPr="00E77424" w:rsidRDefault="009868F9" w:rsidP="00A74407">
            <w:pPr>
              <w:pStyle w:val="cuadroCabe"/>
              <w:rPr>
                <w:rFonts w:ascii="Arial Narrow" w:hAnsi="Arial Narrow"/>
                <w:snapToGrid w:val="0"/>
                <w:sz w:val="20"/>
                <w:szCs w:val="20"/>
              </w:rPr>
            </w:pPr>
            <w:r w:rsidRPr="00E77424">
              <w:rPr>
                <w:rFonts w:ascii="Arial Narrow" w:hAnsi="Arial Narrow"/>
                <w:snapToGrid w:val="0"/>
                <w:sz w:val="20"/>
                <w:szCs w:val="20"/>
              </w:rPr>
              <w:t>Administrativos</w:t>
            </w:r>
          </w:p>
        </w:tc>
        <w:tc>
          <w:tcPr>
            <w:tcW w:w="737" w:type="dxa"/>
            <w:gridSpan w:val="2"/>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20.163</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21.524</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26.531</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28.908</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32.681</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38.009</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38.347</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41.216</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47.313</w:t>
            </w:r>
          </w:p>
        </w:tc>
        <w:tc>
          <w:tcPr>
            <w:tcW w:w="737" w:type="dxa"/>
            <w:tcBorders>
              <w:top w:val="single" w:sz="4" w:space="0" w:color="auto"/>
              <w:bottom w:val="single" w:sz="2"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56.638</w:t>
            </w:r>
          </w:p>
        </w:tc>
      </w:tr>
      <w:tr w:rsidR="009868F9" w:rsidRPr="00E77424" w:rsidTr="00E77424">
        <w:trPr>
          <w:trHeight w:val="198"/>
          <w:jc w:val="center"/>
        </w:trPr>
        <w:tc>
          <w:tcPr>
            <w:tcW w:w="1466" w:type="dxa"/>
            <w:tcBorders>
              <w:top w:val="single" w:sz="2" w:space="0" w:color="auto"/>
              <w:bottom w:val="single" w:sz="4" w:space="0" w:color="auto"/>
            </w:tcBorders>
            <w:vAlign w:val="center"/>
            <w:hideMark/>
          </w:tcPr>
          <w:p w:rsidR="009868F9" w:rsidRPr="00E77424" w:rsidRDefault="009868F9" w:rsidP="00A74407">
            <w:pPr>
              <w:pStyle w:val="cuadroCabe"/>
              <w:rPr>
                <w:rFonts w:ascii="Arial Narrow" w:hAnsi="Arial Narrow"/>
                <w:snapToGrid w:val="0"/>
                <w:sz w:val="20"/>
                <w:szCs w:val="20"/>
              </w:rPr>
            </w:pPr>
            <w:r w:rsidRPr="00E77424">
              <w:rPr>
                <w:rFonts w:ascii="Arial Narrow" w:hAnsi="Arial Narrow"/>
                <w:snapToGrid w:val="0"/>
                <w:sz w:val="20"/>
                <w:szCs w:val="20"/>
              </w:rPr>
              <w:t>Subalternos</w:t>
            </w:r>
          </w:p>
        </w:tc>
        <w:tc>
          <w:tcPr>
            <w:tcW w:w="737" w:type="dxa"/>
            <w:gridSpan w:val="2"/>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32.183</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36.528</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43.034</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44.969</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46.785</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51.397</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54.848</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59.687</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65.180</w:t>
            </w:r>
          </w:p>
        </w:tc>
        <w:tc>
          <w:tcPr>
            <w:tcW w:w="737" w:type="dxa"/>
            <w:tcBorders>
              <w:top w:val="single" w:sz="2" w:space="0" w:color="auto"/>
              <w:bottom w:val="single" w:sz="4" w:space="0" w:color="auto"/>
            </w:tcBorders>
            <w:noWrap/>
            <w:vAlign w:val="center"/>
            <w:hideMark/>
          </w:tcPr>
          <w:p w:rsidR="009868F9" w:rsidRPr="00E77424" w:rsidRDefault="009868F9" w:rsidP="007A16AB">
            <w:pPr>
              <w:pStyle w:val="cuadroCabe"/>
              <w:jc w:val="right"/>
              <w:rPr>
                <w:rFonts w:ascii="Arial Narrow" w:hAnsi="Arial Narrow"/>
                <w:snapToGrid w:val="0"/>
                <w:szCs w:val="18"/>
              </w:rPr>
            </w:pPr>
            <w:r w:rsidRPr="00E77424">
              <w:rPr>
                <w:rFonts w:ascii="Arial Narrow" w:hAnsi="Arial Narrow"/>
                <w:snapToGrid w:val="0"/>
                <w:szCs w:val="18"/>
              </w:rPr>
              <w:t>71.957</w:t>
            </w:r>
          </w:p>
        </w:tc>
      </w:tr>
    </w:tbl>
    <w:p w:rsidR="009868F9" w:rsidRPr="009868F9" w:rsidRDefault="009868F9" w:rsidP="007A16AB">
      <w:pPr>
        <w:pStyle w:val="texto"/>
        <w:spacing w:before="120"/>
        <w:rPr>
          <w:szCs w:val="26"/>
        </w:rPr>
      </w:pPr>
      <w:r w:rsidRPr="009868F9">
        <w:rPr>
          <w:szCs w:val="26"/>
        </w:rPr>
        <w:t xml:space="preserve">El coste que supone el </w:t>
      </w:r>
      <w:r w:rsidR="00B04729">
        <w:rPr>
          <w:szCs w:val="26"/>
        </w:rPr>
        <w:t>Montepío</w:t>
      </w:r>
      <w:r w:rsidRPr="009868F9">
        <w:rPr>
          <w:szCs w:val="26"/>
        </w:rPr>
        <w:t xml:space="preserve"> por cada administrativo en activo ha pasado en el periodo 2006-2015 de 20.163 a 56.638 euros; mientras que el de los subalternos se ha incrementado desde 32.183 a 71.957 euros. </w:t>
      </w:r>
    </w:p>
    <w:p w:rsidR="009868F9" w:rsidRPr="009868F9" w:rsidRDefault="009868F9" w:rsidP="0077337B">
      <w:pPr>
        <w:pStyle w:val="texto"/>
        <w:rPr>
          <w:szCs w:val="26"/>
        </w:rPr>
      </w:pPr>
      <w:r w:rsidRPr="009868F9">
        <w:rPr>
          <w:szCs w:val="26"/>
        </w:rPr>
        <w:t>Llegará un momento en que no haya personal en activo para repartir el déf</w:t>
      </w:r>
      <w:r w:rsidRPr="009868F9">
        <w:rPr>
          <w:szCs w:val="26"/>
        </w:rPr>
        <w:t>i</w:t>
      </w:r>
      <w:r w:rsidRPr="009868F9">
        <w:rPr>
          <w:szCs w:val="26"/>
        </w:rPr>
        <w:t>cit generado por las pensiones de estos grupos.</w:t>
      </w:r>
    </w:p>
    <w:p w:rsidR="009868F9" w:rsidRPr="009868F9" w:rsidRDefault="009868F9" w:rsidP="00D62746">
      <w:pPr>
        <w:pStyle w:val="texto"/>
        <w:spacing w:after="240"/>
        <w:rPr>
          <w:szCs w:val="26"/>
        </w:rPr>
      </w:pPr>
      <w:r w:rsidRPr="00FB1FFE">
        <w:rPr>
          <w:b/>
          <w:szCs w:val="26"/>
        </w:rPr>
        <w:t>1</w:t>
      </w:r>
      <w:r w:rsidR="00722BF2" w:rsidRPr="00FB1FFE">
        <w:rPr>
          <w:b/>
          <w:szCs w:val="26"/>
        </w:rPr>
        <w:t>0</w:t>
      </w:r>
      <w:r w:rsidR="00FB1FFE">
        <w:rPr>
          <w:b/>
          <w:szCs w:val="26"/>
        </w:rPr>
        <w:t>.</w:t>
      </w:r>
      <w:r w:rsidRPr="00FB1FFE">
        <w:rPr>
          <w:b/>
          <w:szCs w:val="26"/>
        </w:rPr>
        <w:t>ª</w:t>
      </w:r>
      <w:r w:rsidRPr="009868F9">
        <w:rPr>
          <w:szCs w:val="26"/>
        </w:rPr>
        <w:t xml:space="preserve"> Hemos realizado una estimación del coste que puede correspond</w:t>
      </w:r>
      <w:r w:rsidR="00722BF2">
        <w:rPr>
          <w:szCs w:val="26"/>
        </w:rPr>
        <w:t>er a un funcionario encuadrado</w:t>
      </w:r>
      <w:r w:rsidRPr="009868F9">
        <w:rPr>
          <w:szCs w:val="26"/>
        </w:rPr>
        <w:t xml:space="preserve"> en la categoría de subalternos, en función de diferentes niveles </w:t>
      </w:r>
      <w:r w:rsidR="00CE667B">
        <w:rPr>
          <w:szCs w:val="26"/>
        </w:rPr>
        <w:t>retributivos</w:t>
      </w:r>
      <w:r w:rsidRPr="009868F9">
        <w:rPr>
          <w:szCs w:val="26"/>
        </w:rPr>
        <w:t xml:space="preserve"> y considerando que ha alcanzado el máximo número de grados, que tiene 8 quinquenios y complementos personales hasta un 50 por ciento. Los resultados </w:t>
      </w:r>
      <w:r w:rsidR="00722BF2">
        <w:rPr>
          <w:szCs w:val="26"/>
        </w:rPr>
        <w:t xml:space="preserve">para 2015 </w:t>
      </w:r>
      <w:r w:rsidRPr="009868F9">
        <w:rPr>
          <w:szCs w:val="26"/>
        </w:rPr>
        <w:t xml:space="preserve">son: </w:t>
      </w:r>
    </w:p>
    <w:tbl>
      <w:tblPr>
        <w:tblW w:w="8670" w:type="dxa"/>
        <w:jc w:val="center"/>
        <w:tblCellMar>
          <w:left w:w="70" w:type="dxa"/>
          <w:right w:w="70" w:type="dxa"/>
        </w:tblCellMar>
        <w:tblLook w:val="04A0" w:firstRow="1" w:lastRow="0" w:firstColumn="1" w:lastColumn="0" w:noHBand="0" w:noVBand="1"/>
      </w:tblPr>
      <w:tblGrid>
        <w:gridCol w:w="3769"/>
        <w:gridCol w:w="1204"/>
        <w:gridCol w:w="1838"/>
        <w:gridCol w:w="1859"/>
      </w:tblGrid>
      <w:tr w:rsidR="009868F9" w:rsidRPr="009868F9" w:rsidTr="00332BF6">
        <w:trPr>
          <w:trHeight w:val="255"/>
          <w:jc w:val="center"/>
        </w:trPr>
        <w:tc>
          <w:tcPr>
            <w:tcW w:w="3769" w:type="dxa"/>
            <w:vMerge w:val="restart"/>
            <w:tcBorders>
              <w:top w:val="single" w:sz="4" w:space="0" w:color="auto"/>
              <w:bottom w:val="single" w:sz="4" w:space="0" w:color="auto"/>
            </w:tcBorders>
            <w:shd w:val="clear" w:color="auto" w:fill="FABF8F" w:themeFill="accent6" w:themeFillTint="99"/>
            <w:noWrap/>
            <w:vAlign w:val="center"/>
            <w:hideMark/>
          </w:tcPr>
          <w:p w:rsidR="009868F9" w:rsidRPr="007A16AB" w:rsidRDefault="009868F9" w:rsidP="007A16AB">
            <w:pPr>
              <w:pStyle w:val="cuadroCabe"/>
              <w:rPr>
                <w:snapToGrid w:val="0"/>
                <w:sz w:val="20"/>
                <w:szCs w:val="20"/>
              </w:rPr>
            </w:pPr>
            <w:r w:rsidRPr="007A16AB">
              <w:rPr>
                <w:snapToGrid w:val="0"/>
                <w:sz w:val="20"/>
                <w:szCs w:val="20"/>
              </w:rPr>
              <w:t> </w:t>
            </w:r>
          </w:p>
        </w:tc>
        <w:tc>
          <w:tcPr>
            <w:tcW w:w="4901" w:type="dxa"/>
            <w:gridSpan w:val="3"/>
            <w:tcBorders>
              <w:top w:val="single" w:sz="4" w:space="0" w:color="auto"/>
              <w:bottom w:val="single" w:sz="4" w:space="0" w:color="auto"/>
            </w:tcBorders>
            <w:shd w:val="clear" w:color="auto" w:fill="FABF8F" w:themeFill="accent6" w:themeFillTint="99"/>
            <w:noWrap/>
            <w:vAlign w:val="center"/>
            <w:hideMark/>
          </w:tcPr>
          <w:p w:rsidR="009868F9" w:rsidRPr="007A16AB" w:rsidRDefault="008819B3" w:rsidP="008819B3">
            <w:pPr>
              <w:pStyle w:val="cuadroCabe"/>
              <w:jc w:val="center"/>
              <w:rPr>
                <w:snapToGrid w:val="0"/>
                <w:sz w:val="20"/>
                <w:szCs w:val="20"/>
              </w:rPr>
            </w:pPr>
            <w:r>
              <w:rPr>
                <w:snapToGrid w:val="0"/>
                <w:sz w:val="20"/>
                <w:szCs w:val="20"/>
              </w:rPr>
              <w:t xml:space="preserve">        </w:t>
            </w:r>
            <w:r w:rsidR="00722BF2">
              <w:rPr>
                <w:snapToGrid w:val="0"/>
                <w:sz w:val="20"/>
                <w:szCs w:val="20"/>
              </w:rPr>
              <w:t>N</w:t>
            </w:r>
            <w:r w:rsidR="00E17650">
              <w:rPr>
                <w:snapToGrid w:val="0"/>
                <w:sz w:val="20"/>
                <w:szCs w:val="20"/>
              </w:rPr>
              <w:t>ivel</w:t>
            </w:r>
          </w:p>
        </w:tc>
      </w:tr>
      <w:tr w:rsidR="009868F9" w:rsidRPr="009868F9" w:rsidTr="00332BF6">
        <w:trPr>
          <w:trHeight w:val="255"/>
          <w:jc w:val="center"/>
        </w:trPr>
        <w:tc>
          <w:tcPr>
            <w:tcW w:w="3769" w:type="dxa"/>
            <w:vMerge/>
            <w:tcBorders>
              <w:top w:val="single" w:sz="4" w:space="0" w:color="auto"/>
              <w:bottom w:val="single" w:sz="4" w:space="0" w:color="auto"/>
            </w:tcBorders>
            <w:shd w:val="clear" w:color="auto" w:fill="FABF8F" w:themeFill="accent6" w:themeFillTint="99"/>
            <w:vAlign w:val="center"/>
            <w:hideMark/>
          </w:tcPr>
          <w:p w:rsidR="009868F9" w:rsidRPr="007A16AB" w:rsidRDefault="009868F9" w:rsidP="007A16AB">
            <w:pPr>
              <w:pStyle w:val="cuadroCabe"/>
              <w:rPr>
                <w:snapToGrid w:val="0"/>
                <w:sz w:val="20"/>
                <w:szCs w:val="20"/>
              </w:rPr>
            </w:pPr>
          </w:p>
        </w:tc>
        <w:tc>
          <w:tcPr>
            <w:tcW w:w="1204" w:type="dxa"/>
            <w:tcBorders>
              <w:top w:val="single" w:sz="4" w:space="0" w:color="auto"/>
              <w:bottom w:val="single" w:sz="4" w:space="0" w:color="auto"/>
            </w:tcBorders>
            <w:shd w:val="clear" w:color="auto" w:fill="FABF8F" w:themeFill="accent6" w:themeFillTint="99"/>
            <w:noWrap/>
            <w:vAlign w:val="center"/>
            <w:hideMark/>
          </w:tcPr>
          <w:p w:rsidR="009868F9" w:rsidRPr="007A16AB" w:rsidRDefault="00E41FAF" w:rsidP="00E17650">
            <w:pPr>
              <w:pStyle w:val="cuadroCabe"/>
              <w:jc w:val="center"/>
              <w:rPr>
                <w:snapToGrid w:val="0"/>
                <w:sz w:val="20"/>
                <w:szCs w:val="20"/>
              </w:rPr>
            </w:pPr>
            <w:r>
              <w:rPr>
                <w:snapToGrid w:val="0"/>
                <w:sz w:val="20"/>
                <w:szCs w:val="20"/>
              </w:rPr>
              <w:t xml:space="preserve">           </w:t>
            </w:r>
            <w:r w:rsidR="009868F9" w:rsidRPr="007A16AB">
              <w:rPr>
                <w:snapToGrid w:val="0"/>
                <w:sz w:val="20"/>
                <w:szCs w:val="20"/>
              </w:rPr>
              <w:t>C</w:t>
            </w:r>
          </w:p>
        </w:tc>
        <w:tc>
          <w:tcPr>
            <w:tcW w:w="1838" w:type="dxa"/>
            <w:tcBorders>
              <w:top w:val="single" w:sz="4" w:space="0" w:color="auto"/>
              <w:bottom w:val="single" w:sz="4" w:space="0" w:color="auto"/>
            </w:tcBorders>
            <w:shd w:val="clear" w:color="auto" w:fill="FABF8F" w:themeFill="accent6" w:themeFillTint="99"/>
            <w:noWrap/>
            <w:vAlign w:val="center"/>
            <w:hideMark/>
          </w:tcPr>
          <w:p w:rsidR="009868F9" w:rsidRPr="007A16AB" w:rsidRDefault="00E41FAF" w:rsidP="006269BC">
            <w:pPr>
              <w:pStyle w:val="cuadroCabe"/>
              <w:jc w:val="center"/>
              <w:rPr>
                <w:snapToGrid w:val="0"/>
                <w:sz w:val="20"/>
                <w:szCs w:val="20"/>
              </w:rPr>
            </w:pPr>
            <w:r>
              <w:rPr>
                <w:snapToGrid w:val="0"/>
                <w:sz w:val="20"/>
                <w:szCs w:val="20"/>
              </w:rPr>
              <w:t xml:space="preserve">              </w:t>
            </w:r>
            <w:r w:rsidR="00E17650">
              <w:rPr>
                <w:snapToGrid w:val="0"/>
                <w:sz w:val="20"/>
                <w:szCs w:val="20"/>
              </w:rPr>
              <w:t xml:space="preserve">    </w:t>
            </w:r>
            <w:r>
              <w:rPr>
                <w:snapToGrid w:val="0"/>
                <w:sz w:val="20"/>
                <w:szCs w:val="20"/>
              </w:rPr>
              <w:t xml:space="preserve">   </w:t>
            </w:r>
            <w:r w:rsidR="009868F9" w:rsidRPr="007A16AB">
              <w:rPr>
                <w:snapToGrid w:val="0"/>
                <w:sz w:val="20"/>
                <w:szCs w:val="20"/>
              </w:rPr>
              <w:t>D</w:t>
            </w:r>
          </w:p>
        </w:tc>
        <w:tc>
          <w:tcPr>
            <w:tcW w:w="1859" w:type="dxa"/>
            <w:tcBorders>
              <w:top w:val="single" w:sz="4" w:space="0" w:color="auto"/>
              <w:bottom w:val="single" w:sz="4" w:space="0" w:color="auto"/>
            </w:tcBorders>
            <w:shd w:val="clear" w:color="auto" w:fill="FABF8F" w:themeFill="accent6" w:themeFillTint="99"/>
            <w:noWrap/>
            <w:vAlign w:val="center"/>
            <w:hideMark/>
          </w:tcPr>
          <w:p w:rsidR="009868F9" w:rsidRPr="007A16AB" w:rsidRDefault="00E41FAF" w:rsidP="006269BC">
            <w:pPr>
              <w:pStyle w:val="cuadroCabe"/>
              <w:jc w:val="center"/>
              <w:rPr>
                <w:snapToGrid w:val="0"/>
                <w:sz w:val="20"/>
                <w:szCs w:val="20"/>
              </w:rPr>
            </w:pPr>
            <w:r>
              <w:rPr>
                <w:snapToGrid w:val="0"/>
                <w:sz w:val="20"/>
                <w:szCs w:val="20"/>
              </w:rPr>
              <w:t xml:space="preserve">             </w:t>
            </w:r>
            <w:r w:rsidR="00E17650">
              <w:rPr>
                <w:snapToGrid w:val="0"/>
                <w:sz w:val="20"/>
                <w:szCs w:val="20"/>
              </w:rPr>
              <w:t xml:space="preserve">    </w:t>
            </w:r>
            <w:r>
              <w:rPr>
                <w:snapToGrid w:val="0"/>
                <w:sz w:val="20"/>
                <w:szCs w:val="20"/>
              </w:rPr>
              <w:t xml:space="preserve">    </w:t>
            </w:r>
            <w:r w:rsidR="009868F9" w:rsidRPr="007A16AB">
              <w:rPr>
                <w:snapToGrid w:val="0"/>
                <w:sz w:val="20"/>
                <w:szCs w:val="20"/>
              </w:rPr>
              <w:t>E</w:t>
            </w:r>
          </w:p>
        </w:tc>
      </w:tr>
      <w:tr w:rsidR="009868F9" w:rsidRPr="007A16AB" w:rsidTr="00332BF6">
        <w:trPr>
          <w:trHeight w:val="198"/>
          <w:jc w:val="center"/>
        </w:trPr>
        <w:tc>
          <w:tcPr>
            <w:tcW w:w="3769" w:type="dxa"/>
            <w:tcBorders>
              <w:top w:val="single" w:sz="4" w:space="0" w:color="auto"/>
              <w:bottom w:val="single" w:sz="2" w:space="0" w:color="auto"/>
            </w:tcBorders>
            <w:noWrap/>
            <w:vAlign w:val="center"/>
            <w:hideMark/>
          </w:tcPr>
          <w:p w:rsidR="009868F9" w:rsidRPr="007A16AB" w:rsidRDefault="009868F9" w:rsidP="007A16AB">
            <w:pPr>
              <w:pStyle w:val="cuadroCabe"/>
              <w:rPr>
                <w:rFonts w:ascii="Arial Narrow" w:hAnsi="Arial Narrow"/>
                <w:snapToGrid w:val="0"/>
                <w:sz w:val="20"/>
                <w:szCs w:val="20"/>
              </w:rPr>
            </w:pPr>
            <w:r w:rsidRPr="007A16AB">
              <w:rPr>
                <w:rFonts w:ascii="Arial Narrow" w:hAnsi="Arial Narrow"/>
                <w:snapToGrid w:val="0"/>
                <w:sz w:val="20"/>
                <w:szCs w:val="20"/>
              </w:rPr>
              <w:t>Sueldo inicial o base</w:t>
            </w:r>
          </w:p>
        </w:tc>
        <w:tc>
          <w:tcPr>
            <w:tcW w:w="1204" w:type="dxa"/>
            <w:tcBorders>
              <w:top w:val="single" w:sz="4" w:space="0" w:color="auto"/>
              <w:bottom w:val="single" w:sz="2" w:space="0" w:color="auto"/>
            </w:tcBorders>
            <w:noWrap/>
            <w:vAlign w:val="center"/>
            <w:hideMark/>
          </w:tcPr>
          <w:p w:rsidR="009868F9" w:rsidRPr="007A16AB" w:rsidRDefault="009868F9" w:rsidP="006269BC">
            <w:pPr>
              <w:pStyle w:val="cuadroCabe"/>
              <w:jc w:val="right"/>
              <w:rPr>
                <w:rFonts w:ascii="Arial Narrow" w:hAnsi="Arial Narrow"/>
                <w:snapToGrid w:val="0"/>
                <w:sz w:val="20"/>
                <w:szCs w:val="20"/>
              </w:rPr>
            </w:pPr>
            <w:r w:rsidRPr="007A16AB">
              <w:rPr>
                <w:rFonts w:ascii="Arial Narrow" w:hAnsi="Arial Narrow"/>
                <w:snapToGrid w:val="0"/>
                <w:sz w:val="20"/>
                <w:szCs w:val="20"/>
              </w:rPr>
              <w:t>17.643</w:t>
            </w:r>
          </w:p>
        </w:tc>
        <w:tc>
          <w:tcPr>
            <w:tcW w:w="1838" w:type="dxa"/>
            <w:tcBorders>
              <w:top w:val="single" w:sz="4"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15.366</w:t>
            </w:r>
          </w:p>
        </w:tc>
        <w:tc>
          <w:tcPr>
            <w:tcW w:w="1859" w:type="dxa"/>
            <w:tcBorders>
              <w:top w:val="single" w:sz="4"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13.516</w:t>
            </w:r>
          </w:p>
        </w:tc>
      </w:tr>
      <w:tr w:rsidR="009868F9" w:rsidRPr="007A16AB" w:rsidTr="00332BF6">
        <w:trPr>
          <w:trHeight w:val="198"/>
          <w:jc w:val="center"/>
        </w:trPr>
        <w:tc>
          <w:tcPr>
            <w:tcW w:w="3769" w:type="dxa"/>
            <w:tcBorders>
              <w:top w:val="single" w:sz="2" w:space="0" w:color="auto"/>
              <w:bottom w:val="single" w:sz="2" w:space="0" w:color="auto"/>
            </w:tcBorders>
            <w:noWrap/>
            <w:vAlign w:val="center"/>
            <w:hideMark/>
          </w:tcPr>
          <w:p w:rsidR="009868F9" w:rsidRPr="007A16AB" w:rsidRDefault="009868F9" w:rsidP="007A16AB">
            <w:pPr>
              <w:pStyle w:val="cuadroCabe"/>
              <w:rPr>
                <w:rFonts w:ascii="Arial Narrow" w:hAnsi="Arial Narrow"/>
                <w:snapToGrid w:val="0"/>
                <w:sz w:val="20"/>
                <w:szCs w:val="20"/>
              </w:rPr>
            </w:pPr>
            <w:r w:rsidRPr="007A16AB">
              <w:rPr>
                <w:rFonts w:ascii="Arial Narrow" w:hAnsi="Arial Narrow"/>
                <w:snapToGrid w:val="0"/>
                <w:sz w:val="20"/>
                <w:szCs w:val="20"/>
              </w:rPr>
              <w:t>Grado máx x 6</w:t>
            </w:r>
          </w:p>
        </w:tc>
        <w:tc>
          <w:tcPr>
            <w:tcW w:w="1204" w:type="dxa"/>
            <w:tcBorders>
              <w:top w:val="single" w:sz="2" w:space="0" w:color="auto"/>
              <w:bottom w:val="single" w:sz="2" w:space="0" w:color="auto"/>
            </w:tcBorders>
            <w:noWrap/>
            <w:vAlign w:val="center"/>
            <w:hideMark/>
          </w:tcPr>
          <w:p w:rsidR="009868F9" w:rsidRPr="007A16AB" w:rsidRDefault="009868F9" w:rsidP="006269BC">
            <w:pPr>
              <w:pStyle w:val="cuadroCabe"/>
              <w:jc w:val="right"/>
              <w:rPr>
                <w:rFonts w:ascii="Arial Narrow" w:hAnsi="Arial Narrow"/>
                <w:snapToGrid w:val="0"/>
                <w:sz w:val="20"/>
                <w:szCs w:val="20"/>
              </w:rPr>
            </w:pPr>
            <w:r w:rsidRPr="007A16AB">
              <w:rPr>
                <w:rFonts w:ascii="Arial Narrow" w:hAnsi="Arial Narrow"/>
                <w:snapToGrid w:val="0"/>
                <w:sz w:val="20"/>
                <w:szCs w:val="20"/>
              </w:rPr>
              <w:t>9.527</w:t>
            </w:r>
          </w:p>
        </w:tc>
        <w:tc>
          <w:tcPr>
            <w:tcW w:w="1838"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8.297</w:t>
            </w:r>
          </w:p>
        </w:tc>
        <w:tc>
          <w:tcPr>
            <w:tcW w:w="1859"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7.299</w:t>
            </w:r>
          </w:p>
        </w:tc>
      </w:tr>
      <w:tr w:rsidR="009868F9" w:rsidRPr="007A16AB" w:rsidTr="00332BF6">
        <w:trPr>
          <w:trHeight w:val="198"/>
          <w:jc w:val="center"/>
        </w:trPr>
        <w:tc>
          <w:tcPr>
            <w:tcW w:w="3769" w:type="dxa"/>
            <w:tcBorders>
              <w:top w:val="single" w:sz="2" w:space="0" w:color="auto"/>
              <w:bottom w:val="single" w:sz="2" w:space="0" w:color="auto"/>
            </w:tcBorders>
            <w:noWrap/>
            <w:vAlign w:val="center"/>
            <w:hideMark/>
          </w:tcPr>
          <w:p w:rsidR="009868F9" w:rsidRPr="007A16AB" w:rsidRDefault="009868F9" w:rsidP="007A16AB">
            <w:pPr>
              <w:pStyle w:val="cuadroCabe"/>
              <w:rPr>
                <w:rFonts w:ascii="Arial Narrow" w:hAnsi="Arial Narrow"/>
                <w:snapToGrid w:val="0"/>
                <w:sz w:val="20"/>
                <w:szCs w:val="20"/>
              </w:rPr>
            </w:pPr>
            <w:r w:rsidRPr="007A16AB">
              <w:rPr>
                <w:rFonts w:ascii="Arial Narrow" w:hAnsi="Arial Narrow"/>
                <w:snapToGrid w:val="0"/>
                <w:sz w:val="20"/>
                <w:szCs w:val="20"/>
              </w:rPr>
              <w:t>8 quinquenios</w:t>
            </w:r>
          </w:p>
        </w:tc>
        <w:tc>
          <w:tcPr>
            <w:tcW w:w="1204"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1.487</w:t>
            </w:r>
          </w:p>
        </w:tc>
        <w:tc>
          <w:tcPr>
            <w:tcW w:w="1838" w:type="dxa"/>
            <w:tcBorders>
              <w:top w:val="single" w:sz="2" w:space="0" w:color="auto"/>
              <w:bottom w:val="single" w:sz="2" w:space="0" w:color="auto"/>
            </w:tcBorders>
            <w:noWrap/>
            <w:vAlign w:val="center"/>
            <w:hideMark/>
          </w:tcPr>
          <w:p w:rsidR="009868F9" w:rsidRPr="007A16AB" w:rsidRDefault="009868F9" w:rsidP="006269BC">
            <w:pPr>
              <w:pStyle w:val="cuadroCabe"/>
              <w:jc w:val="right"/>
              <w:rPr>
                <w:rFonts w:ascii="Arial Narrow" w:hAnsi="Arial Narrow"/>
                <w:snapToGrid w:val="0"/>
                <w:sz w:val="20"/>
                <w:szCs w:val="20"/>
              </w:rPr>
            </w:pPr>
            <w:r w:rsidRPr="007A16AB">
              <w:rPr>
                <w:rFonts w:ascii="Arial Narrow" w:hAnsi="Arial Narrow"/>
                <w:snapToGrid w:val="0"/>
                <w:sz w:val="20"/>
                <w:szCs w:val="20"/>
              </w:rPr>
              <w:t>1.48</w:t>
            </w:r>
            <w:r w:rsidR="00722BF2">
              <w:rPr>
                <w:rFonts w:ascii="Arial Narrow" w:hAnsi="Arial Narrow"/>
                <w:snapToGrid w:val="0"/>
                <w:sz w:val="20"/>
                <w:szCs w:val="20"/>
              </w:rPr>
              <w:t>7</w:t>
            </w:r>
          </w:p>
        </w:tc>
        <w:tc>
          <w:tcPr>
            <w:tcW w:w="1859" w:type="dxa"/>
            <w:tcBorders>
              <w:top w:val="single" w:sz="2" w:space="0" w:color="auto"/>
              <w:bottom w:val="single" w:sz="2" w:space="0" w:color="auto"/>
            </w:tcBorders>
            <w:noWrap/>
            <w:vAlign w:val="center"/>
            <w:hideMark/>
          </w:tcPr>
          <w:p w:rsidR="009868F9" w:rsidRPr="007A16AB" w:rsidRDefault="00722BF2" w:rsidP="006269BC">
            <w:pPr>
              <w:pStyle w:val="cuadroCabe"/>
              <w:jc w:val="right"/>
              <w:rPr>
                <w:rFonts w:ascii="Arial Narrow" w:hAnsi="Arial Narrow"/>
                <w:snapToGrid w:val="0"/>
                <w:sz w:val="20"/>
                <w:szCs w:val="20"/>
              </w:rPr>
            </w:pPr>
            <w:r>
              <w:rPr>
                <w:rFonts w:ascii="Arial Narrow" w:hAnsi="Arial Narrow"/>
                <w:snapToGrid w:val="0"/>
                <w:sz w:val="20"/>
                <w:szCs w:val="20"/>
              </w:rPr>
              <w:t>1.487</w:t>
            </w:r>
          </w:p>
        </w:tc>
      </w:tr>
      <w:tr w:rsidR="009868F9" w:rsidRPr="007A16AB" w:rsidTr="00332BF6">
        <w:trPr>
          <w:trHeight w:val="198"/>
          <w:jc w:val="center"/>
        </w:trPr>
        <w:tc>
          <w:tcPr>
            <w:tcW w:w="3769" w:type="dxa"/>
            <w:tcBorders>
              <w:top w:val="single" w:sz="2" w:space="0" w:color="auto"/>
              <w:bottom w:val="single" w:sz="2" w:space="0" w:color="auto"/>
            </w:tcBorders>
            <w:noWrap/>
            <w:vAlign w:val="center"/>
            <w:hideMark/>
          </w:tcPr>
          <w:p w:rsidR="009868F9" w:rsidRPr="007A16AB" w:rsidRDefault="00722BF2" w:rsidP="00722BF2">
            <w:pPr>
              <w:spacing w:after="0"/>
              <w:ind w:firstLine="0"/>
              <w:jc w:val="left"/>
              <w:rPr>
                <w:rFonts w:ascii="Arial Narrow" w:hAnsi="Arial Narrow"/>
                <w:color w:val="000000"/>
                <w:lang w:val="es-ES" w:eastAsia="es-ES"/>
              </w:rPr>
            </w:pPr>
            <w:r w:rsidRPr="007A16AB">
              <w:rPr>
                <w:rFonts w:ascii="Arial Narrow" w:hAnsi="Arial Narrow"/>
                <w:color w:val="000000"/>
                <w:lang w:val="es-ES" w:eastAsia="es-ES"/>
              </w:rPr>
              <w:t>C</w:t>
            </w:r>
            <w:r>
              <w:rPr>
                <w:rFonts w:ascii="Arial Narrow" w:hAnsi="Arial Narrow"/>
                <w:color w:val="000000"/>
                <w:lang w:val="es-ES" w:eastAsia="es-ES"/>
              </w:rPr>
              <w:t>omplemento</w:t>
            </w:r>
            <w:r w:rsidR="009868F9" w:rsidRPr="007A16AB">
              <w:rPr>
                <w:rFonts w:ascii="Arial Narrow" w:hAnsi="Arial Narrow"/>
                <w:color w:val="000000"/>
                <w:lang w:val="es-ES" w:eastAsia="es-ES"/>
              </w:rPr>
              <w:t xml:space="preserve">   50%</w:t>
            </w:r>
          </w:p>
        </w:tc>
        <w:tc>
          <w:tcPr>
            <w:tcW w:w="1204" w:type="dxa"/>
            <w:tcBorders>
              <w:top w:val="single" w:sz="2" w:space="0" w:color="auto"/>
              <w:bottom w:val="single" w:sz="2" w:space="0" w:color="auto"/>
            </w:tcBorders>
            <w:noWrap/>
            <w:vAlign w:val="center"/>
            <w:hideMark/>
          </w:tcPr>
          <w:p w:rsidR="009868F9" w:rsidRPr="007A16AB" w:rsidRDefault="00722BF2" w:rsidP="006269BC">
            <w:pPr>
              <w:spacing w:after="0"/>
              <w:ind w:firstLine="0"/>
              <w:jc w:val="right"/>
              <w:rPr>
                <w:rFonts w:ascii="Arial Narrow" w:hAnsi="Arial Narrow"/>
                <w:color w:val="000000"/>
                <w:lang w:val="es-ES" w:eastAsia="es-ES"/>
              </w:rPr>
            </w:pPr>
            <w:r>
              <w:rPr>
                <w:rFonts w:ascii="Arial Narrow" w:hAnsi="Arial Narrow"/>
                <w:color w:val="000000"/>
                <w:lang w:val="es-ES" w:eastAsia="es-ES"/>
              </w:rPr>
              <w:t>8.822</w:t>
            </w:r>
          </w:p>
        </w:tc>
        <w:tc>
          <w:tcPr>
            <w:tcW w:w="1838" w:type="dxa"/>
            <w:tcBorders>
              <w:top w:val="single" w:sz="2" w:space="0" w:color="auto"/>
              <w:bottom w:val="single" w:sz="2" w:space="0" w:color="auto"/>
            </w:tcBorders>
            <w:noWrap/>
            <w:vAlign w:val="center"/>
            <w:hideMark/>
          </w:tcPr>
          <w:p w:rsidR="009868F9" w:rsidRPr="007A16AB" w:rsidRDefault="00722BF2" w:rsidP="006269BC">
            <w:pPr>
              <w:spacing w:after="0"/>
              <w:ind w:firstLine="0"/>
              <w:jc w:val="right"/>
              <w:rPr>
                <w:rFonts w:ascii="Arial Narrow" w:hAnsi="Arial Narrow"/>
                <w:color w:val="000000"/>
                <w:lang w:val="es-ES" w:eastAsia="es-ES"/>
              </w:rPr>
            </w:pPr>
            <w:r>
              <w:rPr>
                <w:rFonts w:ascii="Arial Narrow" w:hAnsi="Arial Narrow"/>
                <w:color w:val="000000"/>
                <w:lang w:val="es-ES" w:eastAsia="es-ES"/>
              </w:rPr>
              <w:t>7.683</w:t>
            </w:r>
          </w:p>
        </w:tc>
        <w:tc>
          <w:tcPr>
            <w:tcW w:w="1859" w:type="dxa"/>
            <w:tcBorders>
              <w:top w:val="single" w:sz="2" w:space="0" w:color="auto"/>
              <w:bottom w:val="single" w:sz="2" w:space="0" w:color="auto"/>
            </w:tcBorders>
            <w:noWrap/>
            <w:vAlign w:val="center"/>
            <w:hideMark/>
          </w:tcPr>
          <w:p w:rsidR="009868F9" w:rsidRPr="007A16AB" w:rsidRDefault="00722BF2" w:rsidP="006269BC">
            <w:pPr>
              <w:spacing w:after="0"/>
              <w:ind w:firstLine="0"/>
              <w:jc w:val="right"/>
              <w:rPr>
                <w:rFonts w:ascii="Arial Narrow" w:hAnsi="Arial Narrow"/>
                <w:color w:val="000000"/>
                <w:lang w:val="es-ES" w:eastAsia="es-ES"/>
              </w:rPr>
            </w:pPr>
            <w:r>
              <w:rPr>
                <w:rFonts w:ascii="Arial Narrow" w:hAnsi="Arial Narrow"/>
                <w:color w:val="000000"/>
                <w:lang w:val="es-ES" w:eastAsia="es-ES"/>
              </w:rPr>
              <w:t>6.758</w:t>
            </w:r>
          </w:p>
        </w:tc>
      </w:tr>
      <w:tr w:rsidR="009868F9" w:rsidRPr="0017656E" w:rsidTr="00332BF6">
        <w:trPr>
          <w:trHeight w:val="255"/>
          <w:jc w:val="center"/>
        </w:trPr>
        <w:tc>
          <w:tcPr>
            <w:tcW w:w="3769"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9868F9" w:rsidP="007A16AB">
            <w:pPr>
              <w:spacing w:after="0"/>
              <w:ind w:firstLine="0"/>
              <w:jc w:val="left"/>
              <w:rPr>
                <w:rFonts w:ascii="Arial" w:hAnsi="Arial" w:cs="Arial"/>
                <w:color w:val="000000"/>
                <w:sz w:val="18"/>
                <w:szCs w:val="18"/>
                <w:lang w:val="es-ES" w:eastAsia="es-ES"/>
              </w:rPr>
            </w:pPr>
            <w:r w:rsidRPr="0017656E">
              <w:rPr>
                <w:rFonts w:ascii="Arial" w:hAnsi="Arial" w:cs="Arial"/>
                <w:color w:val="000000"/>
                <w:sz w:val="18"/>
                <w:szCs w:val="18"/>
                <w:lang w:val="es-ES" w:eastAsia="es-ES"/>
              </w:rPr>
              <w:t>Total</w:t>
            </w:r>
          </w:p>
        </w:tc>
        <w:tc>
          <w:tcPr>
            <w:tcW w:w="1204"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722BF2" w:rsidP="006269BC">
            <w:pPr>
              <w:spacing w:after="0"/>
              <w:ind w:firstLine="0"/>
              <w:jc w:val="right"/>
              <w:rPr>
                <w:rFonts w:ascii="Arial" w:hAnsi="Arial" w:cs="Arial"/>
                <w:color w:val="000000"/>
                <w:sz w:val="18"/>
                <w:szCs w:val="18"/>
                <w:lang w:val="es-ES" w:eastAsia="es-ES"/>
              </w:rPr>
            </w:pPr>
            <w:r w:rsidRPr="0017656E">
              <w:rPr>
                <w:rFonts w:ascii="Arial" w:hAnsi="Arial" w:cs="Arial"/>
                <w:color w:val="000000"/>
                <w:sz w:val="18"/>
                <w:szCs w:val="18"/>
                <w:lang w:val="es-ES" w:eastAsia="es-ES"/>
              </w:rPr>
              <w:t>37.479</w:t>
            </w:r>
          </w:p>
        </w:tc>
        <w:tc>
          <w:tcPr>
            <w:tcW w:w="1838"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722BF2" w:rsidP="006269BC">
            <w:pPr>
              <w:spacing w:after="0"/>
              <w:ind w:firstLine="0"/>
              <w:jc w:val="right"/>
              <w:rPr>
                <w:rFonts w:ascii="Arial" w:hAnsi="Arial" w:cs="Arial"/>
                <w:color w:val="000000"/>
                <w:sz w:val="18"/>
                <w:szCs w:val="18"/>
                <w:lang w:val="es-ES" w:eastAsia="es-ES"/>
              </w:rPr>
            </w:pPr>
            <w:r w:rsidRPr="0017656E">
              <w:rPr>
                <w:rFonts w:ascii="Arial" w:hAnsi="Arial" w:cs="Arial"/>
                <w:color w:val="000000"/>
                <w:sz w:val="18"/>
                <w:szCs w:val="18"/>
                <w:lang w:val="es-ES" w:eastAsia="es-ES"/>
              </w:rPr>
              <w:t>32.833</w:t>
            </w:r>
          </w:p>
        </w:tc>
        <w:tc>
          <w:tcPr>
            <w:tcW w:w="1859" w:type="dxa"/>
            <w:tcBorders>
              <w:top w:val="single" w:sz="2" w:space="0" w:color="auto"/>
              <w:bottom w:val="single" w:sz="4" w:space="0" w:color="auto"/>
            </w:tcBorders>
            <w:shd w:val="clear" w:color="auto" w:fill="FABF8F" w:themeFill="accent6" w:themeFillTint="99"/>
            <w:noWrap/>
            <w:vAlign w:val="center"/>
            <w:hideMark/>
          </w:tcPr>
          <w:p w:rsidR="009868F9" w:rsidRPr="0017656E" w:rsidRDefault="00722BF2" w:rsidP="006269BC">
            <w:pPr>
              <w:spacing w:after="0"/>
              <w:ind w:firstLine="0"/>
              <w:jc w:val="right"/>
              <w:rPr>
                <w:rFonts w:ascii="Arial" w:hAnsi="Arial" w:cs="Arial"/>
                <w:color w:val="000000"/>
                <w:sz w:val="18"/>
                <w:szCs w:val="18"/>
                <w:lang w:val="es-ES" w:eastAsia="es-ES"/>
              </w:rPr>
            </w:pPr>
            <w:r w:rsidRPr="0017656E">
              <w:rPr>
                <w:rFonts w:ascii="Arial" w:hAnsi="Arial" w:cs="Arial"/>
                <w:color w:val="000000"/>
                <w:sz w:val="18"/>
                <w:szCs w:val="18"/>
                <w:lang w:val="es-ES" w:eastAsia="es-ES"/>
              </w:rPr>
              <w:t>29.060</w:t>
            </w:r>
          </w:p>
        </w:tc>
      </w:tr>
    </w:tbl>
    <w:p w:rsidR="009868F9" w:rsidRDefault="009868F9" w:rsidP="009868F9">
      <w:pPr>
        <w:spacing w:after="0"/>
        <w:ind w:firstLine="0"/>
        <w:jc w:val="left"/>
        <w:rPr>
          <w:sz w:val="24"/>
          <w:szCs w:val="24"/>
          <w:lang w:val="es-ES" w:eastAsia="es-ES"/>
        </w:rPr>
      </w:pPr>
    </w:p>
    <w:p w:rsidR="00655D31" w:rsidRPr="009868F9" w:rsidRDefault="00655D31" w:rsidP="009868F9">
      <w:pPr>
        <w:spacing w:after="0"/>
        <w:ind w:firstLine="0"/>
        <w:jc w:val="left"/>
        <w:rPr>
          <w:sz w:val="24"/>
          <w:szCs w:val="24"/>
          <w:lang w:val="es-ES" w:eastAsia="es-ES"/>
        </w:rPr>
      </w:pPr>
    </w:p>
    <w:p w:rsidR="009868F9" w:rsidRPr="009868F9" w:rsidRDefault="009868F9" w:rsidP="0077337B">
      <w:pPr>
        <w:pStyle w:val="texto"/>
        <w:rPr>
          <w:szCs w:val="26"/>
        </w:rPr>
      </w:pPr>
      <w:r w:rsidRPr="009868F9">
        <w:rPr>
          <w:szCs w:val="26"/>
        </w:rPr>
        <w:t>Si al salario bruto le añadimos un 30</w:t>
      </w:r>
      <w:r w:rsidR="00DF297E">
        <w:rPr>
          <w:szCs w:val="26"/>
        </w:rPr>
        <w:t xml:space="preserve"> por ciento</w:t>
      </w:r>
      <w:r w:rsidRPr="009868F9">
        <w:rPr>
          <w:szCs w:val="26"/>
        </w:rPr>
        <w:t xml:space="preserve"> de cuota patronal de la Seg</w:t>
      </w:r>
      <w:r w:rsidRPr="009868F9">
        <w:rPr>
          <w:szCs w:val="26"/>
        </w:rPr>
        <w:t>u</w:t>
      </w:r>
      <w:r w:rsidRPr="009868F9">
        <w:rPr>
          <w:szCs w:val="26"/>
        </w:rPr>
        <w:t>ridad Social obtendríamos:</w:t>
      </w:r>
    </w:p>
    <w:p w:rsidR="009868F9" w:rsidRPr="00653477" w:rsidRDefault="009868F9" w:rsidP="009868F9">
      <w:pPr>
        <w:spacing w:after="0"/>
        <w:ind w:firstLine="0"/>
        <w:jc w:val="left"/>
        <w:rPr>
          <w:rFonts w:ascii="Arial" w:hAnsi="Arial" w:cs="Arial"/>
          <w:color w:val="000000"/>
          <w:sz w:val="6"/>
          <w:szCs w:val="6"/>
          <w:lang w:val="es-ES" w:eastAsia="es-ES"/>
        </w:rPr>
      </w:pPr>
    </w:p>
    <w:tbl>
      <w:tblPr>
        <w:tblpPr w:leftFromText="141" w:rightFromText="141" w:bottomFromText="200" w:vertAnchor="text" w:horzAnchor="margin" w:tblpXSpec="center" w:tblpY="-17"/>
        <w:tblW w:w="8753" w:type="dxa"/>
        <w:tblBorders>
          <w:top w:val="single" w:sz="2" w:space="0" w:color="auto"/>
          <w:bottom w:val="single" w:sz="2" w:space="0" w:color="auto"/>
        </w:tblBorders>
        <w:tblCellMar>
          <w:left w:w="70" w:type="dxa"/>
          <w:right w:w="70" w:type="dxa"/>
        </w:tblCellMar>
        <w:tblLook w:val="04A0" w:firstRow="1" w:lastRow="0" w:firstColumn="1" w:lastColumn="0" w:noHBand="0" w:noVBand="1"/>
      </w:tblPr>
      <w:tblGrid>
        <w:gridCol w:w="4114"/>
        <w:gridCol w:w="918"/>
        <w:gridCol w:w="1842"/>
        <w:gridCol w:w="1879"/>
      </w:tblGrid>
      <w:tr w:rsidR="009868F9" w:rsidRPr="0010298C" w:rsidTr="00332BF6">
        <w:trPr>
          <w:trHeight w:val="198"/>
        </w:trPr>
        <w:tc>
          <w:tcPr>
            <w:tcW w:w="4114" w:type="dxa"/>
            <w:vAlign w:val="center"/>
            <w:hideMark/>
          </w:tcPr>
          <w:p w:rsidR="009868F9" w:rsidRPr="0010298C" w:rsidRDefault="009868F9" w:rsidP="00057C96">
            <w:pPr>
              <w:spacing w:after="0"/>
              <w:ind w:firstLine="0"/>
              <w:jc w:val="left"/>
              <w:rPr>
                <w:rFonts w:ascii="Arial Narrow" w:hAnsi="Arial Narrow"/>
                <w:color w:val="000000"/>
                <w:sz w:val="22"/>
                <w:szCs w:val="22"/>
                <w:lang w:val="es-ES" w:eastAsia="es-ES"/>
              </w:rPr>
            </w:pPr>
            <w:r w:rsidRPr="0010298C">
              <w:rPr>
                <w:rFonts w:ascii="Arial Narrow" w:hAnsi="Arial Narrow"/>
                <w:color w:val="000000"/>
                <w:sz w:val="22"/>
                <w:szCs w:val="22"/>
                <w:lang w:val="es-ES" w:eastAsia="es-ES"/>
              </w:rPr>
              <w:t>salario bruto + ∆ 30%</w:t>
            </w:r>
          </w:p>
        </w:tc>
        <w:tc>
          <w:tcPr>
            <w:tcW w:w="918" w:type="dxa"/>
            <w:noWrap/>
            <w:vAlign w:val="center"/>
            <w:hideMark/>
          </w:tcPr>
          <w:p w:rsidR="009868F9" w:rsidRPr="0010298C" w:rsidRDefault="009868F9" w:rsidP="00041BCE">
            <w:pPr>
              <w:spacing w:after="0"/>
              <w:ind w:firstLine="0"/>
              <w:jc w:val="right"/>
              <w:rPr>
                <w:rFonts w:ascii="Arial Narrow" w:hAnsi="Arial Narrow"/>
                <w:color w:val="000000"/>
                <w:sz w:val="22"/>
                <w:szCs w:val="22"/>
                <w:lang w:val="es-ES" w:eastAsia="es-ES"/>
              </w:rPr>
            </w:pPr>
            <w:r w:rsidRPr="0010298C">
              <w:rPr>
                <w:rFonts w:ascii="Arial Narrow" w:hAnsi="Arial Narrow"/>
                <w:color w:val="000000"/>
                <w:sz w:val="22"/>
                <w:szCs w:val="22"/>
                <w:lang w:val="es-ES" w:eastAsia="es-ES"/>
              </w:rPr>
              <w:t>48.72</w:t>
            </w:r>
            <w:r w:rsidR="00041BCE">
              <w:rPr>
                <w:rFonts w:ascii="Arial Narrow" w:hAnsi="Arial Narrow"/>
                <w:color w:val="000000"/>
                <w:sz w:val="22"/>
                <w:szCs w:val="22"/>
                <w:lang w:val="es-ES" w:eastAsia="es-ES"/>
              </w:rPr>
              <w:t>3</w:t>
            </w:r>
          </w:p>
        </w:tc>
        <w:tc>
          <w:tcPr>
            <w:tcW w:w="1842" w:type="dxa"/>
            <w:noWrap/>
            <w:vAlign w:val="center"/>
            <w:hideMark/>
          </w:tcPr>
          <w:p w:rsidR="009868F9" w:rsidRPr="0010298C" w:rsidRDefault="009868F9" w:rsidP="00041BCE">
            <w:pPr>
              <w:spacing w:after="0"/>
              <w:ind w:firstLine="0"/>
              <w:jc w:val="right"/>
              <w:rPr>
                <w:rFonts w:ascii="Arial Narrow" w:hAnsi="Arial Narrow"/>
                <w:color w:val="000000"/>
                <w:sz w:val="22"/>
                <w:szCs w:val="22"/>
                <w:lang w:val="es-ES" w:eastAsia="es-ES"/>
              </w:rPr>
            </w:pPr>
            <w:r w:rsidRPr="0010298C">
              <w:rPr>
                <w:rFonts w:ascii="Arial Narrow" w:hAnsi="Arial Narrow"/>
                <w:color w:val="000000"/>
                <w:sz w:val="22"/>
                <w:szCs w:val="22"/>
                <w:lang w:val="es-ES" w:eastAsia="es-ES"/>
              </w:rPr>
              <w:t>42.683</w:t>
            </w:r>
          </w:p>
        </w:tc>
        <w:tc>
          <w:tcPr>
            <w:tcW w:w="1879" w:type="dxa"/>
            <w:noWrap/>
            <w:vAlign w:val="center"/>
            <w:hideMark/>
          </w:tcPr>
          <w:p w:rsidR="009868F9" w:rsidRPr="0010298C" w:rsidRDefault="00041BCE" w:rsidP="009868F9">
            <w:pPr>
              <w:spacing w:after="0"/>
              <w:ind w:firstLine="0"/>
              <w:jc w:val="right"/>
              <w:rPr>
                <w:rFonts w:ascii="Arial Narrow" w:hAnsi="Arial Narrow"/>
                <w:color w:val="000000"/>
                <w:sz w:val="22"/>
                <w:szCs w:val="22"/>
                <w:lang w:val="es-ES" w:eastAsia="es-ES"/>
              </w:rPr>
            </w:pPr>
            <w:r>
              <w:rPr>
                <w:rFonts w:ascii="Arial Narrow" w:hAnsi="Arial Narrow"/>
                <w:color w:val="000000"/>
                <w:sz w:val="22"/>
                <w:szCs w:val="22"/>
                <w:lang w:val="es-ES" w:eastAsia="es-ES"/>
              </w:rPr>
              <w:t>37.778</w:t>
            </w:r>
          </w:p>
        </w:tc>
      </w:tr>
    </w:tbl>
    <w:p w:rsidR="009868F9" w:rsidRDefault="009868F9" w:rsidP="0077337B">
      <w:pPr>
        <w:pStyle w:val="texto"/>
        <w:rPr>
          <w:szCs w:val="26"/>
        </w:rPr>
      </w:pPr>
      <w:r w:rsidRPr="009868F9">
        <w:rPr>
          <w:szCs w:val="26"/>
        </w:rPr>
        <w:t xml:space="preserve">Esto significa que mientras un subalterno afiliado a la Seguridad Social con la máxima antigüedad, según el nivel, tendría un coste que oscila entre </w:t>
      </w:r>
      <w:r w:rsidR="00665B59">
        <w:rPr>
          <w:szCs w:val="26"/>
        </w:rPr>
        <w:t xml:space="preserve">37.778 </w:t>
      </w:r>
      <w:r w:rsidRPr="009868F9">
        <w:rPr>
          <w:szCs w:val="26"/>
        </w:rPr>
        <w:t xml:space="preserve">y </w:t>
      </w:r>
      <w:r w:rsidR="00665B59">
        <w:rPr>
          <w:szCs w:val="26"/>
        </w:rPr>
        <w:t>48.723</w:t>
      </w:r>
      <w:r w:rsidRPr="009868F9">
        <w:rPr>
          <w:szCs w:val="26"/>
        </w:rPr>
        <w:t xml:space="preserve"> euros, en el caso de pertenecer al </w:t>
      </w:r>
      <w:r w:rsidR="00B04729">
        <w:rPr>
          <w:szCs w:val="26"/>
        </w:rPr>
        <w:t>Montepío</w:t>
      </w:r>
      <w:r w:rsidRPr="009868F9">
        <w:rPr>
          <w:szCs w:val="26"/>
        </w:rPr>
        <w:t xml:space="preserve"> supone para el ayunt</w:t>
      </w:r>
      <w:r w:rsidRPr="009868F9">
        <w:rPr>
          <w:szCs w:val="26"/>
        </w:rPr>
        <w:t>a</w:t>
      </w:r>
      <w:r w:rsidRPr="009868F9">
        <w:rPr>
          <w:szCs w:val="26"/>
        </w:rPr>
        <w:t>miento un coste que varía entre 101.0</w:t>
      </w:r>
      <w:r w:rsidR="008E4F7B">
        <w:rPr>
          <w:szCs w:val="26"/>
        </w:rPr>
        <w:t>17</w:t>
      </w:r>
      <w:r w:rsidRPr="009868F9">
        <w:rPr>
          <w:szCs w:val="26"/>
        </w:rPr>
        <w:t xml:space="preserve"> y 109.</w:t>
      </w:r>
      <w:r w:rsidR="008E4F7B">
        <w:rPr>
          <w:szCs w:val="26"/>
        </w:rPr>
        <w:t>436</w:t>
      </w:r>
      <w:r w:rsidRPr="009868F9">
        <w:rPr>
          <w:szCs w:val="26"/>
        </w:rPr>
        <w:t xml:space="preserve"> euros</w:t>
      </w:r>
      <w:r w:rsidR="00057C96">
        <w:rPr>
          <w:szCs w:val="26"/>
        </w:rPr>
        <w:t>, por el reparto del d</w:t>
      </w:r>
      <w:r w:rsidR="00057C96">
        <w:rPr>
          <w:szCs w:val="26"/>
        </w:rPr>
        <w:t>é</w:t>
      </w:r>
      <w:r w:rsidR="00057C96">
        <w:rPr>
          <w:szCs w:val="26"/>
        </w:rPr>
        <w:t xml:space="preserve">ficit del </w:t>
      </w:r>
      <w:r w:rsidR="00B04729">
        <w:rPr>
          <w:szCs w:val="26"/>
        </w:rPr>
        <w:t>Montepío</w:t>
      </w:r>
      <w:r w:rsidR="00057C96">
        <w:rPr>
          <w:szCs w:val="26"/>
        </w:rPr>
        <w:t xml:space="preserve"> en esta categoría</w:t>
      </w:r>
      <w:r w:rsidRPr="009868F9">
        <w:rPr>
          <w:szCs w:val="26"/>
        </w:rPr>
        <w:t xml:space="preserve">. </w:t>
      </w:r>
    </w:p>
    <w:p w:rsidR="00425D61" w:rsidRPr="009868F9" w:rsidRDefault="00425D61" w:rsidP="0077337B">
      <w:pPr>
        <w:pStyle w:val="texto"/>
        <w:rPr>
          <w:szCs w:val="26"/>
        </w:rPr>
      </w:pPr>
    </w:p>
    <w:p w:rsidR="00425D61" w:rsidRPr="00425D61" w:rsidRDefault="00425D61" w:rsidP="00425D61">
      <w:pPr>
        <w:pStyle w:val="texto"/>
        <w:rPr>
          <w:szCs w:val="26"/>
        </w:rPr>
      </w:pPr>
      <w:bookmarkStart w:id="16" w:name="_Toc482946247"/>
    </w:p>
    <w:p w:rsidR="00425D61" w:rsidRPr="00425D61" w:rsidRDefault="00425D61" w:rsidP="00425D61">
      <w:pPr>
        <w:pStyle w:val="texto"/>
        <w:rPr>
          <w:szCs w:val="26"/>
        </w:rPr>
      </w:pPr>
    </w:p>
    <w:p w:rsidR="009868F9" w:rsidRPr="009868F9" w:rsidRDefault="009868F9" w:rsidP="009868F9">
      <w:pPr>
        <w:pStyle w:val="atitulo2"/>
        <w:spacing w:before="240"/>
      </w:pPr>
      <w:r w:rsidRPr="009868F9">
        <w:lastRenderedPageBreak/>
        <w:t xml:space="preserve">IV.4. Sobre la financiación de todos los </w:t>
      </w:r>
      <w:r w:rsidR="00B04729">
        <w:t>Montepío</w:t>
      </w:r>
      <w:r w:rsidRPr="009868F9">
        <w:t>s Municipales</w:t>
      </w:r>
      <w:bookmarkEnd w:id="16"/>
    </w:p>
    <w:p w:rsidR="009868F9" w:rsidRPr="009868F9" w:rsidRDefault="009868F9" w:rsidP="0077337B">
      <w:pPr>
        <w:pStyle w:val="texto"/>
        <w:rPr>
          <w:szCs w:val="26"/>
        </w:rPr>
      </w:pPr>
      <w:r w:rsidRPr="00FB1FFE">
        <w:rPr>
          <w:b/>
          <w:szCs w:val="26"/>
        </w:rPr>
        <w:t>1</w:t>
      </w:r>
      <w:r w:rsidR="004C037D" w:rsidRPr="00FB1FFE">
        <w:rPr>
          <w:b/>
          <w:szCs w:val="26"/>
        </w:rPr>
        <w:t>1</w:t>
      </w:r>
      <w:r w:rsidR="00FB1FFE">
        <w:rPr>
          <w:b/>
          <w:szCs w:val="26"/>
        </w:rPr>
        <w:t>.</w:t>
      </w:r>
      <w:r w:rsidRPr="00FB1FFE">
        <w:rPr>
          <w:b/>
          <w:szCs w:val="26"/>
        </w:rPr>
        <w:t>ª</w:t>
      </w:r>
      <w:r w:rsidRPr="009868F9">
        <w:rPr>
          <w:szCs w:val="26"/>
        </w:rPr>
        <w:t xml:space="preserve"> Como ya hemos indicado, la Ley Foral10/2003, estableció unos impo</w:t>
      </w:r>
      <w:r w:rsidRPr="009868F9">
        <w:rPr>
          <w:szCs w:val="26"/>
        </w:rPr>
        <w:t>r</w:t>
      </w:r>
      <w:r w:rsidRPr="009868F9">
        <w:rPr>
          <w:szCs w:val="26"/>
        </w:rPr>
        <w:t xml:space="preserve">tes máximos del déficit a financiar por los diferentes </w:t>
      </w:r>
      <w:r w:rsidR="00B04729">
        <w:rPr>
          <w:szCs w:val="26"/>
        </w:rPr>
        <w:t>Montepío</w:t>
      </w:r>
      <w:r w:rsidRPr="009868F9">
        <w:rPr>
          <w:szCs w:val="26"/>
        </w:rPr>
        <w:t>s, General M</w:t>
      </w:r>
      <w:r w:rsidRPr="009868F9">
        <w:rPr>
          <w:szCs w:val="26"/>
        </w:rPr>
        <w:t>u</w:t>
      </w:r>
      <w:r w:rsidRPr="009868F9">
        <w:rPr>
          <w:szCs w:val="26"/>
        </w:rPr>
        <w:t xml:space="preserve">nicipal, Pamplona, Tafalla y Tudela, siendo el resto financiado con cargo a los Presupuestos de Navarra. </w:t>
      </w:r>
    </w:p>
    <w:p w:rsidR="009868F9" w:rsidRDefault="009868F9" w:rsidP="00D62746">
      <w:pPr>
        <w:pStyle w:val="texto"/>
        <w:rPr>
          <w:szCs w:val="26"/>
        </w:rPr>
      </w:pPr>
      <w:r w:rsidRPr="009868F9">
        <w:rPr>
          <w:szCs w:val="26"/>
        </w:rPr>
        <w:t xml:space="preserve">Los importes correspondientes a 2015 fueron: </w:t>
      </w:r>
    </w:p>
    <w:tbl>
      <w:tblPr>
        <w:tblW w:w="8864" w:type="dxa"/>
        <w:tblInd w:w="65" w:type="dxa"/>
        <w:tblCellMar>
          <w:left w:w="70" w:type="dxa"/>
          <w:right w:w="70" w:type="dxa"/>
        </w:tblCellMar>
        <w:tblLook w:val="04A0" w:firstRow="1" w:lastRow="0" w:firstColumn="1" w:lastColumn="0" w:noHBand="0" w:noVBand="1"/>
      </w:tblPr>
      <w:tblGrid>
        <w:gridCol w:w="980"/>
        <w:gridCol w:w="817"/>
        <w:gridCol w:w="1469"/>
        <w:gridCol w:w="1559"/>
        <w:gridCol w:w="2359"/>
        <w:gridCol w:w="1680"/>
      </w:tblGrid>
      <w:tr w:rsidR="00E00F0C" w:rsidRPr="009868F9" w:rsidTr="007815C0">
        <w:trPr>
          <w:trHeight w:val="255"/>
        </w:trPr>
        <w:tc>
          <w:tcPr>
            <w:tcW w:w="8864" w:type="dxa"/>
            <w:gridSpan w:val="6"/>
            <w:tcBorders>
              <w:top w:val="single" w:sz="4"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center"/>
              <w:rPr>
                <w:snapToGrid w:val="0"/>
                <w:szCs w:val="18"/>
              </w:rPr>
            </w:pPr>
            <w:r w:rsidRPr="00A20A52">
              <w:rPr>
                <w:snapToGrid w:val="0"/>
                <w:szCs w:val="18"/>
              </w:rPr>
              <w:t>2015</w:t>
            </w:r>
          </w:p>
        </w:tc>
      </w:tr>
      <w:tr w:rsidR="00E00F0C" w:rsidRPr="009868F9" w:rsidTr="007815C0">
        <w:trPr>
          <w:trHeight w:val="255"/>
        </w:trPr>
        <w:tc>
          <w:tcPr>
            <w:tcW w:w="980" w:type="dxa"/>
            <w:tcBorders>
              <w:top w:val="single" w:sz="4"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rPr>
                <w:snapToGrid w:val="0"/>
                <w:szCs w:val="18"/>
              </w:rPr>
            </w:pPr>
            <w:r w:rsidRPr="00A20A52">
              <w:rPr>
                <w:snapToGrid w:val="0"/>
                <w:szCs w:val="18"/>
              </w:rPr>
              <w:t> </w:t>
            </w:r>
          </w:p>
        </w:tc>
        <w:tc>
          <w:tcPr>
            <w:tcW w:w="817" w:type="dxa"/>
            <w:tcBorders>
              <w:top w:val="single" w:sz="4"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 xml:space="preserve">Número </w:t>
            </w:r>
            <w:r w:rsidRPr="00A20A52">
              <w:rPr>
                <w:snapToGrid w:val="0"/>
                <w:szCs w:val="18"/>
              </w:rPr>
              <w:t>Pasivos</w:t>
            </w:r>
          </w:p>
        </w:tc>
        <w:tc>
          <w:tcPr>
            <w:tcW w:w="1469" w:type="dxa"/>
            <w:tcBorders>
              <w:top w:val="single" w:sz="4" w:space="0" w:color="auto"/>
              <w:bottom w:val="single" w:sz="4" w:space="0" w:color="auto"/>
            </w:tcBorders>
            <w:shd w:val="clear" w:color="auto" w:fill="FABF8F" w:themeFill="accent6" w:themeFillTint="99"/>
            <w:noWrap/>
            <w:vAlign w:val="center"/>
            <w:hideMark/>
          </w:tcPr>
          <w:p w:rsidR="00E00F0C" w:rsidRDefault="00E00F0C" w:rsidP="007815C0">
            <w:pPr>
              <w:pStyle w:val="cuadroCabe"/>
              <w:jc w:val="right"/>
              <w:rPr>
                <w:snapToGrid w:val="0"/>
                <w:szCs w:val="18"/>
              </w:rPr>
            </w:pPr>
            <w:r w:rsidRPr="00A20A52">
              <w:rPr>
                <w:snapToGrid w:val="0"/>
                <w:szCs w:val="18"/>
              </w:rPr>
              <w:t xml:space="preserve">Déficit </w:t>
            </w:r>
          </w:p>
          <w:p w:rsidR="00E00F0C" w:rsidRPr="00A20A52" w:rsidRDefault="00E00F0C" w:rsidP="007815C0">
            <w:pPr>
              <w:pStyle w:val="cuadroCabe"/>
              <w:jc w:val="right"/>
              <w:rPr>
                <w:snapToGrid w:val="0"/>
                <w:szCs w:val="18"/>
              </w:rPr>
            </w:pPr>
            <w:r>
              <w:rPr>
                <w:snapToGrid w:val="0"/>
                <w:szCs w:val="18"/>
              </w:rPr>
              <w:t>Montepío</w:t>
            </w:r>
          </w:p>
        </w:tc>
        <w:tc>
          <w:tcPr>
            <w:tcW w:w="1559" w:type="dxa"/>
            <w:tcBorders>
              <w:top w:val="single" w:sz="4" w:space="0" w:color="auto"/>
              <w:bottom w:val="single" w:sz="4" w:space="0" w:color="auto"/>
            </w:tcBorders>
            <w:shd w:val="clear" w:color="auto" w:fill="FABF8F" w:themeFill="accent6" w:themeFillTint="99"/>
            <w:vAlign w:val="center"/>
          </w:tcPr>
          <w:p w:rsidR="00E00F0C" w:rsidRDefault="00E00F0C" w:rsidP="007815C0">
            <w:pPr>
              <w:pStyle w:val="cuadroCabe"/>
              <w:jc w:val="right"/>
              <w:rPr>
                <w:snapToGrid w:val="0"/>
                <w:szCs w:val="18"/>
              </w:rPr>
            </w:pPr>
            <w:r>
              <w:rPr>
                <w:snapToGrid w:val="0"/>
                <w:szCs w:val="18"/>
              </w:rPr>
              <w:t>Déficit por</w:t>
            </w:r>
          </w:p>
          <w:p w:rsidR="00E00F0C" w:rsidRDefault="00E00F0C" w:rsidP="007815C0">
            <w:pPr>
              <w:pStyle w:val="cuadroCabe"/>
              <w:jc w:val="right"/>
              <w:rPr>
                <w:snapToGrid w:val="0"/>
                <w:szCs w:val="18"/>
              </w:rPr>
            </w:pPr>
            <w:r>
              <w:rPr>
                <w:snapToGrid w:val="0"/>
                <w:szCs w:val="18"/>
              </w:rPr>
              <w:t xml:space="preserve"> pasivo para </w:t>
            </w:r>
          </w:p>
          <w:p w:rsidR="00E00F0C" w:rsidRPr="00A20A52" w:rsidRDefault="00E00F0C" w:rsidP="007815C0">
            <w:pPr>
              <w:pStyle w:val="cuadroCabe"/>
              <w:jc w:val="right"/>
              <w:rPr>
                <w:snapToGrid w:val="0"/>
                <w:szCs w:val="18"/>
              </w:rPr>
            </w:pPr>
            <w:r>
              <w:rPr>
                <w:snapToGrid w:val="0"/>
                <w:szCs w:val="18"/>
              </w:rPr>
              <w:t>cada Montepío</w:t>
            </w:r>
          </w:p>
        </w:tc>
        <w:tc>
          <w:tcPr>
            <w:tcW w:w="2359" w:type="dxa"/>
            <w:tcBorders>
              <w:top w:val="single" w:sz="4" w:space="0" w:color="auto"/>
              <w:bottom w:val="single" w:sz="4" w:space="0" w:color="auto"/>
            </w:tcBorders>
            <w:shd w:val="clear" w:color="auto" w:fill="FABF8F" w:themeFill="accent6" w:themeFillTint="99"/>
            <w:vAlign w:val="center"/>
            <w:hideMark/>
          </w:tcPr>
          <w:p w:rsidR="00E00F0C" w:rsidRDefault="00E00F0C" w:rsidP="007815C0">
            <w:pPr>
              <w:pStyle w:val="cuadroCabe"/>
              <w:jc w:val="right"/>
              <w:rPr>
                <w:snapToGrid w:val="0"/>
                <w:szCs w:val="18"/>
              </w:rPr>
            </w:pPr>
            <w:r w:rsidRPr="00A20A52">
              <w:rPr>
                <w:snapToGrid w:val="0"/>
                <w:szCs w:val="18"/>
              </w:rPr>
              <w:t xml:space="preserve">Coste </w:t>
            </w:r>
            <w:r>
              <w:rPr>
                <w:snapToGrid w:val="0"/>
                <w:szCs w:val="18"/>
              </w:rPr>
              <w:t>neto</w:t>
            </w:r>
            <w:r w:rsidRPr="00A20A52">
              <w:rPr>
                <w:snapToGrid w:val="0"/>
                <w:szCs w:val="18"/>
              </w:rPr>
              <w:t xml:space="preserve"> </w:t>
            </w:r>
            <w:r>
              <w:rPr>
                <w:snapToGrid w:val="0"/>
                <w:szCs w:val="18"/>
              </w:rPr>
              <w:t>Montepío</w:t>
            </w:r>
            <w:r w:rsidRPr="00A20A52">
              <w:rPr>
                <w:snapToGrid w:val="0"/>
                <w:szCs w:val="18"/>
              </w:rPr>
              <w:t xml:space="preserve"> </w:t>
            </w:r>
          </w:p>
          <w:p w:rsidR="00E00F0C" w:rsidRPr="00A20A52" w:rsidRDefault="00E00F0C" w:rsidP="007815C0">
            <w:pPr>
              <w:pStyle w:val="cuadroCabe"/>
              <w:jc w:val="right"/>
              <w:rPr>
                <w:snapToGrid w:val="0"/>
                <w:szCs w:val="18"/>
              </w:rPr>
            </w:pPr>
            <w:r w:rsidRPr="00A20A52">
              <w:rPr>
                <w:snapToGrid w:val="0"/>
                <w:szCs w:val="18"/>
              </w:rPr>
              <w:t>(en su caso cuantía máx a financiar por ayto)</w:t>
            </w:r>
          </w:p>
        </w:tc>
        <w:tc>
          <w:tcPr>
            <w:tcW w:w="1680" w:type="dxa"/>
            <w:tcBorders>
              <w:top w:val="single" w:sz="4" w:space="0" w:color="auto"/>
              <w:bottom w:val="single" w:sz="4" w:space="0" w:color="auto"/>
            </w:tcBorders>
            <w:shd w:val="clear" w:color="auto" w:fill="FABF8F" w:themeFill="accent6" w:themeFillTint="99"/>
            <w:vAlign w:val="center"/>
            <w:hideMark/>
          </w:tcPr>
          <w:p w:rsidR="00E00F0C" w:rsidRPr="00A20A52" w:rsidRDefault="00E00F0C" w:rsidP="007815C0">
            <w:pPr>
              <w:pStyle w:val="cuadroCabe"/>
              <w:jc w:val="right"/>
              <w:rPr>
                <w:snapToGrid w:val="0"/>
                <w:szCs w:val="18"/>
              </w:rPr>
            </w:pPr>
            <w:r>
              <w:rPr>
                <w:snapToGrid w:val="0"/>
                <w:szCs w:val="18"/>
              </w:rPr>
              <w:t>C</w:t>
            </w:r>
            <w:r w:rsidRPr="00A20A52">
              <w:rPr>
                <w:snapToGrid w:val="0"/>
                <w:szCs w:val="18"/>
              </w:rPr>
              <w:t xml:space="preserve">oste por pasivo para cada </w:t>
            </w:r>
            <w:r>
              <w:rPr>
                <w:snapToGrid w:val="0"/>
                <w:szCs w:val="18"/>
              </w:rPr>
              <w:t>Mo</w:t>
            </w:r>
            <w:r>
              <w:rPr>
                <w:snapToGrid w:val="0"/>
                <w:szCs w:val="18"/>
              </w:rPr>
              <w:t>n</w:t>
            </w:r>
            <w:r>
              <w:rPr>
                <w:snapToGrid w:val="0"/>
                <w:szCs w:val="18"/>
              </w:rPr>
              <w:t>tepío</w:t>
            </w:r>
          </w:p>
        </w:tc>
      </w:tr>
      <w:tr w:rsidR="00E00F0C" w:rsidRPr="00E34234" w:rsidTr="007815C0">
        <w:trPr>
          <w:trHeight w:val="227"/>
        </w:trPr>
        <w:tc>
          <w:tcPr>
            <w:tcW w:w="980"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sidRPr="00E34234">
              <w:rPr>
                <w:rFonts w:ascii="Arial Narrow" w:hAnsi="Arial Narrow"/>
                <w:snapToGrid w:val="0"/>
                <w:szCs w:val="18"/>
              </w:rPr>
              <w:t>Pamplona</w:t>
            </w:r>
          </w:p>
        </w:tc>
        <w:tc>
          <w:tcPr>
            <w:tcW w:w="817"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891</w:t>
            </w:r>
          </w:p>
        </w:tc>
        <w:tc>
          <w:tcPr>
            <w:tcW w:w="1469"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19.404.530</w:t>
            </w:r>
          </w:p>
        </w:tc>
        <w:tc>
          <w:tcPr>
            <w:tcW w:w="1559" w:type="dxa"/>
            <w:tcBorders>
              <w:top w:val="single" w:sz="4"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21.778</w:t>
            </w:r>
          </w:p>
        </w:tc>
        <w:tc>
          <w:tcPr>
            <w:tcW w:w="2359"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12.527.163</w:t>
            </w:r>
          </w:p>
        </w:tc>
        <w:tc>
          <w:tcPr>
            <w:tcW w:w="1680" w:type="dxa"/>
            <w:tcBorders>
              <w:top w:val="single" w:sz="4"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14.060</w:t>
            </w:r>
          </w:p>
        </w:tc>
      </w:tr>
      <w:tr w:rsidR="00E00F0C" w:rsidRPr="00E34234" w:rsidTr="007815C0">
        <w:trPr>
          <w:trHeight w:val="227"/>
        </w:trPr>
        <w:tc>
          <w:tcPr>
            <w:tcW w:w="9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sidRPr="00E34234">
              <w:rPr>
                <w:rFonts w:ascii="Arial Narrow" w:hAnsi="Arial Narrow"/>
                <w:snapToGrid w:val="0"/>
                <w:szCs w:val="18"/>
              </w:rPr>
              <w:t>Tafalla</w:t>
            </w:r>
          </w:p>
        </w:tc>
        <w:tc>
          <w:tcPr>
            <w:tcW w:w="817"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40</w:t>
            </w:r>
          </w:p>
        </w:tc>
        <w:tc>
          <w:tcPr>
            <w:tcW w:w="146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797.234</w:t>
            </w:r>
          </w:p>
        </w:tc>
        <w:tc>
          <w:tcPr>
            <w:tcW w:w="1559" w:type="dxa"/>
            <w:tcBorders>
              <w:top w:val="single" w:sz="2"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19.931</w:t>
            </w:r>
          </w:p>
        </w:tc>
        <w:tc>
          <w:tcPr>
            <w:tcW w:w="235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611.389</w:t>
            </w:r>
          </w:p>
        </w:tc>
        <w:tc>
          <w:tcPr>
            <w:tcW w:w="16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15.285</w:t>
            </w:r>
          </w:p>
        </w:tc>
      </w:tr>
      <w:tr w:rsidR="00E00F0C" w:rsidRPr="00E34234" w:rsidTr="007815C0">
        <w:trPr>
          <w:trHeight w:val="227"/>
        </w:trPr>
        <w:tc>
          <w:tcPr>
            <w:tcW w:w="9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sidRPr="00E34234">
              <w:rPr>
                <w:rFonts w:ascii="Arial Narrow" w:hAnsi="Arial Narrow"/>
                <w:snapToGrid w:val="0"/>
                <w:szCs w:val="18"/>
              </w:rPr>
              <w:t>Tudela</w:t>
            </w:r>
          </w:p>
        </w:tc>
        <w:tc>
          <w:tcPr>
            <w:tcW w:w="817"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80</w:t>
            </w:r>
          </w:p>
        </w:tc>
        <w:tc>
          <w:tcPr>
            <w:tcW w:w="146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1.712.440</w:t>
            </w:r>
          </w:p>
        </w:tc>
        <w:tc>
          <w:tcPr>
            <w:tcW w:w="1559" w:type="dxa"/>
            <w:tcBorders>
              <w:top w:val="single" w:sz="2"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21.405</w:t>
            </w:r>
          </w:p>
        </w:tc>
        <w:tc>
          <w:tcPr>
            <w:tcW w:w="235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1.320.292</w:t>
            </w:r>
          </w:p>
        </w:tc>
        <w:tc>
          <w:tcPr>
            <w:tcW w:w="16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16.504</w:t>
            </w:r>
          </w:p>
        </w:tc>
      </w:tr>
      <w:tr w:rsidR="00E00F0C" w:rsidRPr="00E34234" w:rsidTr="007815C0">
        <w:trPr>
          <w:trHeight w:val="227"/>
        </w:trPr>
        <w:tc>
          <w:tcPr>
            <w:tcW w:w="9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rPr>
                <w:rFonts w:ascii="Arial Narrow" w:hAnsi="Arial Narrow"/>
                <w:snapToGrid w:val="0"/>
                <w:szCs w:val="18"/>
              </w:rPr>
            </w:pPr>
            <w:r w:rsidRPr="00E34234">
              <w:rPr>
                <w:rFonts w:ascii="Arial Narrow" w:hAnsi="Arial Narrow"/>
                <w:snapToGrid w:val="0"/>
                <w:szCs w:val="18"/>
              </w:rPr>
              <w:t>General</w:t>
            </w:r>
          </w:p>
        </w:tc>
        <w:tc>
          <w:tcPr>
            <w:tcW w:w="817"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899</w:t>
            </w:r>
          </w:p>
        </w:tc>
        <w:tc>
          <w:tcPr>
            <w:tcW w:w="146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18.107.163</w:t>
            </w:r>
          </w:p>
        </w:tc>
        <w:tc>
          <w:tcPr>
            <w:tcW w:w="1559" w:type="dxa"/>
            <w:tcBorders>
              <w:top w:val="single" w:sz="2" w:space="0" w:color="auto"/>
              <w:bottom w:val="single" w:sz="2" w:space="0" w:color="auto"/>
            </w:tcBorders>
            <w:vAlign w:val="center"/>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20.141</w:t>
            </w:r>
          </w:p>
        </w:tc>
        <w:tc>
          <w:tcPr>
            <w:tcW w:w="2359"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11.642.906</w:t>
            </w:r>
          </w:p>
        </w:tc>
        <w:tc>
          <w:tcPr>
            <w:tcW w:w="1680" w:type="dxa"/>
            <w:tcBorders>
              <w:top w:val="single" w:sz="2" w:space="0" w:color="auto"/>
              <w:bottom w:val="single" w:sz="2" w:space="0" w:color="auto"/>
            </w:tcBorders>
            <w:shd w:val="clear" w:color="auto" w:fill="auto"/>
            <w:noWrap/>
            <w:vAlign w:val="center"/>
            <w:hideMark/>
          </w:tcPr>
          <w:p w:rsidR="00E00F0C" w:rsidRPr="00E34234" w:rsidRDefault="00E00F0C" w:rsidP="007815C0">
            <w:pPr>
              <w:pStyle w:val="cuadroCabe"/>
              <w:jc w:val="right"/>
              <w:rPr>
                <w:rFonts w:ascii="Arial Narrow" w:hAnsi="Arial Narrow"/>
                <w:snapToGrid w:val="0"/>
                <w:szCs w:val="18"/>
              </w:rPr>
            </w:pPr>
            <w:r w:rsidRPr="00E34234">
              <w:rPr>
                <w:rFonts w:ascii="Arial Narrow" w:hAnsi="Arial Narrow"/>
                <w:snapToGrid w:val="0"/>
                <w:szCs w:val="18"/>
              </w:rPr>
              <w:t>12.951</w:t>
            </w:r>
          </w:p>
        </w:tc>
      </w:tr>
      <w:tr w:rsidR="00E00F0C" w:rsidRPr="009868F9" w:rsidTr="007815C0">
        <w:trPr>
          <w:trHeight w:val="255"/>
        </w:trPr>
        <w:tc>
          <w:tcPr>
            <w:tcW w:w="980"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rPr>
                <w:snapToGrid w:val="0"/>
                <w:szCs w:val="18"/>
              </w:rPr>
            </w:pPr>
            <w:r w:rsidRPr="00A20A52">
              <w:rPr>
                <w:snapToGrid w:val="0"/>
                <w:szCs w:val="18"/>
              </w:rPr>
              <w:t>Total</w:t>
            </w:r>
          </w:p>
        </w:tc>
        <w:tc>
          <w:tcPr>
            <w:tcW w:w="817"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sidRPr="00A20A52">
              <w:rPr>
                <w:snapToGrid w:val="0"/>
                <w:szCs w:val="18"/>
              </w:rPr>
              <w:t>1.910</w:t>
            </w:r>
          </w:p>
        </w:tc>
        <w:tc>
          <w:tcPr>
            <w:tcW w:w="1469"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40.021.367</w:t>
            </w:r>
          </w:p>
        </w:tc>
        <w:tc>
          <w:tcPr>
            <w:tcW w:w="1559" w:type="dxa"/>
            <w:tcBorders>
              <w:top w:val="single" w:sz="2" w:space="0" w:color="auto"/>
              <w:bottom w:val="single" w:sz="4" w:space="0" w:color="auto"/>
            </w:tcBorders>
            <w:shd w:val="clear" w:color="auto" w:fill="FABF8F" w:themeFill="accent6" w:themeFillTint="99"/>
            <w:vAlign w:val="center"/>
          </w:tcPr>
          <w:p w:rsidR="00E00F0C" w:rsidRDefault="00E00F0C" w:rsidP="007815C0">
            <w:pPr>
              <w:pStyle w:val="cuadroCabe"/>
              <w:jc w:val="right"/>
              <w:rPr>
                <w:snapToGrid w:val="0"/>
                <w:szCs w:val="18"/>
              </w:rPr>
            </w:pPr>
            <w:r>
              <w:rPr>
                <w:snapToGrid w:val="0"/>
                <w:szCs w:val="18"/>
              </w:rPr>
              <w:t>20.954</w:t>
            </w:r>
          </w:p>
        </w:tc>
        <w:tc>
          <w:tcPr>
            <w:tcW w:w="2359"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Pr>
                <w:snapToGrid w:val="0"/>
                <w:szCs w:val="18"/>
              </w:rPr>
              <w:t>26.101.750</w:t>
            </w:r>
          </w:p>
        </w:tc>
        <w:tc>
          <w:tcPr>
            <w:tcW w:w="1680" w:type="dxa"/>
            <w:tcBorders>
              <w:top w:val="single" w:sz="2" w:space="0" w:color="auto"/>
              <w:bottom w:val="single" w:sz="4" w:space="0" w:color="auto"/>
            </w:tcBorders>
            <w:shd w:val="clear" w:color="auto" w:fill="FABF8F" w:themeFill="accent6" w:themeFillTint="99"/>
            <w:noWrap/>
            <w:vAlign w:val="center"/>
            <w:hideMark/>
          </w:tcPr>
          <w:p w:rsidR="00E00F0C" w:rsidRPr="00A20A52" w:rsidRDefault="00E00F0C" w:rsidP="007815C0">
            <w:pPr>
              <w:pStyle w:val="cuadroCabe"/>
              <w:jc w:val="right"/>
              <w:rPr>
                <w:snapToGrid w:val="0"/>
                <w:szCs w:val="18"/>
              </w:rPr>
            </w:pPr>
            <w:r w:rsidRPr="00A20A52">
              <w:rPr>
                <w:snapToGrid w:val="0"/>
                <w:szCs w:val="18"/>
              </w:rPr>
              <w:t>13.66</w:t>
            </w:r>
            <w:r>
              <w:rPr>
                <w:snapToGrid w:val="0"/>
                <w:szCs w:val="18"/>
              </w:rPr>
              <w:t>6</w:t>
            </w:r>
          </w:p>
        </w:tc>
      </w:tr>
    </w:tbl>
    <w:p w:rsidR="009868F9" w:rsidRPr="009868F9" w:rsidRDefault="009868F9" w:rsidP="000A55F1">
      <w:pPr>
        <w:pStyle w:val="texto"/>
        <w:spacing w:before="120"/>
        <w:rPr>
          <w:szCs w:val="26"/>
        </w:rPr>
      </w:pPr>
      <w:r w:rsidRPr="009868F9">
        <w:rPr>
          <w:szCs w:val="26"/>
        </w:rPr>
        <w:t xml:space="preserve">Como puede verse, en 2015, el coste efectivo por pasivo para cada </w:t>
      </w:r>
      <w:r w:rsidR="00B04729">
        <w:rPr>
          <w:szCs w:val="26"/>
        </w:rPr>
        <w:t>Montepío</w:t>
      </w:r>
      <w:r w:rsidRPr="009868F9">
        <w:rPr>
          <w:szCs w:val="26"/>
        </w:rPr>
        <w:t xml:space="preserve"> se sitúa por debajo de la media en el </w:t>
      </w:r>
      <w:r w:rsidR="004C037D">
        <w:rPr>
          <w:szCs w:val="26"/>
        </w:rPr>
        <w:t>G</w:t>
      </w:r>
      <w:r w:rsidRPr="009868F9">
        <w:rPr>
          <w:szCs w:val="26"/>
        </w:rPr>
        <w:t>eneral y por encima en Pamplona, Taf</w:t>
      </w:r>
      <w:r w:rsidRPr="009868F9">
        <w:rPr>
          <w:szCs w:val="26"/>
        </w:rPr>
        <w:t>a</w:t>
      </w:r>
      <w:r w:rsidRPr="009868F9">
        <w:rPr>
          <w:szCs w:val="26"/>
        </w:rPr>
        <w:t>lla y Tudela.</w:t>
      </w:r>
    </w:p>
    <w:p w:rsidR="00C5224B" w:rsidRDefault="00C5224B" w:rsidP="00C5224B">
      <w:pPr>
        <w:pStyle w:val="texto"/>
        <w:spacing w:after="240"/>
        <w:rPr>
          <w:szCs w:val="26"/>
        </w:rPr>
      </w:pPr>
      <w:r w:rsidRPr="00FB1FFE">
        <w:rPr>
          <w:b/>
          <w:szCs w:val="26"/>
        </w:rPr>
        <w:t>12</w:t>
      </w:r>
      <w:r>
        <w:rPr>
          <w:b/>
          <w:szCs w:val="26"/>
        </w:rPr>
        <w:t>.</w:t>
      </w:r>
      <w:r w:rsidRPr="00FB1FFE">
        <w:rPr>
          <w:b/>
          <w:szCs w:val="26"/>
        </w:rPr>
        <w:t>ª</w:t>
      </w:r>
      <w:r w:rsidRPr="009868F9">
        <w:rPr>
          <w:szCs w:val="26"/>
        </w:rPr>
        <w:t xml:space="preserve"> La financiación de los déficit</w:t>
      </w:r>
      <w:r>
        <w:rPr>
          <w:szCs w:val="26"/>
        </w:rPr>
        <w:t>s</w:t>
      </w:r>
      <w:r w:rsidRPr="009868F9">
        <w:rPr>
          <w:szCs w:val="26"/>
        </w:rPr>
        <w:t xml:space="preserve"> de los </w:t>
      </w:r>
      <w:r w:rsidR="00B04729">
        <w:rPr>
          <w:szCs w:val="26"/>
        </w:rPr>
        <w:t>Montepío</w:t>
      </w:r>
      <w:r w:rsidRPr="009868F9">
        <w:rPr>
          <w:szCs w:val="26"/>
        </w:rPr>
        <w:t>s de Pamplona, Tudela y Tafalla</w:t>
      </w:r>
      <w:r>
        <w:rPr>
          <w:szCs w:val="26"/>
        </w:rPr>
        <w:t>, así como del General,</w:t>
      </w:r>
      <w:r w:rsidRPr="009868F9">
        <w:rPr>
          <w:szCs w:val="26"/>
        </w:rPr>
        <w:t xml:space="preserve"> en los últimos años ha sido:</w:t>
      </w:r>
    </w:p>
    <w:tbl>
      <w:tblPr>
        <w:tblW w:w="8762" w:type="dxa"/>
        <w:tblInd w:w="60" w:type="dxa"/>
        <w:tblCellMar>
          <w:left w:w="70" w:type="dxa"/>
          <w:right w:w="70" w:type="dxa"/>
        </w:tblCellMar>
        <w:tblLook w:val="04A0" w:firstRow="1" w:lastRow="0" w:firstColumn="1" w:lastColumn="0" w:noHBand="0" w:noVBand="1"/>
      </w:tblPr>
      <w:tblGrid>
        <w:gridCol w:w="1286"/>
        <w:gridCol w:w="77"/>
        <w:gridCol w:w="1624"/>
        <w:gridCol w:w="1460"/>
        <w:gridCol w:w="1422"/>
        <w:gridCol w:w="1471"/>
        <w:gridCol w:w="1422"/>
      </w:tblGrid>
      <w:tr w:rsidR="00A20A52" w:rsidRPr="00425D61" w:rsidTr="00006E3E">
        <w:trPr>
          <w:trHeight w:val="255"/>
        </w:trPr>
        <w:tc>
          <w:tcPr>
            <w:tcW w:w="1363" w:type="dxa"/>
            <w:gridSpan w:val="2"/>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A44665">
            <w:pPr>
              <w:spacing w:after="0"/>
              <w:ind w:firstLine="0"/>
              <w:jc w:val="center"/>
              <w:rPr>
                <w:rFonts w:ascii="Arial" w:hAnsi="Arial" w:cs="Arial"/>
                <w:color w:val="000000"/>
                <w:sz w:val="18"/>
                <w:szCs w:val="18"/>
                <w:lang w:val="es-ES" w:eastAsia="es-ES"/>
              </w:rPr>
            </w:pPr>
            <w:r w:rsidRPr="00425D61">
              <w:rPr>
                <w:rFonts w:ascii="Arial" w:hAnsi="Arial" w:cs="Arial"/>
                <w:color w:val="000000"/>
                <w:sz w:val="18"/>
                <w:szCs w:val="18"/>
                <w:lang w:val="es-ES" w:eastAsia="es-ES"/>
              </w:rPr>
              <w:t>Ay</w:t>
            </w:r>
            <w:r w:rsidR="00A44665" w:rsidRPr="00425D61">
              <w:rPr>
                <w:rFonts w:ascii="Arial" w:hAnsi="Arial" w:cs="Arial"/>
                <w:color w:val="000000"/>
                <w:sz w:val="18"/>
                <w:szCs w:val="18"/>
                <w:lang w:val="es-ES" w:eastAsia="es-ES"/>
              </w:rPr>
              <w:t>untamiento</w:t>
            </w:r>
          </w:p>
        </w:tc>
        <w:tc>
          <w:tcPr>
            <w:tcW w:w="1624"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left"/>
              <w:rPr>
                <w:rFonts w:ascii="Arial" w:hAnsi="Arial" w:cs="Arial"/>
                <w:sz w:val="18"/>
                <w:szCs w:val="18"/>
                <w:lang w:val="es-ES" w:eastAsia="es-ES"/>
              </w:rPr>
            </w:pPr>
            <w:r w:rsidRPr="00425D61">
              <w:rPr>
                <w:rFonts w:ascii="Arial" w:hAnsi="Arial" w:cs="Arial"/>
                <w:sz w:val="18"/>
                <w:szCs w:val="18"/>
                <w:lang w:val="es-ES" w:eastAsia="es-ES"/>
              </w:rPr>
              <w:t>Concepto</w:t>
            </w:r>
          </w:p>
        </w:tc>
        <w:tc>
          <w:tcPr>
            <w:tcW w:w="1460"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lang w:val="es-ES" w:eastAsia="es-ES"/>
              </w:rPr>
            </w:pPr>
            <w:r w:rsidRPr="00425D61">
              <w:rPr>
                <w:rFonts w:ascii="Arial" w:hAnsi="Arial" w:cs="Arial"/>
                <w:color w:val="000000"/>
                <w:sz w:val="18"/>
                <w:szCs w:val="18"/>
                <w:lang w:val="es-ES" w:eastAsia="es-ES"/>
              </w:rPr>
              <w:t>2013</w:t>
            </w:r>
          </w:p>
        </w:tc>
        <w:tc>
          <w:tcPr>
            <w:tcW w:w="1422"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lang w:val="es-ES" w:eastAsia="es-ES"/>
              </w:rPr>
            </w:pPr>
            <w:r w:rsidRPr="00425D61">
              <w:rPr>
                <w:rFonts w:ascii="Arial" w:hAnsi="Arial" w:cs="Arial"/>
                <w:color w:val="000000"/>
                <w:sz w:val="18"/>
                <w:szCs w:val="18"/>
                <w:lang w:val="es-ES" w:eastAsia="es-ES"/>
              </w:rPr>
              <w:t>2014</w:t>
            </w:r>
          </w:p>
        </w:tc>
        <w:tc>
          <w:tcPr>
            <w:tcW w:w="1471"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lang w:val="es-ES" w:eastAsia="es-ES"/>
              </w:rPr>
            </w:pPr>
            <w:r w:rsidRPr="00425D61">
              <w:rPr>
                <w:rFonts w:ascii="Arial" w:hAnsi="Arial" w:cs="Arial"/>
                <w:color w:val="000000"/>
                <w:sz w:val="18"/>
                <w:szCs w:val="18"/>
                <w:lang w:val="es-ES" w:eastAsia="es-ES"/>
              </w:rPr>
              <w:t>2015</w:t>
            </w:r>
          </w:p>
        </w:tc>
        <w:tc>
          <w:tcPr>
            <w:tcW w:w="1422" w:type="dxa"/>
            <w:tcBorders>
              <w:top w:val="single" w:sz="4" w:space="0" w:color="auto"/>
              <w:bottom w:val="single" w:sz="4" w:space="0" w:color="auto"/>
            </w:tcBorders>
            <w:shd w:val="clear" w:color="auto" w:fill="FABF8F" w:themeFill="accent6" w:themeFillTint="99"/>
            <w:noWrap/>
            <w:vAlign w:val="center"/>
            <w:hideMark/>
          </w:tcPr>
          <w:p w:rsidR="00A20A52" w:rsidRPr="00425D61" w:rsidRDefault="00A20A52" w:rsidP="00C555A7">
            <w:pPr>
              <w:spacing w:after="0"/>
              <w:ind w:firstLine="0"/>
              <w:jc w:val="right"/>
              <w:rPr>
                <w:rFonts w:ascii="Arial" w:hAnsi="Arial" w:cs="Arial"/>
                <w:color w:val="000000"/>
                <w:sz w:val="18"/>
                <w:szCs w:val="18"/>
                <w:lang w:val="es-ES" w:eastAsia="es-ES"/>
              </w:rPr>
            </w:pPr>
            <w:r w:rsidRPr="00425D61">
              <w:rPr>
                <w:rFonts w:ascii="Arial" w:hAnsi="Arial" w:cs="Arial"/>
                <w:color w:val="000000"/>
                <w:sz w:val="18"/>
                <w:szCs w:val="18"/>
                <w:lang w:val="es-ES" w:eastAsia="es-ES"/>
              </w:rPr>
              <w:t>2016</w:t>
            </w:r>
          </w:p>
        </w:tc>
      </w:tr>
      <w:tr w:rsidR="00DC792F" w:rsidRPr="00C555A7" w:rsidTr="009737AA">
        <w:trPr>
          <w:trHeight w:val="255"/>
        </w:trPr>
        <w:tc>
          <w:tcPr>
            <w:tcW w:w="1363" w:type="dxa"/>
            <w:gridSpan w:val="2"/>
            <w:vMerge w:val="restart"/>
            <w:tcBorders>
              <w:top w:val="single" w:sz="4" w:space="0" w:color="auto"/>
            </w:tcBorders>
            <w:noWrap/>
            <w:vAlign w:val="center"/>
            <w:hideMark/>
          </w:tcPr>
          <w:p w:rsidR="00DC792F" w:rsidRPr="00C555A7" w:rsidRDefault="00DC792F" w:rsidP="009868F9">
            <w:pPr>
              <w:spacing w:after="0"/>
              <w:ind w:firstLine="0"/>
              <w:jc w:val="center"/>
              <w:rPr>
                <w:rFonts w:ascii="Arial Narrow" w:hAnsi="Arial Narrow"/>
                <w:color w:val="000000"/>
                <w:sz w:val="18"/>
                <w:szCs w:val="18"/>
                <w:lang w:val="es-ES" w:eastAsia="es-ES"/>
              </w:rPr>
            </w:pPr>
            <w:r w:rsidRPr="00C555A7">
              <w:rPr>
                <w:rFonts w:ascii="Arial Narrow" w:hAnsi="Arial Narrow"/>
                <w:color w:val="000000"/>
                <w:sz w:val="18"/>
                <w:szCs w:val="18"/>
                <w:lang w:val="es-ES" w:eastAsia="es-ES"/>
              </w:rPr>
              <w:t>PAMPLONA</w:t>
            </w:r>
          </w:p>
        </w:tc>
        <w:tc>
          <w:tcPr>
            <w:tcW w:w="1624" w:type="dxa"/>
            <w:tcBorders>
              <w:top w:val="single" w:sz="4"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lang w:val="es-ES" w:eastAsia="es-ES"/>
              </w:rPr>
            </w:pPr>
            <w:r w:rsidRPr="0046002A">
              <w:rPr>
                <w:rFonts w:ascii="Arial Narrow" w:hAnsi="Arial Narrow"/>
                <w:sz w:val="18"/>
                <w:szCs w:val="18"/>
                <w:lang w:val="es-ES" w:eastAsia="es-ES"/>
              </w:rPr>
              <w:t>Déficit</w:t>
            </w:r>
          </w:p>
        </w:tc>
        <w:tc>
          <w:tcPr>
            <w:tcW w:w="1460"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20.285.849</w:t>
            </w:r>
          </w:p>
        </w:tc>
        <w:tc>
          <w:tcPr>
            <w:tcW w:w="1422"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lang w:val="es-ES"/>
              </w:rPr>
            </w:pPr>
            <w:r w:rsidRPr="00DC792F">
              <w:rPr>
                <w:rFonts w:ascii="Arial Narrow" w:eastAsiaTheme="minorHAnsi" w:hAnsi="Arial Narrow" w:cstheme="minorBidi"/>
                <w:color w:val="000000"/>
                <w:sz w:val="18"/>
                <w:szCs w:val="18"/>
                <w:lang w:val="es-ES"/>
              </w:rPr>
              <w:t>20.259.389</w:t>
            </w:r>
          </w:p>
        </w:tc>
        <w:tc>
          <w:tcPr>
            <w:tcW w:w="1471"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19.404.530</w:t>
            </w:r>
          </w:p>
        </w:tc>
        <w:tc>
          <w:tcPr>
            <w:tcW w:w="1422" w:type="dxa"/>
            <w:tcBorders>
              <w:top w:val="single" w:sz="4"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21.852.850</w:t>
            </w:r>
          </w:p>
        </w:tc>
      </w:tr>
      <w:tr w:rsidR="00DC792F" w:rsidRPr="00C555A7" w:rsidTr="009737AA">
        <w:trPr>
          <w:trHeight w:val="255"/>
        </w:trPr>
        <w:tc>
          <w:tcPr>
            <w:tcW w:w="0" w:type="auto"/>
            <w:gridSpan w:val="2"/>
            <w:vMerge/>
            <w:vAlign w:val="center"/>
            <w:hideMark/>
          </w:tcPr>
          <w:p w:rsidR="00DC792F" w:rsidRPr="00C555A7" w:rsidRDefault="00DC792F"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lang w:val="es-ES" w:eastAsia="es-ES"/>
              </w:rPr>
            </w:pPr>
            <w:r w:rsidRPr="0046002A">
              <w:rPr>
                <w:rFonts w:ascii="Arial Narrow" w:hAnsi="Arial Narrow"/>
                <w:sz w:val="18"/>
                <w:szCs w:val="18"/>
                <w:lang w:val="es-ES" w:eastAsia="es-ES"/>
              </w:rPr>
              <w:t>77,10%</w:t>
            </w:r>
          </w:p>
        </w:tc>
        <w:tc>
          <w:tcPr>
            <w:tcW w:w="1460" w:type="dxa"/>
            <w:tcBorders>
              <w:top w:val="single" w:sz="2" w:space="0" w:color="auto"/>
              <w:bottom w:val="single" w:sz="2" w:space="0" w:color="auto"/>
            </w:tcBorders>
            <w:noWrap/>
            <w:vAlign w:val="bottom"/>
            <w:hideMark/>
          </w:tcPr>
          <w:p w:rsidR="00DC792F" w:rsidRDefault="00DC792F" w:rsidP="00DC792F">
            <w:pPr>
              <w:spacing w:after="0"/>
              <w:ind w:firstLine="0"/>
              <w:jc w:val="right"/>
              <w:rPr>
                <w:rFonts w:ascii="Calibri" w:hAnsi="Calibri"/>
                <w:color w:val="000000"/>
                <w:sz w:val="22"/>
                <w:szCs w:val="22"/>
              </w:rPr>
            </w:pPr>
            <w:r w:rsidRPr="00DC792F">
              <w:rPr>
                <w:rFonts w:ascii="Arial Narrow" w:hAnsi="Arial Narrow"/>
                <w:color w:val="000000"/>
                <w:sz w:val="18"/>
                <w:szCs w:val="18"/>
                <w:lang w:val="es-ES" w:eastAsia="es-ES"/>
              </w:rPr>
              <w:t>15.640.389</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lang w:val="es-ES"/>
              </w:rPr>
            </w:pPr>
            <w:r w:rsidRPr="00DC792F">
              <w:rPr>
                <w:rFonts w:ascii="Arial Narrow" w:eastAsiaTheme="minorHAnsi" w:hAnsi="Arial Narrow" w:cstheme="minorBidi"/>
                <w:color w:val="000000"/>
                <w:sz w:val="18"/>
                <w:szCs w:val="18"/>
                <w:lang w:val="es-ES"/>
              </w:rPr>
              <w:t>15.619.989</w:t>
            </w:r>
          </w:p>
        </w:tc>
        <w:tc>
          <w:tcPr>
            <w:tcW w:w="1471"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14.960.893</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16.848.547</w:t>
            </w:r>
          </w:p>
        </w:tc>
      </w:tr>
      <w:tr w:rsidR="00DC792F" w:rsidRPr="00C555A7" w:rsidTr="009737AA">
        <w:trPr>
          <w:trHeight w:val="255"/>
        </w:trPr>
        <w:tc>
          <w:tcPr>
            <w:tcW w:w="0" w:type="auto"/>
            <w:gridSpan w:val="2"/>
            <w:vMerge/>
            <w:vAlign w:val="center"/>
            <w:hideMark/>
          </w:tcPr>
          <w:p w:rsidR="00DC792F" w:rsidRPr="00C555A7" w:rsidRDefault="00DC792F"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lang w:val="es-ES" w:eastAsia="es-ES"/>
              </w:rPr>
            </w:pPr>
            <w:r w:rsidRPr="0046002A">
              <w:rPr>
                <w:rFonts w:ascii="Arial Narrow" w:hAnsi="Arial Narrow"/>
                <w:sz w:val="18"/>
                <w:szCs w:val="18"/>
                <w:lang w:val="es-ES" w:eastAsia="es-ES"/>
              </w:rPr>
              <w:t>Cuantía máxima Ayto</w:t>
            </w:r>
          </w:p>
        </w:tc>
        <w:tc>
          <w:tcPr>
            <w:tcW w:w="1460"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12.464.761</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lang w:val="es-ES"/>
              </w:rPr>
            </w:pPr>
            <w:r w:rsidRPr="00DC792F">
              <w:rPr>
                <w:rFonts w:ascii="Arial Narrow" w:eastAsiaTheme="minorHAnsi" w:hAnsi="Arial Narrow" w:cstheme="minorBidi"/>
                <w:color w:val="000000"/>
                <w:sz w:val="18"/>
                <w:szCs w:val="18"/>
                <w:lang w:val="es-ES"/>
              </w:rPr>
              <w:t>12.495.923</w:t>
            </w:r>
          </w:p>
        </w:tc>
        <w:tc>
          <w:tcPr>
            <w:tcW w:w="1471"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12.527.163</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12.558.481</w:t>
            </w:r>
          </w:p>
        </w:tc>
      </w:tr>
      <w:tr w:rsidR="00DC792F" w:rsidRPr="00C555A7" w:rsidTr="009737AA">
        <w:trPr>
          <w:trHeight w:val="255"/>
        </w:trPr>
        <w:tc>
          <w:tcPr>
            <w:tcW w:w="0" w:type="auto"/>
            <w:gridSpan w:val="2"/>
            <w:vMerge/>
            <w:vAlign w:val="center"/>
            <w:hideMark/>
          </w:tcPr>
          <w:p w:rsidR="00DC792F" w:rsidRPr="00C555A7" w:rsidRDefault="00DC792F"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DC792F" w:rsidRPr="0046002A" w:rsidRDefault="00DC792F" w:rsidP="00C555A7">
            <w:pPr>
              <w:spacing w:after="0"/>
              <w:ind w:firstLine="0"/>
              <w:jc w:val="left"/>
              <w:rPr>
                <w:rFonts w:ascii="Arial Narrow" w:hAnsi="Arial Narrow"/>
                <w:sz w:val="18"/>
                <w:szCs w:val="18"/>
                <w:lang w:val="es-ES" w:eastAsia="es-ES"/>
              </w:rPr>
            </w:pPr>
            <w:r w:rsidRPr="0046002A">
              <w:rPr>
                <w:rFonts w:ascii="Arial Narrow" w:hAnsi="Arial Narrow"/>
                <w:sz w:val="18"/>
                <w:szCs w:val="18"/>
                <w:lang w:val="es-ES" w:eastAsia="es-ES"/>
              </w:rPr>
              <w:t>A financiar GN</w:t>
            </w:r>
          </w:p>
        </w:tc>
        <w:tc>
          <w:tcPr>
            <w:tcW w:w="1460"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7.821.088</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eastAsiaTheme="minorHAnsi" w:hAnsi="Arial Narrow" w:cstheme="minorBidi"/>
                <w:color w:val="000000"/>
                <w:sz w:val="18"/>
                <w:szCs w:val="18"/>
                <w:lang w:val="es-ES"/>
              </w:rPr>
            </w:pPr>
            <w:r w:rsidRPr="00DC792F">
              <w:rPr>
                <w:rFonts w:ascii="Arial Narrow" w:eastAsiaTheme="minorHAnsi" w:hAnsi="Arial Narrow" w:cstheme="minorBidi"/>
                <w:color w:val="000000"/>
                <w:sz w:val="18"/>
                <w:szCs w:val="18"/>
                <w:lang w:val="es-ES"/>
              </w:rPr>
              <w:t>7.763.466</w:t>
            </w:r>
          </w:p>
        </w:tc>
        <w:tc>
          <w:tcPr>
            <w:tcW w:w="1471"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6.877.367</w:t>
            </w:r>
          </w:p>
        </w:tc>
        <w:tc>
          <w:tcPr>
            <w:tcW w:w="1422" w:type="dxa"/>
            <w:tcBorders>
              <w:top w:val="single" w:sz="2" w:space="0" w:color="auto"/>
              <w:bottom w:val="single" w:sz="2" w:space="0" w:color="auto"/>
            </w:tcBorders>
            <w:noWrap/>
            <w:vAlign w:val="bottom"/>
            <w:hideMark/>
          </w:tcPr>
          <w:p w:rsidR="00DC792F" w:rsidRPr="00DC792F" w:rsidRDefault="00DC792F" w:rsidP="00DC792F">
            <w:pPr>
              <w:spacing w:after="0"/>
              <w:ind w:firstLine="0"/>
              <w:jc w:val="right"/>
              <w:rPr>
                <w:rFonts w:ascii="Arial Narrow" w:hAnsi="Arial Narrow"/>
                <w:color w:val="000000"/>
                <w:sz w:val="18"/>
                <w:szCs w:val="18"/>
                <w:lang w:val="es-ES" w:eastAsia="es-ES"/>
              </w:rPr>
            </w:pPr>
            <w:r w:rsidRPr="00DC792F">
              <w:rPr>
                <w:rFonts w:ascii="Arial Narrow" w:hAnsi="Arial Narrow"/>
                <w:color w:val="000000"/>
                <w:sz w:val="18"/>
                <w:szCs w:val="18"/>
                <w:lang w:val="es-ES" w:eastAsia="es-ES"/>
              </w:rPr>
              <w:t>9.294.369</w:t>
            </w:r>
          </w:p>
        </w:tc>
      </w:tr>
      <w:tr w:rsidR="00A20A52" w:rsidRPr="00C555A7" w:rsidTr="009737AA">
        <w:trPr>
          <w:trHeight w:val="255"/>
        </w:trPr>
        <w:tc>
          <w:tcPr>
            <w:tcW w:w="0" w:type="auto"/>
            <w:gridSpan w:val="2"/>
            <w:vMerge/>
            <w:vAlign w:val="center"/>
            <w:hideMark/>
          </w:tcPr>
          <w:p w:rsidR="00A20A52" w:rsidRPr="00C555A7" w:rsidRDefault="00A20A52"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2" w:space="0" w:color="auto"/>
            </w:tcBorders>
            <w:noWrap/>
            <w:vAlign w:val="center"/>
            <w:hideMark/>
          </w:tcPr>
          <w:p w:rsidR="00A20A52" w:rsidRPr="0046002A" w:rsidRDefault="00A20A52" w:rsidP="00C555A7">
            <w:pPr>
              <w:spacing w:after="0"/>
              <w:ind w:firstLine="0"/>
              <w:jc w:val="left"/>
              <w:rPr>
                <w:rFonts w:ascii="Arial Narrow" w:hAnsi="Arial Narrow"/>
                <w:sz w:val="18"/>
                <w:szCs w:val="18"/>
                <w:lang w:val="es-ES" w:eastAsia="es-ES"/>
              </w:rPr>
            </w:pPr>
            <w:r w:rsidRPr="0046002A">
              <w:rPr>
                <w:rFonts w:ascii="Arial Narrow" w:hAnsi="Arial Narrow"/>
                <w:sz w:val="18"/>
                <w:szCs w:val="18"/>
                <w:lang w:val="es-ES" w:eastAsia="es-ES"/>
              </w:rPr>
              <w:t>% financiación GN</w:t>
            </w:r>
          </w:p>
        </w:tc>
        <w:tc>
          <w:tcPr>
            <w:tcW w:w="1460"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hAnsi="Arial Narrow"/>
                <w:color w:val="000000"/>
                <w:sz w:val="18"/>
                <w:szCs w:val="18"/>
                <w:lang w:val="es-ES" w:eastAsia="es-ES"/>
              </w:rPr>
            </w:pPr>
            <w:r w:rsidRPr="00C555A7">
              <w:rPr>
                <w:rFonts w:ascii="Arial Narrow" w:hAnsi="Arial Narrow"/>
                <w:color w:val="000000"/>
                <w:sz w:val="18"/>
                <w:szCs w:val="18"/>
                <w:lang w:val="es-ES" w:eastAsia="es-ES"/>
              </w:rPr>
              <w:t>38,55%</w:t>
            </w:r>
          </w:p>
        </w:tc>
        <w:tc>
          <w:tcPr>
            <w:tcW w:w="1422"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hAnsi="Arial Narrow"/>
                <w:color w:val="000000"/>
                <w:sz w:val="18"/>
                <w:szCs w:val="18"/>
                <w:lang w:val="es-ES" w:eastAsia="es-ES"/>
              </w:rPr>
            </w:pPr>
            <w:r w:rsidRPr="00C555A7">
              <w:rPr>
                <w:rFonts w:ascii="Arial Narrow" w:hAnsi="Arial Narrow"/>
                <w:color w:val="000000"/>
                <w:sz w:val="18"/>
                <w:szCs w:val="18"/>
                <w:lang w:val="es-ES" w:eastAsia="es-ES"/>
              </w:rPr>
              <w:t>38,32%</w:t>
            </w:r>
          </w:p>
        </w:tc>
        <w:tc>
          <w:tcPr>
            <w:tcW w:w="1471"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eastAsiaTheme="minorHAnsi" w:hAnsi="Arial Narrow" w:cstheme="minorBidi"/>
                <w:color w:val="000000"/>
                <w:sz w:val="18"/>
                <w:szCs w:val="18"/>
                <w:lang w:val="en-US"/>
              </w:rPr>
            </w:pPr>
            <w:r w:rsidRPr="00C555A7">
              <w:rPr>
                <w:rFonts w:ascii="Arial Narrow" w:hAnsi="Arial Narrow"/>
                <w:color w:val="000000"/>
                <w:sz w:val="18"/>
                <w:szCs w:val="18"/>
                <w:lang w:val="es-ES" w:eastAsia="es-ES"/>
              </w:rPr>
              <w:t>35,44%</w:t>
            </w:r>
          </w:p>
        </w:tc>
        <w:tc>
          <w:tcPr>
            <w:tcW w:w="1422" w:type="dxa"/>
            <w:tcBorders>
              <w:top w:val="single" w:sz="2" w:space="0" w:color="auto"/>
              <w:bottom w:val="single" w:sz="2" w:space="0" w:color="auto"/>
            </w:tcBorders>
            <w:noWrap/>
            <w:vAlign w:val="center"/>
            <w:hideMark/>
          </w:tcPr>
          <w:p w:rsidR="00A20A52" w:rsidRPr="00C555A7" w:rsidRDefault="00A20A52" w:rsidP="00A44665">
            <w:pPr>
              <w:spacing w:after="0"/>
              <w:ind w:firstLine="0"/>
              <w:jc w:val="right"/>
              <w:rPr>
                <w:rFonts w:ascii="Arial Narrow" w:hAnsi="Arial Narrow"/>
                <w:color w:val="000000"/>
                <w:sz w:val="18"/>
                <w:szCs w:val="18"/>
                <w:lang w:val="es-ES" w:eastAsia="es-ES"/>
              </w:rPr>
            </w:pPr>
            <w:r w:rsidRPr="00C555A7">
              <w:rPr>
                <w:rFonts w:ascii="Arial Narrow" w:hAnsi="Arial Narrow"/>
                <w:color w:val="000000"/>
                <w:sz w:val="18"/>
                <w:szCs w:val="18"/>
                <w:lang w:val="es-ES" w:eastAsia="es-ES"/>
              </w:rPr>
              <w:t>42,53%</w:t>
            </w:r>
          </w:p>
        </w:tc>
      </w:tr>
      <w:tr w:rsidR="00A20A52" w:rsidRPr="00C555A7" w:rsidTr="009737AA">
        <w:trPr>
          <w:trHeight w:val="255"/>
        </w:trPr>
        <w:tc>
          <w:tcPr>
            <w:tcW w:w="0" w:type="auto"/>
            <w:gridSpan w:val="2"/>
            <w:vMerge/>
            <w:tcBorders>
              <w:bottom w:val="single" w:sz="4" w:space="0" w:color="auto"/>
            </w:tcBorders>
            <w:vAlign w:val="center"/>
            <w:hideMark/>
          </w:tcPr>
          <w:p w:rsidR="00A20A52" w:rsidRPr="00C555A7" w:rsidRDefault="00A20A52" w:rsidP="009868F9">
            <w:pPr>
              <w:spacing w:after="0"/>
              <w:ind w:firstLine="0"/>
              <w:jc w:val="left"/>
              <w:rPr>
                <w:rFonts w:ascii="Arial Narrow" w:hAnsi="Arial Narrow"/>
                <w:color w:val="000000"/>
                <w:sz w:val="18"/>
                <w:szCs w:val="18"/>
                <w:lang w:val="es-ES" w:eastAsia="es-ES"/>
              </w:rPr>
            </w:pPr>
          </w:p>
        </w:tc>
        <w:tc>
          <w:tcPr>
            <w:tcW w:w="1624" w:type="dxa"/>
            <w:tcBorders>
              <w:top w:val="single" w:sz="2" w:space="0" w:color="auto"/>
              <w:bottom w:val="single" w:sz="4" w:space="0" w:color="auto"/>
            </w:tcBorders>
            <w:noWrap/>
            <w:vAlign w:val="center"/>
            <w:hideMark/>
          </w:tcPr>
          <w:p w:rsidR="00A20A52" w:rsidRPr="0046002A" w:rsidRDefault="00DD6E42" w:rsidP="00DD6E42">
            <w:pPr>
              <w:spacing w:after="0"/>
              <w:ind w:firstLine="0"/>
              <w:jc w:val="left"/>
              <w:rPr>
                <w:rFonts w:ascii="Arial Narrow" w:hAnsi="Arial Narrow"/>
                <w:sz w:val="18"/>
                <w:szCs w:val="18"/>
                <w:lang w:val="es-ES" w:eastAsia="es-ES"/>
              </w:rPr>
            </w:pPr>
            <w:r>
              <w:rPr>
                <w:rFonts w:ascii="Arial Narrow" w:hAnsi="Arial Narrow"/>
                <w:sz w:val="18"/>
                <w:szCs w:val="18"/>
                <w:lang w:val="es-ES" w:eastAsia="es-ES"/>
              </w:rPr>
              <w:t>F</w:t>
            </w:r>
            <w:r w:rsidR="00A20A52" w:rsidRPr="0046002A">
              <w:rPr>
                <w:rFonts w:ascii="Arial Narrow" w:hAnsi="Arial Narrow"/>
                <w:sz w:val="18"/>
                <w:szCs w:val="18"/>
                <w:lang w:val="es-ES" w:eastAsia="es-ES"/>
              </w:rPr>
              <w:t xml:space="preserve">inanciado Ayto </w:t>
            </w:r>
          </w:p>
        </w:tc>
        <w:tc>
          <w:tcPr>
            <w:tcW w:w="1460"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61,45%</w:t>
            </w:r>
          </w:p>
        </w:tc>
        <w:tc>
          <w:tcPr>
            <w:tcW w:w="1422"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61,68%</w:t>
            </w:r>
          </w:p>
        </w:tc>
        <w:tc>
          <w:tcPr>
            <w:tcW w:w="1471"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64,56%</w:t>
            </w:r>
          </w:p>
        </w:tc>
        <w:tc>
          <w:tcPr>
            <w:tcW w:w="1422" w:type="dxa"/>
            <w:tcBorders>
              <w:top w:val="single" w:sz="2" w:space="0" w:color="auto"/>
              <w:bottom w:val="single" w:sz="4" w:space="0" w:color="auto"/>
            </w:tcBorders>
            <w:noWrap/>
            <w:vAlign w:val="center"/>
            <w:hideMark/>
          </w:tcPr>
          <w:p w:rsidR="00A20A52" w:rsidRPr="005F20D0" w:rsidRDefault="00A20A52" w:rsidP="00A44665">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57,47%</w:t>
            </w:r>
          </w:p>
        </w:tc>
      </w:tr>
      <w:tr w:rsidR="005F20D0" w:rsidRPr="005F20D0" w:rsidTr="009737AA">
        <w:trPr>
          <w:trHeight w:val="255"/>
        </w:trPr>
        <w:tc>
          <w:tcPr>
            <w:tcW w:w="1363" w:type="dxa"/>
            <w:gridSpan w:val="2"/>
            <w:vMerge w:val="restart"/>
            <w:tcBorders>
              <w:top w:val="single" w:sz="4" w:space="0" w:color="auto"/>
            </w:tcBorders>
            <w:noWrap/>
            <w:vAlign w:val="center"/>
            <w:hideMark/>
          </w:tcPr>
          <w:p w:rsidR="00DC792F" w:rsidRPr="005F20D0" w:rsidRDefault="00DC792F" w:rsidP="009868F9">
            <w:pPr>
              <w:spacing w:after="0"/>
              <w:ind w:firstLine="0"/>
              <w:jc w:val="center"/>
              <w:rPr>
                <w:rFonts w:ascii="Arial Narrow" w:hAnsi="Arial Narrow"/>
                <w:sz w:val="18"/>
                <w:szCs w:val="18"/>
                <w:lang w:val="es-ES" w:eastAsia="es-ES"/>
              </w:rPr>
            </w:pPr>
            <w:r w:rsidRPr="005F20D0">
              <w:rPr>
                <w:rFonts w:ascii="Arial Narrow" w:hAnsi="Arial Narrow"/>
                <w:sz w:val="18"/>
                <w:szCs w:val="18"/>
                <w:lang w:val="es-ES" w:eastAsia="es-ES"/>
              </w:rPr>
              <w:t>TAFALLA</w:t>
            </w:r>
          </w:p>
        </w:tc>
        <w:tc>
          <w:tcPr>
            <w:tcW w:w="1624" w:type="dxa"/>
            <w:tcBorders>
              <w:top w:val="single" w:sz="4"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Déficit</w:t>
            </w:r>
          </w:p>
        </w:tc>
        <w:tc>
          <w:tcPr>
            <w:tcW w:w="1460"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835.693</w:t>
            </w:r>
          </w:p>
        </w:tc>
        <w:tc>
          <w:tcPr>
            <w:tcW w:w="1422"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798.082</w:t>
            </w:r>
          </w:p>
        </w:tc>
        <w:tc>
          <w:tcPr>
            <w:tcW w:w="1471"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797.234</w:t>
            </w:r>
          </w:p>
        </w:tc>
        <w:tc>
          <w:tcPr>
            <w:tcW w:w="1422" w:type="dxa"/>
            <w:tcBorders>
              <w:top w:val="single" w:sz="4"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727.022</w:t>
            </w:r>
          </w:p>
        </w:tc>
      </w:tr>
      <w:tr w:rsidR="005F20D0" w:rsidRPr="005F20D0" w:rsidTr="009737AA">
        <w:trPr>
          <w:trHeight w:val="255"/>
        </w:trPr>
        <w:tc>
          <w:tcPr>
            <w:tcW w:w="0" w:type="auto"/>
            <w:gridSpan w:val="2"/>
            <w:vMerge/>
            <w:vAlign w:val="center"/>
            <w:hideMark/>
          </w:tcPr>
          <w:p w:rsidR="00DC792F" w:rsidRPr="005F20D0" w:rsidRDefault="00DC792F"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77,10%</w:t>
            </w:r>
          </w:p>
        </w:tc>
        <w:tc>
          <w:tcPr>
            <w:tcW w:w="1460"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644.319</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615.321</w:t>
            </w:r>
          </w:p>
        </w:tc>
        <w:tc>
          <w:tcPr>
            <w:tcW w:w="1471"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614.667</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560.534</w:t>
            </w:r>
          </w:p>
        </w:tc>
      </w:tr>
      <w:tr w:rsidR="005F20D0" w:rsidRPr="005F20D0" w:rsidTr="009737AA">
        <w:trPr>
          <w:trHeight w:val="255"/>
        </w:trPr>
        <w:tc>
          <w:tcPr>
            <w:tcW w:w="0" w:type="auto"/>
            <w:gridSpan w:val="2"/>
            <w:vMerge/>
            <w:vAlign w:val="center"/>
            <w:hideMark/>
          </w:tcPr>
          <w:p w:rsidR="00DC792F" w:rsidRPr="005F20D0" w:rsidRDefault="00DC792F"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Cuantía máxima Ayto</w:t>
            </w:r>
          </w:p>
        </w:tc>
        <w:tc>
          <w:tcPr>
            <w:tcW w:w="1460"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608.344</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609.865</w:t>
            </w:r>
          </w:p>
        </w:tc>
        <w:tc>
          <w:tcPr>
            <w:tcW w:w="1471"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611.389</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612.918</w:t>
            </w:r>
          </w:p>
        </w:tc>
      </w:tr>
      <w:tr w:rsidR="005F20D0" w:rsidRPr="005F20D0" w:rsidTr="006F2501">
        <w:trPr>
          <w:trHeight w:val="255"/>
        </w:trPr>
        <w:tc>
          <w:tcPr>
            <w:tcW w:w="0" w:type="auto"/>
            <w:gridSpan w:val="2"/>
            <w:vMerge/>
            <w:vAlign w:val="center"/>
            <w:hideMark/>
          </w:tcPr>
          <w:p w:rsidR="00DC792F" w:rsidRPr="005F20D0" w:rsidRDefault="00DC792F"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DC792F" w:rsidRPr="005F20D0" w:rsidRDefault="00DC792F"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A financiar GN</w:t>
            </w:r>
          </w:p>
        </w:tc>
        <w:tc>
          <w:tcPr>
            <w:tcW w:w="1460"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227.349</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188.217</w:t>
            </w:r>
          </w:p>
        </w:tc>
        <w:tc>
          <w:tcPr>
            <w:tcW w:w="1471"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185.844</w:t>
            </w:r>
          </w:p>
        </w:tc>
        <w:tc>
          <w:tcPr>
            <w:tcW w:w="1422" w:type="dxa"/>
            <w:tcBorders>
              <w:top w:val="single" w:sz="2" w:space="0" w:color="auto"/>
              <w:bottom w:val="single" w:sz="2" w:space="0" w:color="auto"/>
            </w:tcBorders>
            <w:noWrap/>
            <w:vAlign w:val="bottom"/>
            <w:hideMark/>
          </w:tcPr>
          <w:p w:rsidR="00DC792F" w:rsidRPr="005F20D0" w:rsidRDefault="00DC792F" w:rsidP="00DC792F">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166.488</w:t>
            </w:r>
          </w:p>
        </w:tc>
      </w:tr>
      <w:tr w:rsidR="005F20D0" w:rsidRPr="005F20D0" w:rsidTr="009737AA">
        <w:trPr>
          <w:trHeight w:val="255"/>
        </w:trPr>
        <w:tc>
          <w:tcPr>
            <w:tcW w:w="0" w:type="auto"/>
            <w:gridSpan w:val="2"/>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A20A52" w:rsidRPr="005F20D0" w:rsidRDefault="00A20A52"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 financiación GN</w:t>
            </w:r>
          </w:p>
        </w:tc>
        <w:tc>
          <w:tcPr>
            <w:tcW w:w="1460"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27,20%</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23,58%</w:t>
            </w:r>
          </w:p>
        </w:tc>
        <w:tc>
          <w:tcPr>
            <w:tcW w:w="1471"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23,31%</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22,90%</w:t>
            </w:r>
          </w:p>
        </w:tc>
      </w:tr>
      <w:tr w:rsidR="005F20D0" w:rsidRPr="005F20D0" w:rsidTr="006F2501">
        <w:trPr>
          <w:trHeight w:val="255"/>
        </w:trPr>
        <w:tc>
          <w:tcPr>
            <w:tcW w:w="0" w:type="auto"/>
            <w:gridSpan w:val="2"/>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4" w:space="0" w:color="auto"/>
            </w:tcBorders>
            <w:noWrap/>
            <w:vAlign w:val="center"/>
            <w:hideMark/>
          </w:tcPr>
          <w:p w:rsidR="00A20A52" w:rsidRPr="005F20D0" w:rsidRDefault="00DD6E42" w:rsidP="00DD6E42">
            <w:pPr>
              <w:spacing w:after="0"/>
              <w:ind w:firstLine="0"/>
              <w:jc w:val="left"/>
              <w:rPr>
                <w:rFonts w:ascii="Arial Narrow" w:hAnsi="Arial Narrow"/>
                <w:sz w:val="18"/>
                <w:szCs w:val="18"/>
                <w:lang w:val="es-ES" w:eastAsia="es-ES"/>
              </w:rPr>
            </w:pPr>
            <w:r>
              <w:rPr>
                <w:rFonts w:ascii="Arial Narrow" w:hAnsi="Arial Narrow"/>
                <w:sz w:val="18"/>
                <w:szCs w:val="18"/>
                <w:lang w:val="es-ES" w:eastAsia="es-ES"/>
              </w:rPr>
              <w:t>F</w:t>
            </w:r>
            <w:r w:rsidR="00A20A52" w:rsidRPr="005F20D0">
              <w:rPr>
                <w:rFonts w:ascii="Arial Narrow" w:hAnsi="Arial Narrow"/>
                <w:sz w:val="18"/>
                <w:szCs w:val="18"/>
                <w:lang w:val="es-ES" w:eastAsia="es-ES"/>
              </w:rPr>
              <w:t xml:space="preserve">inanciado Ayto </w:t>
            </w:r>
          </w:p>
        </w:tc>
        <w:tc>
          <w:tcPr>
            <w:tcW w:w="1460"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72,80%</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76,42%</w:t>
            </w:r>
          </w:p>
        </w:tc>
        <w:tc>
          <w:tcPr>
            <w:tcW w:w="1471"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76,69%</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77,10%</w:t>
            </w:r>
          </w:p>
        </w:tc>
      </w:tr>
      <w:tr w:rsidR="005F20D0" w:rsidRPr="005F20D0" w:rsidTr="000F0998">
        <w:trPr>
          <w:trHeight w:val="227"/>
        </w:trPr>
        <w:tc>
          <w:tcPr>
            <w:tcW w:w="1363" w:type="dxa"/>
            <w:gridSpan w:val="2"/>
            <w:vMerge w:val="restart"/>
            <w:tcBorders>
              <w:top w:val="single" w:sz="4" w:space="0" w:color="auto"/>
            </w:tcBorders>
            <w:noWrap/>
            <w:vAlign w:val="center"/>
            <w:hideMark/>
          </w:tcPr>
          <w:p w:rsidR="005B3819" w:rsidRPr="005F20D0" w:rsidRDefault="005B3819" w:rsidP="009868F9">
            <w:pPr>
              <w:spacing w:after="0"/>
              <w:ind w:firstLine="0"/>
              <w:jc w:val="center"/>
              <w:rPr>
                <w:rFonts w:ascii="Arial Narrow" w:hAnsi="Arial Narrow"/>
                <w:sz w:val="18"/>
                <w:szCs w:val="18"/>
                <w:lang w:val="es-ES" w:eastAsia="es-ES"/>
              </w:rPr>
            </w:pPr>
            <w:r w:rsidRPr="005F20D0">
              <w:rPr>
                <w:rFonts w:ascii="Arial Narrow" w:hAnsi="Arial Narrow"/>
                <w:sz w:val="18"/>
                <w:szCs w:val="18"/>
                <w:lang w:val="es-ES" w:eastAsia="es-ES"/>
              </w:rPr>
              <w:t>TUDELA</w:t>
            </w:r>
          </w:p>
        </w:tc>
        <w:tc>
          <w:tcPr>
            <w:tcW w:w="1624" w:type="dxa"/>
            <w:tcBorders>
              <w:top w:val="single" w:sz="4"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Déficit</w:t>
            </w:r>
          </w:p>
        </w:tc>
        <w:tc>
          <w:tcPr>
            <w:tcW w:w="1460"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1.759.987</w:t>
            </w:r>
          </w:p>
        </w:tc>
        <w:tc>
          <w:tcPr>
            <w:tcW w:w="1422"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1.731.246</w:t>
            </w:r>
          </w:p>
        </w:tc>
        <w:tc>
          <w:tcPr>
            <w:tcW w:w="1471"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1.712.440</w:t>
            </w:r>
          </w:p>
        </w:tc>
        <w:tc>
          <w:tcPr>
            <w:tcW w:w="1422" w:type="dxa"/>
            <w:tcBorders>
              <w:top w:val="single" w:sz="4"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1.678.409</w:t>
            </w:r>
          </w:p>
        </w:tc>
      </w:tr>
      <w:tr w:rsidR="005F20D0" w:rsidRPr="005F20D0" w:rsidTr="007C4D34">
        <w:trPr>
          <w:trHeight w:val="227"/>
        </w:trPr>
        <w:tc>
          <w:tcPr>
            <w:tcW w:w="0" w:type="auto"/>
            <w:gridSpan w:val="2"/>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77,10%</w:t>
            </w:r>
          </w:p>
        </w:tc>
        <w:tc>
          <w:tcPr>
            <w:tcW w:w="1460"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1.356.950</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1.334.791</w:t>
            </w:r>
          </w:p>
        </w:tc>
        <w:tc>
          <w:tcPr>
            <w:tcW w:w="1471"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1.320.292</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1.294.053</w:t>
            </w:r>
          </w:p>
        </w:tc>
      </w:tr>
      <w:tr w:rsidR="005F20D0" w:rsidRPr="005F20D0" w:rsidTr="007C4D34">
        <w:trPr>
          <w:trHeight w:val="227"/>
        </w:trPr>
        <w:tc>
          <w:tcPr>
            <w:tcW w:w="0" w:type="auto"/>
            <w:gridSpan w:val="2"/>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Cuantía máxima Ayto</w:t>
            </w:r>
          </w:p>
        </w:tc>
        <w:tc>
          <w:tcPr>
            <w:tcW w:w="1460"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1.448.245</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1.451.865</w:t>
            </w:r>
          </w:p>
        </w:tc>
        <w:tc>
          <w:tcPr>
            <w:tcW w:w="1471"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1.455.495</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1.459.134</w:t>
            </w:r>
          </w:p>
        </w:tc>
      </w:tr>
      <w:tr w:rsidR="005F20D0" w:rsidRPr="005F20D0" w:rsidTr="007C4D34">
        <w:trPr>
          <w:trHeight w:val="227"/>
        </w:trPr>
        <w:tc>
          <w:tcPr>
            <w:tcW w:w="0" w:type="auto"/>
            <w:gridSpan w:val="2"/>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5B3819" w:rsidRPr="005F20D0" w:rsidRDefault="005B3819"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A financiar GN</w:t>
            </w:r>
          </w:p>
        </w:tc>
        <w:tc>
          <w:tcPr>
            <w:tcW w:w="1460"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403.037</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396.455</w:t>
            </w:r>
          </w:p>
        </w:tc>
        <w:tc>
          <w:tcPr>
            <w:tcW w:w="1471"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392.149</w:t>
            </w:r>
          </w:p>
        </w:tc>
        <w:tc>
          <w:tcPr>
            <w:tcW w:w="1422" w:type="dxa"/>
            <w:tcBorders>
              <w:top w:val="single" w:sz="2" w:space="0" w:color="auto"/>
              <w:bottom w:val="single" w:sz="2" w:space="0" w:color="auto"/>
            </w:tcBorders>
            <w:noWrap/>
            <w:vAlign w:val="bottom"/>
            <w:hideMark/>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384.356</w:t>
            </w:r>
          </w:p>
        </w:tc>
      </w:tr>
      <w:tr w:rsidR="005F20D0" w:rsidRPr="005F20D0" w:rsidTr="007C4D34">
        <w:trPr>
          <w:trHeight w:val="227"/>
        </w:trPr>
        <w:tc>
          <w:tcPr>
            <w:tcW w:w="0" w:type="auto"/>
            <w:gridSpan w:val="2"/>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2" w:space="0" w:color="auto"/>
            </w:tcBorders>
            <w:noWrap/>
            <w:vAlign w:val="center"/>
            <w:hideMark/>
          </w:tcPr>
          <w:p w:rsidR="00A20A52" w:rsidRPr="005F20D0" w:rsidRDefault="00A20A52" w:rsidP="00C555A7">
            <w:pPr>
              <w:spacing w:after="0"/>
              <w:ind w:firstLine="0"/>
              <w:jc w:val="left"/>
              <w:rPr>
                <w:rFonts w:ascii="Arial Narrow" w:hAnsi="Arial Narrow"/>
                <w:sz w:val="18"/>
                <w:szCs w:val="18"/>
                <w:lang w:val="es-ES" w:eastAsia="es-ES"/>
              </w:rPr>
            </w:pPr>
            <w:r w:rsidRPr="005F20D0">
              <w:rPr>
                <w:rFonts w:ascii="Arial Narrow" w:hAnsi="Arial Narrow"/>
                <w:sz w:val="18"/>
                <w:szCs w:val="18"/>
                <w:lang w:val="es-ES" w:eastAsia="es-ES"/>
              </w:rPr>
              <w:t>% financiación GN</w:t>
            </w:r>
          </w:p>
        </w:tc>
        <w:tc>
          <w:tcPr>
            <w:tcW w:w="1460"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22,90%</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22,90%</w:t>
            </w:r>
          </w:p>
        </w:tc>
        <w:tc>
          <w:tcPr>
            <w:tcW w:w="1471"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22,90%</w:t>
            </w:r>
          </w:p>
        </w:tc>
        <w:tc>
          <w:tcPr>
            <w:tcW w:w="1422" w:type="dxa"/>
            <w:tcBorders>
              <w:top w:val="single" w:sz="2" w:space="0" w:color="auto"/>
              <w:bottom w:val="single" w:sz="2"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22,90%</w:t>
            </w:r>
          </w:p>
        </w:tc>
      </w:tr>
      <w:tr w:rsidR="005F20D0" w:rsidRPr="005F20D0" w:rsidTr="007C4D34">
        <w:trPr>
          <w:trHeight w:val="227"/>
        </w:trPr>
        <w:tc>
          <w:tcPr>
            <w:tcW w:w="0" w:type="auto"/>
            <w:gridSpan w:val="2"/>
            <w:vMerge/>
            <w:tcBorders>
              <w:bottom w:val="single" w:sz="4" w:space="0" w:color="auto"/>
            </w:tcBorders>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624" w:type="dxa"/>
            <w:tcBorders>
              <w:top w:val="single" w:sz="2" w:space="0" w:color="auto"/>
              <w:bottom w:val="single" w:sz="4" w:space="0" w:color="auto"/>
            </w:tcBorders>
            <w:noWrap/>
            <w:vAlign w:val="center"/>
            <w:hideMark/>
          </w:tcPr>
          <w:p w:rsidR="00A20A52" w:rsidRPr="005F20D0" w:rsidRDefault="00DD6E42" w:rsidP="00DD6E42">
            <w:pPr>
              <w:spacing w:after="0"/>
              <w:ind w:firstLine="0"/>
              <w:jc w:val="left"/>
              <w:rPr>
                <w:rFonts w:ascii="Arial Narrow" w:hAnsi="Arial Narrow"/>
                <w:sz w:val="18"/>
                <w:szCs w:val="18"/>
                <w:lang w:val="es-ES" w:eastAsia="es-ES"/>
              </w:rPr>
            </w:pPr>
            <w:r>
              <w:rPr>
                <w:rFonts w:ascii="Arial Narrow" w:hAnsi="Arial Narrow"/>
                <w:sz w:val="18"/>
                <w:szCs w:val="18"/>
                <w:lang w:val="es-ES" w:eastAsia="es-ES"/>
              </w:rPr>
              <w:t>F</w:t>
            </w:r>
            <w:r w:rsidR="00A20A52" w:rsidRPr="005F20D0">
              <w:rPr>
                <w:rFonts w:ascii="Arial Narrow" w:hAnsi="Arial Narrow"/>
                <w:sz w:val="18"/>
                <w:szCs w:val="18"/>
                <w:lang w:val="es-ES" w:eastAsia="es-ES"/>
              </w:rPr>
              <w:t xml:space="preserve">inanciado Ayto </w:t>
            </w:r>
          </w:p>
        </w:tc>
        <w:tc>
          <w:tcPr>
            <w:tcW w:w="1460"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77,10%</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77,10%</w:t>
            </w:r>
          </w:p>
        </w:tc>
        <w:tc>
          <w:tcPr>
            <w:tcW w:w="1471"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77,10%</w:t>
            </w:r>
          </w:p>
        </w:tc>
        <w:tc>
          <w:tcPr>
            <w:tcW w:w="1422" w:type="dxa"/>
            <w:tcBorders>
              <w:top w:val="single" w:sz="2" w:space="0" w:color="auto"/>
              <w:bottom w:val="single" w:sz="4" w:space="0" w:color="auto"/>
            </w:tcBorders>
            <w:noWrap/>
            <w:vAlign w:val="center"/>
            <w:hideMark/>
          </w:tcPr>
          <w:p w:rsidR="00A20A52" w:rsidRPr="005F20D0" w:rsidRDefault="00A20A52" w:rsidP="00C555A7">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77,10%</w:t>
            </w:r>
          </w:p>
        </w:tc>
      </w:tr>
      <w:tr w:rsidR="005F20D0" w:rsidRPr="005F20D0" w:rsidTr="007C4D34">
        <w:tblPrEx>
          <w:tblBorders>
            <w:top w:val="single" w:sz="4" w:space="0" w:color="auto"/>
            <w:bottom w:val="single" w:sz="4" w:space="0" w:color="auto"/>
          </w:tblBorders>
        </w:tblPrEx>
        <w:trPr>
          <w:trHeight w:val="227"/>
        </w:trPr>
        <w:tc>
          <w:tcPr>
            <w:tcW w:w="1286" w:type="dxa"/>
            <w:vMerge w:val="restart"/>
            <w:noWrap/>
            <w:vAlign w:val="center"/>
            <w:hideMark/>
          </w:tcPr>
          <w:p w:rsidR="005B3819" w:rsidRPr="005F20D0" w:rsidRDefault="005B3819" w:rsidP="009868F9">
            <w:pPr>
              <w:spacing w:after="0"/>
              <w:ind w:firstLine="0"/>
              <w:jc w:val="center"/>
              <w:rPr>
                <w:rFonts w:ascii="Arial Narrow" w:hAnsi="Arial Narrow"/>
                <w:sz w:val="18"/>
                <w:szCs w:val="18"/>
                <w:lang w:val="es-ES" w:eastAsia="es-ES"/>
              </w:rPr>
            </w:pPr>
            <w:r w:rsidRPr="005F20D0">
              <w:rPr>
                <w:rFonts w:ascii="Arial Narrow" w:hAnsi="Arial Narrow"/>
                <w:sz w:val="18"/>
                <w:szCs w:val="18"/>
                <w:lang w:val="es-ES" w:eastAsia="es-ES"/>
              </w:rPr>
              <w:t>GENERAL</w:t>
            </w:r>
          </w:p>
        </w:tc>
        <w:tc>
          <w:tcPr>
            <w:tcW w:w="1701" w:type="dxa"/>
            <w:gridSpan w:val="2"/>
            <w:tcBorders>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lang w:val="es-ES" w:eastAsia="es-ES"/>
              </w:rPr>
            </w:pPr>
            <w:r w:rsidRPr="005F20D0">
              <w:rPr>
                <w:rFonts w:ascii="Arial Narrow" w:hAnsi="Arial Narrow"/>
                <w:sz w:val="18"/>
                <w:szCs w:val="18"/>
                <w:lang w:val="es-ES" w:eastAsia="es-ES"/>
              </w:rPr>
              <w:t>Déficit</w:t>
            </w:r>
          </w:p>
        </w:tc>
        <w:tc>
          <w:tcPr>
            <w:tcW w:w="1460"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18.064.495</w:t>
            </w:r>
          </w:p>
        </w:tc>
        <w:tc>
          <w:tcPr>
            <w:tcW w:w="1422"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18.069.704</w:t>
            </w:r>
          </w:p>
        </w:tc>
        <w:tc>
          <w:tcPr>
            <w:tcW w:w="1471"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18.107.163</w:t>
            </w:r>
          </w:p>
        </w:tc>
        <w:tc>
          <w:tcPr>
            <w:tcW w:w="1422" w:type="dxa"/>
            <w:tcBorders>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17.853.798</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lang w:val="es-ES" w:eastAsia="es-ES"/>
              </w:rPr>
            </w:pPr>
            <w:r w:rsidRPr="005F20D0">
              <w:rPr>
                <w:rFonts w:ascii="Arial Narrow" w:hAnsi="Arial Narrow"/>
                <w:sz w:val="18"/>
                <w:szCs w:val="18"/>
                <w:lang w:val="es-ES" w:eastAsia="es-ES"/>
              </w:rPr>
              <w:t>64,30%</w:t>
            </w:r>
          </w:p>
        </w:tc>
        <w:tc>
          <w:tcPr>
            <w:tcW w:w="1460"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11.615.470</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11.618.820</w:t>
            </w:r>
          </w:p>
        </w:tc>
        <w:tc>
          <w:tcPr>
            <w:tcW w:w="1471"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11.642.906</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11.479.992</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lang w:val="es-ES" w:eastAsia="es-ES"/>
              </w:rPr>
            </w:pPr>
            <w:r w:rsidRPr="005F20D0">
              <w:rPr>
                <w:rFonts w:ascii="Arial Narrow" w:hAnsi="Arial Narrow"/>
                <w:sz w:val="18"/>
                <w:szCs w:val="18"/>
                <w:lang w:val="es-ES" w:eastAsia="es-ES"/>
              </w:rPr>
              <w:t>Cuantía máxima Aytos</w:t>
            </w:r>
          </w:p>
        </w:tc>
        <w:tc>
          <w:tcPr>
            <w:tcW w:w="1460"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14.297.145</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14.332.888</w:t>
            </w:r>
          </w:p>
        </w:tc>
        <w:tc>
          <w:tcPr>
            <w:tcW w:w="1471"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14.368.720</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14.404.642</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5B3819" w:rsidRPr="005F20D0" w:rsidRDefault="005B3819"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5B3819" w:rsidRPr="005F20D0" w:rsidRDefault="005B3819" w:rsidP="00F70001">
            <w:pPr>
              <w:spacing w:after="0"/>
              <w:ind w:firstLine="72"/>
              <w:jc w:val="left"/>
              <w:rPr>
                <w:rFonts w:ascii="Arial Narrow" w:hAnsi="Arial Narrow"/>
                <w:sz w:val="18"/>
                <w:szCs w:val="18"/>
                <w:lang w:val="es-ES" w:eastAsia="es-ES"/>
              </w:rPr>
            </w:pPr>
            <w:r w:rsidRPr="005F20D0">
              <w:rPr>
                <w:rFonts w:ascii="Arial Narrow" w:hAnsi="Arial Narrow"/>
                <w:sz w:val="18"/>
                <w:szCs w:val="18"/>
                <w:lang w:val="es-ES" w:eastAsia="es-ES"/>
              </w:rPr>
              <w:t>A financiar GN</w:t>
            </w:r>
          </w:p>
        </w:tc>
        <w:tc>
          <w:tcPr>
            <w:tcW w:w="1460"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6.449.025</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6.450.884</w:t>
            </w:r>
          </w:p>
        </w:tc>
        <w:tc>
          <w:tcPr>
            <w:tcW w:w="1471"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6.464.257</w:t>
            </w:r>
          </w:p>
        </w:tc>
        <w:tc>
          <w:tcPr>
            <w:tcW w:w="1422" w:type="dxa"/>
            <w:tcBorders>
              <w:top w:val="single" w:sz="2" w:space="0" w:color="auto"/>
              <w:bottom w:val="single" w:sz="2" w:space="0" w:color="auto"/>
            </w:tcBorders>
            <w:noWrap/>
            <w:vAlign w:val="bottom"/>
          </w:tcPr>
          <w:p w:rsidR="005B3819" w:rsidRPr="005F20D0" w:rsidRDefault="005B3819" w:rsidP="005B3819">
            <w:pPr>
              <w:spacing w:after="0"/>
              <w:ind w:firstLine="0"/>
              <w:jc w:val="right"/>
              <w:rPr>
                <w:rFonts w:ascii="Arial Narrow" w:hAnsi="Arial Narrow"/>
                <w:sz w:val="18"/>
                <w:szCs w:val="18"/>
                <w:lang w:val="es-ES" w:eastAsia="es-ES"/>
              </w:rPr>
            </w:pPr>
            <w:r w:rsidRPr="005F20D0">
              <w:rPr>
                <w:rFonts w:ascii="Arial Narrow" w:hAnsi="Arial Narrow"/>
                <w:sz w:val="18"/>
                <w:szCs w:val="18"/>
                <w:lang w:val="es-ES" w:eastAsia="es-ES"/>
              </w:rPr>
              <w:t>6.373.806</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bottom w:val="single" w:sz="2" w:space="0" w:color="auto"/>
            </w:tcBorders>
            <w:noWrap/>
            <w:vAlign w:val="center"/>
            <w:hideMark/>
          </w:tcPr>
          <w:p w:rsidR="00A20A52" w:rsidRPr="005F20D0" w:rsidRDefault="00A20A52" w:rsidP="00F70001">
            <w:pPr>
              <w:spacing w:after="0"/>
              <w:ind w:firstLine="72"/>
              <w:jc w:val="left"/>
              <w:rPr>
                <w:rFonts w:ascii="Arial Narrow" w:hAnsi="Arial Narrow"/>
                <w:sz w:val="18"/>
                <w:szCs w:val="18"/>
                <w:lang w:val="es-ES" w:eastAsia="es-ES"/>
              </w:rPr>
            </w:pPr>
            <w:r w:rsidRPr="005F20D0">
              <w:rPr>
                <w:rFonts w:ascii="Arial Narrow" w:hAnsi="Arial Narrow"/>
                <w:sz w:val="18"/>
                <w:szCs w:val="18"/>
                <w:lang w:val="es-ES" w:eastAsia="es-ES"/>
              </w:rPr>
              <w:t>% financiación GN</w:t>
            </w:r>
          </w:p>
        </w:tc>
        <w:tc>
          <w:tcPr>
            <w:tcW w:w="1460"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35,70%</w:t>
            </w:r>
          </w:p>
        </w:tc>
        <w:tc>
          <w:tcPr>
            <w:tcW w:w="1422"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35,70%</w:t>
            </w:r>
          </w:p>
        </w:tc>
        <w:tc>
          <w:tcPr>
            <w:tcW w:w="1471"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35,70%</w:t>
            </w:r>
          </w:p>
        </w:tc>
        <w:tc>
          <w:tcPr>
            <w:tcW w:w="1422" w:type="dxa"/>
            <w:tcBorders>
              <w:top w:val="single" w:sz="2" w:space="0" w:color="auto"/>
              <w:bottom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35,70%</w:t>
            </w:r>
          </w:p>
        </w:tc>
      </w:tr>
      <w:tr w:rsidR="005F20D0" w:rsidRPr="005F20D0" w:rsidTr="007C4D34">
        <w:tblPrEx>
          <w:tblBorders>
            <w:top w:val="single" w:sz="4" w:space="0" w:color="auto"/>
            <w:bottom w:val="single" w:sz="4" w:space="0" w:color="auto"/>
          </w:tblBorders>
        </w:tblPrEx>
        <w:trPr>
          <w:trHeight w:val="227"/>
        </w:trPr>
        <w:tc>
          <w:tcPr>
            <w:tcW w:w="1286" w:type="dxa"/>
            <w:vMerge/>
            <w:vAlign w:val="center"/>
            <w:hideMark/>
          </w:tcPr>
          <w:p w:rsidR="00A20A52" w:rsidRPr="005F20D0" w:rsidRDefault="00A20A52" w:rsidP="009868F9">
            <w:pPr>
              <w:spacing w:after="0"/>
              <w:ind w:firstLine="0"/>
              <w:jc w:val="left"/>
              <w:rPr>
                <w:rFonts w:ascii="Arial Narrow" w:hAnsi="Arial Narrow"/>
                <w:sz w:val="18"/>
                <w:szCs w:val="18"/>
                <w:lang w:val="es-ES" w:eastAsia="es-ES"/>
              </w:rPr>
            </w:pPr>
          </w:p>
        </w:tc>
        <w:tc>
          <w:tcPr>
            <w:tcW w:w="1701" w:type="dxa"/>
            <w:gridSpan w:val="2"/>
            <w:tcBorders>
              <w:top w:val="single" w:sz="2" w:space="0" w:color="auto"/>
            </w:tcBorders>
            <w:noWrap/>
            <w:vAlign w:val="center"/>
            <w:hideMark/>
          </w:tcPr>
          <w:p w:rsidR="00A20A52" w:rsidRPr="005F20D0" w:rsidRDefault="00DD6E42" w:rsidP="00F70001">
            <w:pPr>
              <w:spacing w:after="0"/>
              <w:ind w:firstLine="72"/>
              <w:jc w:val="left"/>
              <w:rPr>
                <w:rFonts w:ascii="Arial Narrow" w:hAnsi="Arial Narrow"/>
                <w:sz w:val="18"/>
                <w:szCs w:val="18"/>
                <w:lang w:val="es-ES" w:eastAsia="es-ES"/>
              </w:rPr>
            </w:pPr>
            <w:r>
              <w:rPr>
                <w:rFonts w:ascii="Arial Narrow" w:hAnsi="Arial Narrow"/>
                <w:sz w:val="18"/>
                <w:szCs w:val="18"/>
                <w:lang w:val="es-ES" w:eastAsia="es-ES"/>
              </w:rPr>
              <w:t>F</w:t>
            </w:r>
            <w:r w:rsidR="00A20A52" w:rsidRPr="005F20D0">
              <w:rPr>
                <w:rFonts w:ascii="Arial Narrow" w:hAnsi="Arial Narrow"/>
                <w:sz w:val="18"/>
                <w:szCs w:val="18"/>
                <w:lang w:val="es-ES" w:eastAsia="es-ES"/>
              </w:rPr>
              <w:t xml:space="preserve">inanciado Ayto </w:t>
            </w:r>
          </w:p>
        </w:tc>
        <w:tc>
          <w:tcPr>
            <w:tcW w:w="1460"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64,30%</w:t>
            </w:r>
          </w:p>
        </w:tc>
        <w:tc>
          <w:tcPr>
            <w:tcW w:w="1422"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64,30%</w:t>
            </w:r>
          </w:p>
        </w:tc>
        <w:tc>
          <w:tcPr>
            <w:tcW w:w="1471"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64,30%</w:t>
            </w:r>
          </w:p>
        </w:tc>
        <w:tc>
          <w:tcPr>
            <w:tcW w:w="1422" w:type="dxa"/>
            <w:tcBorders>
              <w:top w:val="single" w:sz="2" w:space="0" w:color="auto"/>
            </w:tcBorders>
            <w:noWrap/>
            <w:vAlign w:val="center"/>
          </w:tcPr>
          <w:p w:rsidR="00A20A52" w:rsidRPr="005F20D0" w:rsidRDefault="00A20A52" w:rsidP="00A44665">
            <w:pPr>
              <w:spacing w:after="0" w:line="276" w:lineRule="auto"/>
              <w:ind w:firstLine="0"/>
              <w:jc w:val="right"/>
              <w:rPr>
                <w:rFonts w:ascii="Arial Narrow" w:eastAsiaTheme="minorHAnsi" w:hAnsi="Arial Narrow" w:cs="Calibri"/>
                <w:sz w:val="18"/>
                <w:szCs w:val="18"/>
                <w:lang w:val="es-ES"/>
              </w:rPr>
            </w:pPr>
            <w:r w:rsidRPr="005F20D0">
              <w:rPr>
                <w:rFonts w:ascii="Arial Narrow" w:eastAsiaTheme="minorHAnsi" w:hAnsi="Arial Narrow" w:cs="Calibri"/>
                <w:sz w:val="18"/>
                <w:szCs w:val="18"/>
                <w:lang w:val="es-ES"/>
              </w:rPr>
              <w:t>64,30%</w:t>
            </w:r>
          </w:p>
        </w:tc>
      </w:tr>
    </w:tbl>
    <w:p w:rsidR="009868F9" w:rsidRPr="009868F9" w:rsidRDefault="009868F9" w:rsidP="00FB2E43">
      <w:pPr>
        <w:pStyle w:val="texto"/>
        <w:spacing w:before="120"/>
        <w:rPr>
          <w:szCs w:val="26"/>
        </w:rPr>
      </w:pPr>
      <w:r w:rsidRPr="009868F9">
        <w:rPr>
          <w:szCs w:val="26"/>
        </w:rPr>
        <w:lastRenderedPageBreak/>
        <w:t xml:space="preserve">Como puede verse, como consecuencia de los topes establecidos en la ley del año 2003, Pamplona es el que financia un menor porcentaje del déficit de su </w:t>
      </w:r>
      <w:r w:rsidR="00B04729">
        <w:rPr>
          <w:szCs w:val="26"/>
        </w:rPr>
        <w:t>Montepío</w:t>
      </w:r>
      <w:r w:rsidRPr="009868F9">
        <w:rPr>
          <w:szCs w:val="26"/>
        </w:rPr>
        <w:t xml:space="preserve"> propio, Tafalla incrementa</w:t>
      </w:r>
      <w:r w:rsidR="00C73E39">
        <w:rPr>
          <w:szCs w:val="26"/>
        </w:rPr>
        <w:t xml:space="preserve">, entre 2013 y 2016, </w:t>
      </w:r>
      <w:r w:rsidRPr="009868F9">
        <w:rPr>
          <w:szCs w:val="26"/>
        </w:rPr>
        <w:t>ligeramente el po</w:t>
      </w:r>
      <w:r w:rsidRPr="009868F9">
        <w:rPr>
          <w:szCs w:val="26"/>
        </w:rPr>
        <w:t>r</w:t>
      </w:r>
      <w:r w:rsidRPr="009868F9">
        <w:rPr>
          <w:szCs w:val="26"/>
        </w:rPr>
        <w:t xml:space="preserve">centaje y Tudela mantiene los mismos porcentajes. </w:t>
      </w:r>
    </w:p>
    <w:p w:rsidR="009868F9" w:rsidRPr="009868F9" w:rsidRDefault="009868F9" w:rsidP="0077337B">
      <w:pPr>
        <w:pStyle w:val="texto"/>
        <w:rPr>
          <w:szCs w:val="26"/>
        </w:rPr>
      </w:pPr>
      <w:r w:rsidRPr="009868F9">
        <w:rPr>
          <w:szCs w:val="26"/>
        </w:rPr>
        <w:t>Es significativa la diferencia entre el porcentaje que, en 2016, financian T</w:t>
      </w:r>
      <w:r w:rsidRPr="009868F9">
        <w:rPr>
          <w:szCs w:val="26"/>
        </w:rPr>
        <w:t>u</w:t>
      </w:r>
      <w:r w:rsidRPr="009868F9">
        <w:rPr>
          <w:szCs w:val="26"/>
        </w:rPr>
        <w:t>dela y Tafalla, 77,10 por ciento y el de Pamplona que se sitúa en el 54</w:t>
      </w:r>
      <w:r w:rsidR="00DA548C">
        <w:rPr>
          <w:szCs w:val="26"/>
        </w:rPr>
        <w:t>,</w:t>
      </w:r>
      <w:r w:rsidRPr="009868F9">
        <w:rPr>
          <w:szCs w:val="26"/>
        </w:rPr>
        <w:t>47 por ciento.</w:t>
      </w:r>
    </w:p>
    <w:p w:rsidR="009868F9" w:rsidRPr="009868F9" w:rsidRDefault="009868F9" w:rsidP="0077337B">
      <w:pPr>
        <w:pStyle w:val="texto"/>
        <w:rPr>
          <w:szCs w:val="26"/>
        </w:rPr>
      </w:pPr>
      <w:r w:rsidRPr="009868F9">
        <w:rPr>
          <w:szCs w:val="26"/>
        </w:rPr>
        <w:t xml:space="preserve">En el caso del </w:t>
      </w:r>
      <w:r w:rsidR="00B04729">
        <w:rPr>
          <w:szCs w:val="26"/>
        </w:rPr>
        <w:t>Montepío</w:t>
      </w:r>
      <w:r w:rsidRPr="009868F9">
        <w:rPr>
          <w:szCs w:val="26"/>
        </w:rPr>
        <w:t xml:space="preserve"> General, en ningún año el porcentaje a financiar por los ayuntamientos en global supera el importe máximo por lo que la financi</w:t>
      </w:r>
      <w:r w:rsidRPr="009868F9">
        <w:rPr>
          <w:szCs w:val="26"/>
        </w:rPr>
        <w:t>a</w:t>
      </w:r>
      <w:r w:rsidRPr="009868F9">
        <w:rPr>
          <w:szCs w:val="26"/>
        </w:rPr>
        <w:t xml:space="preserve">ción del Gobierno es del 35,7 por ciento y la de los ayuntamientos del 64,3 por ciento. </w:t>
      </w:r>
    </w:p>
    <w:p w:rsidR="009868F9" w:rsidRPr="009868F9" w:rsidRDefault="009868F9" w:rsidP="009868F9">
      <w:pPr>
        <w:pStyle w:val="atitulo2"/>
        <w:spacing w:before="240"/>
      </w:pPr>
      <w:bookmarkStart w:id="17" w:name="_Toc482946248"/>
      <w:r w:rsidRPr="009868F9">
        <w:t xml:space="preserve">IV.5. </w:t>
      </w:r>
      <w:r w:rsidR="00E41FAF">
        <w:t>Estimaciones</w:t>
      </w:r>
      <w:r w:rsidRPr="009868F9">
        <w:t xml:space="preserve"> sobre posibles alternativas</w:t>
      </w:r>
      <w:bookmarkEnd w:id="17"/>
    </w:p>
    <w:p w:rsidR="009868F9" w:rsidRDefault="009868F9" w:rsidP="0077337B">
      <w:pPr>
        <w:pStyle w:val="texto"/>
        <w:rPr>
          <w:szCs w:val="26"/>
        </w:rPr>
      </w:pPr>
      <w:r w:rsidRPr="009868F9">
        <w:rPr>
          <w:szCs w:val="26"/>
        </w:rPr>
        <w:t xml:space="preserve">Hemos realizado diferentes supuestos para el reparto del déficit. En ningún caso hemos incluido al ayuntamiento de Pamplona, ya que cuenta con </w:t>
      </w:r>
      <w:r w:rsidR="00B04729">
        <w:rPr>
          <w:szCs w:val="26"/>
        </w:rPr>
        <w:t>Mont</w:t>
      </w:r>
      <w:r w:rsidR="00B04729">
        <w:rPr>
          <w:szCs w:val="26"/>
        </w:rPr>
        <w:t>e</w:t>
      </w:r>
      <w:r w:rsidR="00B04729">
        <w:rPr>
          <w:szCs w:val="26"/>
        </w:rPr>
        <w:t>pío</w:t>
      </w:r>
      <w:r w:rsidRPr="009868F9">
        <w:rPr>
          <w:szCs w:val="26"/>
        </w:rPr>
        <w:t xml:space="preserve"> propio y nunca ha participado en el reparto del </w:t>
      </w:r>
      <w:r w:rsidR="00B04729">
        <w:rPr>
          <w:szCs w:val="26"/>
        </w:rPr>
        <w:t>Montepío</w:t>
      </w:r>
      <w:r w:rsidRPr="009868F9">
        <w:rPr>
          <w:szCs w:val="26"/>
        </w:rPr>
        <w:t xml:space="preserve"> general. Por el contrario, en los casos de Tafalla y Tudela que, aunque  también cuentan con </w:t>
      </w:r>
      <w:r w:rsidR="00B04729">
        <w:rPr>
          <w:szCs w:val="26"/>
        </w:rPr>
        <w:t>Montepío</w:t>
      </w:r>
      <w:r w:rsidRPr="009868F9">
        <w:rPr>
          <w:szCs w:val="26"/>
        </w:rPr>
        <w:t xml:space="preserve"> propio, participan en el reparto del general, en unos supuestos los i</w:t>
      </w:r>
      <w:r w:rsidRPr="009868F9">
        <w:rPr>
          <w:szCs w:val="26"/>
        </w:rPr>
        <w:t>n</w:t>
      </w:r>
      <w:r w:rsidRPr="009868F9">
        <w:rPr>
          <w:szCs w:val="26"/>
        </w:rPr>
        <w:t>cluimos y en otros los hemos excluido.</w:t>
      </w:r>
    </w:p>
    <w:p w:rsidR="00CE667B" w:rsidRDefault="00CE667B" w:rsidP="0077337B">
      <w:pPr>
        <w:pStyle w:val="texto"/>
        <w:rPr>
          <w:szCs w:val="26"/>
        </w:rPr>
      </w:pPr>
      <w:r>
        <w:rPr>
          <w:szCs w:val="26"/>
        </w:rPr>
        <w:t>En concreto, presentamos cinco casos que responden a los siguientes supue</w:t>
      </w:r>
      <w:r>
        <w:rPr>
          <w:szCs w:val="26"/>
        </w:rPr>
        <w:t>s</w:t>
      </w:r>
      <w:r>
        <w:rPr>
          <w:szCs w:val="26"/>
        </w:rPr>
        <w:t>tos:</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rPr>
          <w:szCs w:val="26"/>
        </w:rPr>
        <w:t>Hemos realizado el reparto del déficit estimando el tope establecido para los ayuntamientos no de manera global, sino para cada uno de ellos (Concl</w:t>
      </w:r>
      <w:r>
        <w:rPr>
          <w:szCs w:val="26"/>
        </w:rPr>
        <w:t>u</w:t>
      </w:r>
      <w:r>
        <w:rPr>
          <w:szCs w:val="26"/>
        </w:rPr>
        <w:t>sión 13ª)</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rPr>
          <w:szCs w:val="26"/>
        </w:rPr>
        <w:t>En la conclusión 14ª, repartimos el déficit por población, pero los ayu</w:t>
      </w:r>
      <w:r>
        <w:rPr>
          <w:szCs w:val="26"/>
        </w:rPr>
        <w:t>n</w:t>
      </w:r>
      <w:r>
        <w:rPr>
          <w:szCs w:val="26"/>
        </w:rPr>
        <w:t>tamientos aportan una cuota empresarial por sus activos.</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rPr>
          <w:szCs w:val="26"/>
        </w:rPr>
        <w:t>En la conclusión 15ª se realizan los cálculos como en el caso anterior, p</w:t>
      </w:r>
      <w:r>
        <w:rPr>
          <w:szCs w:val="26"/>
        </w:rPr>
        <w:t>e</w:t>
      </w:r>
      <w:r>
        <w:rPr>
          <w:szCs w:val="26"/>
        </w:rPr>
        <w:t>ro excluyendo a Tafalla y Tudela.</w:t>
      </w:r>
    </w:p>
    <w:p w:rsidR="00CE667B" w:rsidRDefault="00CE667B" w:rsidP="00A741B9">
      <w:pPr>
        <w:pStyle w:val="texto"/>
        <w:numPr>
          <w:ilvl w:val="0"/>
          <w:numId w:val="25"/>
        </w:numPr>
        <w:tabs>
          <w:tab w:val="clear" w:pos="2835"/>
          <w:tab w:val="clear" w:pos="3969"/>
          <w:tab w:val="clear" w:pos="5103"/>
          <w:tab w:val="center" w:pos="567"/>
        </w:tabs>
        <w:ind w:left="0" w:firstLine="284"/>
        <w:rPr>
          <w:szCs w:val="26"/>
        </w:rPr>
      </w:pPr>
      <w:r>
        <w:rPr>
          <w:szCs w:val="26"/>
        </w:rPr>
        <w:t>En el siguiente supuesto repartimos el déficit por población, pero incl</w:t>
      </w:r>
      <w:r>
        <w:rPr>
          <w:szCs w:val="26"/>
        </w:rPr>
        <w:t>u</w:t>
      </w:r>
      <w:r>
        <w:rPr>
          <w:szCs w:val="26"/>
        </w:rPr>
        <w:t xml:space="preserve">yendo los déficit de los </w:t>
      </w:r>
      <w:r w:rsidR="00B04729">
        <w:rPr>
          <w:szCs w:val="26"/>
        </w:rPr>
        <w:t>Montepío</w:t>
      </w:r>
      <w:r>
        <w:rPr>
          <w:szCs w:val="26"/>
        </w:rPr>
        <w:t>s de Tafalla y Tudela.</w:t>
      </w:r>
    </w:p>
    <w:p w:rsidR="00CE667B" w:rsidRPr="009868F9" w:rsidRDefault="00CE667B" w:rsidP="00A741B9">
      <w:pPr>
        <w:pStyle w:val="texto"/>
        <w:numPr>
          <w:ilvl w:val="0"/>
          <w:numId w:val="25"/>
        </w:numPr>
        <w:tabs>
          <w:tab w:val="clear" w:pos="2835"/>
          <w:tab w:val="clear" w:pos="3969"/>
          <w:tab w:val="clear" w:pos="5103"/>
          <w:tab w:val="center" w:pos="567"/>
        </w:tabs>
        <w:ind w:left="0" w:firstLine="284"/>
        <w:rPr>
          <w:szCs w:val="26"/>
        </w:rPr>
      </w:pPr>
      <w:r>
        <w:rPr>
          <w:szCs w:val="26"/>
        </w:rPr>
        <w:t>En último lugar, conclusión 17ª, estimamos el reparto del déficit de 2015 según la media de los últimos diez años.</w:t>
      </w:r>
    </w:p>
    <w:p w:rsidR="009868F9" w:rsidRPr="00093821" w:rsidRDefault="009868F9" w:rsidP="0077337B">
      <w:pPr>
        <w:pStyle w:val="texto"/>
        <w:rPr>
          <w:spacing w:val="4"/>
          <w:szCs w:val="26"/>
        </w:rPr>
      </w:pPr>
      <w:r w:rsidRPr="00093821">
        <w:rPr>
          <w:b/>
          <w:spacing w:val="4"/>
          <w:szCs w:val="26"/>
        </w:rPr>
        <w:t>1</w:t>
      </w:r>
      <w:r w:rsidR="00DA548C" w:rsidRPr="00093821">
        <w:rPr>
          <w:b/>
          <w:spacing w:val="4"/>
          <w:szCs w:val="26"/>
        </w:rPr>
        <w:t>3</w:t>
      </w:r>
      <w:r w:rsidR="00FB1FFE" w:rsidRPr="00093821">
        <w:rPr>
          <w:b/>
          <w:spacing w:val="4"/>
          <w:szCs w:val="26"/>
        </w:rPr>
        <w:t>.</w:t>
      </w:r>
      <w:r w:rsidRPr="00093821">
        <w:rPr>
          <w:b/>
          <w:spacing w:val="4"/>
          <w:szCs w:val="26"/>
        </w:rPr>
        <w:t>ª</w:t>
      </w:r>
      <w:r w:rsidRPr="00093821">
        <w:rPr>
          <w:spacing w:val="4"/>
          <w:szCs w:val="26"/>
        </w:rPr>
        <w:t xml:space="preserve">  Hemos analizado los resultados si en lugar de calcular el importe máx</w:t>
      </w:r>
      <w:r w:rsidRPr="00093821">
        <w:rPr>
          <w:spacing w:val="4"/>
          <w:szCs w:val="26"/>
        </w:rPr>
        <w:t>i</w:t>
      </w:r>
      <w:r w:rsidRPr="00093821">
        <w:rPr>
          <w:spacing w:val="4"/>
          <w:szCs w:val="26"/>
        </w:rPr>
        <w:t>mo a pagar por las entidades locales de manera global lo calculamos para cada ayuntamiento. Para ello, actualizamos los importes que cada uno de los ayunt</w:t>
      </w:r>
      <w:r w:rsidRPr="00093821">
        <w:rPr>
          <w:spacing w:val="4"/>
          <w:szCs w:val="26"/>
        </w:rPr>
        <w:t>a</w:t>
      </w:r>
      <w:r w:rsidRPr="00093821">
        <w:rPr>
          <w:spacing w:val="4"/>
          <w:szCs w:val="26"/>
        </w:rPr>
        <w:t xml:space="preserve">mientos abonaron en 2005 y obtenemos el importe máximo para el año 2015. </w:t>
      </w:r>
    </w:p>
    <w:p w:rsidR="00C51604" w:rsidRDefault="00C51604" w:rsidP="0077337B">
      <w:pPr>
        <w:pStyle w:val="texto"/>
        <w:rPr>
          <w:szCs w:val="26"/>
        </w:rPr>
      </w:pPr>
    </w:p>
    <w:p w:rsidR="009868F9" w:rsidRPr="009868F9" w:rsidRDefault="009868F9" w:rsidP="0077337B">
      <w:pPr>
        <w:pStyle w:val="texto"/>
        <w:rPr>
          <w:szCs w:val="26"/>
        </w:rPr>
      </w:pPr>
      <w:r w:rsidRPr="009868F9">
        <w:rPr>
          <w:szCs w:val="26"/>
        </w:rPr>
        <w:lastRenderedPageBreak/>
        <w:t>Los resultados que se obtienen son:</w:t>
      </w:r>
    </w:p>
    <w:tbl>
      <w:tblPr>
        <w:tblStyle w:val="Tablaconcuadrcula1"/>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095"/>
        <w:gridCol w:w="2268"/>
        <w:gridCol w:w="2552"/>
      </w:tblGrid>
      <w:tr w:rsidR="009868F9" w:rsidRPr="00E81C7B" w:rsidTr="00E81C7B">
        <w:trPr>
          <w:trHeight w:val="255"/>
        </w:trPr>
        <w:tc>
          <w:tcPr>
            <w:tcW w:w="2016" w:type="dxa"/>
            <w:tcBorders>
              <w:top w:val="single" w:sz="4" w:space="0" w:color="auto"/>
              <w:bottom w:val="single" w:sz="4" w:space="0" w:color="auto"/>
            </w:tcBorders>
            <w:shd w:val="clear" w:color="auto" w:fill="FABF8F" w:themeFill="accent6" w:themeFillTint="99"/>
            <w:vAlign w:val="center"/>
          </w:tcPr>
          <w:p w:rsidR="009868F9" w:rsidRPr="00E81C7B" w:rsidRDefault="009868F9" w:rsidP="00E81C7B">
            <w:pPr>
              <w:pStyle w:val="cuadroCabe"/>
              <w:rPr>
                <w:rFonts w:eastAsia="Times New Roman" w:cs="Arial"/>
                <w:snapToGrid w:val="0"/>
                <w:szCs w:val="18"/>
              </w:rPr>
            </w:pPr>
            <w:r w:rsidRPr="00E81C7B">
              <w:rPr>
                <w:rFonts w:eastAsia="Times New Roman" w:cs="Arial"/>
                <w:snapToGrid w:val="0"/>
                <w:szCs w:val="18"/>
              </w:rPr>
              <w:t>Número entidades</w:t>
            </w:r>
          </w:p>
        </w:tc>
        <w:tc>
          <w:tcPr>
            <w:tcW w:w="2095" w:type="dxa"/>
            <w:tcBorders>
              <w:top w:val="single" w:sz="4" w:space="0" w:color="auto"/>
              <w:bottom w:val="single" w:sz="4" w:space="0" w:color="auto"/>
            </w:tcBorders>
            <w:shd w:val="clear" w:color="auto" w:fill="FABF8F" w:themeFill="accent6" w:themeFillTint="99"/>
            <w:vAlign w:val="center"/>
          </w:tcPr>
          <w:p w:rsidR="009868F9" w:rsidRPr="00E81C7B" w:rsidRDefault="00A44665" w:rsidP="00E81C7B">
            <w:pPr>
              <w:pStyle w:val="cuadroCabe"/>
              <w:jc w:val="right"/>
              <w:rPr>
                <w:rFonts w:eastAsia="Times New Roman" w:cs="Arial"/>
                <w:snapToGrid w:val="0"/>
                <w:szCs w:val="18"/>
              </w:rPr>
            </w:pPr>
            <w:r w:rsidRPr="00E81C7B">
              <w:rPr>
                <w:rFonts w:eastAsia="Times New Roman" w:cs="Arial"/>
                <w:snapToGrid w:val="0"/>
                <w:szCs w:val="18"/>
              </w:rPr>
              <w:t xml:space="preserve">Importe </w:t>
            </w:r>
            <w:r w:rsidR="009868F9" w:rsidRPr="00E81C7B">
              <w:rPr>
                <w:rFonts w:eastAsia="Times New Roman" w:cs="Arial"/>
                <w:snapToGrid w:val="0"/>
                <w:szCs w:val="18"/>
              </w:rPr>
              <w:t>real 2015</w:t>
            </w:r>
          </w:p>
        </w:tc>
        <w:tc>
          <w:tcPr>
            <w:tcW w:w="2268" w:type="dxa"/>
            <w:tcBorders>
              <w:top w:val="single" w:sz="4"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sidRPr="00E81C7B">
              <w:rPr>
                <w:rFonts w:eastAsia="Times New Roman" w:cs="Arial"/>
                <w:snapToGrid w:val="0"/>
                <w:szCs w:val="18"/>
              </w:rPr>
              <w:t>Pago con tope</w:t>
            </w:r>
          </w:p>
        </w:tc>
        <w:tc>
          <w:tcPr>
            <w:tcW w:w="2552" w:type="dxa"/>
            <w:tcBorders>
              <w:top w:val="single" w:sz="4" w:space="0" w:color="auto"/>
              <w:bottom w:val="single" w:sz="4" w:space="0" w:color="auto"/>
            </w:tcBorders>
            <w:shd w:val="clear" w:color="auto" w:fill="FABF8F" w:themeFill="accent6" w:themeFillTint="99"/>
            <w:vAlign w:val="center"/>
          </w:tcPr>
          <w:p w:rsidR="00E81C7B" w:rsidRDefault="009868F9" w:rsidP="00E81C7B">
            <w:pPr>
              <w:pStyle w:val="cuadroCabe"/>
              <w:jc w:val="right"/>
              <w:rPr>
                <w:rFonts w:eastAsia="Times New Roman" w:cs="Arial"/>
                <w:snapToGrid w:val="0"/>
                <w:szCs w:val="18"/>
              </w:rPr>
            </w:pPr>
            <w:r w:rsidRPr="00E81C7B">
              <w:rPr>
                <w:rFonts w:eastAsia="Times New Roman" w:cs="Arial"/>
                <w:snapToGrid w:val="0"/>
                <w:szCs w:val="18"/>
              </w:rPr>
              <w:t xml:space="preserve">Pago máximo </w:t>
            </w:r>
          </w:p>
          <w:p w:rsidR="009868F9" w:rsidRPr="00E81C7B" w:rsidRDefault="009868F9" w:rsidP="00E81C7B">
            <w:pPr>
              <w:pStyle w:val="cuadroCabe"/>
              <w:jc w:val="right"/>
              <w:rPr>
                <w:rFonts w:eastAsia="Times New Roman" w:cs="Arial"/>
                <w:snapToGrid w:val="0"/>
                <w:szCs w:val="18"/>
              </w:rPr>
            </w:pPr>
            <w:r w:rsidRPr="00E81C7B">
              <w:rPr>
                <w:rFonts w:eastAsia="Times New Roman" w:cs="Arial"/>
                <w:snapToGrid w:val="0"/>
                <w:szCs w:val="18"/>
              </w:rPr>
              <w:t xml:space="preserve">posible con tope </w:t>
            </w:r>
          </w:p>
        </w:tc>
      </w:tr>
      <w:tr w:rsidR="009868F9" w:rsidRPr="009868F9" w:rsidTr="00E81C7B">
        <w:trPr>
          <w:trHeight w:val="170"/>
        </w:trPr>
        <w:tc>
          <w:tcPr>
            <w:tcW w:w="2016" w:type="dxa"/>
            <w:tcBorders>
              <w:top w:val="single" w:sz="4" w:space="0" w:color="auto"/>
              <w:bottom w:val="single" w:sz="2" w:space="0" w:color="auto"/>
            </w:tcBorders>
            <w:vAlign w:val="center"/>
          </w:tcPr>
          <w:p w:rsidR="009868F9" w:rsidRPr="007815C0" w:rsidRDefault="009868F9" w:rsidP="00E81C7B">
            <w:pPr>
              <w:pStyle w:val="cuadroCabe"/>
              <w:jc w:val="center"/>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32</w:t>
            </w:r>
          </w:p>
        </w:tc>
        <w:tc>
          <w:tcPr>
            <w:tcW w:w="2095" w:type="dxa"/>
            <w:tcBorders>
              <w:top w:val="single" w:sz="4"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7.840.614</w:t>
            </w:r>
          </w:p>
        </w:tc>
        <w:tc>
          <w:tcPr>
            <w:tcW w:w="2268" w:type="dxa"/>
            <w:tcBorders>
              <w:top w:val="single" w:sz="4"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6.008.959</w:t>
            </w:r>
          </w:p>
        </w:tc>
        <w:tc>
          <w:tcPr>
            <w:tcW w:w="2552" w:type="dxa"/>
            <w:tcBorders>
              <w:top w:val="single" w:sz="4"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6.008.959</w:t>
            </w:r>
          </w:p>
        </w:tc>
      </w:tr>
      <w:tr w:rsidR="009868F9" w:rsidRPr="009868F9" w:rsidTr="00E81C7B">
        <w:trPr>
          <w:trHeight w:val="170"/>
        </w:trPr>
        <w:tc>
          <w:tcPr>
            <w:tcW w:w="2016" w:type="dxa"/>
            <w:tcBorders>
              <w:top w:val="single" w:sz="2" w:space="0" w:color="auto"/>
              <w:bottom w:val="single" w:sz="2" w:space="0" w:color="auto"/>
            </w:tcBorders>
            <w:vAlign w:val="center"/>
          </w:tcPr>
          <w:p w:rsidR="009868F9" w:rsidRPr="007815C0" w:rsidRDefault="009868F9" w:rsidP="00E81C7B">
            <w:pPr>
              <w:pStyle w:val="cuadroCabe"/>
              <w:jc w:val="center"/>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238</w:t>
            </w:r>
          </w:p>
        </w:tc>
        <w:tc>
          <w:tcPr>
            <w:tcW w:w="2095" w:type="dxa"/>
            <w:tcBorders>
              <w:top w:val="single" w:sz="2"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10.266.549</w:t>
            </w:r>
          </w:p>
        </w:tc>
        <w:tc>
          <w:tcPr>
            <w:tcW w:w="2268" w:type="dxa"/>
            <w:tcBorders>
              <w:top w:val="single" w:sz="2"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10.266.549</w:t>
            </w:r>
          </w:p>
        </w:tc>
        <w:tc>
          <w:tcPr>
            <w:tcW w:w="2552" w:type="dxa"/>
            <w:tcBorders>
              <w:top w:val="single" w:sz="2" w:space="0" w:color="auto"/>
              <w:bottom w:val="single" w:sz="2" w:space="0" w:color="auto"/>
            </w:tcBorders>
            <w:vAlign w:val="center"/>
          </w:tcPr>
          <w:p w:rsidR="009868F9" w:rsidRPr="007815C0" w:rsidRDefault="009868F9" w:rsidP="00E81C7B">
            <w:pPr>
              <w:pStyle w:val="cuadroCabe"/>
              <w:jc w:val="right"/>
              <w:rPr>
                <w:rFonts w:ascii="Arial Narrow" w:eastAsia="Times New Roman" w:hAnsi="Arial Narrow" w:cs="Times New Roman"/>
                <w:snapToGrid w:val="0"/>
                <w:szCs w:val="18"/>
              </w:rPr>
            </w:pPr>
            <w:r w:rsidRPr="007815C0">
              <w:rPr>
                <w:rFonts w:ascii="Arial Narrow" w:eastAsia="Times New Roman" w:hAnsi="Arial Narrow" w:cs="Times New Roman"/>
                <w:snapToGrid w:val="0"/>
                <w:szCs w:val="18"/>
              </w:rPr>
              <w:t>13.986.054</w:t>
            </w:r>
          </w:p>
        </w:tc>
      </w:tr>
      <w:tr w:rsidR="009868F9" w:rsidRPr="00E81C7B" w:rsidTr="003622FC">
        <w:trPr>
          <w:trHeight w:val="255"/>
        </w:trPr>
        <w:tc>
          <w:tcPr>
            <w:tcW w:w="2016"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center"/>
              <w:rPr>
                <w:rFonts w:eastAsia="Times New Roman" w:cs="Arial"/>
                <w:snapToGrid w:val="0"/>
                <w:szCs w:val="18"/>
              </w:rPr>
            </w:pPr>
            <w:r w:rsidRPr="00E81C7B">
              <w:rPr>
                <w:rFonts w:eastAsia="Times New Roman" w:cs="Arial"/>
                <w:snapToGrid w:val="0"/>
                <w:szCs w:val="18"/>
              </w:rPr>
              <w:t>270</w:t>
            </w:r>
          </w:p>
        </w:tc>
        <w:tc>
          <w:tcPr>
            <w:tcW w:w="2095"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sidRPr="00E81C7B">
              <w:rPr>
                <w:rFonts w:eastAsia="Times New Roman" w:cs="Arial"/>
                <w:snapToGrid w:val="0"/>
                <w:szCs w:val="18"/>
              </w:rPr>
              <w:t>18.107.163</w:t>
            </w:r>
          </w:p>
        </w:tc>
        <w:tc>
          <w:tcPr>
            <w:tcW w:w="2268"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sidRPr="00E81C7B">
              <w:rPr>
                <w:rFonts w:eastAsia="Times New Roman" w:cs="Arial"/>
                <w:snapToGrid w:val="0"/>
                <w:szCs w:val="18"/>
              </w:rPr>
              <w:t>16.275.508</w:t>
            </w:r>
          </w:p>
        </w:tc>
        <w:tc>
          <w:tcPr>
            <w:tcW w:w="2552" w:type="dxa"/>
            <w:tcBorders>
              <w:top w:val="single" w:sz="2" w:space="0" w:color="auto"/>
              <w:bottom w:val="single" w:sz="4" w:space="0" w:color="auto"/>
            </w:tcBorders>
            <w:shd w:val="clear" w:color="auto" w:fill="FABF8F" w:themeFill="accent6" w:themeFillTint="99"/>
            <w:vAlign w:val="center"/>
          </w:tcPr>
          <w:p w:rsidR="009868F9" w:rsidRPr="00E81C7B" w:rsidRDefault="009868F9" w:rsidP="00E81C7B">
            <w:pPr>
              <w:pStyle w:val="cuadroCabe"/>
              <w:jc w:val="right"/>
              <w:rPr>
                <w:rFonts w:eastAsia="Times New Roman" w:cs="Arial"/>
                <w:snapToGrid w:val="0"/>
                <w:szCs w:val="18"/>
              </w:rPr>
            </w:pPr>
            <w:r w:rsidRPr="00E81C7B">
              <w:rPr>
                <w:rFonts w:eastAsia="Times New Roman" w:cs="Arial"/>
                <w:snapToGrid w:val="0"/>
                <w:szCs w:val="18"/>
              </w:rPr>
              <w:t>19.995.013</w:t>
            </w:r>
          </w:p>
        </w:tc>
      </w:tr>
    </w:tbl>
    <w:p w:rsidR="009868F9" w:rsidRPr="009868F9" w:rsidRDefault="009868F9" w:rsidP="004E3DED">
      <w:pPr>
        <w:pStyle w:val="texto"/>
        <w:spacing w:before="240"/>
        <w:rPr>
          <w:szCs w:val="26"/>
        </w:rPr>
      </w:pPr>
      <w:r w:rsidRPr="009868F9">
        <w:rPr>
          <w:szCs w:val="26"/>
        </w:rPr>
        <w:t>Es decir, si se hubieran aplicado los topes a cada ayuntamiento en 32 casos se hubiera pagado menos, por un importe total de 1.831.655 euros; mientras que en 238 ayuntamientos que aportan 10.266.549 euros hubieran podido ab</w:t>
      </w:r>
      <w:r w:rsidRPr="009868F9">
        <w:rPr>
          <w:szCs w:val="26"/>
        </w:rPr>
        <w:t>o</w:t>
      </w:r>
      <w:r w:rsidRPr="009868F9">
        <w:rPr>
          <w:szCs w:val="26"/>
        </w:rPr>
        <w:t>nar 3.719.505 euros más.</w:t>
      </w:r>
    </w:p>
    <w:p w:rsidR="009868F9" w:rsidRPr="009868F9" w:rsidRDefault="009868F9" w:rsidP="0077337B">
      <w:pPr>
        <w:pStyle w:val="texto"/>
        <w:rPr>
          <w:szCs w:val="26"/>
        </w:rPr>
      </w:pPr>
      <w:r w:rsidRPr="009868F9">
        <w:rPr>
          <w:szCs w:val="26"/>
        </w:rPr>
        <w:t>En los ayuntamientos que hubieran pagado menos el importe oscila entre 79 y 313.307 euros. En los ayuntamientos con margen para pagar  un mayor i</w:t>
      </w:r>
      <w:r w:rsidRPr="009868F9">
        <w:rPr>
          <w:szCs w:val="26"/>
        </w:rPr>
        <w:t>m</w:t>
      </w:r>
      <w:r w:rsidRPr="009868F9">
        <w:rPr>
          <w:szCs w:val="26"/>
        </w:rPr>
        <w:t>porte, este se sitúa entre los 38 y 320.575 euros.</w:t>
      </w:r>
    </w:p>
    <w:p w:rsidR="009868F9" w:rsidRPr="009868F9" w:rsidRDefault="009868F9" w:rsidP="0077337B">
      <w:pPr>
        <w:pStyle w:val="texto"/>
        <w:rPr>
          <w:szCs w:val="26"/>
        </w:rPr>
      </w:pPr>
      <w:r w:rsidRPr="009868F9">
        <w:rPr>
          <w:szCs w:val="26"/>
        </w:rPr>
        <w:t xml:space="preserve">Lógicamente, esta diferencia entre las aportaciones debería ser compensada por los presupuestos generales, así: </w:t>
      </w:r>
    </w:p>
    <w:tbl>
      <w:tblPr>
        <w:tblW w:w="8894" w:type="dxa"/>
        <w:tblInd w:w="65" w:type="dxa"/>
        <w:tblCellMar>
          <w:left w:w="70" w:type="dxa"/>
          <w:right w:w="70" w:type="dxa"/>
        </w:tblCellMar>
        <w:tblLook w:val="04A0" w:firstRow="1" w:lastRow="0" w:firstColumn="1" w:lastColumn="0" w:noHBand="0" w:noVBand="1"/>
      </w:tblPr>
      <w:tblGrid>
        <w:gridCol w:w="1660"/>
        <w:gridCol w:w="1747"/>
        <w:gridCol w:w="2127"/>
        <w:gridCol w:w="1417"/>
        <w:gridCol w:w="1943"/>
      </w:tblGrid>
      <w:tr w:rsidR="009868F9" w:rsidRPr="003622FC" w:rsidTr="00C7000E">
        <w:trPr>
          <w:trHeight w:val="255"/>
        </w:trPr>
        <w:tc>
          <w:tcPr>
            <w:tcW w:w="1660"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A44665" w:rsidP="00C81AA4">
            <w:pPr>
              <w:pStyle w:val="cuadroCabe"/>
              <w:jc w:val="left"/>
              <w:rPr>
                <w:rFonts w:cs="Arial"/>
                <w:i/>
                <w:snapToGrid w:val="0"/>
                <w:szCs w:val="18"/>
              </w:rPr>
            </w:pPr>
            <w:r w:rsidRPr="003622FC">
              <w:rPr>
                <w:rFonts w:cs="Arial"/>
                <w:i/>
                <w:snapToGrid w:val="0"/>
                <w:szCs w:val="18"/>
              </w:rPr>
              <w:t>B</w:t>
            </w:r>
            <w:r w:rsidR="009868F9" w:rsidRPr="003622FC">
              <w:rPr>
                <w:rFonts w:cs="Arial"/>
                <w:i/>
                <w:snapToGrid w:val="0"/>
                <w:szCs w:val="18"/>
              </w:rPr>
              <w:t xml:space="preserve">ase reparto </w:t>
            </w:r>
            <w:r w:rsidR="001C310C" w:rsidRPr="003622FC">
              <w:rPr>
                <w:rFonts w:cs="Arial"/>
                <w:i/>
                <w:snapToGrid w:val="0"/>
                <w:szCs w:val="18"/>
              </w:rPr>
              <w:t>2005</w:t>
            </w:r>
          </w:p>
        </w:tc>
        <w:tc>
          <w:tcPr>
            <w:tcW w:w="1747"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A44665" w:rsidP="00C81AA4">
            <w:pPr>
              <w:pStyle w:val="cuadroCabe"/>
              <w:jc w:val="right"/>
              <w:rPr>
                <w:rFonts w:cs="Arial"/>
                <w:i/>
                <w:snapToGrid w:val="0"/>
                <w:szCs w:val="18"/>
              </w:rPr>
            </w:pPr>
            <w:r w:rsidRPr="003622FC">
              <w:rPr>
                <w:rFonts w:cs="Arial"/>
                <w:i/>
                <w:snapToGrid w:val="0"/>
                <w:szCs w:val="18"/>
              </w:rPr>
              <w:t>F</w:t>
            </w:r>
            <w:r w:rsidR="009868F9" w:rsidRPr="003622FC">
              <w:rPr>
                <w:rFonts w:cs="Arial"/>
                <w:i/>
                <w:snapToGrid w:val="0"/>
                <w:szCs w:val="18"/>
              </w:rPr>
              <w:t>inanciación GN</w:t>
            </w:r>
          </w:p>
        </w:tc>
        <w:tc>
          <w:tcPr>
            <w:tcW w:w="2127" w:type="dxa"/>
            <w:tcBorders>
              <w:top w:val="single" w:sz="4" w:space="0" w:color="auto"/>
              <w:bottom w:val="single" w:sz="4" w:space="0" w:color="auto"/>
            </w:tcBorders>
            <w:shd w:val="clear" w:color="auto" w:fill="FABF8F" w:themeFill="accent6" w:themeFillTint="99"/>
            <w:vAlign w:val="center"/>
          </w:tcPr>
          <w:p w:rsidR="009868F9" w:rsidRPr="003622FC" w:rsidRDefault="00A44665" w:rsidP="00C81AA4">
            <w:pPr>
              <w:pStyle w:val="cuadroCabe"/>
              <w:jc w:val="right"/>
              <w:rPr>
                <w:rFonts w:cs="Arial"/>
                <w:i/>
                <w:snapToGrid w:val="0"/>
                <w:szCs w:val="18"/>
              </w:rPr>
            </w:pPr>
            <w:r w:rsidRPr="003622FC">
              <w:rPr>
                <w:rFonts w:cs="Arial"/>
                <w:i/>
                <w:snapToGrid w:val="0"/>
                <w:szCs w:val="18"/>
              </w:rPr>
              <w:t>F</w:t>
            </w:r>
            <w:r w:rsidR="009868F9" w:rsidRPr="003622FC">
              <w:rPr>
                <w:rFonts w:cs="Arial"/>
                <w:i/>
                <w:snapToGrid w:val="0"/>
                <w:szCs w:val="18"/>
              </w:rPr>
              <w:t xml:space="preserve">inanciación </w:t>
            </w:r>
          </w:p>
          <w:p w:rsidR="009868F9" w:rsidRPr="003622FC" w:rsidRDefault="009868F9" w:rsidP="00C81AA4">
            <w:pPr>
              <w:pStyle w:val="cuadroCabe"/>
              <w:jc w:val="right"/>
              <w:rPr>
                <w:rFonts w:cs="Arial"/>
                <w:i/>
                <w:snapToGrid w:val="0"/>
                <w:szCs w:val="18"/>
              </w:rPr>
            </w:pPr>
            <w:r w:rsidRPr="003622FC">
              <w:rPr>
                <w:rFonts w:cs="Arial"/>
                <w:i/>
                <w:snapToGrid w:val="0"/>
                <w:szCs w:val="18"/>
              </w:rPr>
              <w:t>Ayuntamientos</w:t>
            </w:r>
          </w:p>
        </w:tc>
        <w:tc>
          <w:tcPr>
            <w:tcW w:w="1417"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9868F9" w:rsidP="00C81AA4">
            <w:pPr>
              <w:pStyle w:val="cuadroCabe"/>
              <w:jc w:val="right"/>
              <w:rPr>
                <w:rFonts w:cs="Arial"/>
                <w:i/>
                <w:snapToGrid w:val="0"/>
                <w:szCs w:val="18"/>
              </w:rPr>
            </w:pPr>
            <w:r w:rsidRPr="003622FC">
              <w:rPr>
                <w:rFonts w:cs="Arial"/>
                <w:i/>
                <w:snapToGrid w:val="0"/>
                <w:szCs w:val="18"/>
              </w:rPr>
              <w:t>% GN</w:t>
            </w:r>
          </w:p>
        </w:tc>
        <w:tc>
          <w:tcPr>
            <w:tcW w:w="1943" w:type="dxa"/>
            <w:tcBorders>
              <w:top w:val="single" w:sz="4" w:space="0" w:color="auto"/>
              <w:bottom w:val="single" w:sz="4" w:space="0" w:color="auto"/>
            </w:tcBorders>
            <w:shd w:val="clear" w:color="auto" w:fill="FABF8F" w:themeFill="accent6" w:themeFillTint="99"/>
            <w:noWrap/>
            <w:vAlign w:val="center"/>
            <w:hideMark/>
          </w:tcPr>
          <w:p w:rsidR="009868F9" w:rsidRPr="003622FC" w:rsidRDefault="009868F9" w:rsidP="00C81AA4">
            <w:pPr>
              <w:pStyle w:val="cuadroCabe"/>
              <w:jc w:val="right"/>
              <w:rPr>
                <w:rFonts w:cs="Arial"/>
                <w:i/>
                <w:snapToGrid w:val="0"/>
                <w:szCs w:val="18"/>
              </w:rPr>
            </w:pPr>
            <w:r w:rsidRPr="003622FC">
              <w:rPr>
                <w:rFonts w:cs="Arial"/>
                <w:i/>
                <w:snapToGrid w:val="0"/>
                <w:szCs w:val="18"/>
              </w:rPr>
              <w:t>% aytos</w:t>
            </w:r>
          </w:p>
        </w:tc>
      </w:tr>
      <w:tr w:rsidR="009868F9" w:rsidRPr="00C81AA4" w:rsidTr="00C81AA4">
        <w:trPr>
          <w:trHeight w:val="198"/>
        </w:trPr>
        <w:tc>
          <w:tcPr>
            <w:tcW w:w="1660" w:type="dxa"/>
            <w:tcBorders>
              <w:top w:val="single" w:sz="4" w:space="0" w:color="auto"/>
              <w:bottom w:val="single" w:sz="2" w:space="0" w:color="auto"/>
            </w:tcBorders>
            <w:shd w:val="clear" w:color="auto" w:fill="auto"/>
            <w:noWrap/>
            <w:vAlign w:val="center"/>
            <w:hideMark/>
          </w:tcPr>
          <w:p w:rsidR="009868F9" w:rsidRPr="00C81AA4" w:rsidRDefault="00A44665" w:rsidP="00C81AA4">
            <w:pPr>
              <w:pStyle w:val="cuadroCabe"/>
              <w:jc w:val="left"/>
              <w:rPr>
                <w:rFonts w:ascii="Arial Narrow" w:hAnsi="Arial Narrow"/>
                <w:snapToGrid w:val="0"/>
                <w:szCs w:val="18"/>
              </w:rPr>
            </w:pPr>
            <w:r w:rsidRPr="00C81AA4">
              <w:rPr>
                <w:rFonts w:ascii="Arial Narrow" w:hAnsi="Arial Narrow"/>
                <w:snapToGrid w:val="0"/>
                <w:szCs w:val="18"/>
              </w:rPr>
              <w:t>S</w:t>
            </w:r>
            <w:r w:rsidR="009868F9" w:rsidRPr="00C81AA4">
              <w:rPr>
                <w:rFonts w:ascii="Arial Narrow" w:hAnsi="Arial Narrow"/>
                <w:snapToGrid w:val="0"/>
                <w:szCs w:val="18"/>
              </w:rPr>
              <w:t>in tope</w:t>
            </w:r>
          </w:p>
        </w:tc>
        <w:tc>
          <w:tcPr>
            <w:tcW w:w="1747" w:type="dxa"/>
            <w:tcBorders>
              <w:top w:val="single" w:sz="4" w:space="0" w:color="auto"/>
              <w:bottom w:val="single" w:sz="2"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6.464.257</w:t>
            </w:r>
          </w:p>
        </w:tc>
        <w:tc>
          <w:tcPr>
            <w:tcW w:w="2127" w:type="dxa"/>
            <w:tcBorders>
              <w:top w:val="single" w:sz="4" w:space="0" w:color="auto"/>
              <w:bottom w:val="single" w:sz="2" w:space="0" w:color="auto"/>
            </w:tcBorders>
            <w:vAlign w:val="center"/>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11.642.906</w:t>
            </w:r>
          </w:p>
        </w:tc>
        <w:tc>
          <w:tcPr>
            <w:tcW w:w="1417" w:type="dxa"/>
            <w:tcBorders>
              <w:top w:val="single" w:sz="4" w:space="0" w:color="auto"/>
              <w:bottom w:val="single" w:sz="2"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35,7</w:t>
            </w:r>
          </w:p>
        </w:tc>
        <w:tc>
          <w:tcPr>
            <w:tcW w:w="1943" w:type="dxa"/>
            <w:tcBorders>
              <w:top w:val="single" w:sz="4" w:space="0" w:color="auto"/>
              <w:bottom w:val="single" w:sz="2"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64,3</w:t>
            </w:r>
          </w:p>
        </w:tc>
      </w:tr>
      <w:tr w:rsidR="009868F9" w:rsidRPr="00C81AA4" w:rsidTr="00C81AA4">
        <w:trPr>
          <w:trHeight w:val="198"/>
        </w:trPr>
        <w:tc>
          <w:tcPr>
            <w:tcW w:w="1660" w:type="dxa"/>
            <w:tcBorders>
              <w:top w:val="single" w:sz="2" w:space="0" w:color="auto"/>
              <w:bottom w:val="single" w:sz="4" w:space="0" w:color="auto"/>
            </w:tcBorders>
            <w:shd w:val="clear" w:color="auto" w:fill="auto"/>
            <w:noWrap/>
            <w:vAlign w:val="center"/>
            <w:hideMark/>
          </w:tcPr>
          <w:p w:rsidR="009868F9" w:rsidRPr="00C81AA4" w:rsidRDefault="00A44665" w:rsidP="00C81AA4">
            <w:pPr>
              <w:pStyle w:val="cuadroCabe"/>
              <w:jc w:val="left"/>
              <w:rPr>
                <w:rFonts w:ascii="Arial Narrow" w:hAnsi="Arial Narrow"/>
                <w:snapToGrid w:val="0"/>
                <w:szCs w:val="18"/>
              </w:rPr>
            </w:pPr>
            <w:r w:rsidRPr="00C81AA4">
              <w:rPr>
                <w:rFonts w:ascii="Arial Narrow" w:hAnsi="Arial Narrow"/>
                <w:snapToGrid w:val="0"/>
                <w:szCs w:val="18"/>
              </w:rPr>
              <w:t>C</w:t>
            </w:r>
            <w:r w:rsidR="009868F9" w:rsidRPr="00C81AA4">
              <w:rPr>
                <w:rFonts w:ascii="Arial Narrow" w:hAnsi="Arial Narrow"/>
                <w:snapToGrid w:val="0"/>
                <w:szCs w:val="18"/>
              </w:rPr>
              <w:t>on tope</w:t>
            </w:r>
          </w:p>
        </w:tc>
        <w:tc>
          <w:tcPr>
            <w:tcW w:w="1747" w:type="dxa"/>
            <w:tcBorders>
              <w:top w:val="single" w:sz="2" w:space="0" w:color="auto"/>
              <w:bottom w:val="single" w:sz="4"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7.642.011</w:t>
            </w:r>
          </w:p>
        </w:tc>
        <w:tc>
          <w:tcPr>
            <w:tcW w:w="2127" w:type="dxa"/>
            <w:tcBorders>
              <w:top w:val="single" w:sz="2" w:space="0" w:color="auto"/>
              <w:bottom w:val="single" w:sz="4" w:space="0" w:color="auto"/>
            </w:tcBorders>
            <w:vAlign w:val="center"/>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10.465.151</w:t>
            </w:r>
          </w:p>
        </w:tc>
        <w:tc>
          <w:tcPr>
            <w:tcW w:w="1417" w:type="dxa"/>
            <w:tcBorders>
              <w:top w:val="single" w:sz="2" w:space="0" w:color="auto"/>
              <w:bottom w:val="single" w:sz="4"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42,2</w:t>
            </w:r>
          </w:p>
        </w:tc>
        <w:tc>
          <w:tcPr>
            <w:tcW w:w="1943" w:type="dxa"/>
            <w:tcBorders>
              <w:top w:val="single" w:sz="2" w:space="0" w:color="auto"/>
              <w:bottom w:val="single" w:sz="4" w:space="0" w:color="auto"/>
            </w:tcBorders>
            <w:shd w:val="clear" w:color="auto" w:fill="auto"/>
            <w:noWrap/>
            <w:vAlign w:val="center"/>
            <w:hideMark/>
          </w:tcPr>
          <w:p w:rsidR="009868F9" w:rsidRPr="00C81AA4" w:rsidRDefault="009868F9" w:rsidP="00C81AA4">
            <w:pPr>
              <w:pStyle w:val="cuadroCabe"/>
              <w:jc w:val="right"/>
              <w:rPr>
                <w:rFonts w:ascii="Arial Narrow" w:hAnsi="Arial Narrow"/>
                <w:snapToGrid w:val="0"/>
                <w:szCs w:val="18"/>
              </w:rPr>
            </w:pPr>
            <w:r w:rsidRPr="00C81AA4">
              <w:rPr>
                <w:rFonts w:ascii="Arial Narrow" w:hAnsi="Arial Narrow"/>
                <w:snapToGrid w:val="0"/>
                <w:szCs w:val="18"/>
              </w:rPr>
              <w:t>57,8</w:t>
            </w:r>
          </w:p>
        </w:tc>
      </w:tr>
    </w:tbl>
    <w:p w:rsidR="009868F9" w:rsidRPr="009868F9" w:rsidRDefault="009868F9" w:rsidP="003E2B0D">
      <w:pPr>
        <w:pStyle w:val="texto"/>
        <w:spacing w:before="240"/>
        <w:rPr>
          <w:szCs w:val="26"/>
        </w:rPr>
      </w:pPr>
      <w:r w:rsidRPr="009868F9">
        <w:rPr>
          <w:szCs w:val="26"/>
        </w:rPr>
        <w:t>Con este sistema, al considerar el importe que deban aportar los ayuntamie</w:t>
      </w:r>
      <w:r w:rsidRPr="009868F9">
        <w:rPr>
          <w:szCs w:val="26"/>
        </w:rPr>
        <w:t>n</w:t>
      </w:r>
      <w:r w:rsidRPr="009868F9">
        <w:rPr>
          <w:szCs w:val="26"/>
        </w:rPr>
        <w:t xml:space="preserve">tos con un máximo individual, habría 32 ayuntamientos que pagarían menos y el gobierno subvencionaría con una mayor cantidad; pero seguirían existiendo los problemas estructurales del </w:t>
      </w:r>
      <w:r w:rsidR="00B04729">
        <w:rPr>
          <w:szCs w:val="26"/>
        </w:rPr>
        <w:t>Montepío</w:t>
      </w:r>
      <w:r w:rsidRPr="009868F9">
        <w:rPr>
          <w:szCs w:val="26"/>
        </w:rPr>
        <w:t xml:space="preserve">, básicamente el derivado del reparto por activos. </w:t>
      </w:r>
    </w:p>
    <w:p w:rsidR="009868F9" w:rsidRPr="006A3DD3" w:rsidRDefault="009868F9" w:rsidP="006A3DD3">
      <w:pPr>
        <w:pStyle w:val="texto"/>
        <w:spacing w:after="240"/>
        <w:rPr>
          <w:spacing w:val="4"/>
          <w:szCs w:val="26"/>
        </w:rPr>
      </w:pPr>
      <w:r w:rsidRPr="00FB1FFE">
        <w:rPr>
          <w:b/>
          <w:szCs w:val="26"/>
        </w:rPr>
        <w:t>1</w:t>
      </w:r>
      <w:r w:rsidR="001C310C" w:rsidRPr="00FB1FFE">
        <w:rPr>
          <w:b/>
          <w:szCs w:val="26"/>
        </w:rPr>
        <w:t>4</w:t>
      </w:r>
      <w:r w:rsidR="00FB1FFE">
        <w:rPr>
          <w:b/>
          <w:szCs w:val="26"/>
        </w:rPr>
        <w:t>.</w:t>
      </w:r>
      <w:r w:rsidRPr="00FB1FFE">
        <w:rPr>
          <w:b/>
          <w:szCs w:val="26"/>
        </w:rPr>
        <w:t>ª</w:t>
      </w:r>
      <w:r w:rsidRPr="009868F9">
        <w:rPr>
          <w:szCs w:val="26"/>
        </w:rPr>
        <w:t xml:space="preserve"> </w:t>
      </w:r>
      <w:r w:rsidRPr="006A3DD3">
        <w:rPr>
          <w:spacing w:val="4"/>
          <w:szCs w:val="26"/>
        </w:rPr>
        <w:t xml:space="preserve">Hemos calculado los resultados si repartimos el déficit del </w:t>
      </w:r>
      <w:r w:rsidR="00B04729" w:rsidRPr="006A3DD3">
        <w:rPr>
          <w:spacing w:val="4"/>
          <w:szCs w:val="26"/>
        </w:rPr>
        <w:t>Montepío</w:t>
      </w:r>
      <w:r w:rsidRPr="006A3DD3">
        <w:rPr>
          <w:spacing w:val="4"/>
          <w:szCs w:val="26"/>
        </w:rPr>
        <w:t xml:space="preserve"> ún</w:t>
      </w:r>
      <w:r w:rsidRPr="006A3DD3">
        <w:rPr>
          <w:spacing w:val="4"/>
          <w:szCs w:val="26"/>
        </w:rPr>
        <w:t>i</w:t>
      </w:r>
      <w:r w:rsidRPr="006A3DD3">
        <w:rPr>
          <w:spacing w:val="4"/>
          <w:szCs w:val="26"/>
        </w:rPr>
        <w:t xml:space="preserve">camente por población, pero las entidades que cuentan con activos aportan una cuota empresarial equivalente a la de la </w:t>
      </w:r>
      <w:r w:rsidR="00E52F02" w:rsidRPr="006A3DD3">
        <w:rPr>
          <w:spacing w:val="4"/>
          <w:szCs w:val="26"/>
        </w:rPr>
        <w:t>Seguridad Social</w:t>
      </w:r>
      <w:r w:rsidRPr="006A3DD3">
        <w:rPr>
          <w:spacing w:val="4"/>
          <w:szCs w:val="26"/>
        </w:rPr>
        <w:t xml:space="preserve">. Esta cuota empresarial teórica, la hemos estimado a partir de los importes que pagan los activos. </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33"/>
      </w:tblGrid>
      <w:tr w:rsidR="009868F9" w:rsidRPr="003622FC" w:rsidTr="00B61F51">
        <w:trPr>
          <w:trHeight w:val="340"/>
        </w:trPr>
        <w:tc>
          <w:tcPr>
            <w:tcW w:w="4820" w:type="dxa"/>
            <w:tcBorders>
              <w:top w:val="single" w:sz="4" w:space="0" w:color="auto"/>
              <w:bottom w:val="single" w:sz="4" w:space="0" w:color="auto"/>
            </w:tcBorders>
            <w:shd w:val="clear" w:color="auto" w:fill="FABF8F" w:themeFill="accent6" w:themeFillTint="99"/>
            <w:vAlign w:val="center"/>
          </w:tcPr>
          <w:p w:rsidR="009868F9" w:rsidRPr="003622FC" w:rsidRDefault="009868F9" w:rsidP="003622FC">
            <w:pPr>
              <w:pStyle w:val="cuadroCabe"/>
              <w:jc w:val="left"/>
              <w:rPr>
                <w:rFonts w:eastAsia="Times New Roman" w:cs="Arial"/>
                <w:i/>
                <w:snapToGrid w:val="0"/>
                <w:szCs w:val="18"/>
              </w:rPr>
            </w:pPr>
            <w:r w:rsidRPr="003622FC">
              <w:rPr>
                <w:rFonts w:eastAsia="Times New Roman" w:cs="Arial"/>
                <w:i/>
                <w:snapToGrid w:val="0"/>
                <w:szCs w:val="18"/>
              </w:rPr>
              <w:t>Concepto</w:t>
            </w:r>
          </w:p>
        </w:tc>
        <w:tc>
          <w:tcPr>
            <w:tcW w:w="4033" w:type="dxa"/>
            <w:tcBorders>
              <w:top w:val="single" w:sz="4" w:space="0" w:color="auto"/>
              <w:bottom w:val="single" w:sz="4" w:space="0" w:color="auto"/>
            </w:tcBorders>
            <w:shd w:val="clear" w:color="auto" w:fill="FABF8F" w:themeFill="accent6" w:themeFillTint="99"/>
            <w:vAlign w:val="center"/>
          </w:tcPr>
          <w:p w:rsidR="009868F9" w:rsidRPr="003622FC" w:rsidRDefault="009868F9" w:rsidP="003622FC">
            <w:pPr>
              <w:pStyle w:val="cuadroCabe"/>
              <w:jc w:val="right"/>
              <w:rPr>
                <w:rFonts w:eastAsia="Times New Roman" w:cs="Arial"/>
                <w:i/>
                <w:snapToGrid w:val="0"/>
                <w:szCs w:val="18"/>
              </w:rPr>
            </w:pPr>
            <w:r w:rsidRPr="003622FC">
              <w:rPr>
                <w:rFonts w:eastAsia="Times New Roman" w:cs="Arial"/>
                <w:i/>
                <w:snapToGrid w:val="0"/>
                <w:szCs w:val="18"/>
              </w:rPr>
              <w:t>Importe</w:t>
            </w:r>
          </w:p>
        </w:tc>
      </w:tr>
      <w:tr w:rsidR="009868F9" w:rsidRPr="003622FC" w:rsidTr="00BD16A5">
        <w:trPr>
          <w:trHeight w:val="198"/>
        </w:trPr>
        <w:tc>
          <w:tcPr>
            <w:tcW w:w="4820" w:type="dxa"/>
            <w:tcBorders>
              <w:top w:val="single" w:sz="4" w:space="0" w:color="auto"/>
              <w:bottom w:val="single" w:sz="2" w:space="0" w:color="auto"/>
            </w:tcBorders>
            <w:vAlign w:val="center"/>
          </w:tcPr>
          <w:p w:rsidR="009868F9" w:rsidRPr="003622FC" w:rsidRDefault="009868F9" w:rsidP="003622FC">
            <w:pPr>
              <w:pStyle w:val="cuadroCabe"/>
              <w:jc w:val="left"/>
              <w:rPr>
                <w:rFonts w:ascii="Arial Narrow" w:eastAsia="Times New Roman" w:hAnsi="Arial Narrow" w:cs="Times New Roman"/>
                <w:snapToGrid w:val="0"/>
                <w:szCs w:val="18"/>
              </w:rPr>
            </w:pPr>
            <w:r w:rsidRPr="003622FC">
              <w:rPr>
                <w:rFonts w:ascii="Arial Narrow" w:eastAsia="Times New Roman" w:hAnsi="Arial Narrow" w:cs="Times New Roman"/>
                <w:snapToGrid w:val="0"/>
                <w:szCs w:val="18"/>
              </w:rPr>
              <w:t xml:space="preserve">Déficit </w:t>
            </w:r>
          </w:p>
        </w:tc>
        <w:tc>
          <w:tcPr>
            <w:tcW w:w="4033" w:type="dxa"/>
            <w:tcBorders>
              <w:top w:val="single" w:sz="4" w:space="0" w:color="auto"/>
              <w:bottom w:val="single" w:sz="2" w:space="0" w:color="auto"/>
            </w:tcBorders>
            <w:vAlign w:val="center"/>
          </w:tcPr>
          <w:p w:rsidR="009868F9" w:rsidRPr="003622FC" w:rsidRDefault="009868F9" w:rsidP="003622FC">
            <w:pPr>
              <w:pStyle w:val="cuadroCabe"/>
              <w:jc w:val="right"/>
              <w:rPr>
                <w:rFonts w:ascii="Arial Narrow" w:eastAsia="Times New Roman" w:hAnsi="Arial Narrow" w:cs="Times New Roman"/>
                <w:snapToGrid w:val="0"/>
                <w:szCs w:val="18"/>
              </w:rPr>
            </w:pPr>
            <w:r w:rsidRPr="003622FC">
              <w:rPr>
                <w:rFonts w:ascii="Arial Narrow" w:eastAsia="Times New Roman" w:hAnsi="Arial Narrow" w:cs="Times New Roman"/>
                <w:snapToGrid w:val="0"/>
                <w:szCs w:val="18"/>
              </w:rPr>
              <w:t>18.107.163</w:t>
            </w:r>
          </w:p>
        </w:tc>
      </w:tr>
      <w:tr w:rsidR="009868F9" w:rsidRPr="003622FC" w:rsidTr="00BD16A5">
        <w:trPr>
          <w:trHeight w:val="198"/>
        </w:trPr>
        <w:tc>
          <w:tcPr>
            <w:tcW w:w="4820" w:type="dxa"/>
            <w:tcBorders>
              <w:top w:val="single" w:sz="2" w:space="0" w:color="auto"/>
              <w:bottom w:val="single" w:sz="2" w:space="0" w:color="auto"/>
            </w:tcBorders>
            <w:vAlign w:val="center"/>
          </w:tcPr>
          <w:p w:rsidR="009868F9" w:rsidRPr="003622FC" w:rsidRDefault="009868F9" w:rsidP="003622FC">
            <w:pPr>
              <w:pStyle w:val="cuadroCabe"/>
              <w:jc w:val="left"/>
              <w:rPr>
                <w:rFonts w:ascii="Arial Narrow" w:eastAsia="Times New Roman" w:hAnsi="Arial Narrow" w:cs="Times New Roman"/>
                <w:snapToGrid w:val="0"/>
                <w:szCs w:val="18"/>
              </w:rPr>
            </w:pPr>
            <w:r w:rsidRPr="003622FC">
              <w:rPr>
                <w:rFonts w:ascii="Arial Narrow" w:eastAsia="Times New Roman" w:hAnsi="Arial Narrow" w:cs="Times New Roman"/>
                <w:snapToGrid w:val="0"/>
                <w:szCs w:val="18"/>
              </w:rPr>
              <w:t>Cuota empresarial estimada</w:t>
            </w:r>
          </w:p>
        </w:tc>
        <w:tc>
          <w:tcPr>
            <w:tcW w:w="4033" w:type="dxa"/>
            <w:tcBorders>
              <w:top w:val="single" w:sz="2" w:space="0" w:color="auto"/>
              <w:bottom w:val="single" w:sz="2" w:space="0" w:color="auto"/>
            </w:tcBorders>
            <w:vAlign w:val="center"/>
          </w:tcPr>
          <w:p w:rsidR="009868F9" w:rsidRPr="003622FC" w:rsidRDefault="009868F9" w:rsidP="003622FC">
            <w:pPr>
              <w:pStyle w:val="cuadroCabe"/>
              <w:jc w:val="right"/>
              <w:rPr>
                <w:rFonts w:ascii="Arial Narrow" w:eastAsia="Times New Roman" w:hAnsi="Arial Narrow" w:cs="Times New Roman"/>
                <w:snapToGrid w:val="0"/>
                <w:szCs w:val="18"/>
              </w:rPr>
            </w:pPr>
            <w:r w:rsidRPr="003622FC">
              <w:rPr>
                <w:rFonts w:ascii="Arial Narrow" w:eastAsia="Times New Roman" w:hAnsi="Arial Narrow" w:cs="Times New Roman"/>
                <w:snapToGrid w:val="0"/>
                <w:szCs w:val="18"/>
              </w:rPr>
              <w:t>1.619.751</w:t>
            </w:r>
          </w:p>
        </w:tc>
      </w:tr>
      <w:tr w:rsidR="009868F9" w:rsidRPr="003622FC" w:rsidTr="00BD16A5">
        <w:trPr>
          <w:trHeight w:val="198"/>
        </w:trPr>
        <w:tc>
          <w:tcPr>
            <w:tcW w:w="4820" w:type="dxa"/>
            <w:tcBorders>
              <w:top w:val="single" w:sz="2" w:space="0" w:color="auto"/>
              <w:bottom w:val="single" w:sz="4" w:space="0" w:color="auto"/>
            </w:tcBorders>
            <w:vAlign w:val="center"/>
          </w:tcPr>
          <w:p w:rsidR="009868F9" w:rsidRPr="003622FC" w:rsidRDefault="009868F9" w:rsidP="003622FC">
            <w:pPr>
              <w:pStyle w:val="cuadroCabe"/>
              <w:jc w:val="left"/>
              <w:rPr>
                <w:rFonts w:ascii="Arial Narrow" w:eastAsia="Times New Roman" w:hAnsi="Arial Narrow" w:cs="Times New Roman"/>
                <w:snapToGrid w:val="0"/>
                <w:szCs w:val="18"/>
              </w:rPr>
            </w:pPr>
            <w:r w:rsidRPr="003622FC">
              <w:rPr>
                <w:rFonts w:ascii="Arial Narrow" w:eastAsia="Times New Roman" w:hAnsi="Arial Narrow" w:cs="Times New Roman"/>
                <w:snapToGrid w:val="0"/>
                <w:szCs w:val="18"/>
              </w:rPr>
              <w:t>Déficit a repartir</w:t>
            </w:r>
          </w:p>
        </w:tc>
        <w:tc>
          <w:tcPr>
            <w:tcW w:w="4033" w:type="dxa"/>
            <w:tcBorders>
              <w:top w:val="single" w:sz="2" w:space="0" w:color="auto"/>
              <w:bottom w:val="single" w:sz="4" w:space="0" w:color="auto"/>
            </w:tcBorders>
            <w:vAlign w:val="center"/>
          </w:tcPr>
          <w:p w:rsidR="009868F9" w:rsidRPr="003622FC" w:rsidRDefault="009868F9" w:rsidP="003622FC">
            <w:pPr>
              <w:pStyle w:val="cuadroCabe"/>
              <w:jc w:val="right"/>
              <w:rPr>
                <w:rFonts w:ascii="Arial Narrow" w:eastAsia="Times New Roman" w:hAnsi="Arial Narrow" w:cs="Times New Roman"/>
                <w:snapToGrid w:val="0"/>
                <w:szCs w:val="18"/>
              </w:rPr>
            </w:pPr>
            <w:r w:rsidRPr="003622FC">
              <w:rPr>
                <w:rFonts w:ascii="Arial Narrow" w:eastAsia="Times New Roman" w:hAnsi="Arial Narrow" w:cs="Times New Roman"/>
                <w:snapToGrid w:val="0"/>
                <w:szCs w:val="18"/>
              </w:rPr>
              <w:t>16.487.412</w:t>
            </w:r>
          </w:p>
        </w:tc>
      </w:tr>
    </w:tbl>
    <w:p w:rsidR="001F49DE" w:rsidRDefault="001F49DE" w:rsidP="0077337B">
      <w:pPr>
        <w:pStyle w:val="texto"/>
        <w:rPr>
          <w:szCs w:val="26"/>
        </w:rPr>
      </w:pPr>
    </w:p>
    <w:p w:rsidR="009868F9" w:rsidRPr="009868F9" w:rsidRDefault="009868F9" w:rsidP="00EE0A84">
      <w:pPr>
        <w:pStyle w:val="texto"/>
        <w:spacing w:after="120"/>
        <w:rPr>
          <w:szCs w:val="26"/>
        </w:rPr>
      </w:pPr>
      <w:r w:rsidRPr="009868F9">
        <w:rPr>
          <w:szCs w:val="26"/>
        </w:rPr>
        <w:t xml:space="preserve">Lógicamente, cada ayuntamiento debería financiar el importe a repartir que le corresponda por población más la cuota empresarial correspondiente a sus activos. </w:t>
      </w:r>
    </w:p>
    <w:p w:rsidR="00BD16A5" w:rsidRDefault="00BD16A5" w:rsidP="0077337B">
      <w:pPr>
        <w:pStyle w:val="texto"/>
        <w:rPr>
          <w:szCs w:val="26"/>
        </w:rPr>
      </w:pPr>
    </w:p>
    <w:p w:rsidR="00BD16A5" w:rsidRDefault="00BD16A5" w:rsidP="0077337B">
      <w:pPr>
        <w:pStyle w:val="texto"/>
        <w:rPr>
          <w:szCs w:val="26"/>
        </w:rPr>
      </w:pPr>
    </w:p>
    <w:p w:rsidR="00BD16A5" w:rsidRDefault="00BD16A5" w:rsidP="0077337B">
      <w:pPr>
        <w:pStyle w:val="texto"/>
        <w:rPr>
          <w:szCs w:val="26"/>
        </w:rPr>
      </w:pPr>
    </w:p>
    <w:p w:rsidR="009868F9" w:rsidRDefault="009868F9" w:rsidP="005B7C55">
      <w:pPr>
        <w:pStyle w:val="texto"/>
        <w:spacing w:after="120"/>
        <w:rPr>
          <w:szCs w:val="26"/>
        </w:rPr>
      </w:pPr>
      <w:r w:rsidRPr="009868F9">
        <w:rPr>
          <w:szCs w:val="26"/>
        </w:rPr>
        <w:lastRenderedPageBreak/>
        <w:t>Los resultados obtenidos y su comparación con lo abonado en 2015 es la s</w:t>
      </w:r>
      <w:r w:rsidRPr="009868F9">
        <w:rPr>
          <w:szCs w:val="26"/>
        </w:rPr>
        <w:t>i</w:t>
      </w:r>
      <w:r w:rsidRPr="009868F9">
        <w:rPr>
          <w:szCs w:val="26"/>
        </w:rPr>
        <w:t xml:space="preserve">guiente: </w:t>
      </w:r>
    </w:p>
    <w:tbl>
      <w:tblPr>
        <w:tblStyle w:val="Tablaconcuadrcula1"/>
        <w:tblW w:w="89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071"/>
        <w:gridCol w:w="1985"/>
        <w:gridCol w:w="1615"/>
        <w:gridCol w:w="1615"/>
      </w:tblGrid>
      <w:tr w:rsidR="009868F9" w:rsidRPr="00BF5E96" w:rsidTr="00B61F51">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ind w:firstLine="0"/>
              <w:jc w:val="left"/>
              <w:rPr>
                <w:rFonts w:ascii="Arial" w:hAnsi="Arial" w:cs="Arial"/>
                <w:sz w:val="20"/>
                <w:szCs w:val="20"/>
                <w:lang w:val="es-ES" w:eastAsia="es-ES"/>
              </w:rPr>
            </w:pPr>
            <w:r w:rsidRPr="00BF5E96">
              <w:rPr>
                <w:rFonts w:ascii="Arial" w:hAnsi="Arial" w:cs="Arial"/>
                <w:sz w:val="20"/>
                <w:szCs w:val="20"/>
                <w:lang w:val="es-ES" w:eastAsia="es-ES"/>
              </w:rPr>
              <w:t>Número de ayuntam</w:t>
            </w:r>
            <w:r w:rsidR="001F49DE">
              <w:rPr>
                <w:rFonts w:ascii="Arial" w:hAnsi="Arial" w:cs="Arial"/>
                <w:sz w:val="20"/>
                <w:szCs w:val="20"/>
                <w:lang w:val="es-ES" w:eastAsia="es-ES"/>
              </w:rPr>
              <w:t>i</w:t>
            </w:r>
            <w:r w:rsidRPr="00BF5E96">
              <w:rPr>
                <w:rFonts w:ascii="Arial" w:hAnsi="Arial" w:cs="Arial"/>
                <w:sz w:val="20"/>
                <w:szCs w:val="20"/>
                <w:lang w:val="es-ES" w:eastAsia="es-ES"/>
              </w:rPr>
              <w:t>entos</w:t>
            </w:r>
          </w:p>
        </w:tc>
        <w:tc>
          <w:tcPr>
            <w:tcW w:w="2071"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Lo que han pagado</w:t>
            </w:r>
          </w:p>
        </w:tc>
        <w:tc>
          <w:tcPr>
            <w:tcW w:w="198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Lo que pagarían</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Diferencia</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397962" w:rsidP="00B61F51">
            <w:pPr>
              <w:spacing w:after="0" w:line="300" w:lineRule="atLeast"/>
              <w:ind w:firstLine="0"/>
              <w:jc w:val="right"/>
              <w:rPr>
                <w:rFonts w:ascii="Arial" w:hAnsi="Arial" w:cs="Arial"/>
                <w:sz w:val="20"/>
                <w:szCs w:val="20"/>
                <w:lang w:val="es-ES" w:eastAsia="es-ES"/>
              </w:rPr>
            </w:pPr>
            <w:r>
              <w:rPr>
                <w:rFonts w:ascii="Arial" w:hAnsi="Arial" w:cs="Arial"/>
                <w:sz w:val="20"/>
                <w:szCs w:val="20"/>
                <w:lang w:val="es-ES" w:eastAsia="es-ES"/>
              </w:rPr>
              <w:t>Variación</w:t>
            </w:r>
          </w:p>
        </w:tc>
      </w:tr>
      <w:tr w:rsidR="009868F9" w:rsidRPr="00BF5E96" w:rsidTr="00EE0A84">
        <w:trPr>
          <w:trHeight w:val="227"/>
        </w:trPr>
        <w:tc>
          <w:tcPr>
            <w:tcW w:w="161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lang w:val="es-ES" w:eastAsia="es-ES"/>
              </w:rPr>
            </w:pPr>
            <w:r w:rsidRPr="00BF5E96">
              <w:rPr>
                <w:rFonts w:ascii="Arial Narrow" w:hAnsi="Arial Narrow" w:cs="Arial"/>
                <w:sz w:val="20"/>
                <w:szCs w:val="20"/>
                <w:lang w:val="es-ES" w:eastAsia="es-ES"/>
              </w:rPr>
              <w:t>42</w:t>
            </w:r>
          </w:p>
        </w:tc>
        <w:tc>
          <w:tcPr>
            <w:tcW w:w="2071"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12.858.440</w:t>
            </w:r>
          </w:p>
        </w:tc>
        <w:tc>
          <w:tcPr>
            <w:tcW w:w="198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8.103.996</w:t>
            </w:r>
          </w:p>
        </w:tc>
        <w:tc>
          <w:tcPr>
            <w:tcW w:w="161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-4.754.444</w:t>
            </w:r>
          </w:p>
        </w:tc>
        <w:tc>
          <w:tcPr>
            <w:tcW w:w="1615" w:type="dxa"/>
            <w:tcBorders>
              <w:top w:val="single" w:sz="4"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&lt;1</w:t>
            </w:r>
          </w:p>
        </w:tc>
      </w:tr>
      <w:tr w:rsidR="009868F9" w:rsidRPr="00BF5E96" w:rsidTr="00EE0A84">
        <w:trPr>
          <w:trHeight w:val="227"/>
        </w:trPr>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lang w:val="es-ES" w:eastAsia="es-ES"/>
              </w:rPr>
            </w:pPr>
            <w:r w:rsidRPr="00BF5E96">
              <w:rPr>
                <w:rFonts w:ascii="Arial Narrow" w:hAnsi="Arial Narrow" w:cs="Arial"/>
                <w:sz w:val="20"/>
                <w:szCs w:val="20"/>
                <w:lang w:val="es-ES" w:eastAsia="es-ES"/>
              </w:rPr>
              <w:t>11</w:t>
            </w:r>
          </w:p>
        </w:tc>
        <w:tc>
          <w:tcPr>
            <w:tcW w:w="2071"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2.115.054</w:t>
            </w:r>
          </w:p>
        </w:tc>
        <w:tc>
          <w:tcPr>
            <w:tcW w:w="198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2.754.472</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639.417</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&gt;1&lt;1,99</w:t>
            </w:r>
          </w:p>
        </w:tc>
      </w:tr>
      <w:tr w:rsidR="009868F9" w:rsidRPr="00BF5E96" w:rsidTr="00EE0A84">
        <w:trPr>
          <w:trHeight w:val="227"/>
        </w:trPr>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lang w:val="es-ES" w:eastAsia="es-ES"/>
              </w:rPr>
            </w:pPr>
            <w:r w:rsidRPr="00BF5E96">
              <w:rPr>
                <w:rFonts w:ascii="Arial Narrow" w:hAnsi="Arial Narrow" w:cs="Arial"/>
                <w:sz w:val="20"/>
                <w:szCs w:val="20"/>
                <w:lang w:val="es-ES" w:eastAsia="es-ES"/>
              </w:rPr>
              <w:t>196</w:t>
            </w:r>
          </w:p>
        </w:tc>
        <w:tc>
          <w:tcPr>
            <w:tcW w:w="2071"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2.070.641</w:t>
            </w:r>
          </w:p>
        </w:tc>
        <w:tc>
          <w:tcPr>
            <w:tcW w:w="198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4.120.713</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2.050.072</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1,99</w:t>
            </w:r>
          </w:p>
        </w:tc>
      </w:tr>
      <w:tr w:rsidR="009868F9" w:rsidRPr="00BF5E96" w:rsidTr="00EE0A84">
        <w:trPr>
          <w:trHeight w:val="227"/>
        </w:trPr>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center"/>
              <w:rPr>
                <w:rFonts w:ascii="Arial Narrow" w:hAnsi="Arial Narrow" w:cs="Arial"/>
                <w:sz w:val="20"/>
                <w:szCs w:val="20"/>
                <w:lang w:val="es-ES" w:eastAsia="es-ES"/>
              </w:rPr>
            </w:pPr>
            <w:r w:rsidRPr="00BF5E96">
              <w:rPr>
                <w:rFonts w:ascii="Arial Narrow" w:hAnsi="Arial Narrow" w:cs="Arial"/>
                <w:sz w:val="20"/>
                <w:szCs w:val="20"/>
                <w:lang w:val="es-ES" w:eastAsia="es-ES"/>
              </w:rPr>
              <w:t>21</w:t>
            </w:r>
          </w:p>
        </w:tc>
        <w:tc>
          <w:tcPr>
            <w:tcW w:w="2071"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1.063.028</w:t>
            </w:r>
          </w:p>
        </w:tc>
        <w:tc>
          <w:tcPr>
            <w:tcW w:w="198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3.127.983</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2.064.955</w:t>
            </w:r>
          </w:p>
        </w:tc>
        <w:tc>
          <w:tcPr>
            <w:tcW w:w="1615" w:type="dxa"/>
            <w:tcBorders>
              <w:top w:val="single" w:sz="2" w:space="0" w:color="auto"/>
              <w:bottom w:val="single" w:sz="2" w:space="0" w:color="auto"/>
            </w:tcBorders>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&gt;1,99</w:t>
            </w:r>
          </w:p>
        </w:tc>
      </w:tr>
      <w:tr w:rsidR="009868F9" w:rsidRPr="00BF5E96" w:rsidTr="004F5937">
        <w:trPr>
          <w:trHeight w:val="227"/>
        </w:trPr>
        <w:tc>
          <w:tcPr>
            <w:tcW w:w="1615" w:type="dxa"/>
            <w:tcBorders>
              <w:top w:val="single" w:sz="2" w:space="0" w:color="auto"/>
              <w:bottom w:val="single" w:sz="4" w:space="0" w:color="auto"/>
            </w:tcBorders>
            <w:shd w:val="clear" w:color="auto" w:fill="FABF8F" w:themeFill="accent6" w:themeFillTint="99"/>
            <w:vAlign w:val="bottom"/>
          </w:tcPr>
          <w:p w:rsidR="009868F9" w:rsidRPr="00BF5E96" w:rsidRDefault="009868F9" w:rsidP="00BF5E96">
            <w:pPr>
              <w:spacing w:after="0" w:line="300" w:lineRule="atLeast"/>
              <w:ind w:firstLine="0"/>
              <w:jc w:val="center"/>
              <w:rPr>
                <w:rFonts w:ascii="Arial Narrow" w:hAnsi="Arial Narrow" w:cs="Arial"/>
                <w:sz w:val="20"/>
                <w:szCs w:val="20"/>
                <w:lang w:val="es-ES" w:eastAsia="es-ES"/>
              </w:rPr>
            </w:pPr>
            <w:r w:rsidRPr="00BF5E96">
              <w:rPr>
                <w:rFonts w:ascii="Arial Narrow" w:hAnsi="Arial Narrow" w:cs="Arial"/>
                <w:sz w:val="20"/>
                <w:szCs w:val="20"/>
                <w:lang w:val="es-ES" w:eastAsia="es-ES"/>
              </w:rPr>
              <w:t>270</w:t>
            </w:r>
          </w:p>
        </w:tc>
        <w:tc>
          <w:tcPr>
            <w:tcW w:w="2071" w:type="dxa"/>
            <w:tcBorders>
              <w:top w:val="single" w:sz="2" w:space="0" w:color="auto"/>
              <w:bottom w:val="single" w:sz="4" w:space="0" w:color="auto"/>
            </w:tcBorders>
            <w:shd w:val="clear" w:color="auto" w:fill="FABF8F" w:themeFill="accent6" w:themeFillTint="99"/>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18.107.163</w:t>
            </w:r>
          </w:p>
        </w:tc>
        <w:tc>
          <w:tcPr>
            <w:tcW w:w="1985" w:type="dxa"/>
            <w:tcBorders>
              <w:top w:val="single" w:sz="2" w:space="0" w:color="auto"/>
              <w:bottom w:val="single" w:sz="4" w:space="0" w:color="auto"/>
            </w:tcBorders>
            <w:shd w:val="clear" w:color="auto" w:fill="FABF8F" w:themeFill="accent6" w:themeFillTint="99"/>
            <w:vAlign w:val="bottom"/>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18.107.163</w:t>
            </w:r>
          </w:p>
        </w:tc>
        <w:tc>
          <w:tcPr>
            <w:tcW w:w="1615" w:type="dxa"/>
            <w:tcBorders>
              <w:top w:val="single" w:sz="2" w:space="0" w:color="auto"/>
              <w:bottom w:val="single" w:sz="4" w:space="0" w:color="auto"/>
            </w:tcBorders>
            <w:shd w:val="clear" w:color="auto" w:fill="FABF8F" w:themeFill="accent6" w:themeFillTint="99"/>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0</w:t>
            </w:r>
          </w:p>
        </w:tc>
        <w:tc>
          <w:tcPr>
            <w:tcW w:w="1615" w:type="dxa"/>
            <w:tcBorders>
              <w:top w:val="single" w:sz="2" w:space="0" w:color="auto"/>
              <w:bottom w:val="single" w:sz="4" w:space="0" w:color="auto"/>
            </w:tcBorders>
            <w:shd w:val="clear" w:color="auto" w:fill="FABF8F" w:themeFill="accent6" w:themeFillTint="99"/>
          </w:tcPr>
          <w:p w:rsidR="009868F9" w:rsidRPr="00BF5E96" w:rsidRDefault="009868F9" w:rsidP="00BF5E96">
            <w:pPr>
              <w:spacing w:after="0" w:line="300" w:lineRule="atLeast"/>
              <w:ind w:firstLine="0"/>
              <w:jc w:val="right"/>
              <w:rPr>
                <w:rFonts w:ascii="Arial Narrow" w:hAnsi="Arial Narrow" w:cs="Arial"/>
                <w:sz w:val="20"/>
                <w:szCs w:val="20"/>
                <w:lang w:val="es-ES" w:eastAsia="es-ES"/>
              </w:rPr>
            </w:pPr>
          </w:p>
        </w:tc>
      </w:tr>
    </w:tbl>
    <w:p w:rsidR="009868F9" w:rsidRPr="009868F9" w:rsidRDefault="009868F9" w:rsidP="001E3A90">
      <w:pPr>
        <w:pStyle w:val="texto"/>
        <w:spacing w:before="120"/>
        <w:rPr>
          <w:szCs w:val="26"/>
        </w:rPr>
      </w:pPr>
      <w:r w:rsidRPr="009868F9">
        <w:rPr>
          <w:szCs w:val="26"/>
        </w:rPr>
        <w:t>Al suprimir el reparto por activos y efectuarlo totalmente en función de la población se modifica sustancialmente el reparto actual. Así, los 196 ayunt</w:t>
      </w:r>
      <w:r w:rsidRPr="009868F9">
        <w:rPr>
          <w:szCs w:val="26"/>
        </w:rPr>
        <w:t>a</w:t>
      </w:r>
      <w:r w:rsidRPr="009868F9">
        <w:rPr>
          <w:szCs w:val="26"/>
        </w:rPr>
        <w:t>mientos que no cuentan con activos pagarían 1,99 veces más que antes. Este incremento supone 2.050.072</w:t>
      </w:r>
      <w:r w:rsidR="001C310C">
        <w:rPr>
          <w:szCs w:val="26"/>
        </w:rPr>
        <w:t xml:space="preserve"> </w:t>
      </w:r>
      <w:r w:rsidRPr="009868F9">
        <w:rPr>
          <w:szCs w:val="26"/>
        </w:rPr>
        <w:t>euros. Hay 42</w:t>
      </w:r>
      <w:r w:rsidR="00B61F51">
        <w:rPr>
          <w:szCs w:val="26"/>
        </w:rPr>
        <w:t xml:space="preserve"> </w:t>
      </w:r>
      <w:r w:rsidRPr="009868F9">
        <w:rPr>
          <w:szCs w:val="26"/>
        </w:rPr>
        <w:t>ayuntamientos que pagarían menos y este menor importe es de 4.754.444</w:t>
      </w:r>
      <w:r w:rsidR="0045771B">
        <w:rPr>
          <w:szCs w:val="26"/>
        </w:rPr>
        <w:t xml:space="preserve"> </w:t>
      </w:r>
      <w:r w:rsidRPr="009868F9">
        <w:rPr>
          <w:szCs w:val="26"/>
        </w:rPr>
        <w:t xml:space="preserve">euros. </w:t>
      </w:r>
    </w:p>
    <w:p w:rsidR="009868F9" w:rsidRPr="00EC75DD" w:rsidRDefault="009868F9" w:rsidP="0077337B">
      <w:pPr>
        <w:pStyle w:val="texto"/>
        <w:rPr>
          <w:spacing w:val="0"/>
          <w:szCs w:val="26"/>
        </w:rPr>
      </w:pPr>
      <w:r w:rsidRPr="00EC75DD">
        <w:rPr>
          <w:spacing w:val="0"/>
          <w:szCs w:val="26"/>
        </w:rPr>
        <w:t>En 11 ayuntamientos, que pagarían entre una y 1,99 veces más que antes, el i</w:t>
      </w:r>
      <w:r w:rsidRPr="00EC75DD">
        <w:rPr>
          <w:spacing w:val="0"/>
          <w:szCs w:val="26"/>
        </w:rPr>
        <w:t>n</w:t>
      </w:r>
      <w:r w:rsidRPr="00EC75DD">
        <w:rPr>
          <w:spacing w:val="0"/>
          <w:szCs w:val="26"/>
        </w:rPr>
        <w:t xml:space="preserve">cremento alcanza un importe de </w:t>
      </w:r>
      <w:r w:rsidR="001C310C" w:rsidRPr="00EC75DD">
        <w:rPr>
          <w:spacing w:val="0"/>
          <w:szCs w:val="26"/>
        </w:rPr>
        <w:t>639.417</w:t>
      </w:r>
      <w:r w:rsidR="00B61F51" w:rsidRPr="00EC75DD">
        <w:rPr>
          <w:spacing w:val="0"/>
          <w:szCs w:val="26"/>
        </w:rPr>
        <w:t xml:space="preserve"> </w:t>
      </w:r>
      <w:r w:rsidRPr="00EC75DD">
        <w:rPr>
          <w:spacing w:val="0"/>
          <w:szCs w:val="26"/>
        </w:rPr>
        <w:t>euros; y los 21 ayuntamientos que lo hacen por encima de las 1,99 veces soportarían un mayor importe de 2.064.955 euros.</w:t>
      </w:r>
    </w:p>
    <w:p w:rsidR="009868F9" w:rsidRDefault="009868F9" w:rsidP="005B7C55">
      <w:pPr>
        <w:pStyle w:val="texto"/>
        <w:spacing w:after="120"/>
        <w:rPr>
          <w:szCs w:val="26"/>
        </w:rPr>
      </w:pPr>
      <w:r w:rsidRPr="00FB1FFE">
        <w:rPr>
          <w:b/>
          <w:szCs w:val="26"/>
        </w:rPr>
        <w:t>1</w:t>
      </w:r>
      <w:r w:rsidR="008D2F90" w:rsidRPr="00FB1FFE">
        <w:rPr>
          <w:b/>
          <w:szCs w:val="26"/>
        </w:rPr>
        <w:t>5</w:t>
      </w:r>
      <w:r w:rsidR="00FB1FFE">
        <w:rPr>
          <w:b/>
          <w:szCs w:val="26"/>
        </w:rPr>
        <w:t>.</w:t>
      </w:r>
      <w:r w:rsidRPr="00FB1FFE">
        <w:rPr>
          <w:b/>
          <w:szCs w:val="26"/>
        </w:rPr>
        <w:t>ª</w:t>
      </w:r>
      <w:r w:rsidRPr="009868F9">
        <w:rPr>
          <w:szCs w:val="26"/>
        </w:rPr>
        <w:t xml:space="preserve"> También hemos calculado los resultados si repartimos el déficit del </w:t>
      </w:r>
      <w:r w:rsidR="00B04729">
        <w:rPr>
          <w:szCs w:val="26"/>
        </w:rPr>
        <w:t>Montepío</w:t>
      </w:r>
      <w:r w:rsidR="00E52F02" w:rsidRPr="00E52F02">
        <w:rPr>
          <w:szCs w:val="26"/>
        </w:rPr>
        <w:t xml:space="preserve"> </w:t>
      </w:r>
      <w:r w:rsidR="00E52F02" w:rsidRPr="009868F9">
        <w:rPr>
          <w:szCs w:val="26"/>
        </w:rPr>
        <w:t>por población</w:t>
      </w:r>
      <w:r w:rsidRPr="009868F9">
        <w:rPr>
          <w:szCs w:val="26"/>
        </w:rPr>
        <w:t xml:space="preserve">, excluyendo a Tudela y Tafalla, pero las entidades que cuentan con activos aportan una cuota empresarial equivalente a la de la </w:t>
      </w:r>
      <w:r w:rsidR="00E52F02">
        <w:rPr>
          <w:szCs w:val="26"/>
        </w:rPr>
        <w:t>Seg</w:t>
      </w:r>
      <w:r w:rsidR="00E52F02">
        <w:rPr>
          <w:szCs w:val="26"/>
        </w:rPr>
        <w:t>u</w:t>
      </w:r>
      <w:r w:rsidR="00E52F02">
        <w:rPr>
          <w:szCs w:val="26"/>
        </w:rPr>
        <w:t>ridad Social</w:t>
      </w:r>
      <w:r w:rsidRPr="009868F9">
        <w:rPr>
          <w:szCs w:val="26"/>
        </w:rPr>
        <w:t xml:space="preserve">. Esta cuota empresarial teórica, la hemos estimado a partir de los importes que pagan los activos. </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610"/>
      </w:tblGrid>
      <w:tr w:rsidR="009868F9" w:rsidRPr="005B7C55" w:rsidTr="005B7C55">
        <w:trPr>
          <w:trHeight w:val="284"/>
        </w:trPr>
        <w:tc>
          <w:tcPr>
            <w:tcW w:w="4179" w:type="dxa"/>
            <w:tcBorders>
              <w:top w:val="single" w:sz="4" w:space="0" w:color="auto"/>
              <w:bottom w:val="single" w:sz="4" w:space="0" w:color="auto"/>
            </w:tcBorders>
            <w:shd w:val="clear" w:color="auto" w:fill="FABF8F" w:themeFill="accent6" w:themeFillTint="99"/>
            <w:vAlign w:val="center"/>
          </w:tcPr>
          <w:p w:rsidR="009868F9" w:rsidRPr="005B7C55" w:rsidRDefault="009868F9" w:rsidP="005B7C55">
            <w:pPr>
              <w:pStyle w:val="cuadroCabe"/>
              <w:jc w:val="left"/>
              <w:rPr>
                <w:rFonts w:eastAsia="Times New Roman" w:cs="Arial"/>
                <w:i/>
                <w:snapToGrid w:val="0"/>
                <w:szCs w:val="18"/>
              </w:rPr>
            </w:pPr>
            <w:r w:rsidRPr="005B7C55">
              <w:rPr>
                <w:rFonts w:eastAsia="Times New Roman" w:cs="Arial"/>
                <w:i/>
                <w:snapToGrid w:val="0"/>
                <w:szCs w:val="18"/>
              </w:rPr>
              <w:t>Concepto</w:t>
            </w:r>
          </w:p>
        </w:tc>
        <w:tc>
          <w:tcPr>
            <w:tcW w:w="4610" w:type="dxa"/>
            <w:tcBorders>
              <w:top w:val="single" w:sz="4" w:space="0" w:color="auto"/>
              <w:bottom w:val="single" w:sz="4" w:space="0" w:color="auto"/>
            </w:tcBorders>
            <w:shd w:val="clear" w:color="auto" w:fill="FABF8F" w:themeFill="accent6" w:themeFillTint="99"/>
            <w:vAlign w:val="center"/>
          </w:tcPr>
          <w:p w:rsidR="009868F9" w:rsidRPr="005B7C55" w:rsidRDefault="009868F9" w:rsidP="00084D46">
            <w:pPr>
              <w:pStyle w:val="cuadroCabe"/>
              <w:jc w:val="right"/>
              <w:rPr>
                <w:rFonts w:eastAsia="Times New Roman" w:cs="Arial"/>
                <w:i/>
                <w:snapToGrid w:val="0"/>
                <w:szCs w:val="18"/>
              </w:rPr>
            </w:pPr>
            <w:r w:rsidRPr="005B7C55">
              <w:rPr>
                <w:rFonts w:eastAsia="Times New Roman" w:cs="Arial"/>
                <w:i/>
                <w:snapToGrid w:val="0"/>
                <w:szCs w:val="18"/>
              </w:rPr>
              <w:t>Importe</w:t>
            </w:r>
          </w:p>
        </w:tc>
      </w:tr>
      <w:tr w:rsidR="009868F9" w:rsidRPr="00BF5E96" w:rsidTr="00D6377C">
        <w:trPr>
          <w:trHeight w:val="227"/>
        </w:trPr>
        <w:tc>
          <w:tcPr>
            <w:tcW w:w="4179" w:type="dxa"/>
            <w:tcBorders>
              <w:top w:val="single" w:sz="4"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 xml:space="preserve">Déficit </w:t>
            </w:r>
          </w:p>
        </w:tc>
        <w:tc>
          <w:tcPr>
            <w:tcW w:w="4610" w:type="dxa"/>
            <w:tcBorders>
              <w:top w:val="single" w:sz="4"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lang w:val="es-ES" w:eastAsia="es-ES"/>
              </w:rPr>
            </w:pPr>
            <w:r w:rsidRPr="005B7C55">
              <w:rPr>
                <w:rFonts w:ascii="Arial Narrow" w:hAnsi="Arial Narrow" w:cs="Arial"/>
                <w:sz w:val="20"/>
                <w:szCs w:val="20"/>
                <w:lang w:val="es-ES" w:eastAsia="es-ES"/>
              </w:rPr>
              <w:t>18.107.163</w:t>
            </w:r>
          </w:p>
        </w:tc>
      </w:tr>
      <w:tr w:rsidR="009868F9" w:rsidRPr="00BF5E96" w:rsidTr="00D6377C">
        <w:trPr>
          <w:trHeight w:val="227"/>
        </w:trPr>
        <w:tc>
          <w:tcPr>
            <w:tcW w:w="4179" w:type="dxa"/>
            <w:tcBorders>
              <w:top w:val="single" w:sz="2"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Pensiones Tudela y Tafalla</w:t>
            </w:r>
          </w:p>
        </w:tc>
        <w:tc>
          <w:tcPr>
            <w:tcW w:w="4610" w:type="dxa"/>
            <w:tcBorders>
              <w:top w:val="single" w:sz="2"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lang w:val="es-ES" w:eastAsia="es-ES"/>
              </w:rPr>
            </w:pPr>
            <w:r w:rsidRPr="005B7C55">
              <w:rPr>
                <w:rFonts w:ascii="Arial Narrow" w:hAnsi="Arial Narrow" w:cs="Arial"/>
                <w:sz w:val="20"/>
                <w:szCs w:val="20"/>
                <w:lang w:val="es-ES" w:eastAsia="es-ES"/>
              </w:rPr>
              <w:t>166.154</w:t>
            </w:r>
          </w:p>
        </w:tc>
      </w:tr>
      <w:tr w:rsidR="009868F9" w:rsidRPr="00BF5E96" w:rsidTr="00D6377C">
        <w:trPr>
          <w:trHeight w:val="227"/>
        </w:trPr>
        <w:tc>
          <w:tcPr>
            <w:tcW w:w="4179" w:type="dxa"/>
            <w:tcBorders>
              <w:top w:val="single" w:sz="2"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 xml:space="preserve">Déficit sin Tudela y Tafalla </w:t>
            </w:r>
          </w:p>
        </w:tc>
        <w:tc>
          <w:tcPr>
            <w:tcW w:w="4610" w:type="dxa"/>
            <w:tcBorders>
              <w:top w:val="single" w:sz="2"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lang w:val="es-ES" w:eastAsia="es-ES"/>
              </w:rPr>
            </w:pPr>
            <w:r w:rsidRPr="005B7C55">
              <w:rPr>
                <w:rFonts w:ascii="Arial Narrow" w:hAnsi="Arial Narrow" w:cs="Arial"/>
                <w:sz w:val="20"/>
                <w:szCs w:val="20"/>
                <w:lang w:val="es-ES" w:eastAsia="es-ES"/>
              </w:rPr>
              <w:t>17.941.009</w:t>
            </w:r>
          </w:p>
        </w:tc>
      </w:tr>
      <w:tr w:rsidR="009868F9" w:rsidRPr="00BF5E96" w:rsidTr="00D6377C">
        <w:trPr>
          <w:trHeight w:val="227"/>
        </w:trPr>
        <w:tc>
          <w:tcPr>
            <w:tcW w:w="4179" w:type="dxa"/>
            <w:tcBorders>
              <w:top w:val="single" w:sz="2" w:space="0" w:color="auto"/>
              <w:bottom w:val="single" w:sz="2"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Cuota empresarial estimada</w:t>
            </w:r>
          </w:p>
        </w:tc>
        <w:tc>
          <w:tcPr>
            <w:tcW w:w="4610" w:type="dxa"/>
            <w:tcBorders>
              <w:top w:val="single" w:sz="2" w:space="0" w:color="auto"/>
              <w:bottom w:val="single" w:sz="2" w:space="0" w:color="auto"/>
            </w:tcBorders>
            <w:vAlign w:val="center"/>
          </w:tcPr>
          <w:p w:rsidR="009868F9" w:rsidRPr="005B7C55" w:rsidRDefault="009868F9" w:rsidP="00BF5E96">
            <w:pPr>
              <w:spacing w:after="0"/>
              <w:ind w:firstLine="0"/>
              <w:jc w:val="right"/>
              <w:rPr>
                <w:rFonts w:ascii="Arial Narrow" w:hAnsi="Arial Narrow" w:cs="Arial"/>
                <w:sz w:val="20"/>
                <w:szCs w:val="20"/>
                <w:lang w:val="es-ES" w:eastAsia="es-ES"/>
              </w:rPr>
            </w:pPr>
            <w:r w:rsidRPr="005B7C55">
              <w:rPr>
                <w:rFonts w:ascii="Arial Narrow" w:hAnsi="Arial Narrow" w:cs="Arial"/>
                <w:sz w:val="20"/>
                <w:szCs w:val="20"/>
                <w:lang w:val="es-ES" w:eastAsia="es-ES"/>
              </w:rPr>
              <w:t>1.615.459</w:t>
            </w:r>
          </w:p>
        </w:tc>
      </w:tr>
      <w:tr w:rsidR="009868F9" w:rsidRPr="00BF5E96" w:rsidTr="00D6377C">
        <w:trPr>
          <w:trHeight w:val="227"/>
        </w:trPr>
        <w:tc>
          <w:tcPr>
            <w:tcW w:w="4179" w:type="dxa"/>
            <w:tcBorders>
              <w:top w:val="single" w:sz="2" w:space="0" w:color="auto"/>
              <w:bottom w:val="single" w:sz="4" w:space="0" w:color="auto"/>
            </w:tcBorders>
            <w:vAlign w:val="center"/>
          </w:tcPr>
          <w:p w:rsidR="009868F9" w:rsidRPr="00BF5E96" w:rsidRDefault="009868F9" w:rsidP="00BF5E96">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Déficit a repartir</w:t>
            </w:r>
          </w:p>
        </w:tc>
        <w:tc>
          <w:tcPr>
            <w:tcW w:w="4610" w:type="dxa"/>
            <w:tcBorders>
              <w:top w:val="single" w:sz="2" w:space="0" w:color="auto"/>
              <w:bottom w:val="single" w:sz="4" w:space="0" w:color="auto"/>
            </w:tcBorders>
            <w:vAlign w:val="center"/>
          </w:tcPr>
          <w:p w:rsidR="009868F9" w:rsidRPr="005B7C55" w:rsidRDefault="009868F9" w:rsidP="00BF5E96">
            <w:pPr>
              <w:spacing w:after="0"/>
              <w:ind w:firstLine="0"/>
              <w:jc w:val="right"/>
              <w:rPr>
                <w:rFonts w:ascii="Arial Narrow" w:hAnsi="Arial Narrow" w:cs="Arial"/>
                <w:sz w:val="20"/>
                <w:szCs w:val="20"/>
                <w:lang w:val="es-ES" w:eastAsia="es-ES"/>
              </w:rPr>
            </w:pPr>
            <w:r w:rsidRPr="005B7C55">
              <w:rPr>
                <w:rFonts w:ascii="Arial Narrow" w:hAnsi="Arial Narrow" w:cs="Arial"/>
                <w:sz w:val="20"/>
                <w:szCs w:val="20"/>
                <w:lang w:val="es-ES" w:eastAsia="es-ES"/>
              </w:rPr>
              <w:t>16.325.550</w:t>
            </w:r>
          </w:p>
        </w:tc>
      </w:tr>
    </w:tbl>
    <w:p w:rsidR="009868F9" w:rsidRPr="005B7C55" w:rsidRDefault="009868F9" w:rsidP="00D6377C">
      <w:pPr>
        <w:pStyle w:val="texto"/>
        <w:spacing w:before="120"/>
        <w:rPr>
          <w:spacing w:val="2"/>
          <w:szCs w:val="26"/>
        </w:rPr>
      </w:pPr>
      <w:r w:rsidRPr="005B7C55">
        <w:rPr>
          <w:spacing w:val="2"/>
          <w:szCs w:val="26"/>
        </w:rPr>
        <w:t xml:space="preserve">Lógicamente, cada ayuntamiento debería financiar el importe a repartir que le corresponda por población más la cuota empresarial correspondiente a sus activos. </w:t>
      </w:r>
    </w:p>
    <w:p w:rsidR="009868F9" w:rsidRPr="00BD70AF" w:rsidRDefault="009868F9" w:rsidP="0077337B">
      <w:pPr>
        <w:pStyle w:val="texto"/>
        <w:rPr>
          <w:spacing w:val="2"/>
          <w:w w:val="95"/>
          <w:szCs w:val="26"/>
        </w:rPr>
      </w:pPr>
      <w:r w:rsidRPr="00BD70AF">
        <w:rPr>
          <w:spacing w:val="2"/>
          <w:w w:val="95"/>
          <w:szCs w:val="26"/>
        </w:rPr>
        <w:t xml:space="preserve">Los resultados obtenidos y su comparación con lo abonado en 2015 es la siguiente: </w:t>
      </w:r>
    </w:p>
    <w:tbl>
      <w:tblPr>
        <w:tblStyle w:val="Tablaconcuadrcula1"/>
        <w:tblpPr w:leftFromText="141" w:rightFromText="141" w:vertAnchor="text" w:tblpX="11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037"/>
        <w:gridCol w:w="1843"/>
        <w:gridCol w:w="1615"/>
        <w:gridCol w:w="1615"/>
      </w:tblGrid>
      <w:tr w:rsidR="009868F9" w:rsidRPr="00BF5E96" w:rsidTr="008B5F71">
        <w:trPr>
          <w:trHeight w:val="340"/>
        </w:trPr>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B61F51">
            <w:pPr>
              <w:spacing w:after="0"/>
              <w:ind w:firstLine="0"/>
              <w:jc w:val="left"/>
              <w:rPr>
                <w:rFonts w:ascii="Arial" w:hAnsi="Arial" w:cs="Arial"/>
                <w:sz w:val="20"/>
                <w:szCs w:val="20"/>
                <w:lang w:val="es-ES" w:eastAsia="es-ES"/>
              </w:rPr>
            </w:pPr>
            <w:r w:rsidRPr="00BF5E96">
              <w:rPr>
                <w:rFonts w:ascii="Arial" w:hAnsi="Arial" w:cs="Arial"/>
                <w:sz w:val="20"/>
                <w:szCs w:val="20"/>
                <w:lang w:val="es-ES" w:eastAsia="es-ES"/>
              </w:rPr>
              <w:t>Número de ayuntam</w:t>
            </w:r>
            <w:r w:rsidR="00524457">
              <w:rPr>
                <w:rFonts w:ascii="Arial" w:hAnsi="Arial" w:cs="Arial"/>
                <w:sz w:val="20"/>
                <w:szCs w:val="20"/>
                <w:lang w:val="es-ES" w:eastAsia="es-ES"/>
              </w:rPr>
              <w:t>i</w:t>
            </w:r>
            <w:r w:rsidRPr="00BF5E96">
              <w:rPr>
                <w:rFonts w:ascii="Arial" w:hAnsi="Arial" w:cs="Arial"/>
                <w:sz w:val="20"/>
                <w:szCs w:val="20"/>
                <w:lang w:val="es-ES" w:eastAsia="es-ES"/>
              </w:rPr>
              <w:t>entos</w:t>
            </w:r>
          </w:p>
        </w:tc>
        <w:tc>
          <w:tcPr>
            <w:tcW w:w="2037" w:type="dxa"/>
            <w:tcBorders>
              <w:top w:val="single" w:sz="4"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Lo que han pagado</w:t>
            </w:r>
          </w:p>
        </w:tc>
        <w:tc>
          <w:tcPr>
            <w:tcW w:w="1843" w:type="dxa"/>
            <w:tcBorders>
              <w:top w:val="single" w:sz="4"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Lo que pagarían</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Diferencia</w:t>
            </w:r>
          </w:p>
        </w:tc>
        <w:tc>
          <w:tcPr>
            <w:tcW w:w="1615" w:type="dxa"/>
            <w:tcBorders>
              <w:top w:val="single" w:sz="4" w:space="0" w:color="auto"/>
              <w:bottom w:val="single" w:sz="4" w:space="0" w:color="auto"/>
            </w:tcBorders>
            <w:shd w:val="clear" w:color="auto" w:fill="FABF8F" w:themeFill="accent6" w:themeFillTint="99"/>
            <w:vAlign w:val="center"/>
          </w:tcPr>
          <w:p w:rsidR="009868F9" w:rsidRPr="00BF5E96" w:rsidRDefault="00E45741" w:rsidP="0010298C">
            <w:pPr>
              <w:spacing w:after="0" w:line="300" w:lineRule="atLeast"/>
              <w:ind w:firstLine="0"/>
              <w:jc w:val="right"/>
              <w:rPr>
                <w:rFonts w:ascii="Arial" w:hAnsi="Arial" w:cs="Arial"/>
                <w:sz w:val="20"/>
                <w:szCs w:val="20"/>
                <w:lang w:val="es-ES" w:eastAsia="es-ES"/>
              </w:rPr>
            </w:pPr>
            <w:r>
              <w:rPr>
                <w:rFonts w:ascii="Arial" w:hAnsi="Arial" w:cs="Arial"/>
                <w:sz w:val="20"/>
                <w:szCs w:val="20"/>
                <w:lang w:val="es-ES" w:eastAsia="es-ES"/>
              </w:rPr>
              <w:t>Variación</w:t>
            </w:r>
          </w:p>
        </w:tc>
      </w:tr>
      <w:tr w:rsidR="009868F9" w:rsidRPr="009868F9" w:rsidTr="0010298C">
        <w:tc>
          <w:tcPr>
            <w:tcW w:w="1615"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39</w:t>
            </w:r>
          </w:p>
        </w:tc>
        <w:tc>
          <w:tcPr>
            <w:tcW w:w="2037"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12.145.621</w:t>
            </w:r>
          </w:p>
        </w:tc>
        <w:tc>
          <w:tcPr>
            <w:tcW w:w="1843"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8.101.201</w:t>
            </w:r>
          </w:p>
        </w:tc>
        <w:tc>
          <w:tcPr>
            <w:tcW w:w="1615"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-4.044.420</w:t>
            </w:r>
          </w:p>
        </w:tc>
        <w:tc>
          <w:tcPr>
            <w:tcW w:w="1615" w:type="dxa"/>
            <w:tcBorders>
              <w:top w:val="single" w:sz="4" w:space="0" w:color="auto"/>
              <w:bottom w:val="single" w:sz="2" w:space="0" w:color="auto"/>
            </w:tcBorders>
            <w:vAlign w:val="bottom"/>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&lt; 1</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14</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2.827.874</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3.747.677</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919.803</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&gt; 1 &lt; 2</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196</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2.070.641</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4.553.378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2.482.738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2,2</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19</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612.772</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1.538.753</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925.981</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&gt; 2,2</w:t>
            </w: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Tafalla</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201.416</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116.288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-85.128</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p>
        </w:tc>
      </w:tr>
      <w:tr w:rsidR="009868F9" w:rsidRPr="009868F9" w:rsidTr="008B5F71">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Tudela</w:t>
            </w:r>
          </w:p>
        </w:tc>
        <w:tc>
          <w:tcPr>
            <w:tcW w:w="2037"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248.840</w:t>
            </w:r>
          </w:p>
        </w:tc>
        <w:tc>
          <w:tcPr>
            <w:tcW w:w="1843"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49.865</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-198.975</w:t>
            </w:r>
          </w:p>
        </w:tc>
        <w:tc>
          <w:tcPr>
            <w:tcW w:w="1615" w:type="dxa"/>
            <w:tcBorders>
              <w:top w:val="single" w:sz="2" w:space="0" w:color="auto"/>
              <w:bottom w:val="single" w:sz="2" w:space="0" w:color="auto"/>
            </w:tcBorders>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p>
        </w:tc>
      </w:tr>
      <w:tr w:rsidR="009868F9" w:rsidRPr="009868F9" w:rsidTr="0002069C">
        <w:tc>
          <w:tcPr>
            <w:tcW w:w="1615"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left"/>
              <w:rPr>
                <w:rFonts w:ascii="Arial Narrow" w:hAnsi="Arial Narrow" w:cs="Arial"/>
                <w:sz w:val="20"/>
                <w:szCs w:val="20"/>
                <w:lang w:val="es-ES" w:eastAsia="es-ES"/>
              </w:rPr>
            </w:pPr>
            <w:r w:rsidRPr="00BF5E96">
              <w:rPr>
                <w:rFonts w:ascii="Arial Narrow" w:hAnsi="Arial Narrow" w:cs="Arial"/>
                <w:sz w:val="20"/>
                <w:szCs w:val="20"/>
                <w:lang w:val="es-ES" w:eastAsia="es-ES"/>
              </w:rPr>
              <w:t>270</w:t>
            </w:r>
          </w:p>
        </w:tc>
        <w:tc>
          <w:tcPr>
            <w:tcW w:w="2037"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18.107.163</w:t>
            </w:r>
          </w:p>
        </w:tc>
        <w:tc>
          <w:tcPr>
            <w:tcW w:w="1843"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18.107.163</w:t>
            </w:r>
          </w:p>
        </w:tc>
        <w:tc>
          <w:tcPr>
            <w:tcW w:w="1615"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r w:rsidRPr="00BF5E96">
              <w:rPr>
                <w:rFonts w:ascii="Arial Narrow" w:hAnsi="Arial Narrow" w:cs="Arial"/>
                <w:sz w:val="20"/>
                <w:szCs w:val="20"/>
                <w:lang w:val="es-ES" w:eastAsia="es-ES"/>
              </w:rPr>
              <w:t>0</w:t>
            </w:r>
          </w:p>
        </w:tc>
        <w:tc>
          <w:tcPr>
            <w:tcW w:w="1615" w:type="dxa"/>
            <w:tcBorders>
              <w:top w:val="single" w:sz="2" w:space="0" w:color="auto"/>
              <w:bottom w:val="single" w:sz="4" w:space="0" w:color="auto"/>
            </w:tcBorders>
            <w:shd w:val="clear" w:color="auto" w:fill="FABF8F" w:themeFill="accent6" w:themeFillTint="99"/>
            <w:vAlign w:val="center"/>
          </w:tcPr>
          <w:p w:rsidR="009868F9" w:rsidRPr="00BF5E96" w:rsidRDefault="009868F9" w:rsidP="0010298C">
            <w:pPr>
              <w:spacing w:after="0" w:line="300" w:lineRule="atLeast"/>
              <w:ind w:firstLine="0"/>
              <w:jc w:val="right"/>
              <w:rPr>
                <w:rFonts w:ascii="Arial Narrow" w:hAnsi="Arial Narrow" w:cs="Arial"/>
                <w:sz w:val="20"/>
                <w:szCs w:val="20"/>
                <w:lang w:val="es-ES" w:eastAsia="es-ES"/>
              </w:rPr>
            </w:pPr>
          </w:p>
        </w:tc>
      </w:tr>
    </w:tbl>
    <w:p w:rsidR="009868F9" w:rsidRPr="009868F9" w:rsidRDefault="009868F9" w:rsidP="0077337B">
      <w:pPr>
        <w:pStyle w:val="texto"/>
        <w:rPr>
          <w:szCs w:val="26"/>
        </w:rPr>
      </w:pPr>
      <w:r w:rsidRPr="009868F9">
        <w:rPr>
          <w:szCs w:val="26"/>
        </w:rPr>
        <w:lastRenderedPageBreak/>
        <w:t>Al suprimir el reparto por activos y efectuarlo totalmente en función de la población se modifica sustancialmente el reparto actual. Así, los 196 ayunt</w:t>
      </w:r>
      <w:r w:rsidRPr="009868F9">
        <w:rPr>
          <w:szCs w:val="26"/>
        </w:rPr>
        <w:t>a</w:t>
      </w:r>
      <w:r w:rsidRPr="009868F9">
        <w:rPr>
          <w:szCs w:val="26"/>
        </w:rPr>
        <w:t>mientos que no cuentan con activos pagarían 2,2 veces más que antes. Es te i</w:t>
      </w:r>
      <w:r w:rsidRPr="009868F9">
        <w:rPr>
          <w:szCs w:val="26"/>
        </w:rPr>
        <w:t>n</w:t>
      </w:r>
      <w:r w:rsidRPr="009868F9">
        <w:rPr>
          <w:szCs w:val="26"/>
        </w:rPr>
        <w:t>cremento supone 2.482.738 euros. Hay 39 ayuntamientos que pagarían menos y este menor importe es de 4.044.420 euros.</w:t>
      </w:r>
    </w:p>
    <w:p w:rsidR="009868F9" w:rsidRPr="009868F9" w:rsidRDefault="009868F9" w:rsidP="0077337B">
      <w:pPr>
        <w:pStyle w:val="texto"/>
        <w:rPr>
          <w:szCs w:val="26"/>
        </w:rPr>
      </w:pPr>
      <w:r w:rsidRPr="009868F9">
        <w:rPr>
          <w:szCs w:val="26"/>
        </w:rPr>
        <w:t xml:space="preserve">En 14 ayuntamientos, que pagarían entre una y dos veces más que antes,  el incremento alcanza un importe de </w:t>
      </w:r>
      <w:r w:rsidR="008D2F90">
        <w:rPr>
          <w:szCs w:val="26"/>
        </w:rPr>
        <w:t xml:space="preserve">919.803 </w:t>
      </w:r>
      <w:r w:rsidRPr="009868F9">
        <w:rPr>
          <w:szCs w:val="26"/>
        </w:rPr>
        <w:t>euros; y los 19 ayuntamientos que lo hacen por encima de las 2,2 veces soportarían un mayor importe de 925.981 e</w:t>
      </w:r>
      <w:r w:rsidRPr="009868F9">
        <w:rPr>
          <w:szCs w:val="26"/>
        </w:rPr>
        <w:t>u</w:t>
      </w:r>
      <w:r w:rsidRPr="009868F9">
        <w:rPr>
          <w:szCs w:val="26"/>
        </w:rPr>
        <w:t>ros.</w:t>
      </w:r>
    </w:p>
    <w:p w:rsidR="009868F9" w:rsidRDefault="009868F9" w:rsidP="0077337B">
      <w:pPr>
        <w:pStyle w:val="texto"/>
        <w:rPr>
          <w:szCs w:val="26"/>
        </w:rPr>
      </w:pPr>
      <w:r w:rsidRPr="009868F9">
        <w:rPr>
          <w:szCs w:val="26"/>
        </w:rPr>
        <w:t>Tudela y Tafalla soportarían un menor importe al ser las pensiones de sus pasivos menores que lo que les corresponde en el reparto.</w:t>
      </w:r>
    </w:p>
    <w:p w:rsidR="00E52F02" w:rsidRPr="009868F9" w:rsidRDefault="00E52F02" w:rsidP="0077337B">
      <w:pPr>
        <w:pStyle w:val="texto"/>
        <w:rPr>
          <w:szCs w:val="26"/>
        </w:rPr>
      </w:pPr>
      <w:r>
        <w:rPr>
          <w:szCs w:val="26"/>
        </w:rPr>
        <w:t xml:space="preserve">A este respecto, debemos indicar que el ayuntamiento de Tudela pretendió en los años 80 ser excluido del reparto del </w:t>
      </w:r>
      <w:r w:rsidR="00B04729">
        <w:rPr>
          <w:szCs w:val="26"/>
        </w:rPr>
        <w:t>Montepío</w:t>
      </w:r>
      <w:r>
        <w:rPr>
          <w:szCs w:val="26"/>
        </w:rPr>
        <w:t xml:space="preserve"> general, haciéndose cargo de las pensiones generadas por funcionarios de Tudela, para lo que llegó a pr</w:t>
      </w:r>
      <w:r>
        <w:rPr>
          <w:szCs w:val="26"/>
        </w:rPr>
        <w:t>e</w:t>
      </w:r>
      <w:r>
        <w:rPr>
          <w:szCs w:val="26"/>
        </w:rPr>
        <w:t>sentar reclamación en los Tribunales</w:t>
      </w:r>
      <w:r w:rsidR="003B4B40">
        <w:rPr>
          <w:szCs w:val="26"/>
        </w:rPr>
        <w:t>,</w:t>
      </w:r>
      <w:r>
        <w:rPr>
          <w:szCs w:val="26"/>
        </w:rPr>
        <w:t xml:space="preserve"> que fue desestimada.</w:t>
      </w:r>
    </w:p>
    <w:p w:rsidR="009868F9" w:rsidRPr="009868F9" w:rsidRDefault="0001532B" w:rsidP="0077337B">
      <w:pPr>
        <w:pStyle w:val="texto"/>
        <w:rPr>
          <w:szCs w:val="26"/>
        </w:rPr>
      </w:pPr>
      <w:r w:rsidRPr="00FB1FFE">
        <w:rPr>
          <w:b/>
          <w:szCs w:val="26"/>
        </w:rPr>
        <w:t>16</w:t>
      </w:r>
      <w:r w:rsidR="00FB1FFE">
        <w:rPr>
          <w:b/>
          <w:szCs w:val="26"/>
        </w:rPr>
        <w:t>.</w:t>
      </w:r>
      <w:r w:rsidR="009868F9" w:rsidRPr="00FB1FFE">
        <w:rPr>
          <w:b/>
          <w:szCs w:val="26"/>
        </w:rPr>
        <w:t>ª</w:t>
      </w:r>
      <w:r w:rsidR="009868F9" w:rsidRPr="009868F9">
        <w:rPr>
          <w:szCs w:val="26"/>
        </w:rPr>
        <w:t xml:space="preserve"> Hemos calculado el reparto del déficit incorporando el déficit de sus </w:t>
      </w:r>
      <w:r w:rsidR="00B04729">
        <w:rPr>
          <w:szCs w:val="26"/>
        </w:rPr>
        <w:t>Montepío</w:t>
      </w:r>
      <w:r w:rsidR="009868F9" w:rsidRPr="009868F9">
        <w:rPr>
          <w:szCs w:val="26"/>
        </w:rPr>
        <w:t xml:space="preserve">s propios de Tafalla y Tudela. </w:t>
      </w:r>
    </w:p>
    <w:p w:rsidR="009868F9" w:rsidRDefault="009868F9" w:rsidP="00486422">
      <w:pPr>
        <w:pStyle w:val="texto"/>
        <w:spacing w:after="240"/>
        <w:rPr>
          <w:szCs w:val="26"/>
        </w:rPr>
      </w:pPr>
      <w:r w:rsidRPr="009868F9">
        <w:rPr>
          <w:szCs w:val="26"/>
        </w:rPr>
        <w:t xml:space="preserve">En este caso el déficit de los </w:t>
      </w:r>
      <w:r w:rsidR="00B04729">
        <w:rPr>
          <w:szCs w:val="26"/>
        </w:rPr>
        <w:t>Montepío</w:t>
      </w:r>
      <w:r w:rsidRPr="009868F9">
        <w:rPr>
          <w:szCs w:val="26"/>
        </w:rPr>
        <w:t>s es de:</w:t>
      </w:r>
    </w:p>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615"/>
      </w:tblGrid>
      <w:tr w:rsidR="009868F9" w:rsidRPr="009868F9" w:rsidTr="00B61F51">
        <w:tc>
          <w:tcPr>
            <w:tcW w:w="4174" w:type="dxa"/>
            <w:tcBorders>
              <w:top w:val="single" w:sz="4" w:space="0" w:color="auto"/>
              <w:bottom w:val="single" w:sz="4" w:space="0" w:color="auto"/>
            </w:tcBorders>
            <w:shd w:val="clear" w:color="auto" w:fill="FABF8F" w:themeFill="accent6" w:themeFillTint="99"/>
            <w:vAlign w:val="center"/>
          </w:tcPr>
          <w:p w:rsidR="009868F9" w:rsidRPr="00BF5E96" w:rsidRDefault="00B04729" w:rsidP="00BF5E96">
            <w:pPr>
              <w:spacing w:after="0" w:line="300" w:lineRule="atLeast"/>
              <w:ind w:firstLine="0"/>
              <w:jc w:val="left"/>
              <w:rPr>
                <w:rFonts w:ascii="Arial" w:hAnsi="Arial" w:cs="Arial"/>
                <w:sz w:val="20"/>
                <w:szCs w:val="20"/>
                <w:lang w:val="es-ES" w:eastAsia="es-ES"/>
              </w:rPr>
            </w:pPr>
            <w:r>
              <w:rPr>
                <w:rFonts w:ascii="Arial" w:hAnsi="Arial" w:cs="Arial"/>
                <w:sz w:val="20"/>
                <w:szCs w:val="20"/>
                <w:lang w:val="es-ES" w:eastAsia="es-ES"/>
              </w:rPr>
              <w:t>Montepío</w:t>
            </w:r>
          </w:p>
        </w:tc>
        <w:tc>
          <w:tcPr>
            <w:tcW w:w="4615" w:type="dxa"/>
            <w:tcBorders>
              <w:top w:val="single" w:sz="4" w:space="0" w:color="auto"/>
              <w:bottom w:val="single" w:sz="4" w:space="0" w:color="auto"/>
            </w:tcBorders>
            <w:shd w:val="clear" w:color="auto" w:fill="FABF8F" w:themeFill="accent6" w:themeFillTint="99"/>
            <w:vAlign w:val="center"/>
          </w:tcPr>
          <w:p w:rsidR="009868F9" w:rsidRPr="00BF5E96" w:rsidRDefault="009868F9" w:rsidP="00EB6280">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Importe</w:t>
            </w:r>
          </w:p>
        </w:tc>
      </w:tr>
      <w:tr w:rsidR="009868F9" w:rsidRPr="00EB6280" w:rsidTr="00EB6280">
        <w:tc>
          <w:tcPr>
            <w:tcW w:w="4174" w:type="dxa"/>
            <w:tcBorders>
              <w:top w:val="single" w:sz="4" w:space="0" w:color="auto"/>
              <w:bottom w:val="single" w:sz="2" w:space="0" w:color="auto"/>
            </w:tcBorders>
            <w:vAlign w:val="center"/>
          </w:tcPr>
          <w:p w:rsidR="009868F9" w:rsidRPr="00EB6280" w:rsidRDefault="009868F9" w:rsidP="00BF5E96">
            <w:pPr>
              <w:spacing w:after="0" w:line="300" w:lineRule="atLeast"/>
              <w:ind w:firstLine="0"/>
              <w:jc w:val="left"/>
              <w:rPr>
                <w:rFonts w:ascii="Arial Narrow" w:hAnsi="Arial Narrow" w:cs="Arial"/>
                <w:sz w:val="20"/>
                <w:szCs w:val="20"/>
                <w:lang w:val="es-ES" w:eastAsia="es-ES"/>
              </w:rPr>
            </w:pPr>
            <w:r w:rsidRPr="00EB6280">
              <w:rPr>
                <w:rFonts w:ascii="Arial Narrow" w:hAnsi="Arial Narrow" w:cs="Arial"/>
                <w:sz w:val="20"/>
                <w:szCs w:val="20"/>
                <w:lang w:val="es-ES" w:eastAsia="es-ES"/>
              </w:rPr>
              <w:t>General</w:t>
            </w:r>
          </w:p>
        </w:tc>
        <w:tc>
          <w:tcPr>
            <w:tcW w:w="4615" w:type="dxa"/>
            <w:tcBorders>
              <w:top w:val="single" w:sz="4" w:space="0" w:color="auto"/>
              <w:bottom w:val="single" w:sz="2" w:space="0" w:color="auto"/>
            </w:tcBorders>
            <w:vAlign w:val="center"/>
          </w:tcPr>
          <w:p w:rsidR="009868F9" w:rsidRPr="00486422" w:rsidRDefault="009868F9" w:rsidP="00EB6280">
            <w:pPr>
              <w:spacing w:after="0"/>
              <w:ind w:firstLine="0"/>
              <w:jc w:val="right"/>
              <w:rPr>
                <w:rFonts w:ascii="Arial Narrow" w:hAnsi="Arial Narrow" w:cs="Arial"/>
                <w:sz w:val="20"/>
                <w:szCs w:val="20"/>
                <w:lang w:val="es-ES" w:eastAsia="es-ES"/>
              </w:rPr>
            </w:pPr>
            <w:r w:rsidRPr="00486422">
              <w:rPr>
                <w:rFonts w:ascii="Arial Narrow" w:hAnsi="Arial Narrow" w:cs="Arial"/>
                <w:sz w:val="20"/>
                <w:szCs w:val="20"/>
                <w:lang w:val="es-ES" w:eastAsia="es-ES"/>
              </w:rPr>
              <w:t>18.107.163</w:t>
            </w:r>
          </w:p>
        </w:tc>
      </w:tr>
      <w:tr w:rsidR="009868F9" w:rsidRPr="00EB6280" w:rsidTr="00EB6280">
        <w:tc>
          <w:tcPr>
            <w:tcW w:w="4174" w:type="dxa"/>
            <w:tcBorders>
              <w:top w:val="single" w:sz="2" w:space="0" w:color="auto"/>
              <w:bottom w:val="single" w:sz="2" w:space="0" w:color="auto"/>
            </w:tcBorders>
            <w:vAlign w:val="center"/>
          </w:tcPr>
          <w:p w:rsidR="009868F9" w:rsidRPr="00EB6280" w:rsidRDefault="009868F9" w:rsidP="00BF5E96">
            <w:pPr>
              <w:spacing w:after="0" w:line="300" w:lineRule="atLeast"/>
              <w:ind w:firstLine="0"/>
              <w:jc w:val="left"/>
              <w:rPr>
                <w:rFonts w:ascii="Arial Narrow" w:hAnsi="Arial Narrow" w:cs="Arial"/>
                <w:sz w:val="20"/>
                <w:szCs w:val="20"/>
                <w:lang w:val="es-ES" w:eastAsia="es-ES"/>
              </w:rPr>
            </w:pPr>
            <w:r w:rsidRPr="00EB6280">
              <w:rPr>
                <w:rFonts w:ascii="Arial Narrow" w:hAnsi="Arial Narrow" w:cs="Arial"/>
                <w:sz w:val="20"/>
                <w:szCs w:val="20"/>
                <w:lang w:val="es-ES" w:eastAsia="es-ES"/>
              </w:rPr>
              <w:t>Tafalla</w:t>
            </w:r>
          </w:p>
        </w:tc>
        <w:tc>
          <w:tcPr>
            <w:tcW w:w="4615" w:type="dxa"/>
            <w:tcBorders>
              <w:top w:val="single" w:sz="2" w:space="0" w:color="auto"/>
              <w:bottom w:val="single" w:sz="2" w:space="0" w:color="auto"/>
            </w:tcBorders>
            <w:vAlign w:val="center"/>
          </w:tcPr>
          <w:p w:rsidR="009868F9" w:rsidRPr="00486422" w:rsidRDefault="009868F9" w:rsidP="00EB6280">
            <w:pPr>
              <w:spacing w:after="0"/>
              <w:ind w:firstLine="0"/>
              <w:jc w:val="right"/>
              <w:rPr>
                <w:rFonts w:ascii="Arial Narrow" w:hAnsi="Arial Narrow" w:cs="Arial"/>
                <w:sz w:val="20"/>
                <w:szCs w:val="20"/>
                <w:lang w:val="es-ES" w:eastAsia="es-ES"/>
              </w:rPr>
            </w:pPr>
            <w:r w:rsidRPr="00486422">
              <w:rPr>
                <w:rFonts w:ascii="Arial Narrow" w:hAnsi="Arial Narrow" w:cs="Arial"/>
                <w:sz w:val="20"/>
                <w:szCs w:val="20"/>
                <w:lang w:val="es-ES" w:eastAsia="es-ES"/>
              </w:rPr>
              <w:t>797.234</w:t>
            </w:r>
          </w:p>
        </w:tc>
      </w:tr>
      <w:tr w:rsidR="009868F9" w:rsidRPr="00EB6280" w:rsidTr="00EB6280">
        <w:tc>
          <w:tcPr>
            <w:tcW w:w="4174" w:type="dxa"/>
            <w:tcBorders>
              <w:top w:val="single" w:sz="2" w:space="0" w:color="auto"/>
              <w:bottom w:val="single" w:sz="4" w:space="0" w:color="auto"/>
            </w:tcBorders>
            <w:vAlign w:val="center"/>
          </w:tcPr>
          <w:p w:rsidR="009868F9" w:rsidRPr="00EB6280" w:rsidRDefault="009868F9" w:rsidP="00BF5E96">
            <w:pPr>
              <w:spacing w:after="0" w:line="300" w:lineRule="atLeast"/>
              <w:ind w:firstLine="0"/>
              <w:jc w:val="left"/>
              <w:rPr>
                <w:rFonts w:ascii="Arial Narrow" w:hAnsi="Arial Narrow" w:cs="Arial"/>
                <w:sz w:val="20"/>
                <w:szCs w:val="20"/>
                <w:lang w:val="es-ES" w:eastAsia="es-ES"/>
              </w:rPr>
            </w:pPr>
            <w:r w:rsidRPr="00EB6280">
              <w:rPr>
                <w:rFonts w:ascii="Arial Narrow" w:hAnsi="Arial Narrow" w:cs="Arial"/>
                <w:sz w:val="20"/>
                <w:szCs w:val="20"/>
                <w:lang w:val="es-ES" w:eastAsia="es-ES"/>
              </w:rPr>
              <w:t>Tudela</w:t>
            </w:r>
          </w:p>
        </w:tc>
        <w:tc>
          <w:tcPr>
            <w:tcW w:w="4615" w:type="dxa"/>
            <w:tcBorders>
              <w:top w:val="single" w:sz="2" w:space="0" w:color="auto"/>
              <w:bottom w:val="single" w:sz="4" w:space="0" w:color="auto"/>
            </w:tcBorders>
            <w:vAlign w:val="center"/>
          </w:tcPr>
          <w:p w:rsidR="009868F9" w:rsidRPr="00486422" w:rsidRDefault="009868F9" w:rsidP="00EB6280">
            <w:pPr>
              <w:spacing w:after="0"/>
              <w:ind w:firstLine="0"/>
              <w:jc w:val="right"/>
              <w:rPr>
                <w:rFonts w:ascii="Arial Narrow" w:hAnsi="Arial Narrow" w:cs="Arial"/>
                <w:sz w:val="20"/>
                <w:szCs w:val="20"/>
                <w:lang w:val="es-ES" w:eastAsia="es-ES"/>
              </w:rPr>
            </w:pPr>
            <w:r w:rsidRPr="00486422">
              <w:rPr>
                <w:rFonts w:ascii="Arial Narrow" w:hAnsi="Arial Narrow" w:cs="Arial"/>
                <w:sz w:val="20"/>
                <w:szCs w:val="20"/>
                <w:lang w:val="es-ES" w:eastAsia="es-ES"/>
              </w:rPr>
              <w:t>1.712.440</w:t>
            </w:r>
          </w:p>
        </w:tc>
      </w:tr>
      <w:tr w:rsidR="009868F9" w:rsidRPr="00EB6280" w:rsidTr="004F5937">
        <w:tc>
          <w:tcPr>
            <w:tcW w:w="4174" w:type="dxa"/>
            <w:tcBorders>
              <w:top w:val="single" w:sz="4" w:space="0" w:color="auto"/>
              <w:bottom w:val="single" w:sz="4" w:space="0" w:color="auto"/>
            </w:tcBorders>
            <w:shd w:val="clear" w:color="auto" w:fill="FABF8F" w:themeFill="accent6" w:themeFillTint="99"/>
            <w:vAlign w:val="center"/>
          </w:tcPr>
          <w:p w:rsidR="009868F9" w:rsidRPr="00EB6280" w:rsidRDefault="009868F9" w:rsidP="00BF5E96">
            <w:pPr>
              <w:spacing w:after="0" w:line="300" w:lineRule="atLeast"/>
              <w:ind w:firstLine="0"/>
              <w:jc w:val="left"/>
              <w:rPr>
                <w:rFonts w:ascii="Arial Narrow" w:hAnsi="Arial Narrow" w:cs="Arial"/>
                <w:sz w:val="20"/>
                <w:szCs w:val="20"/>
                <w:lang w:val="es-ES" w:eastAsia="es-ES"/>
              </w:rPr>
            </w:pPr>
            <w:r w:rsidRPr="00EB6280">
              <w:rPr>
                <w:rFonts w:ascii="Arial Narrow" w:hAnsi="Arial Narrow" w:cs="Arial"/>
                <w:sz w:val="20"/>
                <w:szCs w:val="20"/>
                <w:lang w:val="es-ES" w:eastAsia="es-ES"/>
              </w:rPr>
              <w:t>Total</w:t>
            </w:r>
          </w:p>
        </w:tc>
        <w:tc>
          <w:tcPr>
            <w:tcW w:w="4615" w:type="dxa"/>
            <w:tcBorders>
              <w:top w:val="single" w:sz="4" w:space="0" w:color="auto"/>
              <w:bottom w:val="single" w:sz="4" w:space="0" w:color="auto"/>
            </w:tcBorders>
            <w:shd w:val="clear" w:color="auto" w:fill="FABF8F" w:themeFill="accent6" w:themeFillTint="99"/>
            <w:vAlign w:val="center"/>
          </w:tcPr>
          <w:p w:rsidR="009868F9" w:rsidRPr="00486422" w:rsidRDefault="009868F9" w:rsidP="00EB6280">
            <w:pPr>
              <w:spacing w:after="0"/>
              <w:ind w:firstLine="0"/>
              <w:jc w:val="right"/>
              <w:rPr>
                <w:rFonts w:ascii="Arial Narrow" w:hAnsi="Arial Narrow" w:cs="Arial"/>
                <w:sz w:val="20"/>
                <w:szCs w:val="20"/>
                <w:lang w:val="es-ES" w:eastAsia="es-ES"/>
              </w:rPr>
            </w:pPr>
            <w:r w:rsidRPr="00486422">
              <w:rPr>
                <w:rFonts w:ascii="Arial Narrow" w:hAnsi="Arial Narrow" w:cs="Arial"/>
                <w:sz w:val="20"/>
                <w:szCs w:val="20"/>
                <w:lang w:val="es-ES" w:eastAsia="es-ES"/>
              </w:rPr>
              <w:t>20.616.837</w:t>
            </w:r>
          </w:p>
        </w:tc>
      </w:tr>
    </w:tbl>
    <w:p w:rsidR="009868F9" w:rsidRDefault="009868F9" w:rsidP="00486422">
      <w:pPr>
        <w:pStyle w:val="texto"/>
        <w:spacing w:before="240" w:after="240"/>
        <w:rPr>
          <w:szCs w:val="26"/>
        </w:rPr>
      </w:pPr>
      <w:r w:rsidRPr="009868F9">
        <w:rPr>
          <w:szCs w:val="26"/>
        </w:rPr>
        <w:t>Este déficit total lo repartimos exclusivamente por población y obtenemos el siguiente resultado:</w:t>
      </w:r>
    </w:p>
    <w:tbl>
      <w:tblPr>
        <w:tblStyle w:val="Tablaconcuadrcula1"/>
        <w:tblW w:w="87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96"/>
        <w:gridCol w:w="1978"/>
        <w:gridCol w:w="1778"/>
        <w:gridCol w:w="1761"/>
        <w:gridCol w:w="1770"/>
      </w:tblGrid>
      <w:tr w:rsidR="0001532B" w:rsidRPr="009868F9" w:rsidTr="002901FD">
        <w:tc>
          <w:tcPr>
            <w:tcW w:w="1489" w:type="dxa"/>
            <w:gridSpan w:val="2"/>
            <w:tcBorders>
              <w:top w:val="single" w:sz="4" w:space="0" w:color="auto"/>
              <w:bottom w:val="single" w:sz="4" w:space="0" w:color="auto"/>
            </w:tcBorders>
            <w:shd w:val="clear" w:color="auto" w:fill="FABF8F" w:themeFill="accent6" w:themeFillTint="99"/>
            <w:vAlign w:val="center"/>
          </w:tcPr>
          <w:p w:rsidR="0001532B" w:rsidRPr="00BF5E96" w:rsidRDefault="0001532B" w:rsidP="00C1744D">
            <w:pPr>
              <w:spacing w:after="0" w:line="300" w:lineRule="atLeast"/>
              <w:ind w:right="-108" w:firstLine="0"/>
              <w:jc w:val="left"/>
              <w:rPr>
                <w:rFonts w:ascii="Arial" w:hAnsi="Arial" w:cs="Arial"/>
                <w:sz w:val="20"/>
                <w:szCs w:val="20"/>
                <w:lang w:val="es-ES" w:eastAsia="es-ES"/>
              </w:rPr>
            </w:pPr>
            <w:r w:rsidRPr="00BF5E96">
              <w:rPr>
                <w:rFonts w:ascii="Arial" w:hAnsi="Arial" w:cs="Arial"/>
                <w:sz w:val="20"/>
                <w:szCs w:val="20"/>
                <w:lang w:val="es-ES" w:eastAsia="es-ES"/>
              </w:rPr>
              <w:t>Número</w:t>
            </w:r>
            <w:r w:rsidR="008B64C5">
              <w:rPr>
                <w:rFonts w:ascii="Arial" w:hAnsi="Arial" w:cs="Arial"/>
                <w:sz w:val="20"/>
                <w:szCs w:val="20"/>
                <w:lang w:val="es-ES" w:eastAsia="es-ES"/>
              </w:rPr>
              <w:t xml:space="preserve"> de a</w:t>
            </w:r>
            <w:r w:rsidRPr="00BF5E96">
              <w:rPr>
                <w:rFonts w:ascii="Arial" w:hAnsi="Arial" w:cs="Arial"/>
                <w:sz w:val="20"/>
                <w:szCs w:val="20"/>
                <w:lang w:val="es-ES" w:eastAsia="es-ES"/>
              </w:rPr>
              <w:t>yuntamiento</w:t>
            </w:r>
            <w:r w:rsidR="008B64C5">
              <w:rPr>
                <w:rFonts w:ascii="Arial" w:hAnsi="Arial" w:cs="Arial"/>
                <w:sz w:val="20"/>
                <w:szCs w:val="20"/>
                <w:lang w:val="es-ES" w:eastAsia="es-ES"/>
              </w:rPr>
              <w:t>s</w:t>
            </w:r>
          </w:p>
        </w:tc>
        <w:tc>
          <w:tcPr>
            <w:tcW w:w="1978" w:type="dxa"/>
            <w:tcBorders>
              <w:top w:val="single" w:sz="4" w:space="0" w:color="auto"/>
              <w:bottom w:val="single" w:sz="4" w:space="0" w:color="auto"/>
            </w:tcBorders>
            <w:shd w:val="clear" w:color="auto" w:fill="FABF8F" w:themeFill="accent6" w:themeFillTint="99"/>
            <w:vAlign w:val="center"/>
          </w:tcPr>
          <w:p w:rsidR="0001532B" w:rsidRPr="00BF5E96" w:rsidRDefault="0001532B" w:rsidP="00141179">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Cargo actual</w:t>
            </w:r>
          </w:p>
        </w:tc>
        <w:tc>
          <w:tcPr>
            <w:tcW w:w="1778" w:type="dxa"/>
            <w:tcBorders>
              <w:top w:val="single" w:sz="4" w:space="0" w:color="auto"/>
              <w:bottom w:val="single" w:sz="4" w:space="0" w:color="auto"/>
            </w:tcBorders>
            <w:shd w:val="clear" w:color="auto" w:fill="FABF8F" w:themeFill="accent6" w:themeFillTint="99"/>
            <w:vAlign w:val="center"/>
          </w:tcPr>
          <w:p w:rsidR="00395AE5" w:rsidRDefault="0001532B" w:rsidP="00141179">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Importe</w:t>
            </w:r>
          </w:p>
          <w:p w:rsidR="0001532B" w:rsidRPr="00BF5E96" w:rsidRDefault="0001532B" w:rsidP="00141179">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estimación</w:t>
            </w:r>
          </w:p>
        </w:tc>
        <w:tc>
          <w:tcPr>
            <w:tcW w:w="1761" w:type="dxa"/>
            <w:tcBorders>
              <w:top w:val="single" w:sz="4" w:space="0" w:color="auto"/>
              <w:bottom w:val="single" w:sz="4" w:space="0" w:color="auto"/>
            </w:tcBorders>
            <w:shd w:val="clear" w:color="auto" w:fill="FABF8F" w:themeFill="accent6" w:themeFillTint="99"/>
            <w:vAlign w:val="center"/>
          </w:tcPr>
          <w:p w:rsidR="0001532B" w:rsidRPr="0001532B" w:rsidRDefault="0001532B" w:rsidP="00141179">
            <w:pPr>
              <w:spacing w:after="0" w:line="300" w:lineRule="atLeast"/>
              <w:ind w:firstLine="0"/>
              <w:jc w:val="right"/>
              <w:rPr>
                <w:rFonts w:ascii="Arial" w:hAnsi="Arial" w:cs="Arial"/>
                <w:sz w:val="20"/>
                <w:szCs w:val="20"/>
                <w:lang w:val="es-ES" w:eastAsia="es-ES"/>
              </w:rPr>
            </w:pPr>
            <w:r w:rsidRPr="0001532B">
              <w:rPr>
                <w:rFonts w:ascii="Arial" w:hAnsi="Arial" w:cs="Arial"/>
                <w:sz w:val="20"/>
                <w:szCs w:val="20"/>
                <w:lang w:val="es-ES" w:eastAsia="es-ES"/>
              </w:rPr>
              <w:t>Diferencia</w:t>
            </w:r>
          </w:p>
        </w:tc>
        <w:tc>
          <w:tcPr>
            <w:tcW w:w="1770" w:type="dxa"/>
            <w:tcBorders>
              <w:top w:val="single" w:sz="4" w:space="0" w:color="auto"/>
              <w:bottom w:val="single" w:sz="4" w:space="0" w:color="auto"/>
            </w:tcBorders>
            <w:shd w:val="clear" w:color="auto" w:fill="FABF8F" w:themeFill="accent6" w:themeFillTint="99"/>
            <w:vAlign w:val="center"/>
          </w:tcPr>
          <w:p w:rsidR="0001532B" w:rsidRPr="00BF5E96" w:rsidRDefault="0001532B" w:rsidP="00141179">
            <w:pPr>
              <w:spacing w:after="0" w:line="300" w:lineRule="atLeast"/>
              <w:ind w:firstLine="0"/>
              <w:jc w:val="right"/>
              <w:rPr>
                <w:rFonts w:ascii="Arial" w:hAnsi="Arial" w:cs="Arial"/>
                <w:sz w:val="20"/>
                <w:szCs w:val="20"/>
                <w:lang w:val="es-ES" w:eastAsia="es-ES"/>
              </w:rPr>
            </w:pPr>
            <w:r w:rsidRPr="00BF5E96">
              <w:rPr>
                <w:rFonts w:ascii="Arial" w:hAnsi="Arial" w:cs="Arial"/>
                <w:sz w:val="20"/>
                <w:szCs w:val="20"/>
                <w:lang w:val="es-ES" w:eastAsia="es-ES"/>
              </w:rPr>
              <w:t>Variación</w:t>
            </w:r>
          </w:p>
        </w:tc>
      </w:tr>
      <w:tr w:rsidR="003E35E8" w:rsidRPr="00EB6280" w:rsidTr="002901FD">
        <w:trPr>
          <w:trHeight w:val="240"/>
        </w:trPr>
        <w:tc>
          <w:tcPr>
            <w:tcW w:w="993" w:type="dxa"/>
            <w:tcBorders>
              <w:top w:val="single" w:sz="4"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lang w:val="es-ES" w:eastAsia="es-ES"/>
              </w:rPr>
            </w:pPr>
            <w:r w:rsidRPr="003E35E8">
              <w:rPr>
                <w:rFonts w:ascii="Arial Narrow" w:hAnsi="Arial Narrow" w:cs="Arial"/>
                <w:sz w:val="20"/>
                <w:szCs w:val="20"/>
                <w:lang w:val="es-ES" w:eastAsia="es-ES"/>
              </w:rPr>
              <w:t>40</w:t>
            </w:r>
          </w:p>
        </w:tc>
        <w:tc>
          <w:tcPr>
            <w:tcW w:w="496" w:type="dxa"/>
            <w:tcBorders>
              <w:top w:val="single" w:sz="4"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12.942.854</w:t>
            </w:r>
          </w:p>
        </w:tc>
        <w:tc>
          <w:tcPr>
            <w:tcW w:w="1778"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7.788.970</w:t>
            </w:r>
          </w:p>
        </w:tc>
        <w:tc>
          <w:tcPr>
            <w:tcW w:w="1761"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lang w:val="es-ES" w:eastAsia="es-ES"/>
              </w:rPr>
            </w:pPr>
            <w:r>
              <w:rPr>
                <w:rFonts w:ascii="Arial Narrow" w:hAnsi="Arial Narrow" w:cs="Arial"/>
                <w:lang w:val="es-ES" w:eastAsia="es-ES"/>
              </w:rPr>
              <w:t>-</w:t>
            </w:r>
            <w:r w:rsidRPr="0001532B">
              <w:rPr>
                <w:rFonts w:ascii="Arial Narrow" w:hAnsi="Arial Narrow" w:cs="Arial"/>
                <w:sz w:val="20"/>
                <w:szCs w:val="20"/>
                <w:lang w:val="es-ES" w:eastAsia="es-ES"/>
              </w:rPr>
              <w:t>5.153.884</w:t>
            </w:r>
          </w:p>
        </w:tc>
        <w:tc>
          <w:tcPr>
            <w:tcW w:w="1770" w:type="dxa"/>
            <w:tcBorders>
              <w:top w:val="single" w:sz="4"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&lt;1</w:t>
            </w:r>
          </w:p>
        </w:tc>
      </w:tr>
      <w:tr w:rsidR="003E35E8" w:rsidRPr="00EB6280" w:rsidTr="002901FD">
        <w:trPr>
          <w:trHeight w:val="198"/>
        </w:trPr>
        <w:tc>
          <w:tcPr>
            <w:tcW w:w="993"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lang w:val="es-ES" w:eastAsia="es-ES"/>
              </w:rPr>
            </w:pPr>
            <w:r w:rsidRPr="003E35E8">
              <w:rPr>
                <w:rFonts w:ascii="Arial Narrow" w:hAnsi="Arial Narrow" w:cs="Arial"/>
                <w:sz w:val="20"/>
                <w:szCs w:val="20"/>
                <w:lang w:val="es-ES" w:eastAsia="es-ES"/>
              </w:rPr>
              <w:t>14</w:t>
            </w:r>
          </w:p>
        </w:tc>
        <w:tc>
          <w:tcPr>
            <w:tcW w:w="496"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4.789.154</w:t>
            </w:r>
          </w:p>
        </w:tc>
        <w:tc>
          <w:tcPr>
            <w:tcW w:w="17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5.647.190</w:t>
            </w:r>
          </w:p>
        </w:tc>
        <w:tc>
          <w:tcPr>
            <w:tcW w:w="1761" w:type="dxa"/>
            <w:tcBorders>
              <w:top w:val="single" w:sz="2" w:space="0" w:color="auto"/>
              <w:bottom w:val="single" w:sz="2" w:space="0" w:color="auto"/>
            </w:tcBorders>
            <w:vAlign w:val="center"/>
          </w:tcPr>
          <w:p w:rsidR="003E35E8" w:rsidRPr="0001532B" w:rsidRDefault="003E35E8" w:rsidP="00EB6280">
            <w:pPr>
              <w:spacing w:after="0"/>
              <w:ind w:firstLine="0"/>
              <w:jc w:val="right"/>
              <w:rPr>
                <w:rFonts w:ascii="Arial Narrow" w:hAnsi="Arial Narrow" w:cs="Arial"/>
                <w:sz w:val="20"/>
                <w:szCs w:val="20"/>
                <w:lang w:val="es-ES" w:eastAsia="es-ES"/>
              </w:rPr>
            </w:pPr>
            <w:r w:rsidRPr="0001532B">
              <w:rPr>
                <w:rFonts w:ascii="Arial Narrow" w:hAnsi="Arial Narrow" w:cs="Arial"/>
                <w:sz w:val="20"/>
                <w:szCs w:val="20"/>
                <w:lang w:val="es-ES" w:eastAsia="es-ES"/>
              </w:rPr>
              <w:t>858.036</w:t>
            </w:r>
          </w:p>
        </w:tc>
        <w:tc>
          <w:tcPr>
            <w:tcW w:w="1770"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&gt;1&lt;2,49</w:t>
            </w:r>
          </w:p>
        </w:tc>
      </w:tr>
      <w:tr w:rsidR="003E35E8" w:rsidRPr="00EB6280" w:rsidTr="002901FD">
        <w:trPr>
          <w:trHeight w:val="198"/>
        </w:trPr>
        <w:tc>
          <w:tcPr>
            <w:tcW w:w="993"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lang w:val="es-ES" w:eastAsia="es-ES"/>
              </w:rPr>
            </w:pPr>
            <w:r w:rsidRPr="003E35E8">
              <w:rPr>
                <w:rFonts w:ascii="Arial Narrow" w:hAnsi="Arial Narrow" w:cs="Arial"/>
                <w:sz w:val="20"/>
                <w:szCs w:val="20"/>
                <w:lang w:val="es-ES" w:eastAsia="es-ES"/>
              </w:rPr>
              <w:t>214</w:t>
            </w:r>
          </w:p>
        </w:tc>
        <w:tc>
          <w:tcPr>
            <w:tcW w:w="496"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2.882.547</w:t>
            </w:r>
          </w:p>
        </w:tc>
        <w:tc>
          <w:tcPr>
            <w:tcW w:w="17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7.173.211</w:t>
            </w:r>
          </w:p>
        </w:tc>
        <w:tc>
          <w:tcPr>
            <w:tcW w:w="1761" w:type="dxa"/>
            <w:tcBorders>
              <w:top w:val="single" w:sz="2" w:space="0" w:color="auto"/>
              <w:bottom w:val="single" w:sz="2" w:space="0" w:color="auto"/>
            </w:tcBorders>
            <w:vAlign w:val="center"/>
          </w:tcPr>
          <w:p w:rsidR="003E35E8" w:rsidRPr="0001532B" w:rsidRDefault="003E35E8" w:rsidP="00EB6280">
            <w:pPr>
              <w:spacing w:after="0"/>
              <w:ind w:firstLine="0"/>
              <w:jc w:val="right"/>
              <w:rPr>
                <w:rFonts w:ascii="Arial Narrow" w:hAnsi="Arial Narrow" w:cs="Arial"/>
                <w:sz w:val="20"/>
                <w:szCs w:val="20"/>
                <w:lang w:val="es-ES" w:eastAsia="es-ES"/>
              </w:rPr>
            </w:pPr>
            <w:r w:rsidRPr="0001532B">
              <w:rPr>
                <w:rFonts w:ascii="Arial Narrow" w:hAnsi="Arial Narrow" w:cs="Arial"/>
                <w:sz w:val="20"/>
                <w:szCs w:val="20"/>
                <w:lang w:val="es-ES" w:eastAsia="es-ES"/>
              </w:rPr>
              <w:t>4.290.664</w:t>
            </w:r>
          </w:p>
        </w:tc>
        <w:tc>
          <w:tcPr>
            <w:tcW w:w="1770"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2,49</w:t>
            </w:r>
          </w:p>
        </w:tc>
      </w:tr>
      <w:tr w:rsidR="003E35E8" w:rsidRPr="00EB6280" w:rsidTr="002901FD">
        <w:trPr>
          <w:trHeight w:val="198"/>
        </w:trPr>
        <w:tc>
          <w:tcPr>
            <w:tcW w:w="993"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right"/>
              <w:rPr>
                <w:rFonts w:ascii="Arial Narrow" w:hAnsi="Arial Narrow" w:cs="Arial"/>
                <w:lang w:val="es-ES" w:eastAsia="es-ES"/>
              </w:rPr>
            </w:pPr>
            <w:r w:rsidRPr="003E35E8">
              <w:rPr>
                <w:rFonts w:ascii="Arial Narrow" w:hAnsi="Arial Narrow" w:cs="Arial"/>
                <w:sz w:val="20"/>
                <w:szCs w:val="20"/>
                <w:lang w:val="es-ES" w:eastAsia="es-ES"/>
              </w:rPr>
              <w:t>2</w:t>
            </w:r>
          </w:p>
        </w:tc>
        <w:tc>
          <w:tcPr>
            <w:tcW w:w="496" w:type="dxa"/>
            <w:tcBorders>
              <w:top w:val="single" w:sz="2" w:space="0" w:color="auto"/>
              <w:bottom w:val="single" w:sz="2" w:space="0" w:color="auto"/>
            </w:tcBorders>
            <w:vAlign w:val="center"/>
          </w:tcPr>
          <w:p w:rsidR="003E35E8" w:rsidRPr="003E35E8" w:rsidRDefault="003E35E8" w:rsidP="003E35E8">
            <w:pPr>
              <w:spacing w:after="0" w:line="300" w:lineRule="atLeast"/>
              <w:ind w:firstLine="0"/>
              <w:jc w:val="center"/>
              <w:rPr>
                <w:rFonts w:ascii="Arial Narrow" w:hAnsi="Arial Narrow" w:cs="Arial"/>
                <w:sz w:val="20"/>
                <w:szCs w:val="20"/>
                <w:lang w:val="es-ES" w:eastAsia="es-ES"/>
              </w:rPr>
            </w:pPr>
          </w:p>
        </w:tc>
        <w:tc>
          <w:tcPr>
            <w:tcW w:w="19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2.281</w:t>
            </w:r>
          </w:p>
        </w:tc>
        <w:tc>
          <w:tcPr>
            <w:tcW w:w="1778"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7.466</w:t>
            </w:r>
          </w:p>
        </w:tc>
        <w:tc>
          <w:tcPr>
            <w:tcW w:w="1761" w:type="dxa"/>
            <w:tcBorders>
              <w:top w:val="single" w:sz="2" w:space="0" w:color="auto"/>
              <w:bottom w:val="single" w:sz="2" w:space="0" w:color="auto"/>
            </w:tcBorders>
            <w:vAlign w:val="center"/>
          </w:tcPr>
          <w:p w:rsidR="003E35E8" w:rsidRPr="0001532B" w:rsidRDefault="003E35E8" w:rsidP="00EB6280">
            <w:pPr>
              <w:spacing w:after="0"/>
              <w:ind w:firstLine="0"/>
              <w:jc w:val="right"/>
              <w:rPr>
                <w:rFonts w:ascii="Arial Narrow" w:hAnsi="Arial Narrow" w:cs="Arial"/>
                <w:sz w:val="20"/>
                <w:szCs w:val="20"/>
                <w:lang w:val="es-ES" w:eastAsia="es-ES"/>
              </w:rPr>
            </w:pPr>
            <w:r w:rsidRPr="0001532B">
              <w:rPr>
                <w:rFonts w:ascii="Arial Narrow" w:hAnsi="Arial Narrow" w:cs="Arial"/>
                <w:sz w:val="20"/>
                <w:szCs w:val="20"/>
                <w:lang w:val="es-ES" w:eastAsia="es-ES"/>
              </w:rPr>
              <w:t>5.185</w:t>
            </w:r>
          </w:p>
        </w:tc>
        <w:tc>
          <w:tcPr>
            <w:tcW w:w="1770" w:type="dxa"/>
            <w:tcBorders>
              <w:top w:val="single" w:sz="2" w:space="0" w:color="auto"/>
              <w:bottom w:val="single" w:sz="2" w:space="0" w:color="auto"/>
            </w:tcBorders>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&gt;2,49</w:t>
            </w:r>
          </w:p>
        </w:tc>
      </w:tr>
      <w:tr w:rsidR="003E35E8" w:rsidRPr="00EB6280" w:rsidTr="002901FD">
        <w:trPr>
          <w:trHeight w:val="255"/>
        </w:trPr>
        <w:tc>
          <w:tcPr>
            <w:tcW w:w="993" w:type="dxa"/>
            <w:tcBorders>
              <w:top w:val="single" w:sz="2" w:space="0" w:color="auto"/>
              <w:bottom w:val="single" w:sz="4" w:space="0" w:color="auto"/>
            </w:tcBorders>
            <w:shd w:val="clear" w:color="auto" w:fill="FABF8F" w:themeFill="accent6" w:themeFillTint="99"/>
            <w:vAlign w:val="center"/>
          </w:tcPr>
          <w:p w:rsidR="003E35E8" w:rsidRPr="002901FD" w:rsidRDefault="003E35E8" w:rsidP="002901FD">
            <w:pPr>
              <w:spacing w:after="0"/>
              <w:ind w:firstLine="0"/>
              <w:jc w:val="right"/>
              <w:rPr>
                <w:rFonts w:ascii="Arial Narrow" w:hAnsi="Arial Narrow" w:cs="Arial"/>
                <w:sz w:val="20"/>
                <w:szCs w:val="20"/>
                <w:lang w:val="es-ES" w:eastAsia="es-ES"/>
              </w:rPr>
            </w:pPr>
            <w:r w:rsidRPr="003E35E8">
              <w:rPr>
                <w:rFonts w:ascii="Arial Narrow" w:hAnsi="Arial Narrow" w:cs="Arial"/>
                <w:sz w:val="20"/>
                <w:szCs w:val="20"/>
                <w:lang w:val="es-ES" w:eastAsia="es-ES"/>
              </w:rPr>
              <w:t>270</w:t>
            </w:r>
          </w:p>
        </w:tc>
        <w:tc>
          <w:tcPr>
            <w:tcW w:w="496" w:type="dxa"/>
            <w:tcBorders>
              <w:top w:val="single" w:sz="2" w:space="0" w:color="auto"/>
              <w:bottom w:val="single" w:sz="4" w:space="0" w:color="auto"/>
            </w:tcBorders>
            <w:shd w:val="clear" w:color="auto" w:fill="FABF8F" w:themeFill="accent6" w:themeFillTint="99"/>
            <w:vAlign w:val="center"/>
          </w:tcPr>
          <w:p w:rsidR="003E35E8" w:rsidRPr="003E35E8" w:rsidRDefault="003E35E8" w:rsidP="002901FD">
            <w:pPr>
              <w:spacing w:after="0"/>
              <w:ind w:firstLine="0"/>
              <w:jc w:val="right"/>
              <w:rPr>
                <w:rFonts w:ascii="Arial Narrow" w:hAnsi="Arial Narrow" w:cs="Arial"/>
                <w:sz w:val="20"/>
                <w:szCs w:val="20"/>
                <w:lang w:val="es-ES" w:eastAsia="es-ES"/>
              </w:rPr>
            </w:pPr>
          </w:p>
        </w:tc>
        <w:tc>
          <w:tcPr>
            <w:tcW w:w="1978" w:type="dxa"/>
            <w:tcBorders>
              <w:top w:val="single" w:sz="2" w:space="0" w:color="auto"/>
              <w:bottom w:val="single" w:sz="4" w:space="0" w:color="auto"/>
            </w:tcBorders>
            <w:shd w:val="clear" w:color="auto" w:fill="FABF8F" w:themeFill="accent6" w:themeFillTint="99"/>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20.616.837</w:t>
            </w:r>
          </w:p>
        </w:tc>
        <w:tc>
          <w:tcPr>
            <w:tcW w:w="1778" w:type="dxa"/>
            <w:tcBorders>
              <w:top w:val="single" w:sz="2" w:space="0" w:color="auto"/>
              <w:bottom w:val="single" w:sz="4" w:space="0" w:color="auto"/>
            </w:tcBorders>
            <w:shd w:val="clear" w:color="auto" w:fill="FABF8F" w:themeFill="accent6" w:themeFillTint="99"/>
            <w:vAlign w:val="center"/>
          </w:tcPr>
          <w:p w:rsidR="003E35E8" w:rsidRPr="00EB6280" w:rsidRDefault="003E35E8" w:rsidP="00EB6280">
            <w:pPr>
              <w:spacing w:after="0"/>
              <w:ind w:firstLine="0"/>
              <w:jc w:val="right"/>
              <w:rPr>
                <w:rFonts w:ascii="Arial Narrow" w:hAnsi="Arial Narrow" w:cs="Arial"/>
                <w:sz w:val="20"/>
                <w:szCs w:val="20"/>
                <w:lang w:val="es-ES" w:eastAsia="es-ES"/>
              </w:rPr>
            </w:pPr>
            <w:r w:rsidRPr="00EB6280">
              <w:rPr>
                <w:rFonts w:ascii="Arial Narrow" w:hAnsi="Arial Narrow" w:cs="Arial"/>
                <w:sz w:val="20"/>
                <w:szCs w:val="20"/>
                <w:lang w:val="es-ES" w:eastAsia="es-ES"/>
              </w:rPr>
              <w:t>20.616.837</w:t>
            </w:r>
          </w:p>
        </w:tc>
        <w:tc>
          <w:tcPr>
            <w:tcW w:w="1761" w:type="dxa"/>
            <w:tcBorders>
              <w:top w:val="single" w:sz="2" w:space="0" w:color="auto"/>
              <w:bottom w:val="single" w:sz="4" w:space="0" w:color="auto"/>
            </w:tcBorders>
            <w:shd w:val="clear" w:color="auto" w:fill="FABF8F" w:themeFill="accent6" w:themeFillTint="99"/>
            <w:vAlign w:val="center"/>
          </w:tcPr>
          <w:p w:rsidR="003E35E8" w:rsidRPr="002901FD" w:rsidRDefault="003E35E8" w:rsidP="002901FD">
            <w:pPr>
              <w:spacing w:after="0"/>
              <w:ind w:firstLine="0"/>
              <w:jc w:val="right"/>
              <w:rPr>
                <w:rFonts w:ascii="Arial Narrow" w:hAnsi="Arial Narrow" w:cs="Arial"/>
                <w:sz w:val="20"/>
                <w:szCs w:val="20"/>
                <w:lang w:val="es-ES" w:eastAsia="es-ES"/>
              </w:rPr>
            </w:pPr>
          </w:p>
        </w:tc>
        <w:tc>
          <w:tcPr>
            <w:tcW w:w="1770" w:type="dxa"/>
            <w:tcBorders>
              <w:top w:val="single" w:sz="2" w:space="0" w:color="auto"/>
              <w:bottom w:val="single" w:sz="4" w:space="0" w:color="auto"/>
            </w:tcBorders>
            <w:shd w:val="clear" w:color="auto" w:fill="FABF8F" w:themeFill="accent6" w:themeFillTint="99"/>
            <w:vAlign w:val="center"/>
          </w:tcPr>
          <w:p w:rsidR="003E35E8" w:rsidRPr="00EB6280" w:rsidRDefault="003E35E8" w:rsidP="002901FD">
            <w:pPr>
              <w:spacing w:after="0"/>
              <w:ind w:firstLine="0"/>
              <w:jc w:val="right"/>
              <w:rPr>
                <w:rFonts w:ascii="Arial Narrow" w:hAnsi="Arial Narrow" w:cs="Arial"/>
                <w:sz w:val="20"/>
                <w:szCs w:val="20"/>
                <w:lang w:val="es-ES" w:eastAsia="es-ES"/>
              </w:rPr>
            </w:pPr>
          </w:p>
        </w:tc>
      </w:tr>
    </w:tbl>
    <w:p w:rsidR="004461CD" w:rsidRDefault="004461CD" w:rsidP="0077337B">
      <w:pPr>
        <w:pStyle w:val="texto"/>
        <w:rPr>
          <w:szCs w:val="26"/>
        </w:rPr>
      </w:pPr>
    </w:p>
    <w:p w:rsidR="009868F9" w:rsidRPr="009868F9" w:rsidRDefault="009868F9" w:rsidP="0077337B">
      <w:pPr>
        <w:pStyle w:val="texto"/>
        <w:rPr>
          <w:szCs w:val="26"/>
        </w:rPr>
      </w:pPr>
      <w:r w:rsidRPr="009868F9">
        <w:rPr>
          <w:szCs w:val="26"/>
        </w:rPr>
        <w:t>Es decir, 40 ayuntamientos pagarían un menor importe que asciende en total a 5.153.884 euros; hay 14 entidades que pagarían entre una y 2,49 veces más con un incremento total de 858.036 euros; 214 ayuntamientos tendrían un i</w:t>
      </w:r>
      <w:r w:rsidRPr="009868F9">
        <w:rPr>
          <w:szCs w:val="26"/>
        </w:rPr>
        <w:t>n</w:t>
      </w:r>
      <w:r w:rsidRPr="009868F9">
        <w:rPr>
          <w:szCs w:val="26"/>
        </w:rPr>
        <w:t>cremento de 2,49 veces y su aumento sería de 4.290.66</w:t>
      </w:r>
      <w:r w:rsidR="0001532B">
        <w:rPr>
          <w:szCs w:val="26"/>
        </w:rPr>
        <w:t>4</w:t>
      </w:r>
      <w:r w:rsidRPr="009868F9">
        <w:rPr>
          <w:szCs w:val="26"/>
        </w:rPr>
        <w:t xml:space="preserve"> euros; y, por último, en dos casos el aumento sería mayor de 2,49 veces, aunque supone 5.185 euros.</w:t>
      </w:r>
    </w:p>
    <w:p w:rsidR="00BF5E96" w:rsidRDefault="0001532B" w:rsidP="00C51604">
      <w:pPr>
        <w:pStyle w:val="texto"/>
        <w:spacing w:after="240"/>
        <w:rPr>
          <w:szCs w:val="26"/>
        </w:rPr>
      </w:pPr>
      <w:r w:rsidRPr="00FB1FFE">
        <w:rPr>
          <w:b/>
          <w:szCs w:val="26"/>
        </w:rPr>
        <w:lastRenderedPageBreak/>
        <w:t>17</w:t>
      </w:r>
      <w:r w:rsidR="00FB1FFE">
        <w:rPr>
          <w:b/>
          <w:szCs w:val="26"/>
        </w:rPr>
        <w:t>.</w:t>
      </w:r>
      <w:r w:rsidR="00BF5E96" w:rsidRPr="00FB1FFE">
        <w:rPr>
          <w:b/>
          <w:szCs w:val="26"/>
        </w:rPr>
        <w:t>ª</w:t>
      </w:r>
      <w:r w:rsidR="00BF5E96" w:rsidRPr="00BF5E96">
        <w:rPr>
          <w:szCs w:val="26"/>
        </w:rPr>
        <w:t xml:space="preserve"> Por último, hemos realizado el cálculo del déficit de 2015 según la m</w:t>
      </w:r>
      <w:r w:rsidR="00BF5E96" w:rsidRPr="00BF5E96">
        <w:rPr>
          <w:szCs w:val="26"/>
        </w:rPr>
        <w:t>e</w:t>
      </w:r>
      <w:r w:rsidR="00BF5E96" w:rsidRPr="00BF5E96">
        <w:rPr>
          <w:szCs w:val="26"/>
        </w:rPr>
        <w:t>dia de los últimos 10 años</w:t>
      </w:r>
      <w:r>
        <w:rPr>
          <w:szCs w:val="26"/>
        </w:rPr>
        <w:t>,</w:t>
      </w:r>
      <w:r w:rsidR="00BF5E96" w:rsidRPr="00BF5E96">
        <w:rPr>
          <w:szCs w:val="26"/>
        </w:rPr>
        <w:t xml:space="preserve"> calculamos el peso relativo de cada entidad respecto al total, y aplicamos este porcentaje en 2015 a cada ayuntamiento. Después comparamos este importe obtenido con el real</w:t>
      </w:r>
      <w:r>
        <w:rPr>
          <w:szCs w:val="26"/>
        </w:rPr>
        <w:t>:</w:t>
      </w:r>
    </w:p>
    <w:tbl>
      <w:tblPr>
        <w:tblW w:w="8738" w:type="dxa"/>
        <w:tblInd w:w="108" w:type="dxa"/>
        <w:tblCellMar>
          <w:left w:w="0" w:type="dxa"/>
          <w:right w:w="0" w:type="dxa"/>
        </w:tblCellMar>
        <w:tblLook w:val="04A0" w:firstRow="1" w:lastRow="0" w:firstColumn="1" w:lastColumn="0" w:noHBand="0" w:noVBand="1"/>
      </w:tblPr>
      <w:tblGrid>
        <w:gridCol w:w="993"/>
        <w:gridCol w:w="708"/>
        <w:gridCol w:w="1985"/>
        <w:gridCol w:w="1731"/>
        <w:gridCol w:w="1731"/>
        <w:gridCol w:w="1590"/>
      </w:tblGrid>
      <w:tr w:rsidR="00BF5E96" w:rsidRPr="00BF5E96" w:rsidTr="0084431A">
        <w:trPr>
          <w:trHeight w:val="198"/>
        </w:trPr>
        <w:tc>
          <w:tcPr>
            <w:tcW w:w="1701" w:type="dxa"/>
            <w:gridSpan w:val="2"/>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2E6D41" w:rsidRDefault="00BF5E96" w:rsidP="000526EB">
            <w:pPr>
              <w:spacing w:after="0" w:line="300" w:lineRule="atLeast"/>
              <w:ind w:left="62" w:firstLine="0"/>
              <w:jc w:val="left"/>
              <w:rPr>
                <w:rFonts w:ascii="Arial" w:hAnsi="Arial" w:cs="Arial"/>
                <w:lang w:val="es-ES" w:eastAsia="es-ES"/>
              </w:rPr>
            </w:pPr>
            <w:r w:rsidRPr="00EB6280">
              <w:rPr>
                <w:rFonts w:ascii="Arial" w:hAnsi="Arial" w:cs="Arial"/>
                <w:lang w:val="es-ES" w:eastAsia="es-ES"/>
              </w:rPr>
              <w:t xml:space="preserve">Número </w:t>
            </w:r>
            <w:r w:rsidR="002E6D41">
              <w:rPr>
                <w:rFonts w:ascii="Arial" w:hAnsi="Arial" w:cs="Arial"/>
                <w:lang w:val="es-ES" w:eastAsia="es-ES"/>
              </w:rPr>
              <w:t>de</w:t>
            </w:r>
          </w:p>
          <w:p w:rsidR="00BF5E96" w:rsidRPr="00EB6280" w:rsidRDefault="00BF5E96" w:rsidP="000526EB">
            <w:pPr>
              <w:spacing w:after="0" w:line="300" w:lineRule="atLeast"/>
              <w:ind w:left="62" w:firstLine="0"/>
              <w:jc w:val="left"/>
              <w:rPr>
                <w:rFonts w:ascii="Arial" w:hAnsi="Arial" w:cs="Arial"/>
                <w:lang w:val="es-ES" w:eastAsia="es-ES"/>
              </w:rPr>
            </w:pPr>
            <w:r w:rsidRPr="00EB6280">
              <w:rPr>
                <w:rFonts w:ascii="Arial" w:hAnsi="Arial" w:cs="Arial"/>
                <w:lang w:val="es-ES" w:eastAsia="es-ES"/>
              </w:rPr>
              <w:t>ayuntamientos</w:t>
            </w:r>
          </w:p>
        </w:tc>
        <w:tc>
          <w:tcPr>
            <w:tcW w:w="1985"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EB6280">
            <w:pPr>
              <w:spacing w:after="0" w:line="300" w:lineRule="atLeast"/>
              <w:ind w:left="62" w:firstLine="0"/>
              <w:jc w:val="right"/>
              <w:rPr>
                <w:rFonts w:ascii="Arial" w:hAnsi="Arial" w:cs="Arial"/>
                <w:lang w:val="es-ES" w:eastAsia="es-ES"/>
              </w:rPr>
            </w:pPr>
            <w:r w:rsidRPr="00EB6280">
              <w:rPr>
                <w:rFonts w:ascii="Arial" w:hAnsi="Arial" w:cs="Arial"/>
                <w:lang w:val="es-ES" w:eastAsia="es-ES"/>
              </w:rPr>
              <w:t>Pagan</w:t>
            </w:r>
          </w:p>
        </w:tc>
        <w:tc>
          <w:tcPr>
            <w:tcW w:w="1731"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EB6280">
            <w:pPr>
              <w:spacing w:after="0" w:line="300" w:lineRule="atLeast"/>
              <w:ind w:left="62" w:firstLine="0"/>
              <w:jc w:val="right"/>
              <w:rPr>
                <w:rFonts w:ascii="Arial" w:hAnsi="Arial" w:cs="Arial"/>
                <w:lang w:val="es-ES" w:eastAsia="es-ES"/>
              </w:rPr>
            </w:pPr>
            <w:r w:rsidRPr="00EB6280">
              <w:rPr>
                <w:rFonts w:ascii="Arial" w:hAnsi="Arial" w:cs="Arial"/>
                <w:lang w:val="es-ES" w:eastAsia="es-ES"/>
              </w:rPr>
              <w:t xml:space="preserve">Pagarían </w:t>
            </w:r>
          </w:p>
        </w:tc>
        <w:tc>
          <w:tcPr>
            <w:tcW w:w="1731"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EB6280">
            <w:pPr>
              <w:spacing w:after="0" w:line="300" w:lineRule="atLeast"/>
              <w:ind w:left="62" w:firstLine="0"/>
              <w:jc w:val="right"/>
              <w:rPr>
                <w:rFonts w:ascii="Arial" w:hAnsi="Arial" w:cs="Arial"/>
                <w:lang w:val="es-ES" w:eastAsia="es-ES"/>
              </w:rPr>
            </w:pPr>
            <w:r w:rsidRPr="00EB6280">
              <w:rPr>
                <w:rFonts w:ascii="Arial" w:hAnsi="Arial" w:cs="Arial"/>
                <w:lang w:val="es-ES" w:eastAsia="es-ES"/>
              </w:rPr>
              <w:t>Diferencia</w:t>
            </w:r>
          </w:p>
        </w:tc>
        <w:tc>
          <w:tcPr>
            <w:tcW w:w="1590" w:type="dxa"/>
            <w:tcBorders>
              <w:top w:val="single" w:sz="4"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BF5E96" w:rsidRPr="00EB6280" w:rsidRDefault="00BF5E96" w:rsidP="00B61F51">
            <w:pPr>
              <w:spacing w:after="0" w:line="300" w:lineRule="atLeast"/>
              <w:ind w:left="62" w:firstLine="0"/>
              <w:jc w:val="right"/>
              <w:rPr>
                <w:rFonts w:ascii="Arial" w:hAnsi="Arial" w:cs="Arial"/>
                <w:lang w:val="es-ES" w:eastAsia="es-ES"/>
              </w:rPr>
            </w:pPr>
            <w:r w:rsidRPr="00EB6280">
              <w:rPr>
                <w:rFonts w:ascii="Arial" w:hAnsi="Arial" w:cs="Arial"/>
                <w:lang w:val="es-ES" w:eastAsia="es-ES"/>
              </w:rPr>
              <w:t>Variación</w:t>
            </w:r>
            <w:r w:rsidR="00C73E39">
              <w:rPr>
                <w:rFonts w:ascii="Arial" w:hAnsi="Arial" w:cs="Arial"/>
                <w:lang w:val="es-ES" w:eastAsia="es-ES"/>
              </w:rPr>
              <w:t xml:space="preserve"> %</w:t>
            </w:r>
          </w:p>
        </w:tc>
      </w:tr>
      <w:tr w:rsidR="000526EB" w:rsidRPr="00EB6280" w:rsidTr="000526EB">
        <w:trPr>
          <w:trHeight w:val="198"/>
        </w:trPr>
        <w:tc>
          <w:tcPr>
            <w:tcW w:w="993"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52</w:t>
            </w:r>
          </w:p>
        </w:tc>
        <w:tc>
          <w:tcPr>
            <w:tcW w:w="708" w:type="dxa"/>
            <w:tcBorders>
              <w:top w:val="single" w:sz="4"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1.353.215</w:t>
            </w:r>
          </w:p>
        </w:tc>
        <w:tc>
          <w:tcPr>
            <w:tcW w:w="1731"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2.323.433</w:t>
            </w:r>
          </w:p>
        </w:tc>
        <w:tc>
          <w:tcPr>
            <w:tcW w:w="1731"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970.218</w:t>
            </w:r>
          </w:p>
        </w:tc>
        <w:tc>
          <w:tcPr>
            <w:tcW w:w="1590" w:type="dxa"/>
            <w:tcBorders>
              <w:top w:val="single" w:sz="4"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&gt;20</w:t>
            </w:r>
          </w:p>
        </w:tc>
      </w:tr>
      <w:tr w:rsidR="000526EB" w:rsidRPr="00EB6280" w:rsidTr="000526EB">
        <w:trPr>
          <w:trHeight w:val="198"/>
        </w:trPr>
        <w:tc>
          <w:tcPr>
            <w:tcW w:w="993"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164</w:t>
            </w:r>
          </w:p>
        </w:tc>
        <w:tc>
          <w:tcPr>
            <w:tcW w:w="708" w:type="dxa"/>
            <w:tcBorders>
              <w:top w:val="single" w:sz="2"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6.481.802</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6.956.405</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474.603</w:t>
            </w:r>
          </w:p>
        </w:tc>
        <w:tc>
          <w:tcPr>
            <w:tcW w:w="1590"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20 &gt; 0</w:t>
            </w:r>
          </w:p>
        </w:tc>
      </w:tr>
      <w:tr w:rsidR="000526EB" w:rsidRPr="00EB6280" w:rsidTr="000526EB">
        <w:trPr>
          <w:trHeight w:val="198"/>
        </w:trPr>
        <w:tc>
          <w:tcPr>
            <w:tcW w:w="993"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39</w:t>
            </w:r>
          </w:p>
        </w:tc>
        <w:tc>
          <w:tcPr>
            <w:tcW w:w="708" w:type="dxa"/>
            <w:tcBorders>
              <w:top w:val="single" w:sz="2"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7.237.878</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6.503.484</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-734.394</w:t>
            </w:r>
          </w:p>
        </w:tc>
        <w:tc>
          <w:tcPr>
            <w:tcW w:w="1590"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0 &gt; -20</w:t>
            </w:r>
          </w:p>
        </w:tc>
      </w:tr>
      <w:tr w:rsidR="000526EB" w:rsidRPr="00EB6280" w:rsidTr="000526EB">
        <w:trPr>
          <w:trHeight w:val="198"/>
        </w:trPr>
        <w:tc>
          <w:tcPr>
            <w:tcW w:w="993"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15</w:t>
            </w:r>
          </w:p>
        </w:tc>
        <w:tc>
          <w:tcPr>
            <w:tcW w:w="708" w:type="dxa"/>
            <w:tcBorders>
              <w:top w:val="single" w:sz="2" w:space="0" w:color="auto"/>
              <w:bottom w:val="single" w:sz="2" w:space="0" w:color="auto"/>
            </w:tcBorders>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3.034.268</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2.323.841</w:t>
            </w:r>
          </w:p>
        </w:tc>
        <w:tc>
          <w:tcPr>
            <w:tcW w:w="1731"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-710.427</w:t>
            </w:r>
          </w:p>
        </w:tc>
        <w:tc>
          <w:tcPr>
            <w:tcW w:w="1590" w:type="dxa"/>
            <w:tcBorders>
              <w:top w:val="single" w:sz="2" w:space="0" w:color="auto"/>
              <w:bottom w:val="single" w:sz="2" w:space="0" w:color="auto"/>
            </w:tcBorders>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&gt; -20</w:t>
            </w:r>
          </w:p>
        </w:tc>
      </w:tr>
      <w:tr w:rsidR="000526EB" w:rsidRPr="00EB6280" w:rsidTr="000526EB">
        <w:trPr>
          <w:trHeight w:val="198"/>
        </w:trPr>
        <w:tc>
          <w:tcPr>
            <w:tcW w:w="993"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2E6D41">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270</w:t>
            </w:r>
          </w:p>
        </w:tc>
        <w:tc>
          <w:tcPr>
            <w:tcW w:w="708" w:type="dxa"/>
            <w:tcBorders>
              <w:top w:val="single" w:sz="2" w:space="0" w:color="auto"/>
              <w:bottom w:val="single" w:sz="4" w:space="0" w:color="auto"/>
            </w:tcBorders>
            <w:shd w:val="clear" w:color="auto" w:fill="FABF8F" w:themeFill="accent6" w:themeFillTint="99"/>
            <w:vAlign w:val="center"/>
          </w:tcPr>
          <w:p w:rsidR="000526EB" w:rsidRPr="00EB6280" w:rsidRDefault="000526EB" w:rsidP="002E6D41">
            <w:pPr>
              <w:spacing w:after="0" w:line="300" w:lineRule="atLeast"/>
              <w:ind w:left="62" w:firstLine="0"/>
              <w:jc w:val="right"/>
              <w:rPr>
                <w:rFonts w:ascii="Arial Narrow" w:hAnsi="Arial Narrow" w:cs="Arial"/>
                <w:lang w:val="es-ES" w:eastAsia="es-ES"/>
              </w:rPr>
            </w:pPr>
          </w:p>
        </w:tc>
        <w:tc>
          <w:tcPr>
            <w:tcW w:w="1985"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18.107.163</w:t>
            </w:r>
          </w:p>
        </w:tc>
        <w:tc>
          <w:tcPr>
            <w:tcW w:w="1731"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18.107.163</w:t>
            </w:r>
          </w:p>
        </w:tc>
        <w:tc>
          <w:tcPr>
            <w:tcW w:w="1731"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hideMark/>
          </w:tcPr>
          <w:p w:rsidR="000526EB" w:rsidRPr="00EB6280" w:rsidRDefault="000526EB" w:rsidP="00EB6280">
            <w:pPr>
              <w:spacing w:after="0" w:line="300" w:lineRule="atLeast"/>
              <w:ind w:left="62" w:firstLine="0"/>
              <w:jc w:val="right"/>
              <w:rPr>
                <w:rFonts w:ascii="Arial Narrow" w:hAnsi="Arial Narrow" w:cs="Arial"/>
                <w:lang w:val="es-ES" w:eastAsia="es-ES"/>
              </w:rPr>
            </w:pPr>
            <w:r w:rsidRPr="00EB6280">
              <w:rPr>
                <w:rFonts w:ascii="Arial Narrow" w:hAnsi="Arial Narrow" w:cs="Arial"/>
                <w:lang w:val="es-ES" w:eastAsia="es-ES"/>
              </w:rPr>
              <w:t>0</w:t>
            </w:r>
          </w:p>
        </w:tc>
        <w:tc>
          <w:tcPr>
            <w:tcW w:w="1590" w:type="dxa"/>
            <w:tcBorders>
              <w:top w:val="single" w:sz="2" w:space="0" w:color="auto"/>
              <w:bottom w:val="single" w:sz="4" w:space="0" w:color="auto"/>
            </w:tcBorders>
            <w:shd w:val="clear" w:color="auto" w:fill="FABF8F" w:themeFill="accent6" w:themeFillTint="99"/>
            <w:tcMar>
              <w:top w:w="0" w:type="dxa"/>
              <w:left w:w="108" w:type="dxa"/>
              <w:bottom w:w="0" w:type="dxa"/>
              <w:right w:w="108" w:type="dxa"/>
            </w:tcMar>
            <w:vAlign w:val="center"/>
          </w:tcPr>
          <w:p w:rsidR="000526EB" w:rsidRPr="00EB6280" w:rsidRDefault="000526EB" w:rsidP="00EB6280">
            <w:pPr>
              <w:spacing w:after="0" w:line="300" w:lineRule="atLeast"/>
              <w:ind w:left="62" w:firstLine="0"/>
              <w:jc w:val="right"/>
              <w:rPr>
                <w:rFonts w:ascii="Arial Narrow" w:hAnsi="Arial Narrow" w:cs="Arial"/>
                <w:lang w:val="es-ES" w:eastAsia="es-ES"/>
              </w:rPr>
            </w:pPr>
          </w:p>
        </w:tc>
      </w:tr>
    </w:tbl>
    <w:p w:rsidR="00BF5E96" w:rsidRPr="00BF5E96" w:rsidRDefault="00BF5E96" w:rsidP="00BF5E96">
      <w:pPr>
        <w:spacing w:after="240" w:line="300" w:lineRule="atLeast"/>
        <w:ind w:left="644" w:firstLine="0"/>
        <w:jc w:val="left"/>
        <w:rPr>
          <w:sz w:val="24"/>
          <w:szCs w:val="24"/>
          <w:lang w:val="es-ES" w:eastAsia="es-ES"/>
        </w:rPr>
      </w:pPr>
    </w:p>
    <w:p w:rsidR="00BF5E96" w:rsidRDefault="00BF5E96" w:rsidP="00B2219C">
      <w:pPr>
        <w:pStyle w:val="texto"/>
        <w:spacing w:after="360"/>
        <w:rPr>
          <w:szCs w:val="26"/>
        </w:rPr>
      </w:pPr>
      <w:r w:rsidRPr="00BF5E96">
        <w:rPr>
          <w:szCs w:val="26"/>
        </w:rPr>
        <w:t xml:space="preserve">Como se deduce de estos datos, en 52 ayuntamientos se pagaría un </w:t>
      </w:r>
      <w:r w:rsidR="0001532B">
        <w:rPr>
          <w:szCs w:val="26"/>
        </w:rPr>
        <w:t>mayor</w:t>
      </w:r>
      <w:r w:rsidRPr="00BF5E96">
        <w:rPr>
          <w:szCs w:val="26"/>
        </w:rPr>
        <w:t xml:space="preserve"> importe de 970.218 euros, siendo el porcentaje de variación superior al 20 por ciento; otros 164 ayuntamientos también pagarían 474.603 euros</w:t>
      </w:r>
      <w:r w:rsidR="0001532B">
        <w:rPr>
          <w:szCs w:val="26"/>
        </w:rPr>
        <w:t xml:space="preserve"> más</w:t>
      </w:r>
      <w:r w:rsidRPr="00BF5E96">
        <w:rPr>
          <w:szCs w:val="26"/>
        </w:rPr>
        <w:t>, siendo el porcentaje entre cero y veinte. En 39 casos se pagarían 734.394 euros m</w:t>
      </w:r>
      <w:r w:rsidR="0001532B">
        <w:rPr>
          <w:szCs w:val="26"/>
        </w:rPr>
        <w:t>enos</w:t>
      </w:r>
      <w:r w:rsidRPr="00BF5E96">
        <w:rPr>
          <w:szCs w:val="26"/>
        </w:rPr>
        <w:t xml:space="preserve"> con esta fórmula con un porcentaje que oscila entre cero y el </w:t>
      </w:r>
      <w:r w:rsidR="0001532B">
        <w:rPr>
          <w:szCs w:val="26"/>
        </w:rPr>
        <w:t xml:space="preserve">menos </w:t>
      </w:r>
      <w:r w:rsidRPr="00BF5E96">
        <w:rPr>
          <w:szCs w:val="26"/>
        </w:rPr>
        <w:t xml:space="preserve">veinte por ciento y, finalmente, hay 15 ayuntamientos que soportarían un </w:t>
      </w:r>
      <w:r w:rsidR="0001532B">
        <w:rPr>
          <w:szCs w:val="26"/>
        </w:rPr>
        <w:t>menor</w:t>
      </w:r>
      <w:r w:rsidRPr="00BF5E96">
        <w:rPr>
          <w:szCs w:val="26"/>
        </w:rPr>
        <w:t xml:space="preserve"> importe p</w:t>
      </w:r>
      <w:r w:rsidR="0001532B">
        <w:rPr>
          <w:szCs w:val="26"/>
        </w:rPr>
        <w:t>or 710.427 euros y porcentajes inferiores</w:t>
      </w:r>
      <w:r w:rsidRPr="00BF5E96">
        <w:rPr>
          <w:szCs w:val="26"/>
        </w:rPr>
        <w:t xml:space="preserve"> al veinte por ciento.</w:t>
      </w:r>
    </w:p>
    <w:p w:rsidR="009A7663" w:rsidRDefault="009A7663" w:rsidP="00B2219C">
      <w:pPr>
        <w:pStyle w:val="texto"/>
        <w:spacing w:after="360"/>
        <w:rPr>
          <w:szCs w:val="26"/>
        </w:rPr>
      </w:pPr>
      <w:r w:rsidRPr="009A7663">
        <w:rPr>
          <w:szCs w:val="26"/>
        </w:rPr>
        <w:t xml:space="preserve">Informe que se emite a propuesta del auditor </w:t>
      </w:r>
      <w:r>
        <w:rPr>
          <w:szCs w:val="26"/>
        </w:rPr>
        <w:t>Jesús Muruzabal Lerga</w:t>
      </w:r>
      <w:r w:rsidRPr="009A7663">
        <w:rPr>
          <w:szCs w:val="26"/>
        </w:rPr>
        <w:t>, respo</w:t>
      </w:r>
      <w:r w:rsidRPr="009A7663">
        <w:rPr>
          <w:szCs w:val="26"/>
        </w:rPr>
        <w:t>n</w:t>
      </w:r>
      <w:r w:rsidRPr="009A7663">
        <w:rPr>
          <w:szCs w:val="26"/>
        </w:rPr>
        <w:t>sable de la realización de este trabajo, una vez cumplimentados los trámites previstos por la normativa vigente</w:t>
      </w:r>
    </w:p>
    <w:p w:rsidR="009A7663" w:rsidRDefault="009A7663" w:rsidP="00B2219C">
      <w:pPr>
        <w:pStyle w:val="texto"/>
        <w:spacing w:after="360"/>
        <w:rPr>
          <w:szCs w:val="26"/>
        </w:rPr>
      </w:pPr>
    </w:p>
    <w:p w:rsidR="002239D7" w:rsidRDefault="002239D7" w:rsidP="002239D7">
      <w:pPr>
        <w:pStyle w:val="texto"/>
        <w:jc w:val="center"/>
        <w:rPr>
          <w:szCs w:val="26"/>
        </w:rPr>
      </w:pPr>
      <w:r>
        <w:rPr>
          <w:szCs w:val="26"/>
        </w:rPr>
        <w:t xml:space="preserve">Pamplona, </w:t>
      </w:r>
      <w:r w:rsidR="006B456B">
        <w:rPr>
          <w:szCs w:val="26"/>
        </w:rPr>
        <w:t>30</w:t>
      </w:r>
      <w:r w:rsidRPr="00E0260A">
        <w:rPr>
          <w:szCs w:val="26"/>
        </w:rPr>
        <w:t xml:space="preserve"> de mayo de 2017</w:t>
      </w:r>
    </w:p>
    <w:p w:rsidR="002239D7" w:rsidRDefault="00545D94" w:rsidP="002239D7">
      <w:pPr>
        <w:pStyle w:val="texto"/>
        <w:jc w:val="center"/>
        <w:rPr>
          <w:szCs w:val="26"/>
        </w:rPr>
      </w:pPr>
      <w:r>
        <w:rPr>
          <w:szCs w:val="26"/>
        </w:rPr>
        <w:t>La presidenta</w:t>
      </w:r>
      <w:r w:rsidR="000D46E9">
        <w:rPr>
          <w:szCs w:val="26"/>
        </w:rPr>
        <w:t xml:space="preserve">, </w:t>
      </w:r>
      <w:r>
        <w:rPr>
          <w:szCs w:val="26"/>
        </w:rPr>
        <w:t>Asunción Olaechea Estanga</w:t>
      </w:r>
    </w:p>
    <w:sectPr w:rsidR="002239D7"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C55" w:rsidRDefault="005B7C55">
      <w:r>
        <w:separator/>
      </w:r>
    </w:p>
    <w:p w:rsidR="005B7C55" w:rsidRDefault="005B7C55"/>
    <w:p w:rsidR="005B7C55" w:rsidRDefault="005B7C55"/>
    <w:p w:rsidR="005B7C55" w:rsidRDefault="005B7C55"/>
  </w:endnote>
  <w:endnote w:type="continuationSeparator" w:id="0">
    <w:p w:rsidR="005B7C55" w:rsidRDefault="005B7C55">
      <w:r>
        <w:continuationSeparator/>
      </w:r>
    </w:p>
    <w:p w:rsidR="005B7C55" w:rsidRDefault="005B7C55"/>
    <w:p w:rsidR="005B7C55" w:rsidRDefault="005B7C55"/>
    <w:p w:rsidR="005B7C55" w:rsidRDefault="005B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altName w:val="Courier New"/>
    <w:panose1 w:val="00000000000000000000"/>
    <w:charset w:val="00"/>
    <w:family w:val="moder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7C55" w:rsidRDefault="005B7C55"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Pr="00F03814" w:rsidRDefault="005B7C55"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E934899" wp14:editId="6354F3B1">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B7C55" w:rsidRPr="00F74E38" w:rsidRDefault="005B7C55" w:rsidP="00F03814">
    <w:pPr>
      <w:pStyle w:val="Piedepgina"/>
      <w:tabs>
        <w:tab w:val="clear" w:pos="4252"/>
        <w:tab w:val="clear" w:pos="8504"/>
        <w:tab w:val="center" w:pos="4560"/>
      </w:tabs>
      <w:ind w:right="360"/>
      <w:jc w:val="left"/>
      <w:rPr>
        <w:rStyle w:val="Nmerodepgina"/>
      </w:rPr>
    </w:pPr>
  </w:p>
  <w:p w:rsidR="005B7C55" w:rsidRPr="00C13453" w:rsidRDefault="005B7C55"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Pr="00F03814" w:rsidRDefault="005B7C5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2502DE8" wp14:editId="78FDD1A7">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60772">
      <w:rPr>
        <w:rStyle w:val="Nmerodepgina"/>
        <w:noProof/>
        <w:szCs w:val="24"/>
      </w:rPr>
      <w:t>26</w:t>
    </w:r>
    <w:r w:rsidRPr="001D4F09">
      <w:rPr>
        <w:rStyle w:val="Nmerodepgina"/>
        <w:szCs w:val="24"/>
      </w:rPr>
      <w:fldChar w:fldCharType="end"/>
    </w:r>
    <w:r w:rsidRPr="001D4F09">
      <w:rPr>
        <w:rStyle w:val="Nmerodepgina"/>
        <w:szCs w:val="24"/>
      </w:rPr>
      <w:t xml:space="preserve"> -</w:t>
    </w:r>
  </w:p>
  <w:p w:rsidR="005B7C55" w:rsidRDefault="005B7C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C55" w:rsidRDefault="005B7C55" w:rsidP="00062C69">
      <w:pPr>
        <w:ind w:firstLine="0"/>
      </w:pPr>
      <w:r>
        <w:separator/>
      </w:r>
    </w:p>
  </w:footnote>
  <w:footnote w:type="continuationSeparator" w:id="0">
    <w:p w:rsidR="005B7C55" w:rsidRDefault="005B7C55">
      <w:r>
        <w:continuationSeparator/>
      </w:r>
    </w:p>
    <w:p w:rsidR="005B7C55" w:rsidRDefault="005B7C55"/>
    <w:p w:rsidR="005B7C55" w:rsidRDefault="005B7C55"/>
    <w:p w:rsidR="005B7C55" w:rsidRDefault="005B7C55"/>
  </w:footnote>
  <w:footnote w:id="1">
    <w:p w:rsidR="005B7C55" w:rsidRPr="0016019C" w:rsidRDefault="005B7C55" w:rsidP="009868F9">
      <w:pPr>
        <w:pStyle w:val="Textonotapie"/>
      </w:pPr>
      <w:r>
        <w:rPr>
          <w:rStyle w:val="Refdenotaalpie"/>
        </w:rPr>
        <w:footnoteRef/>
      </w:r>
      <w:r>
        <w:t xml:space="preserve"> Informes de fecha 16 de febrero de 2001 y 24 de junio de 2002</w:t>
      </w:r>
    </w:p>
  </w:footnote>
  <w:footnote w:id="2">
    <w:p w:rsidR="005B7C55" w:rsidRDefault="005B7C55">
      <w:pPr>
        <w:pStyle w:val="Textonotapie"/>
      </w:pPr>
      <w:r>
        <w:rPr>
          <w:rStyle w:val="Refdenotaalpie"/>
        </w:rPr>
        <w:footnoteRef/>
      </w:r>
      <w:r>
        <w:t xml:space="preserve"> Informe de fecha 18 de julio de 2005</w:t>
      </w:r>
    </w:p>
  </w:footnote>
  <w:footnote w:id="3">
    <w:p w:rsidR="005B7C55" w:rsidRDefault="005B7C55">
      <w:pPr>
        <w:pStyle w:val="Textonotapie"/>
      </w:pPr>
      <w:r>
        <w:rPr>
          <w:rStyle w:val="Refdenotaalpie"/>
        </w:rPr>
        <w:footnoteRef/>
      </w:r>
      <w:r>
        <w:t xml:space="preserve"> Informe de fecha 17 de enero de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4B" w:rsidRDefault="00A763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71D2B884" wp14:editId="3BFDA267">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B7C55" w:rsidRPr="0059650E" w:rsidRDefault="005B7C55" w:rsidP="00891D73">
    <w:pPr>
      <w:pStyle w:val="Encabezado"/>
      <w:pBdr>
        <w:bottom w:val="single" w:sz="4" w:space="1" w:color="auto"/>
      </w:pBdr>
      <w:ind w:firstLine="0"/>
      <w:rPr>
        <w:lang w:val="es-ES"/>
      </w:rPr>
    </w:pPr>
    <w:r>
      <w:rPr>
        <w:lang w:val="es-ES"/>
      </w:rPr>
      <w:t>informe de asesoramiento SOBRE el montepío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C55" w:rsidRDefault="005B7C55"/>
  <w:p w:rsidR="005B7C55" w:rsidRDefault="005B7C55"/>
  <w:p w:rsidR="005B7C55" w:rsidRDefault="005B7C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3944CFB"/>
    <w:multiLevelType w:val="hybridMultilevel"/>
    <w:tmpl w:val="207C9BA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77B0FDD"/>
    <w:multiLevelType w:val="hybridMultilevel"/>
    <w:tmpl w:val="AA808AE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1D4B706F"/>
    <w:multiLevelType w:val="hybridMultilevel"/>
    <w:tmpl w:val="73086D5C"/>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nsid w:val="229F6B7C"/>
    <w:multiLevelType w:val="hybridMultilevel"/>
    <w:tmpl w:val="8E62C11A"/>
    <w:lvl w:ilvl="0" w:tplc="0C0A0001">
      <w:start w:val="1"/>
      <w:numFmt w:val="bullet"/>
      <w:lvlText w:val=""/>
      <w:lvlJc w:val="left"/>
      <w:pPr>
        <w:ind w:left="1485" w:hanging="360"/>
      </w:pPr>
      <w:rPr>
        <w:rFonts w:ascii="Symbol" w:hAnsi="Symbol" w:hint="default"/>
      </w:rPr>
    </w:lvl>
    <w:lvl w:ilvl="1" w:tplc="0C0A0003">
      <w:start w:val="1"/>
      <w:numFmt w:val="bullet"/>
      <w:lvlText w:val="o"/>
      <w:lvlJc w:val="left"/>
      <w:pPr>
        <w:ind w:left="2205" w:hanging="360"/>
      </w:pPr>
      <w:rPr>
        <w:rFonts w:ascii="Courier New" w:hAnsi="Courier New" w:cs="Courier New" w:hint="default"/>
      </w:rPr>
    </w:lvl>
    <w:lvl w:ilvl="2" w:tplc="0C0A0005">
      <w:start w:val="1"/>
      <w:numFmt w:val="bullet"/>
      <w:lvlText w:val=""/>
      <w:lvlJc w:val="left"/>
      <w:pPr>
        <w:ind w:left="2925" w:hanging="360"/>
      </w:pPr>
      <w:rPr>
        <w:rFonts w:ascii="Wingdings" w:hAnsi="Wingdings" w:hint="default"/>
      </w:rPr>
    </w:lvl>
    <w:lvl w:ilvl="3" w:tplc="0C0A0001">
      <w:start w:val="1"/>
      <w:numFmt w:val="bullet"/>
      <w:lvlText w:val=""/>
      <w:lvlJc w:val="left"/>
      <w:pPr>
        <w:ind w:left="3645" w:hanging="360"/>
      </w:pPr>
      <w:rPr>
        <w:rFonts w:ascii="Symbol" w:hAnsi="Symbol" w:hint="default"/>
      </w:rPr>
    </w:lvl>
    <w:lvl w:ilvl="4" w:tplc="0C0A0003">
      <w:start w:val="1"/>
      <w:numFmt w:val="bullet"/>
      <w:lvlText w:val="o"/>
      <w:lvlJc w:val="left"/>
      <w:pPr>
        <w:ind w:left="4365" w:hanging="360"/>
      </w:pPr>
      <w:rPr>
        <w:rFonts w:ascii="Courier New" w:hAnsi="Courier New" w:cs="Courier New" w:hint="default"/>
      </w:rPr>
    </w:lvl>
    <w:lvl w:ilvl="5" w:tplc="0C0A0005">
      <w:start w:val="1"/>
      <w:numFmt w:val="bullet"/>
      <w:lvlText w:val=""/>
      <w:lvlJc w:val="left"/>
      <w:pPr>
        <w:ind w:left="5085" w:hanging="360"/>
      </w:pPr>
      <w:rPr>
        <w:rFonts w:ascii="Wingdings" w:hAnsi="Wingdings" w:hint="default"/>
      </w:rPr>
    </w:lvl>
    <w:lvl w:ilvl="6" w:tplc="0C0A0001">
      <w:start w:val="1"/>
      <w:numFmt w:val="bullet"/>
      <w:lvlText w:val=""/>
      <w:lvlJc w:val="left"/>
      <w:pPr>
        <w:ind w:left="5805" w:hanging="360"/>
      </w:pPr>
      <w:rPr>
        <w:rFonts w:ascii="Symbol" w:hAnsi="Symbol" w:hint="default"/>
      </w:rPr>
    </w:lvl>
    <w:lvl w:ilvl="7" w:tplc="0C0A0003">
      <w:start w:val="1"/>
      <w:numFmt w:val="bullet"/>
      <w:lvlText w:val="o"/>
      <w:lvlJc w:val="left"/>
      <w:pPr>
        <w:ind w:left="6525" w:hanging="360"/>
      </w:pPr>
      <w:rPr>
        <w:rFonts w:ascii="Courier New" w:hAnsi="Courier New" w:cs="Courier New" w:hint="default"/>
      </w:rPr>
    </w:lvl>
    <w:lvl w:ilvl="8" w:tplc="0C0A0005">
      <w:start w:val="1"/>
      <w:numFmt w:val="bullet"/>
      <w:lvlText w:val=""/>
      <w:lvlJc w:val="left"/>
      <w:pPr>
        <w:ind w:left="7245" w:hanging="360"/>
      </w:pPr>
      <w:rPr>
        <w:rFonts w:ascii="Wingdings" w:hAnsi="Wingdings" w:hint="default"/>
      </w:rPr>
    </w:lvl>
  </w:abstractNum>
  <w:abstractNum w:abstractNumId="5">
    <w:nsid w:val="25612F77"/>
    <w:multiLevelType w:val="hybridMultilevel"/>
    <w:tmpl w:val="44222AA6"/>
    <w:lvl w:ilvl="0" w:tplc="0C0A0001">
      <w:start w:val="1"/>
      <w:numFmt w:val="bullet"/>
      <w:lvlText w:val=""/>
      <w:lvlJc w:val="left"/>
      <w:pPr>
        <w:ind w:left="1004" w:hanging="360"/>
      </w:pPr>
      <w:rPr>
        <w:rFonts w:ascii="Symbol" w:hAnsi="Symbol" w:hint="default"/>
      </w:rPr>
    </w:lvl>
    <w:lvl w:ilvl="1" w:tplc="6874AAB6">
      <w:numFmt w:val="bullet"/>
      <w:lvlText w:val="-"/>
      <w:lvlJc w:val="left"/>
      <w:pPr>
        <w:ind w:left="1724" w:hanging="360"/>
      </w:pPr>
      <w:rPr>
        <w:rFonts w:ascii="Times New Roman" w:eastAsia="Times New Roman" w:hAnsi="Times New Roman" w:cs="Times New Roman"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E0C31DA"/>
    <w:multiLevelType w:val="hybridMultilevel"/>
    <w:tmpl w:val="4E92BFD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373D7070"/>
    <w:multiLevelType w:val="hybridMultilevel"/>
    <w:tmpl w:val="AF3C2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53A03A2"/>
    <w:multiLevelType w:val="hybridMultilevel"/>
    <w:tmpl w:val="B6F2072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46AD2C82"/>
    <w:multiLevelType w:val="hybridMultilevel"/>
    <w:tmpl w:val="4FE2251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498826C2"/>
    <w:multiLevelType w:val="hybridMultilevel"/>
    <w:tmpl w:val="F8B837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9D004E8"/>
    <w:multiLevelType w:val="hybridMultilevel"/>
    <w:tmpl w:val="0D281E9E"/>
    <w:lvl w:ilvl="0" w:tplc="E140D822">
      <w:start w:val="1"/>
      <w:numFmt w:val="bullet"/>
      <w:lvlText w:val=""/>
      <w:lvlJc w:val="left"/>
      <w:pPr>
        <w:ind w:left="1776" w:hanging="360"/>
      </w:pPr>
      <w:rPr>
        <w:rFonts w:ascii="Symbol" w:eastAsiaTheme="minorHAnsi" w:hAnsi="Symbol"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nsid w:val="510907C5"/>
    <w:multiLevelType w:val="hybridMultilevel"/>
    <w:tmpl w:val="85629E7A"/>
    <w:lvl w:ilvl="0" w:tplc="0C0A0001">
      <w:start w:val="1"/>
      <w:numFmt w:val="bullet"/>
      <w:lvlText w:val=""/>
      <w:lvlJc w:val="left"/>
      <w:pPr>
        <w:ind w:left="1004" w:hanging="360"/>
      </w:pPr>
      <w:rPr>
        <w:rFonts w:ascii="Symbol" w:hAnsi="Symbol" w:hint="default"/>
      </w:rPr>
    </w:lvl>
    <w:lvl w:ilvl="1" w:tplc="0C0A0001">
      <w:start w:val="1"/>
      <w:numFmt w:val="bullet"/>
      <w:lvlText w:val=""/>
      <w:lvlJc w:val="left"/>
      <w:pPr>
        <w:ind w:left="1724" w:hanging="360"/>
      </w:pPr>
      <w:rPr>
        <w:rFonts w:ascii="Symbol" w:hAnsi="Symbo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552F2D63"/>
    <w:multiLevelType w:val="hybridMultilevel"/>
    <w:tmpl w:val="0304008C"/>
    <w:lvl w:ilvl="0" w:tplc="AE3E06A4">
      <w:start w:val="1"/>
      <w:numFmt w:val="decimal"/>
      <w:lvlText w:val="(%1)"/>
      <w:lvlJc w:val="left"/>
      <w:pPr>
        <w:ind w:left="1065" w:hanging="360"/>
      </w:pPr>
      <w:rPr>
        <w:rFonts w:hint="default"/>
        <w:color w:val="FF000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5957208B"/>
    <w:multiLevelType w:val="hybridMultilevel"/>
    <w:tmpl w:val="53820A38"/>
    <w:lvl w:ilvl="0" w:tplc="0C0A0001">
      <w:start w:val="1"/>
      <w:numFmt w:val="bullet"/>
      <w:lvlText w:val=""/>
      <w:lvlJc w:val="left"/>
      <w:pPr>
        <w:ind w:left="1010" w:hanging="360"/>
      </w:pPr>
      <w:rPr>
        <w:rFonts w:ascii="Symbol" w:hAnsi="Symbol" w:hint="default"/>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16">
    <w:nsid w:val="5D443FC6"/>
    <w:multiLevelType w:val="hybridMultilevel"/>
    <w:tmpl w:val="805A8C70"/>
    <w:lvl w:ilvl="0" w:tplc="373415FA">
      <w:start w:val="1"/>
      <w:numFmt w:val="decimal"/>
      <w:lvlText w:val="(%1)"/>
      <w:lvlJc w:val="left"/>
      <w:pPr>
        <w:ind w:left="720" w:hanging="360"/>
      </w:pPr>
      <w:rPr>
        <w:rFonts w:ascii="Arial" w:eastAsia="Times New Roman" w:hAnsi="Arial" w:cs="Arial"/>
        <w:i/>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4F0C05"/>
    <w:multiLevelType w:val="hybridMultilevel"/>
    <w:tmpl w:val="82B4D62E"/>
    <w:lvl w:ilvl="0" w:tplc="EC9EF12A">
      <w:start w:val="1"/>
      <w:numFmt w:val="upp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CE13E81"/>
    <w:multiLevelType w:val="hybridMultilevel"/>
    <w:tmpl w:val="63866E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nsid w:val="79FE5882"/>
    <w:multiLevelType w:val="hybridMultilevel"/>
    <w:tmpl w:val="A56EE1E6"/>
    <w:lvl w:ilvl="0" w:tplc="E8DAB6BA">
      <w:start w:val="1"/>
      <w:numFmt w:val="decimal"/>
      <w:lvlText w:val="%1."/>
      <w:lvlJc w:val="left"/>
      <w:pPr>
        <w:ind w:left="1004" w:hanging="360"/>
      </w:pPr>
      <w:rPr>
        <w:i w:val="0"/>
        <w:sz w:val="26"/>
        <w:szCs w:val="26"/>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3">
    <w:nsid w:val="7C896F16"/>
    <w:multiLevelType w:val="hybridMultilevel"/>
    <w:tmpl w:val="348C4F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7CC02990"/>
    <w:multiLevelType w:val="hybridMultilevel"/>
    <w:tmpl w:val="B992A0D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0"/>
  </w:num>
  <w:num w:numId="4">
    <w:abstractNumId w:val="9"/>
  </w:num>
  <w:num w:numId="5">
    <w:abstractNumId w:val="19"/>
  </w:num>
  <w:num w:numId="6">
    <w:abstractNumId w:val="0"/>
  </w:num>
  <w:num w:numId="7">
    <w:abstractNumId w:val="0"/>
  </w:num>
  <w:num w:numId="8">
    <w:abstractNumId w:val="0"/>
  </w:num>
  <w:num w:numId="9">
    <w:abstractNumId w:val="11"/>
  </w:num>
  <w:num w:numId="10">
    <w:abstractNumId w:val="1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20"/>
  </w:num>
  <w:num w:numId="15">
    <w:abstractNumId w:val="1"/>
  </w:num>
  <w:num w:numId="16">
    <w:abstractNumId w:val="3"/>
  </w:num>
  <w:num w:numId="17">
    <w:abstractNumId w:val="14"/>
  </w:num>
  <w:num w:numId="18">
    <w:abstractNumId w:val="24"/>
  </w:num>
  <w:num w:numId="19">
    <w:abstractNumId w:val="8"/>
  </w:num>
  <w:num w:numId="20">
    <w:abstractNumId w:val="15"/>
  </w:num>
  <w:num w:numId="21">
    <w:abstractNumId w:val="21"/>
  </w:num>
  <w:num w:numId="22">
    <w:abstractNumId w:val="5"/>
  </w:num>
  <w:num w:numId="23">
    <w:abstractNumId w:val="2"/>
  </w:num>
  <w:num w:numId="24">
    <w:abstractNumId w:val="6"/>
  </w:num>
  <w:num w:numId="25">
    <w:abstractNumId w:val="10"/>
  </w:num>
  <w:num w:numId="26">
    <w:abstractNumId w:val="8"/>
  </w:num>
  <w:num w:numId="27">
    <w:abstractNumId w:val="16"/>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F9"/>
    <w:rsid w:val="000019D8"/>
    <w:rsid w:val="000058FB"/>
    <w:rsid w:val="00006736"/>
    <w:rsid w:val="00006A97"/>
    <w:rsid w:val="00006E3E"/>
    <w:rsid w:val="0001123B"/>
    <w:rsid w:val="00012A7F"/>
    <w:rsid w:val="0001532B"/>
    <w:rsid w:val="00017A3A"/>
    <w:rsid w:val="0002069C"/>
    <w:rsid w:val="00036E42"/>
    <w:rsid w:val="00041BCE"/>
    <w:rsid w:val="0004373B"/>
    <w:rsid w:val="000448FA"/>
    <w:rsid w:val="00050124"/>
    <w:rsid w:val="000526EB"/>
    <w:rsid w:val="00053A42"/>
    <w:rsid w:val="0005517D"/>
    <w:rsid w:val="00057C96"/>
    <w:rsid w:val="0006133D"/>
    <w:rsid w:val="00062C69"/>
    <w:rsid w:val="00063585"/>
    <w:rsid w:val="00071CAE"/>
    <w:rsid w:val="00071CD0"/>
    <w:rsid w:val="00075692"/>
    <w:rsid w:val="00084D46"/>
    <w:rsid w:val="00087286"/>
    <w:rsid w:val="00087B8D"/>
    <w:rsid w:val="00093821"/>
    <w:rsid w:val="00093D67"/>
    <w:rsid w:val="00093E60"/>
    <w:rsid w:val="000A18B7"/>
    <w:rsid w:val="000A2C1E"/>
    <w:rsid w:val="000A4697"/>
    <w:rsid w:val="000A55F1"/>
    <w:rsid w:val="000B2728"/>
    <w:rsid w:val="000B3943"/>
    <w:rsid w:val="000B4477"/>
    <w:rsid w:val="000C0704"/>
    <w:rsid w:val="000C2B07"/>
    <w:rsid w:val="000C39CC"/>
    <w:rsid w:val="000C3D56"/>
    <w:rsid w:val="000C7566"/>
    <w:rsid w:val="000D188E"/>
    <w:rsid w:val="000D46E9"/>
    <w:rsid w:val="000D5335"/>
    <w:rsid w:val="000E481F"/>
    <w:rsid w:val="000E7B86"/>
    <w:rsid w:val="000F0998"/>
    <w:rsid w:val="000F2B66"/>
    <w:rsid w:val="000F3D83"/>
    <w:rsid w:val="00100F12"/>
    <w:rsid w:val="0010298C"/>
    <w:rsid w:val="00103589"/>
    <w:rsid w:val="001045C9"/>
    <w:rsid w:val="00107CC1"/>
    <w:rsid w:val="001112FB"/>
    <w:rsid w:val="00111A92"/>
    <w:rsid w:val="0011393C"/>
    <w:rsid w:val="001145C3"/>
    <w:rsid w:val="001161D2"/>
    <w:rsid w:val="001318B7"/>
    <w:rsid w:val="00131DF1"/>
    <w:rsid w:val="00132C38"/>
    <w:rsid w:val="00133984"/>
    <w:rsid w:val="001365C4"/>
    <w:rsid w:val="00141179"/>
    <w:rsid w:val="0014147D"/>
    <w:rsid w:val="00141D29"/>
    <w:rsid w:val="0014506A"/>
    <w:rsid w:val="0014728F"/>
    <w:rsid w:val="001521A2"/>
    <w:rsid w:val="00152358"/>
    <w:rsid w:val="00155BFF"/>
    <w:rsid w:val="00160F66"/>
    <w:rsid w:val="0016124B"/>
    <w:rsid w:val="001633AF"/>
    <w:rsid w:val="00164064"/>
    <w:rsid w:val="00166A6C"/>
    <w:rsid w:val="001675E9"/>
    <w:rsid w:val="00173EDD"/>
    <w:rsid w:val="0017402B"/>
    <w:rsid w:val="0017656E"/>
    <w:rsid w:val="00181D37"/>
    <w:rsid w:val="001820FA"/>
    <w:rsid w:val="001835B7"/>
    <w:rsid w:val="0018426B"/>
    <w:rsid w:val="00185A37"/>
    <w:rsid w:val="001871FB"/>
    <w:rsid w:val="0019082B"/>
    <w:rsid w:val="00194073"/>
    <w:rsid w:val="00194309"/>
    <w:rsid w:val="0019660E"/>
    <w:rsid w:val="001B1046"/>
    <w:rsid w:val="001B39E2"/>
    <w:rsid w:val="001B53D5"/>
    <w:rsid w:val="001C2B26"/>
    <w:rsid w:val="001C310C"/>
    <w:rsid w:val="001C3A32"/>
    <w:rsid w:val="001D4F09"/>
    <w:rsid w:val="001E3A90"/>
    <w:rsid w:val="001F1482"/>
    <w:rsid w:val="001F20D7"/>
    <w:rsid w:val="001F31B0"/>
    <w:rsid w:val="001F49DE"/>
    <w:rsid w:val="001F7744"/>
    <w:rsid w:val="002014EB"/>
    <w:rsid w:val="00202B1A"/>
    <w:rsid w:val="00204979"/>
    <w:rsid w:val="00204F98"/>
    <w:rsid w:val="00211D69"/>
    <w:rsid w:val="002179DB"/>
    <w:rsid w:val="002239D7"/>
    <w:rsid w:val="002278F2"/>
    <w:rsid w:val="00227E48"/>
    <w:rsid w:val="00230577"/>
    <w:rsid w:val="00230A09"/>
    <w:rsid w:val="0023209D"/>
    <w:rsid w:val="002333F8"/>
    <w:rsid w:val="00233D79"/>
    <w:rsid w:val="002342BA"/>
    <w:rsid w:val="00237657"/>
    <w:rsid w:val="00242BA7"/>
    <w:rsid w:val="002437B5"/>
    <w:rsid w:val="00244EF1"/>
    <w:rsid w:val="00246F21"/>
    <w:rsid w:val="00253E78"/>
    <w:rsid w:val="00262C3C"/>
    <w:rsid w:val="00264C88"/>
    <w:rsid w:val="0026532C"/>
    <w:rsid w:val="0026575D"/>
    <w:rsid w:val="002705B0"/>
    <w:rsid w:val="002717A6"/>
    <w:rsid w:val="00271B99"/>
    <w:rsid w:val="00272015"/>
    <w:rsid w:val="00273C10"/>
    <w:rsid w:val="00274B4C"/>
    <w:rsid w:val="00276264"/>
    <w:rsid w:val="00281DCA"/>
    <w:rsid w:val="002849FE"/>
    <w:rsid w:val="00287B38"/>
    <w:rsid w:val="002901FD"/>
    <w:rsid w:val="00297B04"/>
    <w:rsid w:val="002A056C"/>
    <w:rsid w:val="002A66A5"/>
    <w:rsid w:val="002A6EBB"/>
    <w:rsid w:val="002B21E9"/>
    <w:rsid w:val="002B2B87"/>
    <w:rsid w:val="002B4E0F"/>
    <w:rsid w:val="002B5754"/>
    <w:rsid w:val="002C7026"/>
    <w:rsid w:val="002C7E08"/>
    <w:rsid w:val="002D089F"/>
    <w:rsid w:val="002D5635"/>
    <w:rsid w:val="002D65E8"/>
    <w:rsid w:val="002D704D"/>
    <w:rsid w:val="002D7D32"/>
    <w:rsid w:val="002E02E5"/>
    <w:rsid w:val="002E0478"/>
    <w:rsid w:val="002E0791"/>
    <w:rsid w:val="002E1B92"/>
    <w:rsid w:val="002E5201"/>
    <w:rsid w:val="002E6D41"/>
    <w:rsid w:val="002E7B81"/>
    <w:rsid w:val="002F064E"/>
    <w:rsid w:val="002F09FB"/>
    <w:rsid w:val="002F0FE3"/>
    <w:rsid w:val="002F1AF0"/>
    <w:rsid w:val="002F2530"/>
    <w:rsid w:val="002F272A"/>
    <w:rsid w:val="002F3225"/>
    <w:rsid w:val="002F4B00"/>
    <w:rsid w:val="002F53B4"/>
    <w:rsid w:val="002F76D6"/>
    <w:rsid w:val="00303506"/>
    <w:rsid w:val="003054E0"/>
    <w:rsid w:val="00307057"/>
    <w:rsid w:val="00312819"/>
    <w:rsid w:val="00312E9C"/>
    <w:rsid w:val="00313875"/>
    <w:rsid w:val="003203BF"/>
    <w:rsid w:val="00321174"/>
    <w:rsid w:val="00321369"/>
    <w:rsid w:val="00322961"/>
    <w:rsid w:val="00330787"/>
    <w:rsid w:val="00331D07"/>
    <w:rsid w:val="00332B70"/>
    <w:rsid w:val="00332BF6"/>
    <w:rsid w:val="00337493"/>
    <w:rsid w:val="0034140D"/>
    <w:rsid w:val="0034285F"/>
    <w:rsid w:val="003464A4"/>
    <w:rsid w:val="00351684"/>
    <w:rsid w:val="00354458"/>
    <w:rsid w:val="003622FC"/>
    <w:rsid w:val="00363653"/>
    <w:rsid w:val="0036509D"/>
    <w:rsid w:val="0037228C"/>
    <w:rsid w:val="003738FD"/>
    <w:rsid w:val="00377536"/>
    <w:rsid w:val="00380C1D"/>
    <w:rsid w:val="003810BE"/>
    <w:rsid w:val="00386DA2"/>
    <w:rsid w:val="00386F6C"/>
    <w:rsid w:val="00387709"/>
    <w:rsid w:val="00387794"/>
    <w:rsid w:val="00387B67"/>
    <w:rsid w:val="00395AE5"/>
    <w:rsid w:val="00397162"/>
    <w:rsid w:val="00397962"/>
    <w:rsid w:val="003A335E"/>
    <w:rsid w:val="003A3671"/>
    <w:rsid w:val="003A3DD2"/>
    <w:rsid w:val="003A4DA2"/>
    <w:rsid w:val="003B3573"/>
    <w:rsid w:val="003B4AD4"/>
    <w:rsid w:val="003B4B40"/>
    <w:rsid w:val="003B4B65"/>
    <w:rsid w:val="003B5813"/>
    <w:rsid w:val="003C03EA"/>
    <w:rsid w:val="003C196B"/>
    <w:rsid w:val="003C6E1D"/>
    <w:rsid w:val="003D058C"/>
    <w:rsid w:val="003D481C"/>
    <w:rsid w:val="003D76B1"/>
    <w:rsid w:val="003E17A6"/>
    <w:rsid w:val="003E2B0D"/>
    <w:rsid w:val="003E35E8"/>
    <w:rsid w:val="003E4AA5"/>
    <w:rsid w:val="003F1CEC"/>
    <w:rsid w:val="003F43BF"/>
    <w:rsid w:val="003F6BE4"/>
    <w:rsid w:val="00403CF8"/>
    <w:rsid w:val="00407459"/>
    <w:rsid w:val="00411190"/>
    <w:rsid w:val="004124D0"/>
    <w:rsid w:val="00414D01"/>
    <w:rsid w:val="004170FE"/>
    <w:rsid w:val="004209E6"/>
    <w:rsid w:val="0042324B"/>
    <w:rsid w:val="004234E8"/>
    <w:rsid w:val="00425D61"/>
    <w:rsid w:val="00426805"/>
    <w:rsid w:val="00430150"/>
    <w:rsid w:val="004302F9"/>
    <w:rsid w:val="0043229B"/>
    <w:rsid w:val="0043494A"/>
    <w:rsid w:val="00435287"/>
    <w:rsid w:val="00436553"/>
    <w:rsid w:val="00440A22"/>
    <w:rsid w:val="00445804"/>
    <w:rsid w:val="004461CD"/>
    <w:rsid w:val="00450C4D"/>
    <w:rsid w:val="0045550E"/>
    <w:rsid w:val="00456456"/>
    <w:rsid w:val="0045771B"/>
    <w:rsid w:val="0046002A"/>
    <w:rsid w:val="00462367"/>
    <w:rsid w:val="0046490C"/>
    <w:rsid w:val="00470287"/>
    <w:rsid w:val="00470733"/>
    <w:rsid w:val="00477C53"/>
    <w:rsid w:val="0048138B"/>
    <w:rsid w:val="00482501"/>
    <w:rsid w:val="00482A44"/>
    <w:rsid w:val="0048437F"/>
    <w:rsid w:val="00485380"/>
    <w:rsid w:val="00486422"/>
    <w:rsid w:val="00492683"/>
    <w:rsid w:val="00493D87"/>
    <w:rsid w:val="004950D4"/>
    <w:rsid w:val="004A0506"/>
    <w:rsid w:val="004A2342"/>
    <w:rsid w:val="004A2A93"/>
    <w:rsid w:val="004A2F62"/>
    <w:rsid w:val="004B0D0A"/>
    <w:rsid w:val="004B1DB8"/>
    <w:rsid w:val="004B2020"/>
    <w:rsid w:val="004B2F01"/>
    <w:rsid w:val="004B4182"/>
    <w:rsid w:val="004B4538"/>
    <w:rsid w:val="004B6FB6"/>
    <w:rsid w:val="004C037D"/>
    <w:rsid w:val="004C3423"/>
    <w:rsid w:val="004C571D"/>
    <w:rsid w:val="004D35A2"/>
    <w:rsid w:val="004D5FD1"/>
    <w:rsid w:val="004E3DED"/>
    <w:rsid w:val="004F2C08"/>
    <w:rsid w:val="004F4686"/>
    <w:rsid w:val="004F5937"/>
    <w:rsid w:val="004F6190"/>
    <w:rsid w:val="004F7C93"/>
    <w:rsid w:val="00506105"/>
    <w:rsid w:val="00513162"/>
    <w:rsid w:val="00521ED4"/>
    <w:rsid w:val="00523F7D"/>
    <w:rsid w:val="00524457"/>
    <w:rsid w:val="00525809"/>
    <w:rsid w:val="00530055"/>
    <w:rsid w:val="00535130"/>
    <w:rsid w:val="00537302"/>
    <w:rsid w:val="005442C5"/>
    <w:rsid w:val="00545D94"/>
    <w:rsid w:val="00555509"/>
    <w:rsid w:val="00560772"/>
    <w:rsid w:val="00561C5B"/>
    <w:rsid w:val="00564F2D"/>
    <w:rsid w:val="00566CDA"/>
    <w:rsid w:val="0056727E"/>
    <w:rsid w:val="00567BA6"/>
    <w:rsid w:val="00570033"/>
    <w:rsid w:val="00570147"/>
    <w:rsid w:val="00571C68"/>
    <w:rsid w:val="0057307E"/>
    <w:rsid w:val="00573A4C"/>
    <w:rsid w:val="00574B79"/>
    <w:rsid w:val="00574D12"/>
    <w:rsid w:val="005800AC"/>
    <w:rsid w:val="005800B4"/>
    <w:rsid w:val="0058070B"/>
    <w:rsid w:val="0058296F"/>
    <w:rsid w:val="00595E80"/>
    <w:rsid w:val="0059650E"/>
    <w:rsid w:val="00596953"/>
    <w:rsid w:val="005A5AD2"/>
    <w:rsid w:val="005A5B4C"/>
    <w:rsid w:val="005A6030"/>
    <w:rsid w:val="005B11E2"/>
    <w:rsid w:val="005B3819"/>
    <w:rsid w:val="005B4A14"/>
    <w:rsid w:val="005B57AD"/>
    <w:rsid w:val="005B69D1"/>
    <w:rsid w:val="005B722E"/>
    <w:rsid w:val="005B7C55"/>
    <w:rsid w:val="005C02FE"/>
    <w:rsid w:val="005C50AC"/>
    <w:rsid w:val="005C6406"/>
    <w:rsid w:val="005D69D1"/>
    <w:rsid w:val="005E210D"/>
    <w:rsid w:val="005F20D0"/>
    <w:rsid w:val="005F2425"/>
    <w:rsid w:val="005F5EC7"/>
    <w:rsid w:val="005F7162"/>
    <w:rsid w:val="005F7207"/>
    <w:rsid w:val="005F7FCF"/>
    <w:rsid w:val="0060040A"/>
    <w:rsid w:val="00607691"/>
    <w:rsid w:val="0061062C"/>
    <w:rsid w:val="00613183"/>
    <w:rsid w:val="006131C7"/>
    <w:rsid w:val="006133F0"/>
    <w:rsid w:val="00616888"/>
    <w:rsid w:val="006176BE"/>
    <w:rsid w:val="006212CB"/>
    <w:rsid w:val="006269BC"/>
    <w:rsid w:val="006279F9"/>
    <w:rsid w:val="00627F95"/>
    <w:rsid w:val="00635CC3"/>
    <w:rsid w:val="006369EE"/>
    <w:rsid w:val="0064700E"/>
    <w:rsid w:val="00650183"/>
    <w:rsid w:val="00650677"/>
    <w:rsid w:val="00653477"/>
    <w:rsid w:val="00655D31"/>
    <w:rsid w:val="00657D2F"/>
    <w:rsid w:val="006619B4"/>
    <w:rsid w:val="00663761"/>
    <w:rsid w:val="00665B59"/>
    <w:rsid w:val="00671BF3"/>
    <w:rsid w:val="006736A9"/>
    <w:rsid w:val="00673BC7"/>
    <w:rsid w:val="00674975"/>
    <w:rsid w:val="00675D39"/>
    <w:rsid w:val="0068560B"/>
    <w:rsid w:val="006946C1"/>
    <w:rsid w:val="006A0483"/>
    <w:rsid w:val="006A1277"/>
    <w:rsid w:val="006A2602"/>
    <w:rsid w:val="006A2D41"/>
    <w:rsid w:val="006A3DD3"/>
    <w:rsid w:val="006A4621"/>
    <w:rsid w:val="006A5816"/>
    <w:rsid w:val="006A67E1"/>
    <w:rsid w:val="006A72E4"/>
    <w:rsid w:val="006B456B"/>
    <w:rsid w:val="006B565F"/>
    <w:rsid w:val="006C2A28"/>
    <w:rsid w:val="006C36FB"/>
    <w:rsid w:val="006C7D62"/>
    <w:rsid w:val="006D0B23"/>
    <w:rsid w:val="006D2ED6"/>
    <w:rsid w:val="006D5685"/>
    <w:rsid w:val="006D772D"/>
    <w:rsid w:val="006E1987"/>
    <w:rsid w:val="006E23B2"/>
    <w:rsid w:val="006E5207"/>
    <w:rsid w:val="006E6CC2"/>
    <w:rsid w:val="006F2501"/>
    <w:rsid w:val="006F5C70"/>
    <w:rsid w:val="006F6A20"/>
    <w:rsid w:val="007047B2"/>
    <w:rsid w:val="00704DE7"/>
    <w:rsid w:val="00706868"/>
    <w:rsid w:val="007078B8"/>
    <w:rsid w:val="00715E32"/>
    <w:rsid w:val="007162D1"/>
    <w:rsid w:val="00716463"/>
    <w:rsid w:val="00716F8B"/>
    <w:rsid w:val="0071706E"/>
    <w:rsid w:val="00722BF2"/>
    <w:rsid w:val="00727292"/>
    <w:rsid w:val="00742F6A"/>
    <w:rsid w:val="007446E8"/>
    <w:rsid w:val="00751553"/>
    <w:rsid w:val="0075165E"/>
    <w:rsid w:val="00754E10"/>
    <w:rsid w:val="00762A29"/>
    <w:rsid w:val="0076327D"/>
    <w:rsid w:val="00767745"/>
    <w:rsid w:val="00770436"/>
    <w:rsid w:val="007707FC"/>
    <w:rsid w:val="00770BE3"/>
    <w:rsid w:val="0077177A"/>
    <w:rsid w:val="007728A8"/>
    <w:rsid w:val="0077337B"/>
    <w:rsid w:val="007815C0"/>
    <w:rsid w:val="007836D7"/>
    <w:rsid w:val="00785A76"/>
    <w:rsid w:val="00787852"/>
    <w:rsid w:val="007915BC"/>
    <w:rsid w:val="007967FA"/>
    <w:rsid w:val="00797E7A"/>
    <w:rsid w:val="007A0EA6"/>
    <w:rsid w:val="007A16AB"/>
    <w:rsid w:val="007A2D9E"/>
    <w:rsid w:val="007B0381"/>
    <w:rsid w:val="007B0F3D"/>
    <w:rsid w:val="007B148D"/>
    <w:rsid w:val="007B18C8"/>
    <w:rsid w:val="007B28D1"/>
    <w:rsid w:val="007B28DE"/>
    <w:rsid w:val="007B7A5F"/>
    <w:rsid w:val="007C36BE"/>
    <w:rsid w:val="007C4D34"/>
    <w:rsid w:val="007D2657"/>
    <w:rsid w:val="007D53ED"/>
    <w:rsid w:val="007D6001"/>
    <w:rsid w:val="007D7F94"/>
    <w:rsid w:val="007E119B"/>
    <w:rsid w:val="007E1B76"/>
    <w:rsid w:val="007E219A"/>
    <w:rsid w:val="007E37BF"/>
    <w:rsid w:val="007E6593"/>
    <w:rsid w:val="007F1101"/>
    <w:rsid w:val="007F2CB1"/>
    <w:rsid w:val="00803D20"/>
    <w:rsid w:val="008112A0"/>
    <w:rsid w:val="0081696D"/>
    <w:rsid w:val="00816E01"/>
    <w:rsid w:val="008173D0"/>
    <w:rsid w:val="00823235"/>
    <w:rsid w:val="008249F1"/>
    <w:rsid w:val="00824AF2"/>
    <w:rsid w:val="00826686"/>
    <w:rsid w:val="008272DC"/>
    <w:rsid w:val="00830179"/>
    <w:rsid w:val="00835563"/>
    <w:rsid w:val="00836511"/>
    <w:rsid w:val="00836B02"/>
    <w:rsid w:val="00836EC6"/>
    <w:rsid w:val="0083741E"/>
    <w:rsid w:val="00837985"/>
    <w:rsid w:val="00840E3D"/>
    <w:rsid w:val="00841D8C"/>
    <w:rsid w:val="00842220"/>
    <w:rsid w:val="00844111"/>
    <w:rsid w:val="0084431A"/>
    <w:rsid w:val="00844F74"/>
    <w:rsid w:val="00846382"/>
    <w:rsid w:val="00850F57"/>
    <w:rsid w:val="008536C2"/>
    <w:rsid w:val="0085580C"/>
    <w:rsid w:val="008600C7"/>
    <w:rsid w:val="008617D0"/>
    <w:rsid w:val="00861A60"/>
    <w:rsid w:val="00862357"/>
    <w:rsid w:val="00862D02"/>
    <w:rsid w:val="008637B9"/>
    <w:rsid w:val="00864194"/>
    <w:rsid w:val="00867D31"/>
    <w:rsid w:val="00870399"/>
    <w:rsid w:val="008711EC"/>
    <w:rsid w:val="00871726"/>
    <w:rsid w:val="008718FE"/>
    <w:rsid w:val="00872946"/>
    <w:rsid w:val="0087507F"/>
    <w:rsid w:val="008819B3"/>
    <w:rsid w:val="00883928"/>
    <w:rsid w:val="00883DDE"/>
    <w:rsid w:val="008851C4"/>
    <w:rsid w:val="00891D73"/>
    <w:rsid w:val="00892A44"/>
    <w:rsid w:val="00897EED"/>
    <w:rsid w:val="008A2DE8"/>
    <w:rsid w:val="008A312D"/>
    <w:rsid w:val="008A3E09"/>
    <w:rsid w:val="008A3E57"/>
    <w:rsid w:val="008A77A7"/>
    <w:rsid w:val="008A7BD1"/>
    <w:rsid w:val="008B3F34"/>
    <w:rsid w:val="008B5F71"/>
    <w:rsid w:val="008B64C5"/>
    <w:rsid w:val="008C2CE6"/>
    <w:rsid w:val="008C56B9"/>
    <w:rsid w:val="008D05E0"/>
    <w:rsid w:val="008D2600"/>
    <w:rsid w:val="008D2F90"/>
    <w:rsid w:val="008D6E3F"/>
    <w:rsid w:val="008E0AC0"/>
    <w:rsid w:val="008E221A"/>
    <w:rsid w:val="008E3FFE"/>
    <w:rsid w:val="008E4F7B"/>
    <w:rsid w:val="008E60BE"/>
    <w:rsid w:val="008E6B74"/>
    <w:rsid w:val="008F0FAF"/>
    <w:rsid w:val="008F46CD"/>
    <w:rsid w:val="008F6480"/>
    <w:rsid w:val="008F7740"/>
    <w:rsid w:val="00900CA2"/>
    <w:rsid w:val="00900E6C"/>
    <w:rsid w:val="00903653"/>
    <w:rsid w:val="00910A52"/>
    <w:rsid w:val="00911479"/>
    <w:rsid w:val="0091484D"/>
    <w:rsid w:val="00925CB7"/>
    <w:rsid w:val="00925D20"/>
    <w:rsid w:val="00925E71"/>
    <w:rsid w:val="00930177"/>
    <w:rsid w:val="0093329F"/>
    <w:rsid w:val="00937043"/>
    <w:rsid w:val="00943631"/>
    <w:rsid w:val="009445D3"/>
    <w:rsid w:val="00955A8A"/>
    <w:rsid w:val="0096400D"/>
    <w:rsid w:val="00966600"/>
    <w:rsid w:val="009671D9"/>
    <w:rsid w:val="00971352"/>
    <w:rsid w:val="009737AA"/>
    <w:rsid w:val="00975E5B"/>
    <w:rsid w:val="00977C8F"/>
    <w:rsid w:val="00977F94"/>
    <w:rsid w:val="009863E9"/>
    <w:rsid w:val="009868F9"/>
    <w:rsid w:val="00990799"/>
    <w:rsid w:val="00992E20"/>
    <w:rsid w:val="009936FC"/>
    <w:rsid w:val="00993925"/>
    <w:rsid w:val="00993977"/>
    <w:rsid w:val="009A05D1"/>
    <w:rsid w:val="009A28AC"/>
    <w:rsid w:val="009A3A5B"/>
    <w:rsid w:val="009A3F2A"/>
    <w:rsid w:val="009A7663"/>
    <w:rsid w:val="009B06B4"/>
    <w:rsid w:val="009B0D90"/>
    <w:rsid w:val="009B2AAC"/>
    <w:rsid w:val="009B3521"/>
    <w:rsid w:val="009B541C"/>
    <w:rsid w:val="009C1DB2"/>
    <w:rsid w:val="009C216A"/>
    <w:rsid w:val="009C4460"/>
    <w:rsid w:val="009D7192"/>
    <w:rsid w:val="009E0E38"/>
    <w:rsid w:val="009E1A35"/>
    <w:rsid w:val="009E2811"/>
    <w:rsid w:val="009E7093"/>
    <w:rsid w:val="009F09AA"/>
    <w:rsid w:val="009F2C16"/>
    <w:rsid w:val="009F2C1B"/>
    <w:rsid w:val="009F335C"/>
    <w:rsid w:val="00A002B5"/>
    <w:rsid w:val="00A0260C"/>
    <w:rsid w:val="00A03E3B"/>
    <w:rsid w:val="00A041B5"/>
    <w:rsid w:val="00A04F8C"/>
    <w:rsid w:val="00A05158"/>
    <w:rsid w:val="00A0564C"/>
    <w:rsid w:val="00A13BF5"/>
    <w:rsid w:val="00A14837"/>
    <w:rsid w:val="00A20A52"/>
    <w:rsid w:val="00A225E3"/>
    <w:rsid w:val="00A23A26"/>
    <w:rsid w:val="00A24A8F"/>
    <w:rsid w:val="00A25708"/>
    <w:rsid w:val="00A25BF0"/>
    <w:rsid w:val="00A3026E"/>
    <w:rsid w:val="00A36495"/>
    <w:rsid w:val="00A44665"/>
    <w:rsid w:val="00A4576A"/>
    <w:rsid w:val="00A45AD0"/>
    <w:rsid w:val="00A45EE9"/>
    <w:rsid w:val="00A53C14"/>
    <w:rsid w:val="00A61410"/>
    <w:rsid w:val="00A6198A"/>
    <w:rsid w:val="00A623B8"/>
    <w:rsid w:val="00A64E7B"/>
    <w:rsid w:val="00A65108"/>
    <w:rsid w:val="00A6663A"/>
    <w:rsid w:val="00A7067F"/>
    <w:rsid w:val="00A707A7"/>
    <w:rsid w:val="00A718FD"/>
    <w:rsid w:val="00A72341"/>
    <w:rsid w:val="00A72818"/>
    <w:rsid w:val="00A741B9"/>
    <w:rsid w:val="00A74407"/>
    <w:rsid w:val="00A7634B"/>
    <w:rsid w:val="00A76CC2"/>
    <w:rsid w:val="00A776ED"/>
    <w:rsid w:val="00A80E50"/>
    <w:rsid w:val="00A8137F"/>
    <w:rsid w:val="00A83663"/>
    <w:rsid w:val="00A83B0F"/>
    <w:rsid w:val="00A84216"/>
    <w:rsid w:val="00A90BFA"/>
    <w:rsid w:val="00A92BF3"/>
    <w:rsid w:val="00A943C8"/>
    <w:rsid w:val="00A950A4"/>
    <w:rsid w:val="00A9520D"/>
    <w:rsid w:val="00A95E50"/>
    <w:rsid w:val="00A9747D"/>
    <w:rsid w:val="00AA00A6"/>
    <w:rsid w:val="00AA6ADB"/>
    <w:rsid w:val="00AA6BA8"/>
    <w:rsid w:val="00AA7F5A"/>
    <w:rsid w:val="00AB2340"/>
    <w:rsid w:val="00AB5FE4"/>
    <w:rsid w:val="00AB659D"/>
    <w:rsid w:val="00AC229F"/>
    <w:rsid w:val="00AD5F8D"/>
    <w:rsid w:val="00AD7671"/>
    <w:rsid w:val="00AE1876"/>
    <w:rsid w:val="00AE53E8"/>
    <w:rsid w:val="00AE6FE4"/>
    <w:rsid w:val="00AF2059"/>
    <w:rsid w:val="00AF3D84"/>
    <w:rsid w:val="00AF4161"/>
    <w:rsid w:val="00AF580B"/>
    <w:rsid w:val="00B007C8"/>
    <w:rsid w:val="00B04729"/>
    <w:rsid w:val="00B05162"/>
    <w:rsid w:val="00B14410"/>
    <w:rsid w:val="00B15E61"/>
    <w:rsid w:val="00B2219C"/>
    <w:rsid w:val="00B24F35"/>
    <w:rsid w:val="00B26CC0"/>
    <w:rsid w:val="00B32C88"/>
    <w:rsid w:val="00B34747"/>
    <w:rsid w:val="00B42E49"/>
    <w:rsid w:val="00B50903"/>
    <w:rsid w:val="00B61F51"/>
    <w:rsid w:val="00B62FFE"/>
    <w:rsid w:val="00B65013"/>
    <w:rsid w:val="00B7123A"/>
    <w:rsid w:val="00B7435C"/>
    <w:rsid w:val="00B743E1"/>
    <w:rsid w:val="00B76F38"/>
    <w:rsid w:val="00B8085D"/>
    <w:rsid w:val="00B81EFF"/>
    <w:rsid w:val="00B836BB"/>
    <w:rsid w:val="00B84122"/>
    <w:rsid w:val="00B843DF"/>
    <w:rsid w:val="00B862B0"/>
    <w:rsid w:val="00BA03F3"/>
    <w:rsid w:val="00BA2B7C"/>
    <w:rsid w:val="00BA71F5"/>
    <w:rsid w:val="00BB142A"/>
    <w:rsid w:val="00BB34B9"/>
    <w:rsid w:val="00BB35C2"/>
    <w:rsid w:val="00BB553B"/>
    <w:rsid w:val="00BC28D7"/>
    <w:rsid w:val="00BC3146"/>
    <w:rsid w:val="00BC376C"/>
    <w:rsid w:val="00BC6321"/>
    <w:rsid w:val="00BC7817"/>
    <w:rsid w:val="00BD16A5"/>
    <w:rsid w:val="00BD3819"/>
    <w:rsid w:val="00BD51E0"/>
    <w:rsid w:val="00BD642D"/>
    <w:rsid w:val="00BD6988"/>
    <w:rsid w:val="00BD70AF"/>
    <w:rsid w:val="00BD79F0"/>
    <w:rsid w:val="00BE1A77"/>
    <w:rsid w:val="00BE4742"/>
    <w:rsid w:val="00BE7383"/>
    <w:rsid w:val="00BE754D"/>
    <w:rsid w:val="00BF1DB9"/>
    <w:rsid w:val="00BF5E96"/>
    <w:rsid w:val="00BF6D10"/>
    <w:rsid w:val="00BF6D9F"/>
    <w:rsid w:val="00BF6E79"/>
    <w:rsid w:val="00C03F6C"/>
    <w:rsid w:val="00C12108"/>
    <w:rsid w:val="00C121D9"/>
    <w:rsid w:val="00C13453"/>
    <w:rsid w:val="00C151A1"/>
    <w:rsid w:val="00C16E7D"/>
    <w:rsid w:val="00C1744D"/>
    <w:rsid w:val="00C17DEE"/>
    <w:rsid w:val="00C220F9"/>
    <w:rsid w:val="00C2541C"/>
    <w:rsid w:val="00C26862"/>
    <w:rsid w:val="00C30458"/>
    <w:rsid w:val="00C30C75"/>
    <w:rsid w:val="00C31DA6"/>
    <w:rsid w:val="00C3238C"/>
    <w:rsid w:val="00C33260"/>
    <w:rsid w:val="00C4598F"/>
    <w:rsid w:val="00C45B7B"/>
    <w:rsid w:val="00C50360"/>
    <w:rsid w:val="00C51604"/>
    <w:rsid w:val="00C5224B"/>
    <w:rsid w:val="00C54E12"/>
    <w:rsid w:val="00C55468"/>
    <w:rsid w:val="00C555A7"/>
    <w:rsid w:val="00C5615B"/>
    <w:rsid w:val="00C622C3"/>
    <w:rsid w:val="00C63894"/>
    <w:rsid w:val="00C63BD5"/>
    <w:rsid w:val="00C63F22"/>
    <w:rsid w:val="00C7000E"/>
    <w:rsid w:val="00C73E39"/>
    <w:rsid w:val="00C742F8"/>
    <w:rsid w:val="00C74906"/>
    <w:rsid w:val="00C81AA4"/>
    <w:rsid w:val="00C81B40"/>
    <w:rsid w:val="00C81FEA"/>
    <w:rsid w:val="00C82490"/>
    <w:rsid w:val="00C83969"/>
    <w:rsid w:val="00C86C95"/>
    <w:rsid w:val="00C86E81"/>
    <w:rsid w:val="00C91443"/>
    <w:rsid w:val="00CA05EB"/>
    <w:rsid w:val="00CA3515"/>
    <w:rsid w:val="00CA3A05"/>
    <w:rsid w:val="00CB14E9"/>
    <w:rsid w:val="00CB6D90"/>
    <w:rsid w:val="00CB72C3"/>
    <w:rsid w:val="00CC45E4"/>
    <w:rsid w:val="00CC4CE7"/>
    <w:rsid w:val="00CC6A9E"/>
    <w:rsid w:val="00CD019F"/>
    <w:rsid w:val="00CD27C5"/>
    <w:rsid w:val="00CE4169"/>
    <w:rsid w:val="00CE667B"/>
    <w:rsid w:val="00CE7894"/>
    <w:rsid w:val="00CF06A1"/>
    <w:rsid w:val="00CF1467"/>
    <w:rsid w:val="00CF48D6"/>
    <w:rsid w:val="00CF57D6"/>
    <w:rsid w:val="00CF5AF2"/>
    <w:rsid w:val="00CF6C1B"/>
    <w:rsid w:val="00D019D5"/>
    <w:rsid w:val="00D040FE"/>
    <w:rsid w:val="00D168FD"/>
    <w:rsid w:val="00D16F64"/>
    <w:rsid w:val="00D2472C"/>
    <w:rsid w:val="00D279BA"/>
    <w:rsid w:val="00D37E06"/>
    <w:rsid w:val="00D404B5"/>
    <w:rsid w:val="00D42BFA"/>
    <w:rsid w:val="00D44559"/>
    <w:rsid w:val="00D447CB"/>
    <w:rsid w:val="00D47D16"/>
    <w:rsid w:val="00D505F4"/>
    <w:rsid w:val="00D51C49"/>
    <w:rsid w:val="00D51CE1"/>
    <w:rsid w:val="00D53287"/>
    <w:rsid w:val="00D532A9"/>
    <w:rsid w:val="00D562F2"/>
    <w:rsid w:val="00D61B93"/>
    <w:rsid w:val="00D62746"/>
    <w:rsid w:val="00D6377C"/>
    <w:rsid w:val="00D67E4A"/>
    <w:rsid w:val="00D763FD"/>
    <w:rsid w:val="00D90AD1"/>
    <w:rsid w:val="00D941F7"/>
    <w:rsid w:val="00DA3768"/>
    <w:rsid w:val="00DA4DDF"/>
    <w:rsid w:val="00DA548C"/>
    <w:rsid w:val="00DB0804"/>
    <w:rsid w:val="00DB2FC4"/>
    <w:rsid w:val="00DC382A"/>
    <w:rsid w:val="00DC792F"/>
    <w:rsid w:val="00DD2697"/>
    <w:rsid w:val="00DD47E6"/>
    <w:rsid w:val="00DD5CFF"/>
    <w:rsid w:val="00DD6E42"/>
    <w:rsid w:val="00DE1923"/>
    <w:rsid w:val="00DE2AB4"/>
    <w:rsid w:val="00DE2B33"/>
    <w:rsid w:val="00DE4FFE"/>
    <w:rsid w:val="00DE638B"/>
    <w:rsid w:val="00DE72EE"/>
    <w:rsid w:val="00DF297E"/>
    <w:rsid w:val="00DF37E5"/>
    <w:rsid w:val="00E00F0C"/>
    <w:rsid w:val="00E0260A"/>
    <w:rsid w:val="00E034FE"/>
    <w:rsid w:val="00E041E5"/>
    <w:rsid w:val="00E04888"/>
    <w:rsid w:val="00E0763B"/>
    <w:rsid w:val="00E10302"/>
    <w:rsid w:val="00E17650"/>
    <w:rsid w:val="00E17EC5"/>
    <w:rsid w:val="00E26BFD"/>
    <w:rsid w:val="00E27E90"/>
    <w:rsid w:val="00E33D02"/>
    <w:rsid w:val="00E34F2C"/>
    <w:rsid w:val="00E35D79"/>
    <w:rsid w:val="00E41FAF"/>
    <w:rsid w:val="00E45741"/>
    <w:rsid w:val="00E4641E"/>
    <w:rsid w:val="00E519AE"/>
    <w:rsid w:val="00E52F02"/>
    <w:rsid w:val="00E57AF7"/>
    <w:rsid w:val="00E6241B"/>
    <w:rsid w:val="00E64FCC"/>
    <w:rsid w:val="00E703B6"/>
    <w:rsid w:val="00E72200"/>
    <w:rsid w:val="00E72B1B"/>
    <w:rsid w:val="00E74049"/>
    <w:rsid w:val="00E75D47"/>
    <w:rsid w:val="00E766F5"/>
    <w:rsid w:val="00E77424"/>
    <w:rsid w:val="00E81C7B"/>
    <w:rsid w:val="00E820FB"/>
    <w:rsid w:val="00E82948"/>
    <w:rsid w:val="00E84964"/>
    <w:rsid w:val="00E90218"/>
    <w:rsid w:val="00E913BB"/>
    <w:rsid w:val="00E95F2E"/>
    <w:rsid w:val="00EA05FA"/>
    <w:rsid w:val="00EA1508"/>
    <w:rsid w:val="00EA1541"/>
    <w:rsid w:val="00EA32E4"/>
    <w:rsid w:val="00EA7E36"/>
    <w:rsid w:val="00EB0898"/>
    <w:rsid w:val="00EB194C"/>
    <w:rsid w:val="00EB627B"/>
    <w:rsid w:val="00EB6280"/>
    <w:rsid w:val="00EB6D94"/>
    <w:rsid w:val="00EC4183"/>
    <w:rsid w:val="00EC6468"/>
    <w:rsid w:val="00EC6708"/>
    <w:rsid w:val="00EC75DD"/>
    <w:rsid w:val="00ED207C"/>
    <w:rsid w:val="00ED325A"/>
    <w:rsid w:val="00ED3F41"/>
    <w:rsid w:val="00ED5615"/>
    <w:rsid w:val="00ED692E"/>
    <w:rsid w:val="00ED69AF"/>
    <w:rsid w:val="00EE0A84"/>
    <w:rsid w:val="00EE1847"/>
    <w:rsid w:val="00EE240E"/>
    <w:rsid w:val="00EE688E"/>
    <w:rsid w:val="00EE6A6D"/>
    <w:rsid w:val="00EF03E2"/>
    <w:rsid w:val="00EF52D6"/>
    <w:rsid w:val="00EF7F8B"/>
    <w:rsid w:val="00F03814"/>
    <w:rsid w:val="00F07A09"/>
    <w:rsid w:val="00F1390C"/>
    <w:rsid w:val="00F14D98"/>
    <w:rsid w:val="00F20C5E"/>
    <w:rsid w:val="00F36A1D"/>
    <w:rsid w:val="00F44278"/>
    <w:rsid w:val="00F507B8"/>
    <w:rsid w:val="00F51B65"/>
    <w:rsid w:val="00F52AAB"/>
    <w:rsid w:val="00F52EB6"/>
    <w:rsid w:val="00F55260"/>
    <w:rsid w:val="00F61EAA"/>
    <w:rsid w:val="00F6316B"/>
    <w:rsid w:val="00F65AE0"/>
    <w:rsid w:val="00F70001"/>
    <w:rsid w:val="00F74D05"/>
    <w:rsid w:val="00F74E38"/>
    <w:rsid w:val="00F76D6F"/>
    <w:rsid w:val="00F778B0"/>
    <w:rsid w:val="00F83BC2"/>
    <w:rsid w:val="00F867D3"/>
    <w:rsid w:val="00F92EC1"/>
    <w:rsid w:val="00F94C47"/>
    <w:rsid w:val="00FA0421"/>
    <w:rsid w:val="00FA3389"/>
    <w:rsid w:val="00FA3476"/>
    <w:rsid w:val="00FA495F"/>
    <w:rsid w:val="00FB0C10"/>
    <w:rsid w:val="00FB1FFE"/>
    <w:rsid w:val="00FB2E43"/>
    <w:rsid w:val="00FB3C36"/>
    <w:rsid w:val="00FB4280"/>
    <w:rsid w:val="00FB5574"/>
    <w:rsid w:val="00FB7CCE"/>
    <w:rsid w:val="00FC01C8"/>
    <w:rsid w:val="00FC5027"/>
    <w:rsid w:val="00FC50C7"/>
    <w:rsid w:val="00FC511D"/>
    <w:rsid w:val="00FC68BC"/>
    <w:rsid w:val="00FD11D4"/>
    <w:rsid w:val="00FD225D"/>
    <w:rsid w:val="00FD2384"/>
    <w:rsid w:val="00FE452E"/>
    <w:rsid w:val="00FF0EAB"/>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numbering" w:customStyle="1" w:styleId="Sinlista1">
    <w:name w:val="Sin lista1"/>
    <w:next w:val="Sinlista"/>
    <w:uiPriority w:val="99"/>
    <w:semiHidden/>
    <w:unhideWhenUsed/>
    <w:rsid w:val="009868F9"/>
  </w:style>
  <w:style w:type="character" w:customStyle="1" w:styleId="atitulo1Car">
    <w:name w:val="atitulo1 Car"/>
    <w:basedOn w:val="Fuentedeprrafopredeter"/>
    <w:link w:val="atitulo1"/>
    <w:uiPriority w:val="99"/>
    <w:locked/>
    <w:rsid w:val="009868F9"/>
    <w:rPr>
      <w:rFonts w:ascii="Arial" w:hAnsi="Arial"/>
      <w:b/>
      <w:color w:val="000000"/>
      <w:kern w:val="28"/>
      <w:sz w:val="25"/>
      <w:szCs w:val="26"/>
      <w:lang w:val="es-ES_tradnl" w:eastAsia="en-US"/>
    </w:rPr>
  </w:style>
  <w:style w:type="character" w:customStyle="1" w:styleId="Ttulo1Car">
    <w:name w:val="Título 1 Car"/>
    <w:basedOn w:val="Fuentedeprrafopredeter"/>
    <w:link w:val="Ttulo1"/>
    <w:uiPriority w:val="9"/>
    <w:rsid w:val="009868F9"/>
    <w:rPr>
      <w:rFonts w:ascii="Arial" w:hAnsi="Arial" w:cs="Arial"/>
      <w:b/>
      <w:bCs/>
      <w:kern w:val="32"/>
      <w:sz w:val="32"/>
      <w:szCs w:val="32"/>
      <w:lang w:val="es-ES_tradnl" w:eastAsia="en-US"/>
    </w:rPr>
  </w:style>
  <w:style w:type="paragraph" w:styleId="NormalWeb">
    <w:name w:val="Normal (Web)"/>
    <w:basedOn w:val="Normal"/>
    <w:uiPriority w:val="99"/>
    <w:unhideWhenUsed/>
    <w:rsid w:val="009868F9"/>
    <w:pPr>
      <w:spacing w:after="240"/>
      <w:ind w:firstLine="0"/>
      <w:jc w:val="left"/>
    </w:pPr>
    <w:rPr>
      <w:sz w:val="24"/>
      <w:szCs w:val="24"/>
      <w:lang w:val="es-ES" w:eastAsia="es-ES"/>
    </w:rPr>
  </w:style>
  <w:style w:type="paragraph" w:customStyle="1" w:styleId="xa1">
    <w:name w:val="xa1"/>
    <w:basedOn w:val="Normal"/>
    <w:rsid w:val="009868F9"/>
    <w:pPr>
      <w:spacing w:after="240"/>
      <w:ind w:left="300" w:right="75" w:firstLine="0"/>
    </w:pPr>
    <w:rPr>
      <w:sz w:val="24"/>
      <w:szCs w:val="24"/>
      <w:lang w:val="es-ES" w:eastAsia="es-ES"/>
    </w:rPr>
  </w:style>
  <w:style w:type="paragraph" w:customStyle="1" w:styleId="xl2">
    <w:name w:val="xl2"/>
    <w:basedOn w:val="Normal"/>
    <w:rsid w:val="009868F9"/>
    <w:pPr>
      <w:spacing w:after="240"/>
      <w:ind w:left="525" w:right="75" w:hanging="225"/>
    </w:pPr>
    <w:rPr>
      <w:sz w:val="24"/>
      <w:szCs w:val="24"/>
      <w:lang w:val="es-ES" w:eastAsia="es-ES"/>
    </w:rPr>
  </w:style>
  <w:style w:type="paragraph" w:styleId="Textonotapie">
    <w:name w:val="footnote text"/>
    <w:basedOn w:val="Normal"/>
    <w:link w:val="TextonotapieCar"/>
    <w:uiPriority w:val="99"/>
    <w:unhideWhenUsed/>
    <w:rsid w:val="009868F9"/>
    <w:pPr>
      <w:spacing w:after="0"/>
      <w:ind w:firstLine="0"/>
      <w:jc w:val="left"/>
    </w:pPr>
    <w:rPr>
      <w:rFonts w:asciiTheme="minorHAnsi" w:eastAsiaTheme="minorHAnsi" w:hAnsiTheme="minorHAnsi" w:cstheme="minorBidi"/>
      <w:lang w:val="es-ES"/>
    </w:rPr>
  </w:style>
  <w:style w:type="character" w:customStyle="1" w:styleId="TextonotapieCar">
    <w:name w:val="Texto nota pie Car"/>
    <w:basedOn w:val="Fuentedeprrafopredeter"/>
    <w:link w:val="Textonotapie"/>
    <w:uiPriority w:val="99"/>
    <w:rsid w:val="009868F9"/>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9868F9"/>
    <w:rPr>
      <w:vertAlign w:val="superscript"/>
    </w:rPr>
  </w:style>
  <w:style w:type="character" w:customStyle="1" w:styleId="EncabezadoCar">
    <w:name w:val="Encabezado Car"/>
    <w:basedOn w:val="Fuentedeprrafopredeter"/>
    <w:link w:val="Encabezado"/>
    <w:uiPriority w:val="99"/>
    <w:rsid w:val="009868F9"/>
    <w:rPr>
      <w:bCs/>
      <w:caps/>
      <w:sz w:val="14"/>
      <w:szCs w:val="12"/>
      <w:lang w:val="es-ES_tradnl" w:eastAsia="en-US"/>
    </w:rPr>
  </w:style>
  <w:style w:type="character" w:customStyle="1" w:styleId="PiedepginaCar">
    <w:name w:val="Pie de página Car"/>
    <w:basedOn w:val="Fuentedeprrafopredeter"/>
    <w:link w:val="Piedepgina"/>
    <w:uiPriority w:val="99"/>
    <w:rsid w:val="009868F9"/>
    <w:rPr>
      <w:spacing w:val="6"/>
      <w:lang w:val="es-ES_tradnl" w:eastAsia="en-US"/>
    </w:rPr>
  </w:style>
  <w:style w:type="paragraph" w:styleId="Prrafodelista">
    <w:name w:val="List Paragraph"/>
    <w:basedOn w:val="Normal"/>
    <w:uiPriority w:val="34"/>
    <w:qFormat/>
    <w:rsid w:val="009868F9"/>
    <w:pPr>
      <w:spacing w:after="200" w:line="276" w:lineRule="auto"/>
      <w:ind w:left="720" w:firstLine="0"/>
      <w:contextualSpacing/>
      <w:jc w:val="left"/>
    </w:pPr>
    <w:rPr>
      <w:rFonts w:asciiTheme="minorHAnsi" w:eastAsiaTheme="minorHAnsi" w:hAnsiTheme="minorHAnsi" w:cstheme="minorBidi"/>
      <w:sz w:val="22"/>
      <w:szCs w:val="22"/>
      <w:lang w:val="es-ES"/>
    </w:rPr>
  </w:style>
  <w:style w:type="table" w:customStyle="1" w:styleId="Tablaconcuadrcula1">
    <w:name w:val="Tabla con cuadrícula1"/>
    <w:basedOn w:val="Tablanormal"/>
    <w:next w:val="Tablaconcuadrcula"/>
    <w:uiPriority w:val="59"/>
    <w:rsid w:val="00986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868F9"/>
    <w:rPr>
      <w:rFonts w:ascii="Tahoma" w:hAnsi="Tahoma" w:cs="Tahoma"/>
      <w:sz w:val="16"/>
      <w:szCs w:val="16"/>
      <w:lang w:val="es-ES_tradnl" w:eastAsia="en-US"/>
    </w:rPr>
  </w:style>
  <w:style w:type="character" w:customStyle="1" w:styleId="atitulo2Car">
    <w:name w:val="atitulo2 Car"/>
    <w:link w:val="atitulo2"/>
    <w:uiPriority w:val="99"/>
    <w:rsid w:val="009868F9"/>
    <w:rPr>
      <w:rFonts w:ascii="Arial" w:hAnsi="Arial"/>
      <w:bCs/>
      <w:iCs/>
      <w:color w:val="000000"/>
      <w:spacing w:val="10"/>
      <w:kern w:val="28"/>
      <w:sz w:val="25"/>
      <w:szCs w:val="26"/>
      <w:lang w:val="es-ES_tradnl" w:eastAsia="en-US"/>
    </w:rPr>
  </w:style>
  <w:style w:type="character" w:styleId="Refdecomentario">
    <w:name w:val="annotation reference"/>
    <w:basedOn w:val="Fuentedeprrafopredeter"/>
    <w:rsid w:val="00482A44"/>
    <w:rPr>
      <w:sz w:val="16"/>
      <w:szCs w:val="16"/>
    </w:rPr>
  </w:style>
  <w:style w:type="paragraph" w:styleId="Textocomentario">
    <w:name w:val="annotation text"/>
    <w:basedOn w:val="Normal"/>
    <w:link w:val="TextocomentarioCar"/>
    <w:rsid w:val="00482A44"/>
  </w:style>
  <w:style w:type="character" w:customStyle="1" w:styleId="TextocomentarioCar">
    <w:name w:val="Texto comentario Car"/>
    <w:basedOn w:val="Fuentedeprrafopredeter"/>
    <w:link w:val="Textocomentario"/>
    <w:rsid w:val="00482A44"/>
    <w:rPr>
      <w:lang w:val="es-ES_tradnl" w:eastAsia="en-US"/>
    </w:rPr>
  </w:style>
  <w:style w:type="paragraph" w:styleId="Asuntodelcomentario">
    <w:name w:val="annotation subject"/>
    <w:basedOn w:val="Textocomentario"/>
    <w:next w:val="Textocomentario"/>
    <w:link w:val="AsuntodelcomentarioCar"/>
    <w:rsid w:val="00482A44"/>
    <w:rPr>
      <w:b/>
      <w:bCs/>
    </w:rPr>
  </w:style>
  <w:style w:type="character" w:customStyle="1" w:styleId="AsuntodelcomentarioCar">
    <w:name w:val="Asunto del comentario Car"/>
    <w:basedOn w:val="TextocomentarioCar"/>
    <w:link w:val="Asuntodelcomentario"/>
    <w:rsid w:val="00482A44"/>
    <w:rPr>
      <w:b/>
      <w:bCs/>
      <w:lang w:val="es-ES_tradnl" w:eastAsia="en-US"/>
    </w:rPr>
  </w:style>
  <w:style w:type="paragraph" w:styleId="Textonotaalfinal">
    <w:name w:val="endnote text"/>
    <w:basedOn w:val="Normal"/>
    <w:link w:val="TextonotaalfinalCar"/>
    <w:rsid w:val="00482A44"/>
    <w:pPr>
      <w:spacing w:after="0"/>
    </w:pPr>
  </w:style>
  <w:style w:type="character" w:customStyle="1" w:styleId="TextonotaalfinalCar">
    <w:name w:val="Texto nota al final Car"/>
    <w:basedOn w:val="Fuentedeprrafopredeter"/>
    <w:link w:val="Textonotaalfinal"/>
    <w:rsid w:val="00482A44"/>
    <w:rPr>
      <w:lang w:val="es-ES_tradnl" w:eastAsia="en-US"/>
    </w:rPr>
  </w:style>
  <w:style w:type="character" w:styleId="Refdenotaalfinal">
    <w:name w:val="endnote reference"/>
    <w:basedOn w:val="Fuentedeprrafopredeter"/>
    <w:rsid w:val="00482A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numbering" w:customStyle="1" w:styleId="Sinlista1">
    <w:name w:val="Sin lista1"/>
    <w:next w:val="Sinlista"/>
    <w:uiPriority w:val="99"/>
    <w:semiHidden/>
    <w:unhideWhenUsed/>
    <w:rsid w:val="009868F9"/>
  </w:style>
  <w:style w:type="character" w:customStyle="1" w:styleId="atitulo1Car">
    <w:name w:val="atitulo1 Car"/>
    <w:basedOn w:val="Fuentedeprrafopredeter"/>
    <w:link w:val="atitulo1"/>
    <w:uiPriority w:val="99"/>
    <w:locked/>
    <w:rsid w:val="009868F9"/>
    <w:rPr>
      <w:rFonts w:ascii="Arial" w:hAnsi="Arial"/>
      <w:b/>
      <w:color w:val="000000"/>
      <w:kern w:val="28"/>
      <w:sz w:val="25"/>
      <w:szCs w:val="26"/>
      <w:lang w:val="es-ES_tradnl" w:eastAsia="en-US"/>
    </w:rPr>
  </w:style>
  <w:style w:type="character" w:customStyle="1" w:styleId="Ttulo1Car">
    <w:name w:val="Título 1 Car"/>
    <w:basedOn w:val="Fuentedeprrafopredeter"/>
    <w:link w:val="Ttulo1"/>
    <w:uiPriority w:val="9"/>
    <w:rsid w:val="009868F9"/>
    <w:rPr>
      <w:rFonts w:ascii="Arial" w:hAnsi="Arial" w:cs="Arial"/>
      <w:b/>
      <w:bCs/>
      <w:kern w:val="32"/>
      <w:sz w:val="32"/>
      <w:szCs w:val="32"/>
      <w:lang w:val="es-ES_tradnl" w:eastAsia="en-US"/>
    </w:rPr>
  </w:style>
  <w:style w:type="paragraph" w:styleId="NormalWeb">
    <w:name w:val="Normal (Web)"/>
    <w:basedOn w:val="Normal"/>
    <w:uiPriority w:val="99"/>
    <w:unhideWhenUsed/>
    <w:rsid w:val="009868F9"/>
    <w:pPr>
      <w:spacing w:after="240"/>
      <w:ind w:firstLine="0"/>
      <w:jc w:val="left"/>
    </w:pPr>
    <w:rPr>
      <w:sz w:val="24"/>
      <w:szCs w:val="24"/>
      <w:lang w:val="es-ES" w:eastAsia="es-ES"/>
    </w:rPr>
  </w:style>
  <w:style w:type="paragraph" w:customStyle="1" w:styleId="xa1">
    <w:name w:val="xa1"/>
    <w:basedOn w:val="Normal"/>
    <w:rsid w:val="009868F9"/>
    <w:pPr>
      <w:spacing w:after="240"/>
      <w:ind w:left="300" w:right="75" w:firstLine="0"/>
    </w:pPr>
    <w:rPr>
      <w:sz w:val="24"/>
      <w:szCs w:val="24"/>
      <w:lang w:val="es-ES" w:eastAsia="es-ES"/>
    </w:rPr>
  </w:style>
  <w:style w:type="paragraph" w:customStyle="1" w:styleId="xl2">
    <w:name w:val="xl2"/>
    <w:basedOn w:val="Normal"/>
    <w:rsid w:val="009868F9"/>
    <w:pPr>
      <w:spacing w:after="240"/>
      <w:ind w:left="525" w:right="75" w:hanging="225"/>
    </w:pPr>
    <w:rPr>
      <w:sz w:val="24"/>
      <w:szCs w:val="24"/>
      <w:lang w:val="es-ES" w:eastAsia="es-ES"/>
    </w:rPr>
  </w:style>
  <w:style w:type="paragraph" w:styleId="Textonotapie">
    <w:name w:val="footnote text"/>
    <w:basedOn w:val="Normal"/>
    <w:link w:val="TextonotapieCar"/>
    <w:uiPriority w:val="99"/>
    <w:unhideWhenUsed/>
    <w:rsid w:val="009868F9"/>
    <w:pPr>
      <w:spacing w:after="0"/>
      <w:ind w:firstLine="0"/>
      <w:jc w:val="left"/>
    </w:pPr>
    <w:rPr>
      <w:rFonts w:asciiTheme="minorHAnsi" w:eastAsiaTheme="minorHAnsi" w:hAnsiTheme="minorHAnsi" w:cstheme="minorBidi"/>
      <w:lang w:val="es-ES"/>
    </w:rPr>
  </w:style>
  <w:style w:type="character" w:customStyle="1" w:styleId="TextonotapieCar">
    <w:name w:val="Texto nota pie Car"/>
    <w:basedOn w:val="Fuentedeprrafopredeter"/>
    <w:link w:val="Textonotapie"/>
    <w:uiPriority w:val="99"/>
    <w:rsid w:val="009868F9"/>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9868F9"/>
    <w:rPr>
      <w:vertAlign w:val="superscript"/>
    </w:rPr>
  </w:style>
  <w:style w:type="character" w:customStyle="1" w:styleId="EncabezadoCar">
    <w:name w:val="Encabezado Car"/>
    <w:basedOn w:val="Fuentedeprrafopredeter"/>
    <w:link w:val="Encabezado"/>
    <w:uiPriority w:val="99"/>
    <w:rsid w:val="009868F9"/>
    <w:rPr>
      <w:bCs/>
      <w:caps/>
      <w:sz w:val="14"/>
      <w:szCs w:val="12"/>
      <w:lang w:val="es-ES_tradnl" w:eastAsia="en-US"/>
    </w:rPr>
  </w:style>
  <w:style w:type="character" w:customStyle="1" w:styleId="PiedepginaCar">
    <w:name w:val="Pie de página Car"/>
    <w:basedOn w:val="Fuentedeprrafopredeter"/>
    <w:link w:val="Piedepgina"/>
    <w:uiPriority w:val="99"/>
    <w:rsid w:val="009868F9"/>
    <w:rPr>
      <w:spacing w:val="6"/>
      <w:lang w:val="es-ES_tradnl" w:eastAsia="en-US"/>
    </w:rPr>
  </w:style>
  <w:style w:type="paragraph" w:styleId="Prrafodelista">
    <w:name w:val="List Paragraph"/>
    <w:basedOn w:val="Normal"/>
    <w:uiPriority w:val="34"/>
    <w:qFormat/>
    <w:rsid w:val="009868F9"/>
    <w:pPr>
      <w:spacing w:after="200" w:line="276" w:lineRule="auto"/>
      <w:ind w:left="720" w:firstLine="0"/>
      <w:contextualSpacing/>
      <w:jc w:val="left"/>
    </w:pPr>
    <w:rPr>
      <w:rFonts w:asciiTheme="minorHAnsi" w:eastAsiaTheme="minorHAnsi" w:hAnsiTheme="minorHAnsi" w:cstheme="minorBidi"/>
      <w:sz w:val="22"/>
      <w:szCs w:val="22"/>
      <w:lang w:val="es-ES"/>
    </w:rPr>
  </w:style>
  <w:style w:type="table" w:customStyle="1" w:styleId="Tablaconcuadrcula1">
    <w:name w:val="Tabla con cuadrícula1"/>
    <w:basedOn w:val="Tablanormal"/>
    <w:next w:val="Tablaconcuadrcula"/>
    <w:uiPriority w:val="59"/>
    <w:rsid w:val="00986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868F9"/>
    <w:rPr>
      <w:rFonts w:ascii="Tahoma" w:hAnsi="Tahoma" w:cs="Tahoma"/>
      <w:sz w:val="16"/>
      <w:szCs w:val="16"/>
      <w:lang w:val="es-ES_tradnl" w:eastAsia="en-US"/>
    </w:rPr>
  </w:style>
  <w:style w:type="character" w:customStyle="1" w:styleId="atitulo2Car">
    <w:name w:val="atitulo2 Car"/>
    <w:link w:val="atitulo2"/>
    <w:uiPriority w:val="99"/>
    <w:rsid w:val="009868F9"/>
    <w:rPr>
      <w:rFonts w:ascii="Arial" w:hAnsi="Arial"/>
      <w:bCs/>
      <w:iCs/>
      <w:color w:val="000000"/>
      <w:spacing w:val="10"/>
      <w:kern w:val="28"/>
      <w:sz w:val="25"/>
      <w:szCs w:val="26"/>
      <w:lang w:val="es-ES_tradnl" w:eastAsia="en-US"/>
    </w:rPr>
  </w:style>
  <w:style w:type="character" w:styleId="Refdecomentario">
    <w:name w:val="annotation reference"/>
    <w:basedOn w:val="Fuentedeprrafopredeter"/>
    <w:rsid w:val="00482A44"/>
    <w:rPr>
      <w:sz w:val="16"/>
      <w:szCs w:val="16"/>
    </w:rPr>
  </w:style>
  <w:style w:type="paragraph" w:styleId="Textocomentario">
    <w:name w:val="annotation text"/>
    <w:basedOn w:val="Normal"/>
    <w:link w:val="TextocomentarioCar"/>
    <w:rsid w:val="00482A44"/>
  </w:style>
  <w:style w:type="character" w:customStyle="1" w:styleId="TextocomentarioCar">
    <w:name w:val="Texto comentario Car"/>
    <w:basedOn w:val="Fuentedeprrafopredeter"/>
    <w:link w:val="Textocomentario"/>
    <w:rsid w:val="00482A44"/>
    <w:rPr>
      <w:lang w:val="es-ES_tradnl" w:eastAsia="en-US"/>
    </w:rPr>
  </w:style>
  <w:style w:type="paragraph" w:styleId="Asuntodelcomentario">
    <w:name w:val="annotation subject"/>
    <w:basedOn w:val="Textocomentario"/>
    <w:next w:val="Textocomentario"/>
    <w:link w:val="AsuntodelcomentarioCar"/>
    <w:rsid w:val="00482A44"/>
    <w:rPr>
      <w:b/>
      <w:bCs/>
    </w:rPr>
  </w:style>
  <w:style w:type="character" w:customStyle="1" w:styleId="AsuntodelcomentarioCar">
    <w:name w:val="Asunto del comentario Car"/>
    <w:basedOn w:val="TextocomentarioCar"/>
    <w:link w:val="Asuntodelcomentario"/>
    <w:rsid w:val="00482A44"/>
    <w:rPr>
      <w:b/>
      <w:bCs/>
      <w:lang w:val="es-ES_tradnl" w:eastAsia="en-US"/>
    </w:rPr>
  </w:style>
  <w:style w:type="paragraph" w:styleId="Textonotaalfinal">
    <w:name w:val="endnote text"/>
    <w:basedOn w:val="Normal"/>
    <w:link w:val="TextonotaalfinalCar"/>
    <w:rsid w:val="00482A44"/>
    <w:pPr>
      <w:spacing w:after="0"/>
    </w:pPr>
  </w:style>
  <w:style w:type="character" w:customStyle="1" w:styleId="TextonotaalfinalCar">
    <w:name w:val="Texto nota al final Car"/>
    <w:basedOn w:val="Fuentedeprrafopredeter"/>
    <w:link w:val="Textonotaalfinal"/>
    <w:rsid w:val="00482A44"/>
    <w:rPr>
      <w:lang w:val="es-ES_tradnl" w:eastAsia="en-US"/>
    </w:rPr>
  </w:style>
  <w:style w:type="character" w:styleId="Refdenotaalfinal">
    <w:name w:val="endnote reference"/>
    <w:basedOn w:val="Fuentedeprrafopredeter"/>
    <w:rsid w:val="00482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2504">
      <w:bodyDiv w:val="1"/>
      <w:marLeft w:val="0"/>
      <w:marRight w:val="0"/>
      <w:marTop w:val="0"/>
      <w:marBottom w:val="0"/>
      <w:divBdr>
        <w:top w:val="none" w:sz="0" w:space="0" w:color="auto"/>
        <w:left w:val="none" w:sz="0" w:space="0" w:color="auto"/>
        <w:bottom w:val="none" w:sz="0" w:space="0" w:color="auto"/>
        <w:right w:val="none" w:sz="0" w:space="0" w:color="auto"/>
      </w:divBdr>
    </w:div>
    <w:div w:id="685794828">
      <w:bodyDiv w:val="1"/>
      <w:marLeft w:val="0"/>
      <w:marRight w:val="0"/>
      <w:marTop w:val="0"/>
      <w:marBottom w:val="0"/>
      <w:divBdr>
        <w:top w:val="none" w:sz="0" w:space="0" w:color="auto"/>
        <w:left w:val="none" w:sz="0" w:space="0" w:color="auto"/>
        <w:bottom w:val="none" w:sz="0" w:space="0" w:color="auto"/>
        <w:right w:val="none" w:sz="0" w:space="0" w:color="auto"/>
      </w:divBdr>
    </w:div>
    <w:div w:id="1295450838">
      <w:bodyDiv w:val="1"/>
      <w:marLeft w:val="0"/>
      <w:marRight w:val="0"/>
      <w:marTop w:val="0"/>
      <w:marBottom w:val="0"/>
      <w:divBdr>
        <w:top w:val="none" w:sz="0" w:space="0" w:color="auto"/>
        <w:left w:val="none" w:sz="0" w:space="0" w:color="auto"/>
        <w:bottom w:val="none" w:sz="0" w:space="0" w:color="auto"/>
        <w:right w:val="none" w:sz="0" w:space="0" w:color="auto"/>
      </w:divBdr>
    </w:div>
    <w:div w:id="18312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3250-162B-4E44-B370-4C16891E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8055</Words>
  <Characters>44305</Characters>
  <Application>Microsoft Office Word</Application>
  <DocSecurity>4</DocSecurity>
  <Lines>369</Lines>
  <Paragraphs>104</Paragraphs>
  <ScaleCrop>false</ScaleCrop>
  <HeadingPairs>
    <vt:vector size="2" baseType="variant">
      <vt:variant>
        <vt:lpstr>Título</vt:lpstr>
      </vt:variant>
      <vt:variant>
        <vt:i4>1</vt:i4>
      </vt:variant>
    </vt:vector>
  </HeadingPairs>
  <TitlesOfParts>
    <vt:vector size="1" baseType="lpstr">
      <vt:lpstr>Déficit Montepío Municipal</vt:lpstr>
    </vt:vector>
  </TitlesOfParts>
  <Company>Cámara de Comptos</Company>
  <LinksUpToDate>false</LinksUpToDate>
  <CharactersWithSpaces>52256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Déficit Montepío Municipal</dc:title>
  <dc:creator>D844938</dc:creator>
  <cp:lastModifiedBy>Aranaz, Carlota</cp:lastModifiedBy>
  <cp:revision>2</cp:revision>
  <cp:lastPrinted>2017-05-17T08:36:00Z</cp:lastPrinted>
  <dcterms:created xsi:type="dcterms:W3CDTF">2017-05-31T09:54:00Z</dcterms:created>
  <dcterms:modified xsi:type="dcterms:W3CDTF">2017-05-31T09:54:00Z</dcterms:modified>
</cp:coreProperties>
</file>