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S3 estrategiari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urriaren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Carlos García Adanero jaunak, Legebiltzarreko Erregelamenduko 188. artikuluan eta hurrengoetan ezarritakoaren babesean, honako galdera hau aurkezten du, Nafarroako Gobernuko lehendakariorde Manu Ayerdi jaunak Osoko Bilkuran ahoz erantzun dezan: </w:t>
      </w:r>
    </w:p>
    <w:p>
      <w:pPr>
        <w:pStyle w:val="0"/>
        <w:suppressAutoHyphens w:val="false"/>
        <w:rPr>
          <w:rStyle w:val="1"/>
        </w:rPr>
      </w:pPr>
      <w:r>
        <w:rPr>
          <w:rStyle w:val="1"/>
        </w:rPr>
        <w:t xml:space="preserve">– Gobernuaren ustez, S3 estrategia aldaketa estetiko hutsa al da, Podemos-Ahal Duguk dioen bezala? </w:t>
      </w:r>
    </w:p>
    <w:p>
      <w:pPr>
        <w:pStyle w:val="0"/>
        <w:suppressAutoHyphens w:val="false"/>
        <w:rPr>
          <w:rStyle w:val="1"/>
        </w:rPr>
      </w:pPr>
      <w:r>
        <w:rPr>
          <w:rStyle w:val="1"/>
        </w:rPr>
        <w:t xml:space="preserve">Iruñean, 2017ko urriaren 10ean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