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destino de los fondos gestionados por la Fundación Caja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Este parlamentario desea conocer el destino del conjunto de los fondos gestionados por la Fundación Caja Navarra, desde su origen hasta la actualidad, así como la previsión de destino de los mismos en el ejercicio 2018.</w:t>
      </w:r>
    </w:p>
    <w:p>
      <w:pPr>
        <w:pStyle w:val="0"/>
        <w:suppressAutoHyphens w:val="false"/>
        <w:rPr>
          <w:rStyle w:val="1"/>
        </w:rPr>
      </w:pPr>
      <w:r>
        <w:rPr>
          <w:rStyle w:val="1"/>
        </w:rPr>
        <w:t xml:space="preserve">En lruñea, a 16 de noviembre de 2017</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