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gastu erregela berrikus eta egokitu dezan udalek ematen dituzten zerbitzu publikoen beharrizanen arabera.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Toki administrazioa gertukoena da herritarrentzat. Gure jardunaren erdigunea pertsonak dira, haien eskubideak eta ongizatea. Sozialistak erakusten ari gara udalak beste modu batean gobernatzen ahal direla, eraginkortasun eta ardurarekin, bestelako jokaera erabilita, sentikorra, hurbila eta solidarioa. PSOEren apustua udal sendoak dira, erabakitzeko ahalmena dutenak, bai eta baliabide egokiak ere, herritarren eskaerei erantzuteko. Beraz, ulertzen da etorkizuneko eskumen-esparrua osatu beharko dela finantziazio sistema egonkor eta behar adinakoarekin. </w:t>
      </w:r>
    </w:p>
    <w:p>
      <w:pPr>
        <w:pStyle w:val="0"/>
        <w:suppressAutoHyphens w:val="false"/>
        <w:rPr>
          <w:rStyle w:val="1"/>
        </w:rPr>
      </w:pPr>
      <w:r>
        <w:rPr>
          <w:rStyle w:val="1"/>
        </w:rPr>
        <w:t xml:space="preserve">PPren gobernuak, azkeneko urteotan, aurrekontuen eta ekonomiaren kontrol estua ezarri die toki entitateei, hainbat alderdi arautuz, eta udalak dagokien papera betetzeko ia aukerarik gabe utziz ongizate-zerbitzuen hobekuntzan, enplegu-sorreran eta eskatzen diren gertuko zerbitzu guztien arloan. </w:t>
      </w:r>
    </w:p>
    <w:p>
      <w:pPr>
        <w:pStyle w:val="0"/>
        <w:suppressAutoHyphens w:val="false"/>
        <w:rPr>
          <w:rStyle w:val="1"/>
        </w:rPr>
      </w:pPr>
      <w:r>
        <w:rPr>
          <w:rStyle w:val="1"/>
        </w:rPr>
        <w:t xml:space="preserve">Eta hori guztia, gainera, toki administrazioak aski eta soberan bete dituenean aurrekontu-egonkortasunerako dituen konpromisoak eta Gobernuak markatutako helburuak. </w:t>
      </w:r>
    </w:p>
    <w:p>
      <w:pPr>
        <w:pStyle w:val="0"/>
        <w:suppressAutoHyphens w:val="false"/>
        <w:rPr>
          <w:rStyle w:val="1"/>
        </w:rPr>
      </w:pPr>
      <w:r>
        <w:rPr>
          <w:rStyle w:val="1"/>
        </w:rPr>
        <w:t xml:space="preserve">Lehenengo eta behin, 2016ko ekitaldian, toki korporazioek, oro har, gastu zenbakarrian % 1,2ko jaitsiera izan dute; alegia, ekitaldi honetan bete egin dute gastu erregela, baimendutako aldearen tasa % 1,8 delako; gainera, heldu diren urteetarako finkatutako helburuetan murrizte-joera ere betetzen da. </w:t>
      </w:r>
    </w:p>
    <w:p>
      <w:pPr>
        <w:pStyle w:val="0"/>
        <w:suppressAutoHyphens w:val="false"/>
        <w:rPr>
          <w:rStyle w:val="1"/>
        </w:rPr>
      </w:pPr>
      <w:r>
        <w:rPr>
          <w:rStyle w:val="1"/>
        </w:rPr>
        <w:t xml:space="preserve">Aurrekontuen egonkortasunaren aldetik toki korporazioetarako onetsitako helburua, joan den urtean, egoera orekatura iristea zen, eta erregistratutako emaitza 6.847 milioi euroko superabita izan da; hori  BPGaren % 0,61 da, eta defizitik gabeko administrazio bakarra da. Horrekin batera, sortutako superabitaren erabilerak baldintza eta muga batzuk ditu, bakarrik baimentzen delako “ikuspuntu finantzariotik jasangarriak” diren inbertsioetarako; horrek, xede guztiz estu batzuk ezartzeaz gain, ez du ahalbidetzen, inola ere, gastu arruntetarako inbertsiorik. </w:t>
      </w:r>
    </w:p>
    <w:p>
      <w:pPr>
        <w:pStyle w:val="0"/>
        <w:suppressAutoHyphens w:val="false"/>
        <w:rPr>
          <w:rStyle w:val="1"/>
        </w:rPr>
      </w:pPr>
      <w:r>
        <w:rPr>
          <w:rStyle w:val="1"/>
        </w:rPr>
        <w:t xml:space="preserve">Zor publikoko helburuei dagokienez, 2016ko helburua BPGaren % 0,3a izan zen, eta ekitaldiaren amaieran % 2,9ra iritsi zen, ezarritako helburua halatan berriro ere beterik. Hurrengo urteetarako ezarritako zifretan ere portzentajea murrizten da, eta neurri horrek diskriminazio garbia dakar tokiko gobernuentzat, Estatuarekin eta autonomia-erkidegoekin alderatuta, horiek ez dutelako gisa horretako mugarik, nahiz eta bien artean ia zor osoa biltzen duten. </w:t>
      </w:r>
    </w:p>
    <w:p>
      <w:pPr>
        <w:pStyle w:val="0"/>
        <w:suppressAutoHyphens w:val="false"/>
        <w:rPr>
          <w:rStyle w:val="1"/>
        </w:rPr>
      </w:pPr>
      <w:r>
        <w:rPr>
          <w:rStyle w:val="1"/>
        </w:rPr>
        <w:t xml:space="preserve">Aurreko guztiarekin batera, ez dugu ahaztu behar toki administrazioko enplegatu publikoen kopuruaren murrizketa: 2011ko urtarrilean 647.488 ziren, eta 2016ko uztailean, berriz, 547.825; % 15,39 gutxiago, beraz. Horren ondorioz, toki entitateek zailtasun larriak pairatzen dituzte, derrigorrez esleiturik dituzten zerbitzuak emateko, eta arazoa areagotu egiten da udalerri txiki eta ertainetan. </w:t>
      </w:r>
    </w:p>
    <w:p>
      <w:pPr>
        <w:pStyle w:val="0"/>
        <w:suppressAutoHyphens w:val="false"/>
        <w:rPr>
          <w:rStyle w:val="1"/>
        </w:rPr>
      </w:pPr>
      <w:r>
        <w:rPr>
          <w:rStyle w:val="1"/>
        </w:rPr>
        <w:t xml:space="preserve">Ikusten ari garenez, toki entitateen egoerak eskatzen du Gobernuak serio hartzea urteetan zehar planteatzen ari diren erreibindikazioak: gastu erregelaren, superabitaren norakoaren, zor publikoaren eta berrezarpen-tasaren berrikustea, egunero konpondu behar izaten dituzten arazoei aurre egiteko eta beharrezko zerbitzu publikoak ematen jarraitzeko, eta maniobra tarte bat ematea 2018ko udal aurrekontuak egokiro prestatzeko. </w:t>
      </w:r>
    </w:p>
    <w:p>
      <w:pPr>
        <w:pStyle w:val="0"/>
        <w:suppressAutoHyphens w:val="false"/>
        <w:rPr>
          <w:rStyle w:val="1"/>
        </w:rPr>
      </w:pPr>
      <w:r>
        <w:rPr>
          <w:rStyle w:val="1"/>
        </w:rPr>
        <w:t xml:space="preserve">Horregatik guztiagatik, Nafarroako Alderdi Sozialista talde parlamentarioak honako erabaki proposamen hau aurkezten du: </w:t>
      </w:r>
    </w:p>
    <w:p>
      <w:pPr>
        <w:pStyle w:val="0"/>
        <w:suppressAutoHyphens w:val="false"/>
        <w:rPr>
          <w:rStyle w:val="1"/>
        </w:rPr>
      </w:pPr>
      <w:r>
        <w:rPr>
          <w:rStyle w:val="1"/>
        </w:rPr>
        <w:t xml:space="preserve">1. Gastu erregela berrikustea eta egokitzea udalek ematen dituzten zerbitzu publikoen beharrizanetara, nazioarteko jardunbiderik onenei jarraituz eta kontu publikoen iraunkortasunaren irizpideak kontuan harturik zikloan zehar. </w:t>
      </w:r>
    </w:p>
    <w:p>
      <w:pPr>
        <w:pStyle w:val="0"/>
        <w:suppressAutoHyphens w:val="false"/>
        <w:rPr>
          <w:rStyle w:val="1"/>
        </w:rPr>
      </w:pPr>
      <w:r>
        <w:rPr>
          <w:rStyle w:val="1"/>
        </w:rPr>
        <w:t xml:space="preserve">2. Gobernuak helburuei ezarritako mugak kentzea, toki entitateek modua izan dezaten, betiere kontuak ongi bideratuak badituzte eta haien finantza-autonomia osoaren bidez, aurrekontu-ekitaldi bakoitzean sortzen duten superabita herritarrek eskatzen dituzten zerbitzuak eta programak sustatzeko: politika sozialak, enplegurako politika aktiboak, berdintasuneko programak, gazteriaren arloko politikak, eta abar.</w:t>
      </w:r>
    </w:p>
    <w:p>
      <w:pPr>
        <w:pStyle w:val="0"/>
        <w:suppressAutoHyphens w:val="false"/>
        <w:rPr>
          <w:rStyle w:val="1"/>
        </w:rPr>
      </w:pPr>
      <w:r>
        <w:rPr>
          <w:rStyle w:val="1"/>
        </w:rPr>
        <w:t xml:space="preserve">3. Murrizketak kentzea toki entitateek zorpetze-eragiketak ituntzeari, ez badaude sartuta Egonkortasunari buruzko Legeko kasuetan. </w:t>
      </w:r>
    </w:p>
    <w:p>
      <w:pPr>
        <w:pStyle w:val="0"/>
        <w:suppressAutoHyphens w:val="false"/>
        <w:rPr>
          <w:rStyle w:val="1"/>
        </w:rPr>
      </w:pPr>
      <w:r>
        <w:rPr>
          <w:rStyle w:val="1"/>
        </w:rPr>
        <w:t xml:space="preserve">4. Toki administrazioko efektiboen berrezarpen-tasaren arauketa aldatzea, halako moldez non lehentasuneko intereseko zerbitzuetan % 150eraino iritsiko baita, eta gainerako udal zerbitzuetan, % 100eraino. </w:t>
      </w:r>
    </w:p>
    <w:p>
      <w:pPr>
        <w:pStyle w:val="0"/>
        <w:suppressAutoHyphens w:val="false"/>
        <w:rPr>
          <w:rStyle w:val="1"/>
        </w:rPr>
      </w:pPr>
      <w:r>
        <w:rPr>
          <w:rStyle w:val="1"/>
        </w:rPr>
        <w:t xml:space="preserve">5. Hori guztia, Nafarroako foru araubideak tokiko eta aurrekontu-bateratzeko gaietan bereak dituen eskumenen barruan. </w:t>
      </w:r>
    </w:p>
    <w:p>
      <w:pPr>
        <w:pStyle w:val="0"/>
        <w:suppressAutoHyphens w:val="false"/>
        <w:rPr>
          <w:rStyle w:val="1"/>
        </w:rPr>
      </w:pPr>
      <w:r>
        <w:rPr>
          <w:rStyle w:val="1"/>
        </w:rPr>
        <w:t xml:space="preserve">Iruñean, 2017ko azaroaren 23an. </w:t>
      </w:r>
    </w:p>
    <w:p>
      <w:pPr>
        <w:pStyle w:val="0"/>
        <w:suppressAutoHyphens w:val="false"/>
        <w:rPr>
          <w:rStyle w:val="1"/>
        </w:rPr>
      </w:pPr>
      <w:r>
        <w:rPr>
          <w:rStyle w:val="1"/>
        </w:rPr>
        <w:t xml:space="preserve">Eleduna: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