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intervenciones realizadas por el EISOL en 2017,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realiza la siguiente pregunta escrita: </w:t>
      </w:r>
    </w:p>
    <w:p>
      <w:pPr>
        <w:pStyle w:val="0"/>
        <w:suppressAutoHyphens w:val="false"/>
        <w:rPr>
          <w:rStyle w:val="1"/>
        </w:rPr>
      </w:pPr>
      <w:r>
        <w:rPr>
          <w:rStyle w:val="1"/>
        </w:rPr>
        <w:t xml:space="preserve">¿Qué número de intervenciones que realizó el EISOL en 2017 y en qué han consistido las mismas? Asimismo, número de inserciones laborales logradas por estas intervenciones.</w:t>
      </w:r>
    </w:p>
    <w:p>
      <w:pPr>
        <w:pStyle w:val="0"/>
        <w:suppressAutoHyphens w:val="false"/>
        <w:rPr>
          <w:rStyle w:val="1"/>
        </w:rPr>
      </w:pPr>
      <w:r>
        <w:rPr>
          <w:rStyle w:val="1"/>
        </w:rPr>
        <w:t xml:space="preserve">Pamplona, a 28 de febrero de 2018</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