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acceso de personas con derecho a plazas de centro de día o estancia diurna,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w:t>
      </w:r>
    </w:p>
    <w:p>
      <w:pPr>
        <w:pStyle w:val="0"/>
        <w:suppressAutoHyphens w:val="false"/>
        <w:rPr>
          <w:rStyle w:val="1"/>
        </w:rPr>
      </w:pPr>
      <w:r>
        <w:rPr>
          <w:rStyle w:val="1"/>
        </w:rPr>
        <w:t xml:space="preserve">¿Qué tiene pensado el departamento para garantizar que las personas que tienen derecho a una plaza de centro de día o estancia diurna y no la tienen en su municipio puedan acceder a ese servicio? </w:t>
      </w:r>
    </w:p>
    <w:p>
      <w:pPr>
        <w:pStyle w:val="0"/>
        <w:suppressAutoHyphens w:val="false"/>
        <w:rPr>
          <w:rStyle w:val="1"/>
        </w:rPr>
      </w:pPr>
      <w:r>
        <w:rPr>
          <w:rStyle w:val="1"/>
        </w:rPr>
        <w:t xml:space="preserve">Pamplona, a 28 de febrero de 2018</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