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objetivas para que en los textos bilingües de la Administración y cualquier tipo de rotulación se disponga en primer lugar el euskera y en segundo el castellano,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oral para su respuesta en el Pleno a la consejera de Relaciones Ciudadanas e Institucionales Ana Ollo.</w:t>
      </w:r>
    </w:p>
    <w:p>
      <w:pPr>
        <w:pStyle w:val="0"/>
        <w:suppressAutoHyphens w:val="false"/>
        <w:rPr>
          <w:rStyle w:val="1"/>
        </w:rPr>
      </w:pPr>
      <w:r>
        <w:rPr>
          <w:rStyle w:val="1"/>
        </w:rPr>
        <w:t xml:space="preserve">¿Cuáles son las razones objetivas para que en los textos bilingües de la Administración y cualquier tipo de rotulación se disponga en primer lugar el euskera y en segundo el castellano, tal y como indica la disposición adicional primera del Decreto por el que se regula el uso del euskera en las Administraciones Públicas de Navarra? </w:t>
      </w:r>
    </w:p>
    <w:p>
      <w:pPr>
        <w:pStyle w:val="0"/>
        <w:suppressAutoHyphens w:val="false"/>
        <w:rPr>
          <w:rStyle w:val="1"/>
        </w:rPr>
      </w:pPr>
      <w:r>
        <w:rPr>
          <w:rStyle w:val="1"/>
        </w:rPr>
        <w:t xml:space="preserve">Pamplona, 15 de marzo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