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44A" w:rsidRPr="0033572B" w:rsidRDefault="00CA544A" w:rsidP="00CA544A">
      <w:pPr>
        <w:spacing w:after="120" w:line="360" w:lineRule="auto"/>
        <w:jc w:val="both"/>
        <w:rPr>
          <w:rFonts w:ascii="Arial" w:hAnsi="Arial" w:cs="Arial"/>
          <w:sz w:val="22"/>
        </w:rPr>
      </w:pPr>
    </w:p>
    <w:p w:rsidR="0006150C" w:rsidRPr="0033572B" w:rsidRDefault="0006150C" w:rsidP="00CA544A">
      <w:pPr>
        <w:spacing w:after="120" w:line="360" w:lineRule="auto"/>
        <w:jc w:val="both"/>
        <w:rPr>
          <w:rFonts w:ascii="Arial" w:hAnsi="Arial" w:cs="Arial"/>
          <w:sz w:val="22"/>
        </w:rPr>
      </w:pPr>
      <w:r>
        <w:rPr>
          <w:rFonts w:ascii="Arial" w:hAnsi="Arial"/>
          <w:sz w:val="22"/>
        </w:rPr>
        <w:t xml:space="preserve">EH Bildu Nafarroa parlamentu-taldeari atxikitako </w:t>
      </w:r>
      <w:proofErr w:type="spellStart"/>
      <w:r>
        <w:rPr>
          <w:rFonts w:ascii="Arial" w:hAnsi="Arial"/>
          <w:sz w:val="22"/>
        </w:rPr>
        <w:t>Maiorga</w:t>
      </w:r>
      <w:proofErr w:type="spellEnd"/>
      <w:r>
        <w:rPr>
          <w:rFonts w:ascii="Arial" w:hAnsi="Arial"/>
          <w:sz w:val="22"/>
        </w:rPr>
        <w:t xml:space="preserve"> </w:t>
      </w:r>
      <w:proofErr w:type="spellStart"/>
      <w:r>
        <w:rPr>
          <w:rFonts w:ascii="Arial" w:hAnsi="Arial"/>
          <w:sz w:val="22"/>
        </w:rPr>
        <w:t>Ramírez</w:t>
      </w:r>
      <w:proofErr w:type="spellEnd"/>
      <w:r>
        <w:rPr>
          <w:rFonts w:ascii="Arial" w:hAnsi="Arial"/>
          <w:sz w:val="22"/>
        </w:rPr>
        <w:t xml:space="preserve"> Erro jaunak galdera egin du Nafarroan bakardadean dauden pertsonei buruz (9-18/PES-00029). Hona Nafarroako Gobernuko Eskubide Sozialetako kontseilariaren erantzuna:</w:t>
      </w:r>
    </w:p>
    <w:p w:rsidR="00237E9E" w:rsidRPr="0033572B" w:rsidRDefault="00237E9E" w:rsidP="00237E9E">
      <w:pPr>
        <w:numPr>
          <w:ilvl w:val="0"/>
          <w:numId w:val="9"/>
        </w:numPr>
        <w:spacing w:after="120" w:line="360" w:lineRule="auto"/>
        <w:ind w:left="426" w:hanging="426"/>
        <w:jc w:val="both"/>
        <w:rPr>
          <w:rFonts w:ascii="Arial" w:hAnsi="Arial" w:cs="Arial"/>
          <w:sz w:val="22"/>
        </w:rPr>
      </w:pPr>
      <w:r>
        <w:rPr>
          <w:rFonts w:ascii="Arial" w:hAnsi="Arial"/>
          <w:sz w:val="22"/>
        </w:rPr>
        <w:t>Daturik ez dago gure erkidegoan bakarrik bizi diren biztanleei buruz. Gaur arte, Nafarroako Gobernuak ez du inongo azterlanik Nafarroan bakardadea pairatzen duten pertsonak identifikatzen dituenik.</w:t>
      </w:r>
    </w:p>
    <w:p w:rsidR="00007258" w:rsidRPr="0033572B" w:rsidRDefault="00007258" w:rsidP="00007258">
      <w:pPr>
        <w:spacing w:after="120" w:line="360" w:lineRule="auto"/>
        <w:ind w:left="426"/>
        <w:jc w:val="both"/>
        <w:rPr>
          <w:rFonts w:ascii="Arial" w:hAnsi="Arial" w:cs="Arial"/>
          <w:sz w:val="22"/>
        </w:rPr>
      </w:pPr>
      <w:r>
        <w:rPr>
          <w:rFonts w:ascii="Arial" w:hAnsi="Arial"/>
          <w:sz w:val="22"/>
        </w:rPr>
        <w:t>Arazo horretarako hurbilketa gisa, Itxaropenaren Telefonoak jasotako deien estatistika bat eman du, eta hartan identifikatzen da deietatik zeinetan bakardadearen faktoreak zerikusia duen deiaren arrazoiarekin.</w:t>
      </w:r>
    </w:p>
    <w:p w:rsidR="00007258" w:rsidRPr="00302212" w:rsidRDefault="00007258" w:rsidP="00007258">
      <w:pPr>
        <w:spacing w:before="60" w:after="60" w:line="300" w:lineRule="auto"/>
        <w:jc w:val="center"/>
        <w:rPr>
          <w:rFonts w:asciiTheme="minorHAnsi" w:hAnsiTheme="minorHAnsi" w:cs="Arial"/>
          <w:b/>
          <w:sz w:val="20"/>
          <w:szCs w:val="20"/>
        </w:rPr>
      </w:pPr>
      <w:r w:rsidRPr="00302212">
        <w:rPr>
          <w:rFonts w:asciiTheme="minorHAnsi" w:hAnsiTheme="minorHAnsi"/>
          <w:b/>
          <w:sz w:val="20"/>
          <w:szCs w:val="20"/>
        </w:rPr>
        <w:t>Deien portzentajea, bakardade arazoak t</w:t>
      </w:r>
      <w:bookmarkStart w:id="0" w:name="_GoBack"/>
      <w:bookmarkEnd w:id="0"/>
      <w:r w:rsidRPr="00302212">
        <w:rPr>
          <w:rFonts w:asciiTheme="minorHAnsi" w:hAnsiTheme="minorHAnsi"/>
          <w:b/>
          <w:sz w:val="20"/>
          <w:szCs w:val="20"/>
        </w:rPr>
        <w:t>arteko direnean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410"/>
        <w:gridCol w:w="3402"/>
        <w:gridCol w:w="1200"/>
      </w:tblGrid>
      <w:tr w:rsidR="00007258" w:rsidRPr="00302212" w:rsidTr="00302212">
        <w:trPr>
          <w:trHeight w:val="20"/>
          <w:jc w:val="center"/>
        </w:trPr>
        <w:tc>
          <w:tcPr>
            <w:tcW w:w="846" w:type="dxa"/>
            <w:shd w:val="clear" w:color="auto" w:fill="C6D9F1" w:themeFill="text2" w:themeFillTint="33"/>
            <w:noWrap/>
            <w:hideMark/>
          </w:tcPr>
          <w:p w:rsidR="00007258" w:rsidRPr="00302212" w:rsidRDefault="00007258" w:rsidP="00302212">
            <w:pPr>
              <w:spacing w:before="20" w:after="20"/>
              <w:jc w:val="center"/>
              <w:rPr>
                <w:rFonts w:asciiTheme="minorHAnsi" w:eastAsia="Calibri" w:hAnsiTheme="minorHAnsi" w:cs="Arial"/>
                <w:b/>
                <w:sz w:val="18"/>
                <w:szCs w:val="18"/>
              </w:rPr>
            </w:pPr>
            <w:r w:rsidRPr="00302212">
              <w:rPr>
                <w:rFonts w:asciiTheme="minorHAnsi" w:hAnsiTheme="minorHAnsi"/>
                <w:b/>
                <w:sz w:val="18"/>
                <w:szCs w:val="18"/>
              </w:rPr>
              <w:t>Urtea</w:t>
            </w:r>
          </w:p>
        </w:tc>
        <w:tc>
          <w:tcPr>
            <w:tcW w:w="2410" w:type="dxa"/>
            <w:shd w:val="clear" w:color="auto" w:fill="C6D9F1" w:themeFill="text2" w:themeFillTint="33"/>
          </w:tcPr>
          <w:p w:rsidR="00007258" w:rsidRPr="00302212" w:rsidRDefault="00007258" w:rsidP="00302212">
            <w:pPr>
              <w:spacing w:before="20" w:after="20"/>
              <w:jc w:val="center"/>
              <w:rPr>
                <w:rFonts w:asciiTheme="minorHAnsi" w:eastAsia="Calibri" w:hAnsiTheme="minorHAnsi" w:cs="Arial"/>
                <w:b/>
                <w:sz w:val="18"/>
                <w:szCs w:val="18"/>
              </w:rPr>
            </w:pPr>
            <w:r w:rsidRPr="00302212">
              <w:rPr>
                <w:rFonts w:asciiTheme="minorHAnsi" w:hAnsiTheme="minorHAnsi"/>
                <w:b/>
                <w:sz w:val="18"/>
                <w:szCs w:val="18"/>
              </w:rPr>
              <w:t>Artatutako dei-kopurua</w:t>
            </w:r>
          </w:p>
        </w:tc>
        <w:tc>
          <w:tcPr>
            <w:tcW w:w="3402" w:type="dxa"/>
            <w:shd w:val="clear" w:color="auto" w:fill="C6D9F1" w:themeFill="text2" w:themeFillTint="33"/>
          </w:tcPr>
          <w:p w:rsidR="00007258" w:rsidRPr="00302212" w:rsidRDefault="00007258" w:rsidP="00302212">
            <w:pPr>
              <w:spacing w:before="20" w:after="20"/>
              <w:jc w:val="center"/>
              <w:rPr>
                <w:rFonts w:asciiTheme="minorHAnsi" w:eastAsia="Calibri" w:hAnsiTheme="minorHAnsi" w:cs="Arial"/>
                <w:b/>
                <w:sz w:val="18"/>
                <w:szCs w:val="18"/>
              </w:rPr>
            </w:pPr>
            <w:r w:rsidRPr="00302212">
              <w:rPr>
                <w:rFonts w:asciiTheme="minorHAnsi" w:hAnsiTheme="minorHAnsi"/>
                <w:b/>
                <w:sz w:val="18"/>
                <w:szCs w:val="18"/>
              </w:rPr>
              <w:t>Bakardadea tartean deneko deiak</w:t>
            </w:r>
          </w:p>
        </w:tc>
        <w:tc>
          <w:tcPr>
            <w:tcW w:w="1200" w:type="dxa"/>
            <w:shd w:val="clear" w:color="auto" w:fill="C6D9F1" w:themeFill="text2" w:themeFillTint="33"/>
            <w:noWrap/>
            <w:hideMark/>
          </w:tcPr>
          <w:p w:rsidR="00007258" w:rsidRPr="00302212" w:rsidRDefault="00007258" w:rsidP="00302212">
            <w:pPr>
              <w:spacing w:before="20" w:after="20"/>
              <w:jc w:val="center"/>
              <w:rPr>
                <w:rFonts w:asciiTheme="minorHAnsi" w:eastAsia="Calibri" w:hAnsiTheme="minorHAnsi" w:cs="Arial"/>
                <w:b/>
                <w:sz w:val="18"/>
                <w:szCs w:val="18"/>
              </w:rPr>
            </w:pPr>
            <w:r w:rsidRPr="00302212">
              <w:rPr>
                <w:rFonts w:asciiTheme="minorHAnsi" w:hAnsiTheme="minorHAnsi"/>
                <w:b/>
                <w:sz w:val="18"/>
                <w:szCs w:val="18"/>
              </w:rPr>
              <w:t>%</w:t>
            </w:r>
          </w:p>
        </w:tc>
      </w:tr>
      <w:tr w:rsidR="00007258" w:rsidRPr="00302212" w:rsidTr="00302212">
        <w:trPr>
          <w:trHeight w:val="20"/>
          <w:jc w:val="center"/>
        </w:trPr>
        <w:tc>
          <w:tcPr>
            <w:tcW w:w="846" w:type="dxa"/>
            <w:shd w:val="clear" w:color="auto" w:fill="auto"/>
            <w:noWrap/>
            <w:hideMark/>
          </w:tcPr>
          <w:p w:rsidR="00007258" w:rsidRPr="00302212" w:rsidRDefault="00007258" w:rsidP="00302212">
            <w:pPr>
              <w:spacing w:before="20" w:after="20"/>
              <w:jc w:val="center"/>
              <w:rPr>
                <w:rFonts w:asciiTheme="minorHAnsi" w:eastAsia="Calibri" w:hAnsiTheme="minorHAnsi" w:cs="Arial"/>
                <w:sz w:val="18"/>
                <w:szCs w:val="18"/>
              </w:rPr>
            </w:pPr>
            <w:r w:rsidRPr="00302212">
              <w:rPr>
                <w:rFonts w:asciiTheme="minorHAnsi" w:hAnsiTheme="minorHAnsi"/>
                <w:sz w:val="18"/>
                <w:szCs w:val="18"/>
              </w:rPr>
              <w:t>2018*</w:t>
            </w:r>
          </w:p>
        </w:tc>
        <w:tc>
          <w:tcPr>
            <w:tcW w:w="2410" w:type="dxa"/>
            <w:shd w:val="clear" w:color="auto" w:fill="auto"/>
          </w:tcPr>
          <w:p w:rsidR="00007258" w:rsidRPr="00302212" w:rsidRDefault="00007258" w:rsidP="00302212">
            <w:pPr>
              <w:spacing w:before="20" w:after="20"/>
              <w:jc w:val="center"/>
              <w:rPr>
                <w:rFonts w:asciiTheme="minorHAnsi" w:eastAsia="Calibri" w:hAnsiTheme="minorHAnsi" w:cs="Arial"/>
                <w:sz w:val="18"/>
                <w:szCs w:val="18"/>
              </w:rPr>
            </w:pPr>
            <w:r w:rsidRPr="00302212">
              <w:rPr>
                <w:rFonts w:asciiTheme="minorHAnsi" w:hAnsiTheme="minorHAnsi"/>
                <w:sz w:val="18"/>
                <w:szCs w:val="18"/>
              </w:rPr>
              <w:t>1.291</w:t>
            </w:r>
          </w:p>
        </w:tc>
        <w:tc>
          <w:tcPr>
            <w:tcW w:w="3402" w:type="dxa"/>
            <w:shd w:val="clear" w:color="auto" w:fill="auto"/>
          </w:tcPr>
          <w:p w:rsidR="00007258" w:rsidRPr="00302212" w:rsidRDefault="00007258" w:rsidP="00302212">
            <w:pPr>
              <w:spacing w:before="20" w:after="20"/>
              <w:ind w:right="1452"/>
              <w:jc w:val="right"/>
              <w:rPr>
                <w:rFonts w:asciiTheme="minorHAnsi" w:eastAsia="Calibri" w:hAnsiTheme="minorHAnsi" w:cs="Arial"/>
                <w:sz w:val="18"/>
                <w:szCs w:val="18"/>
              </w:rPr>
            </w:pPr>
            <w:r w:rsidRPr="00302212">
              <w:rPr>
                <w:rFonts w:asciiTheme="minorHAnsi" w:hAnsiTheme="minorHAnsi"/>
                <w:sz w:val="18"/>
                <w:szCs w:val="18"/>
              </w:rPr>
              <w:t>278</w:t>
            </w:r>
          </w:p>
        </w:tc>
        <w:tc>
          <w:tcPr>
            <w:tcW w:w="1200" w:type="dxa"/>
            <w:shd w:val="clear" w:color="auto" w:fill="auto"/>
            <w:noWrap/>
            <w:hideMark/>
          </w:tcPr>
          <w:p w:rsidR="00007258" w:rsidRPr="00302212" w:rsidRDefault="00007258" w:rsidP="00302212">
            <w:pPr>
              <w:spacing w:before="20" w:after="20"/>
              <w:jc w:val="center"/>
              <w:rPr>
                <w:rFonts w:asciiTheme="minorHAnsi" w:eastAsia="Calibri" w:hAnsiTheme="minorHAnsi" w:cs="Arial"/>
                <w:sz w:val="18"/>
                <w:szCs w:val="18"/>
              </w:rPr>
            </w:pPr>
            <w:r w:rsidRPr="00302212">
              <w:rPr>
                <w:rFonts w:asciiTheme="minorHAnsi" w:hAnsiTheme="minorHAnsi"/>
                <w:sz w:val="18"/>
                <w:szCs w:val="18"/>
              </w:rPr>
              <w:t>21,53</w:t>
            </w:r>
          </w:p>
        </w:tc>
      </w:tr>
      <w:tr w:rsidR="00007258" w:rsidRPr="00302212" w:rsidTr="00302212">
        <w:trPr>
          <w:trHeight w:val="20"/>
          <w:jc w:val="center"/>
        </w:trPr>
        <w:tc>
          <w:tcPr>
            <w:tcW w:w="846" w:type="dxa"/>
            <w:shd w:val="clear" w:color="auto" w:fill="auto"/>
            <w:noWrap/>
            <w:hideMark/>
          </w:tcPr>
          <w:p w:rsidR="00007258" w:rsidRPr="00302212" w:rsidRDefault="00007258" w:rsidP="00302212">
            <w:pPr>
              <w:spacing w:before="20" w:after="20"/>
              <w:jc w:val="center"/>
              <w:rPr>
                <w:rFonts w:asciiTheme="minorHAnsi" w:eastAsia="Calibri" w:hAnsiTheme="minorHAnsi" w:cs="Arial"/>
                <w:sz w:val="18"/>
                <w:szCs w:val="18"/>
              </w:rPr>
            </w:pPr>
            <w:r w:rsidRPr="00302212">
              <w:rPr>
                <w:rFonts w:asciiTheme="minorHAnsi" w:hAnsiTheme="minorHAnsi"/>
                <w:sz w:val="18"/>
                <w:szCs w:val="18"/>
              </w:rPr>
              <w:t>2017</w:t>
            </w:r>
          </w:p>
        </w:tc>
        <w:tc>
          <w:tcPr>
            <w:tcW w:w="2410" w:type="dxa"/>
            <w:shd w:val="clear" w:color="auto" w:fill="auto"/>
          </w:tcPr>
          <w:p w:rsidR="00007258" w:rsidRPr="00302212" w:rsidRDefault="00007258" w:rsidP="00302212">
            <w:pPr>
              <w:spacing w:before="20" w:after="20"/>
              <w:jc w:val="center"/>
              <w:rPr>
                <w:rFonts w:asciiTheme="minorHAnsi" w:eastAsia="Calibri" w:hAnsiTheme="minorHAnsi" w:cs="Arial"/>
                <w:sz w:val="18"/>
                <w:szCs w:val="18"/>
              </w:rPr>
            </w:pPr>
            <w:r w:rsidRPr="00302212">
              <w:rPr>
                <w:rFonts w:asciiTheme="minorHAnsi" w:hAnsiTheme="minorHAnsi"/>
                <w:sz w:val="18"/>
                <w:szCs w:val="18"/>
              </w:rPr>
              <w:t>7.529</w:t>
            </w:r>
          </w:p>
        </w:tc>
        <w:tc>
          <w:tcPr>
            <w:tcW w:w="3402" w:type="dxa"/>
            <w:shd w:val="clear" w:color="auto" w:fill="auto"/>
          </w:tcPr>
          <w:p w:rsidR="00007258" w:rsidRPr="00302212" w:rsidRDefault="00007258" w:rsidP="00302212">
            <w:pPr>
              <w:spacing w:before="20" w:after="20"/>
              <w:ind w:right="1452"/>
              <w:jc w:val="right"/>
              <w:rPr>
                <w:rFonts w:asciiTheme="minorHAnsi" w:eastAsia="Calibri" w:hAnsiTheme="minorHAnsi" w:cs="Arial"/>
                <w:sz w:val="18"/>
                <w:szCs w:val="18"/>
              </w:rPr>
            </w:pPr>
            <w:r w:rsidRPr="00302212">
              <w:rPr>
                <w:rFonts w:asciiTheme="minorHAnsi" w:hAnsiTheme="minorHAnsi"/>
                <w:sz w:val="18"/>
                <w:szCs w:val="18"/>
              </w:rPr>
              <w:t>1.710</w:t>
            </w:r>
          </w:p>
        </w:tc>
        <w:tc>
          <w:tcPr>
            <w:tcW w:w="1200" w:type="dxa"/>
            <w:shd w:val="clear" w:color="auto" w:fill="auto"/>
            <w:noWrap/>
            <w:hideMark/>
          </w:tcPr>
          <w:p w:rsidR="00007258" w:rsidRPr="00302212" w:rsidRDefault="00007258" w:rsidP="00302212">
            <w:pPr>
              <w:spacing w:before="20" w:after="20"/>
              <w:jc w:val="center"/>
              <w:rPr>
                <w:rFonts w:asciiTheme="minorHAnsi" w:eastAsia="Calibri" w:hAnsiTheme="minorHAnsi" w:cs="Arial"/>
                <w:sz w:val="18"/>
                <w:szCs w:val="18"/>
              </w:rPr>
            </w:pPr>
            <w:r w:rsidRPr="00302212">
              <w:rPr>
                <w:rFonts w:asciiTheme="minorHAnsi" w:hAnsiTheme="minorHAnsi"/>
                <w:sz w:val="18"/>
                <w:szCs w:val="18"/>
              </w:rPr>
              <w:t>22,71</w:t>
            </w:r>
          </w:p>
        </w:tc>
      </w:tr>
      <w:tr w:rsidR="00007258" w:rsidRPr="00302212" w:rsidTr="00302212">
        <w:trPr>
          <w:trHeight w:val="20"/>
          <w:jc w:val="center"/>
        </w:trPr>
        <w:tc>
          <w:tcPr>
            <w:tcW w:w="846" w:type="dxa"/>
            <w:shd w:val="clear" w:color="auto" w:fill="auto"/>
            <w:noWrap/>
            <w:hideMark/>
          </w:tcPr>
          <w:p w:rsidR="00007258" w:rsidRPr="00302212" w:rsidRDefault="00007258" w:rsidP="00302212">
            <w:pPr>
              <w:spacing w:before="20" w:after="20"/>
              <w:jc w:val="center"/>
              <w:rPr>
                <w:rFonts w:asciiTheme="minorHAnsi" w:eastAsia="Calibri" w:hAnsiTheme="minorHAnsi" w:cs="Arial"/>
                <w:sz w:val="18"/>
                <w:szCs w:val="18"/>
              </w:rPr>
            </w:pPr>
            <w:r w:rsidRPr="00302212">
              <w:rPr>
                <w:rFonts w:asciiTheme="minorHAnsi" w:hAnsiTheme="minorHAnsi"/>
                <w:sz w:val="18"/>
                <w:szCs w:val="18"/>
              </w:rPr>
              <w:t>2016</w:t>
            </w:r>
          </w:p>
        </w:tc>
        <w:tc>
          <w:tcPr>
            <w:tcW w:w="2410" w:type="dxa"/>
            <w:shd w:val="clear" w:color="auto" w:fill="auto"/>
          </w:tcPr>
          <w:p w:rsidR="00007258" w:rsidRPr="00302212" w:rsidRDefault="00007258" w:rsidP="00302212">
            <w:pPr>
              <w:spacing w:before="20" w:after="20"/>
              <w:jc w:val="center"/>
              <w:rPr>
                <w:rFonts w:asciiTheme="minorHAnsi" w:eastAsia="Calibri" w:hAnsiTheme="minorHAnsi" w:cs="Arial"/>
                <w:sz w:val="18"/>
                <w:szCs w:val="18"/>
              </w:rPr>
            </w:pPr>
            <w:r w:rsidRPr="00302212">
              <w:rPr>
                <w:rFonts w:asciiTheme="minorHAnsi" w:hAnsiTheme="minorHAnsi"/>
                <w:sz w:val="18"/>
                <w:szCs w:val="18"/>
              </w:rPr>
              <w:t>5.380</w:t>
            </w:r>
          </w:p>
        </w:tc>
        <w:tc>
          <w:tcPr>
            <w:tcW w:w="3402" w:type="dxa"/>
            <w:shd w:val="clear" w:color="auto" w:fill="auto"/>
          </w:tcPr>
          <w:p w:rsidR="00007258" w:rsidRPr="00302212" w:rsidRDefault="00007258" w:rsidP="00302212">
            <w:pPr>
              <w:spacing w:before="20" w:after="20"/>
              <w:ind w:right="1452"/>
              <w:jc w:val="right"/>
              <w:rPr>
                <w:rFonts w:asciiTheme="minorHAnsi" w:eastAsia="Calibri" w:hAnsiTheme="minorHAnsi" w:cs="Arial"/>
                <w:sz w:val="18"/>
                <w:szCs w:val="18"/>
              </w:rPr>
            </w:pPr>
            <w:r w:rsidRPr="00302212">
              <w:rPr>
                <w:rFonts w:asciiTheme="minorHAnsi" w:hAnsiTheme="minorHAnsi"/>
                <w:sz w:val="18"/>
                <w:szCs w:val="18"/>
              </w:rPr>
              <w:t>1.070</w:t>
            </w:r>
          </w:p>
        </w:tc>
        <w:tc>
          <w:tcPr>
            <w:tcW w:w="1200" w:type="dxa"/>
            <w:shd w:val="clear" w:color="auto" w:fill="auto"/>
            <w:noWrap/>
            <w:hideMark/>
          </w:tcPr>
          <w:p w:rsidR="00007258" w:rsidRPr="00302212" w:rsidRDefault="00007258" w:rsidP="00302212">
            <w:pPr>
              <w:spacing w:before="20" w:after="20"/>
              <w:jc w:val="center"/>
              <w:rPr>
                <w:rFonts w:asciiTheme="minorHAnsi" w:eastAsia="Calibri" w:hAnsiTheme="minorHAnsi" w:cs="Arial"/>
                <w:sz w:val="18"/>
                <w:szCs w:val="18"/>
              </w:rPr>
            </w:pPr>
            <w:r w:rsidRPr="00302212">
              <w:rPr>
                <w:rFonts w:asciiTheme="minorHAnsi" w:hAnsiTheme="minorHAnsi"/>
                <w:sz w:val="18"/>
                <w:szCs w:val="18"/>
              </w:rPr>
              <w:t>19,89</w:t>
            </w:r>
          </w:p>
        </w:tc>
      </w:tr>
      <w:tr w:rsidR="00007258" w:rsidRPr="00302212" w:rsidTr="00302212">
        <w:trPr>
          <w:trHeight w:val="20"/>
          <w:jc w:val="center"/>
        </w:trPr>
        <w:tc>
          <w:tcPr>
            <w:tcW w:w="846" w:type="dxa"/>
            <w:shd w:val="clear" w:color="auto" w:fill="auto"/>
            <w:noWrap/>
            <w:hideMark/>
          </w:tcPr>
          <w:p w:rsidR="00007258" w:rsidRPr="00302212" w:rsidRDefault="00007258" w:rsidP="00302212">
            <w:pPr>
              <w:spacing w:before="20" w:after="20"/>
              <w:jc w:val="center"/>
              <w:rPr>
                <w:rFonts w:asciiTheme="minorHAnsi" w:eastAsia="Calibri" w:hAnsiTheme="minorHAnsi" w:cs="Arial"/>
                <w:sz w:val="18"/>
                <w:szCs w:val="18"/>
              </w:rPr>
            </w:pPr>
            <w:r w:rsidRPr="00302212">
              <w:rPr>
                <w:rFonts w:asciiTheme="minorHAnsi" w:hAnsiTheme="minorHAnsi"/>
                <w:sz w:val="18"/>
                <w:szCs w:val="18"/>
              </w:rPr>
              <w:t>2015</w:t>
            </w:r>
          </w:p>
        </w:tc>
        <w:tc>
          <w:tcPr>
            <w:tcW w:w="2410" w:type="dxa"/>
            <w:shd w:val="clear" w:color="auto" w:fill="auto"/>
          </w:tcPr>
          <w:p w:rsidR="00007258" w:rsidRPr="00302212" w:rsidRDefault="00007258" w:rsidP="00302212">
            <w:pPr>
              <w:spacing w:before="20" w:after="20"/>
              <w:jc w:val="center"/>
              <w:rPr>
                <w:rFonts w:asciiTheme="minorHAnsi" w:eastAsia="Calibri" w:hAnsiTheme="minorHAnsi" w:cs="Arial"/>
                <w:sz w:val="18"/>
                <w:szCs w:val="18"/>
              </w:rPr>
            </w:pPr>
            <w:r w:rsidRPr="00302212">
              <w:rPr>
                <w:rFonts w:asciiTheme="minorHAnsi" w:hAnsiTheme="minorHAnsi"/>
                <w:sz w:val="18"/>
                <w:szCs w:val="18"/>
              </w:rPr>
              <w:t>3.946</w:t>
            </w:r>
          </w:p>
        </w:tc>
        <w:tc>
          <w:tcPr>
            <w:tcW w:w="3402" w:type="dxa"/>
            <w:shd w:val="clear" w:color="auto" w:fill="auto"/>
          </w:tcPr>
          <w:p w:rsidR="00007258" w:rsidRPr="00302212" w:rsidRDefault="00007258" w:rsidP="00302212">
            <w:pPr>
              <w:spacing w:before="20" w:after="20"/>
              <w:ind w:right="1452"/>
              <w:jc w:val="right"/>
              <w:rPr>
                <w:rFonts w:asciiTheme="minorHAnsi" w:eastAsia="Calibri" w:hAnsiTheme="minorHAnsi" w:cs="Arial"/>
                <w:sz w:val="18"/>
                <w:szCs w:val="18"/>
              </w:rPr>
            </w:pPr>
            <w:r w:rsidRPr="00302212">
              <w:rPr>
                <w:rFonts w:asciiTheme="minorHAnsi" w:hAnsiTheme="minorHAnsi"/>
                <w:sz w:val="18"/>
                <w:szCs w:val="18"/>
              </w:rPr>
              <w:t>615</w:t>
            </w:r>
          </w:p>
        </w:tc>
        <w:tc>
          <w:tcPr>
            <w:tcW w:w="1200" w:type="dxa"/>
            <w:shd w:val="clear" w:color="auto" w:fill="auto"/>
            <w:noWrap/>
            <w:hideMark/>
          </w:tcPr>
          <w:p w:rsidR="00007258" w:rsidRPr="00302212" w:rsidRDefault="00007258" w:rsidP="00302212">
            <w:pPr>
              <w:spacing w:before="20" w:after="20"/>
              <w:jc w:val="center"/>
              <w:rPr>
                <w:rFonts w:asciiTheme="minorHAnsi" w:eastAsia="Calibri" w:hAnsiTheme="minorHAnsi" w:cs="Arial"/>
                <w:sz w:val="18"/>
                <w:szCs w:val="18"/>
              </w:rPr>
            </w:pPr>
            <w:r w:rsidRPr="00302212">
              <w:rPr>
                <w:rFonts w:asciiTheme="minorHAnsi" w:hAnsiTheme="minorHAnsi"/>
                <w:sz w:val="18"/>
                <w:szCs w:val="18"/>
              </w:rPr>
              <w:t>15,59</w:t>
            </w:r>
          </w:p>
        </w:tc>
      </w:tr>
      <w:tr w:rsidR="00007258" w:rsidRPr="00302212" w:rsidTr="00302212">
        <w:trPr>
          <w:trHeight w:val="20"/>
          <w:jc w:val="center"/>
        </w:trPr>
        <w:tc>
          <w:tcPr>
            <w:tcW w:w="846" w:type="dxa"/>
            <w:shd w:val="clear" w:color="auto" w:fill="auto"/>
            <w:noWrap/>
            <w:hideMark/>
          </w:tcPr>
          <w:p w:rsidR="00007258" w:rsidRPr="00302212" w:rsidRDefault="00007258" w:rsidP="00302212">
            <w:pPr>
              <w:spacing w:before="20" w:after="20"/>
              <w:jc w:val="center"/>
              <w:rPr>
                <w:rFonts w:asciiTheme="minorHAnsi" w:eastAsia="Calibri" w:hAnsiTheme="minorHAnsi" w:cs="Arial"/>
                <w:sz w:val="18"/>
                <w:szCs w:val="18"/>
              </w:rPr>
            </w:pPr>
            <w:r w:rsidRPr="00302212">
              <w:rPr>
                <w:rFonts w:asciiTheme="minorHAnsi" w:hAnsiTheme="minorHAnsi"/>
                <w:sz w:val="18"/>
                <w:szCs w:val="18"/>
              </w:rPr>
              <w:t>2014</w:t>
            </w:r>
          </w:p>
        </w:tc>
        <w:tc>
          <w:tcPr>
            <w:tcW w:w="2410" w:type="dxa"/>
            <w:shd w:val="clear" w:color="auto" w:fill="auto"/>
          </w:tcPr>
          <w:p w:rsidR="00007258" w:rsidRPr="00302212" w:rsidRDefault="00007258" w:rsidP="00302212">
            <w:pPr>
              <w:spacing w:before="20" w:after="20"/>
              <w:jc w:val="center"/>
              <w:rPr>
                <w:rFonts w:asciiTheme="minorHAnsi" w:eastAsia="Calibri" w:hAnsiTheme="minorHAnsi" w:cs="Arial"/>
                <w:sz w:val="18"/>
                <w:szCs w:val="18"/>
              </w:rPr>
            </w:pPr>
            <w:r w:rsidRPr="00302212">
              <w:rPr>
                <w:rFonts w:asciiTheme="minorHAnsi" w:hAnsiTheme="minorHAnsi"/>
                <w:sz w:val="18"/>
                <w:szCs w:val="18"/>
              </w:rPr>
              <w:t>3.880</w:t>
            </w:r>
          </w:p>
        </w:tc>
        <w:tc>
          <w:tcPr>
            <w:tcW w:w="3402" w:type="dxa"/>
            <w:shd w:val="clear" w:color="auto" w:fill="auto"/>
          </w:tcPr>
          <w:p w:rsidR="00007258" w:rsidRPr="00302212" w:rsidRDefault="00007258" w:rsidP="00302212">
            <w:pPr>
              <w:spacing w:before="20" w:after="20"/>
              <w:ind w:right="1452"/>
              <w:jc w:val="right"/>
              <w:rPr>
                <w:rFonts w:asciiTheme="minorHAnsi" w:eastAsia="Calibri" w:hAnsiTheme="minorHAnsi" w:cs="Arial"/>
                <w:sz w:val="18"/>
                <w:szCs w:val="18"/>
              </w:rPr>
            </w:pPr>
            <w:r w:rsidRPr="00302212">
              <w:rPr>
                <w:rFonts w:asciiTheme="minorHAnsi" w:hAnsiTheme="minorHAnsi"/>
                <w:sz w:val="18"/>
                <w:szCs w:val="18"/>
              </w:rPr>
              <w:t>499</w:t>
            </w:r>
          </w:p>
        </w:tc>
        <w:tc>
          <w:tcPr>
            <w:tcW w:w="1200" w:type="dxa"/>
            <w:shd w:val="clear" w:color="auto" w:fill="auto"/>
            <w:noWrap/>
            <w:hideMark/>
          </w:tcPr>
          <w:p w:rsidR="00007258" w:rsidRPr="00302212" w:rsidRDefault="00007258" w:rsidP="00302212">
            <w:pPr>
              <w:spacing w:before="20" w:after="20"/>
              <w:jc w:val="center"/>
              <w:rPr>
                <w:rFonts w:asciiTheme="minorHAnsi" w:eastAsia="Calibri" w:hAnsiTheme="minorHAnsi" w:cs="Arial"/>
                <w:sz w:val="18"/>
                <w:szCs w:val="18"/>
              </w:rPr>
            </w:pPr>
            <w:r w:rsidRPr="00302212">
              <w:rPr>
                <w:rFonts w:asciiTheme="minorHAnsi" w:hAnsiTheme="minorHAnsi"/>
                <w:sz w:val="18"/>
                <w:szCs w:val="18"/>
              </w:rPr>
              <w:t>12,86</w:t>
            </w:r>
          </w:p>
        </w:tc>
      </w:tr>
      <w:tr w:rsidR="00007258" w:rsidRPr="00302212" w:rsidTr="00302212">
        <w:trPr>
          <w:trHeight w:val="20"/>
          <w:jc w:val="center"/>
        </w:trPr>
        <w:tc>
          <w:tcPr>
            <w:tcW w:w="846" w:type="dxa"/>
            <w:shd w:val="clear" w:color="auto" w:fill="auto"/>
            <w:noWrap/>
            <w:hideMark/>
          </w:tcPr>
          <w:p w:rsidR="00007258" w:rsidRPr="00302212" w:rsidRDefault="00007258" w:rsidP="00302212">
            <w:pPr>
              <w:spacing w:before="20" w:after="20"/>
              <w:jc w:val="center"/>
              <w:rPr>
                <w:rFonts w:asciiTheme="minorHAnsi" w:eastAsia="Calibri" w:hAnsiTheme="minorHAnsi" w:cs="Arial"/>
                <w:sz w:val="18"/>
                <w:szCs w:val="18"/>
              </w:rPr>
            </w:pPr>
            <w:r w:rsidRPr="00302212">
              <w:rPr>
                <w:rFonts w:asciiTheme="minorHAnsi" w:hAnsiTheme="minorHAnsi"/>
                <w:sz w:val="18"/>
                <w:szCs w:val="18"/>
              </w:rPr>
              <w:t>2013</w:t>
            </w:r>
          </w:p>
        </w:tc>
        <w:tc>
          <w:tcPr>
            <w:tcW w:w="2410" w:type="dxa"/>
            <w:shd w:val="clear" w:color="auto" w:fill="auto"/>
          </w:tcPr>
          <w:p w:rsidR="00007258" w:rsidRPr="00302212" w:rsidRDefault="00007258" w:rsidP="00302212">
            <w:pPr>
              <w:spacing w:before="20" w:after="20"/>
              <w:jc w:val="center"/>
              <w:rPr>
                <w:rFonts w:asciiTheme="minorHAnsi" w:eastAsia="Calibri" w:hAnsiTheme="minorHAnsi" w:cs="Arial"/>
                <w:sz w:val="18"/>
                <w:szCs w:val="18"/>
              </w:rPr>
            </w:pPr>
            <w:r w:rsidRPr="00302212">
              <w:rPr>
                <w:rFonts w:asciiTheme="minorHAnsi" w:hAnsiTheme="minorHAnsi"/>
                <w:sz w:val="18"/>
                <w:szCs w:val="18"/>
              </w:rPr>
              <w:t>3.971</w:t>
            </w:r>
          </w:p>
        </w:tc>
        <w:tc>
          <w:tcPr>
            <w:tcW w:w="3402" w:type="dxa"/>
            <w:shd w:val="clear" w:color="auto" w:fill="auto"/>
          </w:tcPr>
          <w:p w:rsidR="00007258" w:rsidRPr="00302212" w:rsidRDefault="00007258" w:rsidP="00302212">
            <w:pPr>
              <w:spacing w:before="20" w:after="20"/>
              <w:ind w:right="1452"/>
              <w:jc w:val="right"/>
              <w:rPr>
                <w:rFonts w:asciiTheme="minorHAnsi" w:eastAsia="Calibri" w:hAnsiTheme="minorHAnsi" w:cs="Arial"/>
                <w:sz w:val="18"/>
                <w:szCs w:val="18"/>
              </w:rPr>
            </w:pPr>
            <w:r w:rsidRPr="00302212">
              <w:rPr>
                <w:rFonts w:asciiTheme="minorHAnsi" w:hAnsiTheme="minorHAnsi"/>
                <w:sz w:val="18"/>
                <w:szCs w:val="18"/>
              </w:rPr>
              <w:t>593</w:t>
            </w:r>
          </w:p>
        </w:tc>
        <w:tc>
          <w:tcPr>
            <w:tcW w:w="1200" w:type="dxa"/>
            <w:shd w:val="clear" w:color="auto" w:fill="auto"/>
            <w:noWrap/>
            <w:hideMark/>
          </w:tcPr>
          <w:p w:rsidR="00007258" w:rsidRPr="00302212" w:rsidRDefault="00007258" w:rsidP="00302212">
            <w:pPr>
              <w:spacing w:before="20" w:after="20"/>
              <w:jc w:val="center"/>
              <w:rPr>
                <w:rFonts w:asciiTheme="minorHAnsi" w:eastAsia="Calibri" w:hAnsiTheme="minorHAnsi" w:cs="Arial"/>
                <w:sz w:val="18"/>
                <w:szCs w:val="18"/>
              </w:rPr>
            </w:pPr>
            <w:r w:rsidRPr="00302212">
              <w:rPr>
                <w:rFonts w:asciiTheme="minorHAnsi" w:hAnsiTheme="minorHAnsi"/>
                <w:sz w:val="18"/>
                <w:szCs w:val="18"/>
              </w:rPr>
              <w:t>14,93</w:t>
            </w:r>
          </w:p>
        </w:tc>
      </w:tr>
      <w:tr w:rsidR="00007258" w:rsidRPr="00302212" w:rsidTr="00302212">
        <w:trPr>
          <w:trHeight w:val="20"/>
          <w:jc w:val="center"/>
        </w:trPr>
        <w:tc>
          <w:tcPr>
            <w:tcW w:w="846" w:type="dxa"/>
            <w:shd w:val="clear" w:color="auto" w:fill="auto"/>
            <w:noWrap/>
            <w:hideMark/>
          </w:tcPr>
          <w:p w:rsidR="00007258" w:rsidRPr="00302212" w:rsidRDefault="00007258" w:rsidP="00302212">
            <w:pPr>
              <w:spacing w:before="20" w:after="20"/>
              <w:jc w:val="center"/>
              <w:rPr>
                <w:rFonts w:asciiTheme="minorHAnsi" w:eastAsia="Calibri" w:hAnsiTheme="minorHAnsi" w:cs="Arial"/>
                <w:sz w:val="18"/>
                <w:szCs w:val="18"/>
              </w:rPr>
            </w:pPr>
            <w:r w:rsidRPr="00302212">
              <w:rPr>
                <w:rFonts w:asciiTheme="minorHAnsi" w:hAnsiTheme="minorHAnsi"/>
                <w:sz w:val="18"/>
                <w:szCs w:val="18"/>
              </w:rPr>
              <w:t>2012</w:t>
            </w:r>
          </w:p>
        </w:tc>
        <w:tc>
          <w:tcPr>
            <w:tcW w:w="2410" w:type="dxa"/>
            <w:shd w:val="clear" w:color="auto" w:fill="auto"/>
          </w:tcPr>
          <w:p w:rsidR="00007258" w:rsidRPr="00302212" w:rsidRDefault="00007258" w:rsidP="00302212">
            <w:pPr>
              <w:spacing w:before="20" w:after="20"/>
              <w:jc w:val="center"/>
              <w:rPr>
                <w:rFonts w:asciiTheme="minorHAnsi" w:eastAsia="Calibri" w:hAnsiTheme="minorHAnsi" w:cs="Arial"/>
                <w:sz w:val="18"/>
                <w:szCs w:val="18"/>
              </w:rPr>
            </w:pPr>
            <w:r w:rsidRPr="00302212">
              <w:rPr>
                <w:rFonts w:asciiTheme="minorHAnsi" w:hAnsiTheme="minorHAnsi"/>
                <w:sz w:val="18"/>
                <w:szCs w:val="18"/>
              </w:rPr>
              <w:t>3.263</w:t>
            </w:r>
          </w:p>
        </w:tc>
        <w:tc>
          <w:tcPr>
            <w:tcW w:w="3402" w:type="dxa"/>
            <w:shd w:val="clear" w:color="auto" w:fill="auto"/>
          </w:tcPr>
          <w:p w:rsidR="00007258" w:rsidRPr="00302212" w:rsidRDefault="00007258" w:rsidP="00302212">
            <w:pPr>
              <w:spacing w:before="20" w:after="20"/>
              <w:ind w:right="1452"/>
              <w:jc w:val="right"/>
              <w:rPr>
                <w:rFonts w:asciiTheme="minorHAnsi" w:eastAsia="Calibri" w:hAnsiTheme="minorHAnsi" w:cs="Arial"/>
                <w:sz w:val="18"/>
                <w:szCs w:val="18"/>
              </w:rPr>
            </w:pPr>
            <w:r w:rsidRPr="00302212">
              <w:rPr>
                <w:rFonts w:asciiTheme="minorHAnsi" w:hAnsiTheme="minorHAnsi"/>
                <w:sz w:val="18"/>
                <w:szCs w:val="18"/>
              </w:rPr>
              <w:t>518</w:t>
            </w:r>
          </w:p>
        </w:tc>
        <w:tc>
          <w:tcPr>
            <w:tcW w:w="1200" w:type="dxa"/>
            <w:shd w:val="clear" w:color="auto" w:fill="auto"/>
            <w:noWrap/>
            <w:hideMark/>
          </w:tcPr>
          <w:p w:rsidR="00007258" w:rsidRPr="00302212" w:rsidRDefault="00007258" w:rsidP="00302212">
            <w:pPr>
              <w:spacing w:before="20" w:after="20"/>
              <w:jc w:val="center"/>
              <w:rPr>
                <w:rFonts w:asciiTheme="minorHAnsi" w:eastAsia="Calibri" w:hAnsiTheme="minorHAnsi" w:cs="Arial"/>
                <w:sz w:val="18"/>
                <w:szCs w:val="18"/>
              </w:rPr>
            </w:pPr>
            <w:r w:rsidRPr="00302212">
              <w:rPr>
                <w:rFonts w:asciiTheme="minorHAnsi" w:hAnsiTheme="minorHAnsi"/>
                <w:sz w:val="18"/>
                <w:szCs w:val="18"/>
              </w:rPr>
              <w:t>15,87</w:t>
            </w:r>
          </w:p>
        </w:tc>
      </w:tr>
    </w:tbl>
    <w:p w:rsidR="00007258" w:rsidRPr="00302212" w:rsidRDefault="00007258" w:rsidP="00302212">
      <w:pPr>
        <w:spacing w:before="60" w:line="300" w:lineRule="auto"/>
        <w:ind w:left="425"/>
        <w:jc w:val="both"/>
        <w:rPr>
          <w:rFonts w:asciiTheme="minorHAnsi" w:hAnsiTheme="minorHAnsi" w:cs="Arial"/>
          <w:sz w:val="16"/>
          <w:szCs w:val="16"/>
        </w:rPr>
      </w:pPr>
      <w:r w:rsidRPr="00302212">
        <w:rPr>
          <w:rFonts w:asciiTheme="minorHAnsi" w:hAnsiTheme="minorHAnsi"/>
          <w:sz w:val="16"/>
          <w:szCs w:val="16"/>
        </w:rPr>
        <w:t>* 2018-01-01etik 2016-02-19ra bitarteko datuak</w:t>
      </w:r>
    </w:p>
    <w:p w:rsidR="00003FC0" w:rsidRPr="00302212" w:rsidRDefault="00007258" w:rsidP="00302212">
      <w:pPr>
        <w:spacing w:line="360" w:lineRule="auto"/>
        <w:ind w:left="425"/>
        <w:jc w:val="both"/>
        <w:rPr>
          <w:rFonts w:asciiTheme="minorHAnsi" w:hAnsiTheme="minorHAnsi" w:cs="Arial"/>
          <w:sz w:val="16"/>
          <w:szCs w:val="16"/>
        </w:rPr>
      </w:pPr>
      <w:r w:rsidRPr="00302212">
        <w:rPr>
          <w:rFonts w:asciiTheme="minorHAnsi" w:hAnsiTheme="minorHAnsi"/>
          <w:sz w:val="16"/>
          <w:szCs w:val="16"/>
        </w:rPr>
        <w:t>Iturria: Itxaropenaren telefonoa</w:t>
      </w:r>
    </w:p>
    <w:p w:rsidR="00237E9E" w:rsidRPr="0033572B" w:rsidRDefault="00237E9E" w:rsidP="00237E9E">
      <w:pPr>
        <w:numPr>
          <w:ilvl w:val="0"/>
          <w:numId w:val="9"/>
        </w:numPr>
        <w:spacing w:after="120" w:line="360" w:lineRule="auto"/>
        <w:ind w:left="426" w:hanging="426"/>
        <w:jc w:val="both"/>
        <w:rPr>
          <w:rFonts w:ascii="Arial" w:hAnsi="Arial" w:cs="Arial"/>
          <w:sz w:val="22"/>
          <w:szCs w:val="22"/>
        </w:rPr>
      </w:pPr>
      <w:r>
        <w:rPr>
          <w:rFonts w:ascii="Arial" w:hAnsi="Arial"/>
          <w:sz w:val="22"/>
          <w:szCs w:val="22"/>
        </w:rPr>
        <w:t>Etxebizitza plan berria egitearen esparruan, eta bakarrik bizi diren adineko pertsonen gorantz doazen arazoen testuinguruan, datozen hilabeteetan Eskubide Sozialetako Departamentuko Errealitate Sozialaren Behatokiak analisi dokumental bat eginen du, ezagutzeko zein esperientzia eta jokabide egoki izan diren Estatu osoan eta Europar Batasunean errealitate hori eta gazteen emantzipazioaren eta alokairuko etxebizitzaren beharrizanak lotzen dituztenak. Berrikuspen bibliografiko hori oinarria izan liteke bi errealitate horiek batzen dituen programa pilotu baterako, zeinak, hasteko eta behin, eragin positibo argiak baitauzka (belaunaldien arteko inplikazio soziala, harreman sozial gehiago bakarrik bizi diren adineko pertsonentzat, adineko pertsonentzako ekarpen ekonomikoa, alokairu-gastu txikiagoa gazteentzat eta abar).</w:t>
      </w:r>
    </w:p>
    <w:p w:rsidR="00237E9E" w:rsidRPr="0033572B" w:rsidRDefault="00237E9E" w:rsidP="00237E9E">
      <w:pPr>
        <w:numPr>
          <w:ilvl w:val="0"/>
          <w:numId w:val="9"/>
        </w:numPr>
        <w:spacing w:after="120" w:line="360" w:lineRule="auto"/>
        <w:ind w:left="426" w:hanging="426"/>
        <w:jc w:val="both"/>
        <w:rPr>
          <w:rFonts w:ascii="Arial" w:hAnsi="Arial" w:cs="Arial"/>
          <w:sz w:val="22"/>
          <w:szCs w:val="22"/>
        </w:rPr>
      </w:pPr>
      <w:r>
        <w:rPr>
          <w:rFonts w:ascii="Arial" w:hAnsi="Arial"/>
          <w:sz w:val="22"/>
          <w:szCs w:val="22"/>
        </w:rPr>
        <w:lastRenderedPageBreak/>
        <w:t xml:space="preserve">Arreta </w:t>
      </w:r>
      <w:proofErr w:type="spellStart"/>
      <w:r>
        <w:rPr>
          <w:rFonts w:ascii="Arial" w:hAnsi="Arial"/>
          <w:sz w:val="22"/>
          <w:szCs w:val="22"/>
        </w:rPr>
        <w:t>soziosanitario</w:t>
      </w:r>
      <w:proofErr w:type="spellEnd"/>
      <w:r>
        <w:rPr>
          <w:rFonts w:ascii="Arial" w:hAnsi="Arial"/>
          <w:sz w:val="22"/>
          <w:szCs w:val="22"/>
        </w:rPr>
        <w:t xml:space="preserve"> integratuaren sistema garatzearen eta haren Tafallako barrutiko pilotatzearen testuinguruan, zenbait profil identifikatu dira zeinetan barrutiko gizarte zerbitzuek eta osasun-zerbitzuek arreta bateratua eta integratua eman baitezakete. Profil horietako bat bakarrik bizi diren 80 urtetik gorako pertsonena da, bi irizpide horiek (adina eta bakardadea) talde hori osasun-arazoak pairatzeko moduan jartzen duten arrisku-faktoreak baitira, bi sistemen esku-hartze integratua eskatzen dutenak. </w:t>
      </w:r>
    </w:p>
    <w:p w:rsidR="00003FC0" w:rsidRDefault="00237E9E" w:rsidP="00237E9E">
      <w:pPr>
        <w:spacing w:after="120" w:line="360" w:lineRule="auto"/>
        <w:ind w:left="426"/>
        <w:jc w:val="both"/>
        <w:rPr>
          <w:rFonts w:ascii="Arial" w:hAnsi="Arial" w:cs="Arial"/>
          <w:sz w:val="22"/>
          <w:szCs w:val="22"/>
        </w:rPr>
      </w:pPr>
      <w:r>
        <w:rPr>
          <w:rFonts w:ascii="Arial" w:hAnsi="Arial"/>
          <w:sz w:val="22"/>
          <w:szCs w:val="22"/>
        </w:rPr>
        <w:t>Proiektu pilotuak aurreikusten du bai osasun-etxeek, bai oinarrizko gizarte zerbitzuek bakarrik bizi diren 80 urtetik gorako pertsonak identifikatzea (arrisku-populazio gisa identifikatuta egonen dira). Populazio horri galbahe bat pasako zaie, eta horren bidez zehaztuko da ea una hauetan bi sistemen esku-hartze integratu bat behar duten, eta hala izanez gero, esku-hartzerako helburuak eta hartu beharreko neurriak ezarriko dira, bai eta erreferentziako profesionala nor izanen den ere. Une honetan esku-hartze integraturik behar ez badute, jarraipen-plan bat zehaztuko du edo oinarrizko gizarte zerbitzuak edo osasun-etxeak, pertsona bakoitzaren ezaugarri berezien arabera.</w:t>
      </w:r>
    </w:p>
    <w:p w:rsidR="00003FC0" w:rsidRDefault="0006150C" w:rsidP="00CA544A">
      <w:pPr>
        <w:spacing w:after="120" w:line="360" w:lineRule="auto"/>
        <w:jc w:val="both"/>
        <w:rPr>
          <w:rFonts w:ascii="Arial" w:hAnsi="Arial" w:cs="Arial"/>
          <w:sz w:val="22"/>
          <w:szCs w:val="22"/>
        </w:rPr>
      </w:pPr>
      <w:r>
        <w:rPr>
          <w:rFonts w:ascii="Arial" w:hAnsi="Arial"/>
          <w:sz w:val="22"/>
          <w:szCs w:val="22"/>
        </w:rPr>
        <w:t>Hori guztia jakinarazten dizut Nafarroako Parlamentuko Erregelamenduaren 194. artikulua betez.</w:t>
      </w:r>
    </w:p>
    <w:p w:rsidR="00003FC0" w:rsidRDefault="0006150C" w:rsidP="00CA544A">
      <w:pPr>
        <w:spacing w:after="120" w:line="360" w:lineRule="auto"/>
        <w:jc w:val="center"/>
        <w:outlineLvl w:val="0"/>
        <w:rPr>
          <w:rFonts w:ascii="Arial" w:hAnsi="Arial" w:cs="Arial"/>
          <w:sz w:val="22"/>
          <w:szCs w:val="22"/>
        </w:rPr>
      </w:pPr>
      <w:r>
        <w:rPr>
          <w:rFonts w:ascii="Arial" w:hAnsi="Arial"/>
          <w:sz w:val="22"/>
          <w:szCs w:val="22"/>
        </w:rPr>
        <w:t>Iruñean, 2018ko otsailaren 23an.</w:t>
      </w:r>
    </w:p>
    <w:p w:rsidR="0006150C" w:rsidRPr="00003FC0" w:rsidRDefault="00D45F8B" w:rsidP="00003FC0">
      <w:pPr>
        <w:spacing w:after="120" w:line="360" w:lineRule="auto"/>
        <w:jc w:val="center"/>
        <w:rPr>
          <w:rFonts w:ascii="Arial" w:hAnsi="Arial" w:cs="Arial"/>
          <w:sz w:val="22"/>
          <w:szCs w:val="22"/>
        </w:rPr>
      </w:pPr>
      <w:r>
        <w:rPr>
          <w:rFonts w:ascii="Arial" w:hAnsi="Arial"/>
          <w:sz w:val="22"/>
          <w:szCs w:val="22"/>
        </w:rPr>
        <w:t>Eskubide Sozialetako kontseilaria: Miguel Laparra Navarro</w:t>
      </w:r>
    </w:p>
    <w:sectPr w:rsidR="0006150C" w:rsidRPr="00003FC0" w:rsidSect="003860DD">
      <w:headerReference w:type="default" r:id="rId9"/>
      <w:pgSz w:w="11906" w:h="16838" w:code="9"/>
      <w:pgMar w:top="1588" w:right="1701" w:bottom="1079" w:left="1701" w:header="18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E47" w:rsidRDefault="00E95E47">
      <w:r>
        <w:separator/>
      </w:r>
    </w:p>
  </w:endnote>
  <w:endnote w:type="continuationSeparator" w:id="0">
    <w:p w:rsidR="00E95E47" w:rsidRDefault="00E95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E47" w:rsidRDefault="00E95E47">
      <w:r>
        <w:separator/>
      </w:r>
    </w:p>
  </w:footnote>
  <w:footnote w:type="continuationSeparator" w:id="0">
    <w:p w:rsidR="00E95E47" w:rsidRDefault="00E95E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D5" w:rsidRDefault="003770D5" w:rsidP="00360CD5">
    <w:pPr>
      <w:pStyle w:val="Encabezado"/>
      <w:jc w:val="center"/>
    </w:pPr>
  </w:p>
  <w:p w:rsidR="003770D5" w:rsidRDefault="003770D5" w:rsidP="00360CD5">
    <w:pPr>
      <w:pStyle w:val="Encabezado"/>
      <w:jc w:val="center"/>
    </w:pPr>
  </w:p>
  <w:p w:rsidR="003770D5" w:rsidRDefault="003770D5" w:rsidP="00360CD5">
    <w:pPr>
      <w:pStyle w:val="Encabezado"/>
      <w:jc w:val="center"/>
    </w:pPr>
  </w:p>
  <w:p w:rsidR="003770D5" w:rsidRDefault="003770D5" w:rsidP="00360CD5">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96CA3"/>
    <w:multiLevelType w:val="hybridMultilevel"/>
    <w:tmpl w:val="E722AD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378A6F1D"/>
    <w:multiLevelType w:val="hybridMultilevel"/>
    <w:tmpl w:val="1758D950"/>
    <w:lvl w:ilvl="0" w:tplc="F11C4E54">
      <w:start w:val="1"/>
      <w:numFmt w:val="bullet"/>
      <w:lvlText w:val=""/>
      <w:lvlJc w:val="left"/>
      <w:pPr>
        <w:ind w:left="720" w:hanging="360"/>
      </w:pPr>
      <w:rPr>
        <w:rFonts w:ascii="Wingdings" w:hAnsi="Wingdings" w:hint="default"/>
        <w:sz w:val="1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8F97A5A"/>
    <w:multiLevelType w:val="hybridMultilevel"/>
    <w:tmpl w:val="2D603E0C"/>
    <w:lvl w:ilvl="0" w:tplc="0C0A0001">
      <w:start w:val="1"/>
      <w:numFmt w:val="bullet"/>
      <w:lvlText w:val=""/>
      <w:lvlJc w:val="left"/>
      <w:pPr>
        <w:ind w:left="767" w:hanging="360"/>
      </w:pPr>
      <w:rPr>
        <w:rFonts w:ascii="Symbol" w:hAnsi="Symbol" w:hint="default"/>
      </w:rPr>
    </w:lvl>
    <w:lvl w:ilvl="1" w:tplc="0C0A0003" w:tentative="1">
      <w:start w:val="1"/>
      <w:numFmt w:val="bullet"/>
      <w:lvlText w:val="o"/>
      <w:lvlJc w:val="left"/>
      <w:pPr>
        <w:ind w:left="1487" w:hanging="360"/>
      </w:pPr>
      <w:rPr>
        <w:rFonts w:ascii="Courier New" w:hAnsi="Courier New" w:cs="Courier New" w:hint="default"/>
      </w:rPr>
    </w:lvl>
    <w:lvl w:ilvl="2" w:tplc="0C0A0005" w:tentative="1">
      <w:start w:val="1"/>
      <w:numFmt w:val="bullet"/>
      <w:lvlText w:val=""/>
      <w:lvlJc w:val="left"/>
      <w:pPr>
        <w:ind w:left="2207" w:hanging="360"/>
      </w:pPr>
      <w:rPr>
        <w:rFonts w:ascii="Wingdings" w:hAnsi="Wingdings" w:hint="default"/>
      </w:rPr>
    </w:lvl>
    <w:lvl w:ilvl="3" w:tplc="0C0A0001" w:tentative="1">
      <w:start w:val="1"/>
      <w:numFmt w:val="bullet"/>
      <w:lvlText w:val=""/>
      <w:lvlJc w:val="left"/>
      <w:pPr>
        <w:ind w:left="2927" w:hanging="360"/>
      </w:pPr>
      <w:rPr>
        <w:rFonts w:ascii="Symbol" w:hAnsi="Symbol" w:hint="default"/>
      </w:rPr>
    </w:lvl>
    <w:lvl w:ilvl="4" w:tplc="0C0A0003" w:tentative="1">
      <w:start w:val="1"/>
      <w:numFmt w:val="bullet"/>
      <w:lvlText w:val="o"/>
      <w:lvlJc w:val="left"/>
      <w:pPr>
        <w:ind w:left="3647" w:hanging="360"/>
      </w:pPr>
      <w:rPr>
        <w:rFonts w:ascii="Courier New" w:hAnsi="Courier New" w:cs="Courier New" w:hint="default"/>
      </w:rPr>
    </w:lvl>
    <w:lvl w:ilvl="5" w:tplc="0C0A0005" w:tentative="1">
      <w:start w:val="1"/>
      <w:numFmt w:val="bullet"/>
      <w:lvlText w:val=""/>
      <w:lvlJc w:val="left"/>
      <w:pPr>
        <w:ind w:left="4367" w:hanging="360"/>
      </w:pPr>
      <w:rPr>
        <w:rFonts w:ascii="Wingdings" w:hAnsi="Wingdings" w:hint="default"/>
      </w:rPr>
    </w:lvl>
    <w:lvl w:ilvl="6" w:tplc="0C0A0001" w:tentative="1">
      <w:start w:val="1"/>
      <w:numFmt w:val="bullet"/>
      <w:lvlText w:val=""/>
      <w:lvlJc w:val="left"/>
      <w:pPr>
        <w:ind w:left="5087" w:hanging="360"/>
      </w:pPr>
      <w:rPr>
        <w:rFonts w:ascii="Symbol" w:hAnsi="Symbol" w:hint="default"/>
      </w:rPr>
    </w:lvl>
    <w:lvl w:ilvl="7" w:tplc="0C0A0003" w:tentative="1">
      <w:start w:val="1"/>
      <w:numFmt w:val="bullet"/>
      <w:lvlText w:val="o"/>
      <w:lvlJc w:val="left"/>
      <w:pPr>
        <w:ind w:left="5807" w:hanging="360"/>
      </w:pPr>
      <w:rPr>
        <w:rFonts w:ascii="Courier New" w:hAnsi="Courier New" w:cs="Courier New" w:hint="default"/>
      </w:rPr>
    </w:lvl>
    <w:lvl w:ilvl="8" w:tplc="0C0A0005" w:tentative="1">
      <w:start w:val="1"/>
      <w:numFmt w:val="bullet"/>
      <w:lvlText w:val=""/>
      <w:lvlJc w:val="left"/>
      <w:pPr>
        <w:ind w:left="6527" w:hanging="360"/>
      </w:pPr>
      <w:rPr>
        <w:rFonts w:ascii="Wingdings" w:hAnsi="Wingdings" w:hint="default"/>
      </w:rPr>
    </w:lvl>
  </w:abstractNum>
  <w:abstractNum w:abstractNumId="3">
    <w:nsid w:val="39D27D0A"/>
    <w:multiLevelType w:val="hybridMultilevel"/>
    <w:tmpl w:val="5A3077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42BC7757"/>
    <w:multiLevelType w:val="hybridMultilevel"/>
    <w:tmpl w:val="1A80F1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AF54F20"/>
    <w:multiLevelType w:val="hybridMultilevel"/>
    <w:tmpl w:val="86469DEC"/>
    <w:lvl w:ilvl="0" w:tplc="BBBA6934">
      <w:start w:val="1"/>
      <w:numFmt w:val="bullet"/>
      <w:lvlText w:val=""/>
      <w:lvlJc w:val="left"/>
      <w:pPr>
        <w:tabs>
          <w:tab w:val="num" w:pos="-67"/>
        </w:tabs>
        <w:ind w:left="47" w:hanging="227"/>
      </w:pPr>
      <w:rPr>
        <w:rFonts w:ascii="Wingdings" w:hAnsi="Wingdings" w:hint="default"/>
        <w:color w:val="auto"/>
        <w:sz w:val="20"/>
        <w:szCs w:val="28"/>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6">
    <w:nsid w:val="4B8C7771"/>
    <w:multiLevelType w:val="hybridMultilevel"/>
    <w:tmpl w:val="491E99C8"/>
    <w:lvl w:ilvl="0" w:tplc="EEF844B6">
      <w:start w:val="9"/>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4C7E3670"/>
    <w:multiLevelType w:val="hybridMultilevel"/>
    <w:tmpl w:val="48F684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6D4F4FB5"/>
    <w:multiLevelType w:val="hybridMultilevel"/>
    <w:tmpl w:val="32CE6A5A"/>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num w:numId="1">
    <w:abstractNumId w:val="7"/>
  </w:num>
  <w:num w:numId="2">
    <w:abstractNumId w:val="0"/>
  </w:num>
  <w:num w:numId="3">
    <w:abstractNumId w:val="3"/>
  </w:num>
  <w:num w:numId="4">
    <w:abstractNumId w:val="6"/>
  </w:num>
  <w:num w:numId="5">
    <w:abstractNumId w:val="5"/>
  </w:num>
  <w:num w:numId="6">
    <w:abstractNumId w:val="1"/>
  </w:num>
  <w:num w:numId="7">
    <w:abstractNumId w:val="2"/>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50C"/>
    <w:rsid w:val="00003FC0"/>
    <w:rsid w:val="00007258"/>
    <w:rsid w:val="00044BB4"/>
    <w:rsid w:val="00052058"/>
    <w:rsid w:val="0006150C"/>
    <w:rsid w:val="00065565"/>
    <w:rsid w:val="001207D5"/>
    <w:rsid w:val="0015056C"/>
    <w:rsid w:val="0019679B"/>
    <w:rsid w:val="001D2F3E"/>
    <w:rsid w:val="0020324A"/>
    <w:rsid w:val="00225C7D"/>
    <w:rsid w:val="00237E9E"/>
    <w:rsid w:val="00241092"/>
    <w:rsid w:val="00252442"/>
    <w:rsid w:val="002A688F"/>
    <w:rsid w:val="00302212"/>
    <w:rsid w:val="00332E76"/>
    <w:rsid w:val="00334418"/>
    <w:rsid w:val="0033572B"/>
    <w:rsid w:val="00360CD5"/>
    <w:rsid w:val="003770D5"/>
    <w:rsid w:val="003860DD"/>
    <w:rsid w:val="003926A4"/>
    <w:rsid w:val="00393CDE"/>
    <w:rsid w:val="00394EE0"/>
    <w:rsid w:val="003E7CAB"/>
    <w:rsid w:val="00456036"/>
    <w:rsid w:val="00462A9A"/>
    <w:rsid w:val="004D3ACF"/>
    <w:rsid w:val="0055627E"/>
    <w:rsid w:val="0056046D"/>
    <w:rsid w:val="00566D52"/>
    <w:rsid w:val="0058384E"/>
    <w:rsid w:val="005E5A1A"/>
    <w:rsid w:val="00625CDC"/>
    <w:rsid w:val="006345F0"/>
    <w:rsid w:val="00641778"/>
    <w:rsid w:val="00666A3F"/>
    <w:rsid w:val="007008C6"/>
    <w:rsid w:val="007130CC"/>
    <w:rsid w:val="0072343A"/>
    <w:rsid w:val="00742DE0"/>
    <w:rsid w:val="007477D1"/>
    <w:rsid w:val="007704FF"/>
    <w:rsid w:val="0077073F"/>
    <w:rsid w:val="007A7B54"/>
    <w:rsid w:val="007E0158"/>
    <w:rsid w:val="0080339F"/>
    <w:rsid w:val="008230A2"/>
    <w:rsid w:val="00832DA8"/>
    <w:rsid w:val="008442C4"/>
    <w:rsid w:val="00865890"/>
    <w:rsid w:val="008A7332"/>
    <w:rsid w:val="008F0A77"/>
    <w:rsid w:val="00970F18"/>
    <w:rsid w:val="00980A6E"/>
    <w:rsid w:val="009A245D"/>
    <w:rsid w:val="009B0FD5"/>
    <w:rsid w:val="009C1765"/>
    <w:rsid w:val="009D7AC7"/>
    <w:rsid w:val="00A52FA3"/>
    <w:rsid w:val="00A90748"/>
    <w:rsid w:val="00AA3582"/>
    <w:rsid w:val="00AB306A"/>
    <w:rsid w:val="00AF39BC"/>
    <w:rsid w:val="00B123A0"/>
    <w:rsid w:val="00B504F9"/>
    <w:rsid w:val="00B62B44"/>
    <w:rsid w:val="00B6563A"/>
    <w:rsid w:val="00B67C4B"/>
    <w:rsid w:val="00BF65B2"/>
    <w:rsid w:val="00C01B8F"/>
    <w:rsid w:val="00C517F4"/>
    <w:rsid w:val="00C703AD"/>
    <w:rsid w:val="00CA544A"/>
    <w:rsid w:val="00CB0E0F"/>
    <w:rsid w:val="00CB1CBC"/>
    <w:rsid w:val="00CC0679"/>
    <w:rsid w:val="00CD7DE9"/>
    <w:rsid w:val="00CE5F5F"/>
    <w:rsid w:val="00D16EAB"/>
    <w:rsid w:val="00D2483A"/>
    <w:rsid w:val="00D45F8B"/>
    <w:rsid w:val="00DC2615"/>
    <w:rsid w:val="00DD3F5C"/>
    <w:rsid w:val="00E023C6"/>
    <w:rsid w:val="00E179F4"/>
    <w:rsid w:val="00E20828"/>
    <w:rsid w:val="00E26C41"/>
    <w:rsid w:val="00E4466D"/>
    <w:rsid w:val="00E56279"/>
    <w:rsid w:val="00E6542D"/>
    <w:rsid w:val="00E7291A"/>
    <w:rsid w:val="00E95E47"/>
    <w:rsid w:val="00EA2D5B"/>
    <w:rsid w:val="00EB1387"/>
    <w:rsid w:val="00EB5135"/>
    <w:rsid w:val="00EC31C9"/>
    <w:rsid w:val="00EC3319"/>
    <w:rsid w:val="00EC60D9"/>
    <w:rsid w:val="00ED55BF"/>
    <w:rsid w:val="00ED756F"/>
    <w:rsid w:val="00F009D6"/>
    <w:rsid w:val="00F0353A"/>
    <w:rsid w:val="00F15BE5"/>
    <w:rsid w:val="00F263F9"/>
    <w:rsid w:val="00F3516B"/>
    <w:rsid w:val="00F50854"/>
    <w:rsid w:val="00FA6849"/>
    <w:rsid w:val="00FB7948"/>
    <w:rsid w:val="00FE6BFF"/>
    <w:rsid w:val="00FF2A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150C"/>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table" w:styleId="Tablaconcuadrcula">
    <w:name w:val="Table Grid"/>
    <w:basedOn w:val="Tablanormal"/>
    <w:uiPriority w:val="39"/>
    <w:rsid w:val="0000725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150C"/>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table" w:styleId="Tablaconcuadrcula">
    <w:name w:val="Table Grid"/>
    <w:basedOn w:val="Tablanormal"/>
    <w:uiPriority w:val="39"/>
    <w:rsid w:val="0000725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546545">
      <w:bodyDiv w:val="1"/>
      <w:marLeft w:val="0"/>
      <w:marRight w:val="0"/>
      <w:marTop w:val="0"/>
      <w:marBottom w:val="0"/>
      <w:divBdr>
        <w:top w:val="none" w:sz="0" w:space="0" w:color="auto"/>
        <w:left w:val="none" w:sz="0" w:space="0" w:color="auto"/>
        <w:bottom w:val="none" w:sz="0" w:space="0" w:color="auto"/>
        <w:right w:val="none" w:sz="0" w:space="0" w:color="auto"/>
      </w:divBdr>
    </w:div>
    <w:div w:id="513501375">
      <w:bodyDiv w:val="1"/>
      <w:marLeft w:val="0"/>
      <w:marRight w:val="0"/>
      <w:marTop w:val="0"/>
      <w:marBottom w:val="0"/>
      <w:divBdr>
        <w:top w:val="none" w:sz="0" w:space="0" w:color="auto"/>
        <w:left w:val="none" w:sz="0" w:space="0" w:color="auto"/>
        <w:bottom w:val="none" w:sz="0" w:space="0" w:color="auto"/>
        <w:right w:val="none" w:sz="0" w:space="0" w:color="auto"/>
      </w:divBdr>
    </w:div>
    <w:div w:id="10354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C4D4A-A2F6-4E56-BC2A-34AEA621E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384</Words>
  <Characters>2815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El Consejero de Derechos Sociales que suscribe, en relación a la petición de información solicitada por la parlamentaria Dña</vt:lpstr>
    </vt:vector>
  </TitlesOfParts>
  <Company>Gobierno de Navarra</Company>
  <LinksUpToDate>false</LinksUpToDate>
  <CharactersWithSpaces>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Consejero de Derechos Sociales que suscribe, en relación a la petición de información solicitada por la parlamentaria Dña</dc:title>
  <dc:creator>X040804</dc:creator>
  <cp:lastModifiedBy>De Santiago, Iñaki</cp:lastModifiedBy>
  <cp:revision>3</cp:revision>
  <cp:lastPrinted>2018-02-23T12:16:00Z</cp:lastPrinted>
  <dcterms:created xsi:type="dcterms:W3CDTF">2018-05-07T06:29:00Z</dcterms:created>
  <dcterms:modified xsi:type="dcterms:W3CDTF">2018-05-07T06:48:00Z</dcterms:modified>
</cp:coreProperties>
</file>