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cumplir la Ley Orgánica 3/2007, de 22 de marzo, para la igualdad efectiva de mujeres y hombres, garantizando el principio de presencia equilibrada en el nombramiento de las personas titulares de Consejos de Administración de las empresas pertenecientes a la Corporación Pública Empresarial de Navarra, aprobada por la Comisión de Relaciones Ciudadanas e Institucionales del Parlamento de Navarra en sesión celebrada el día 2 de mayo de 2018, cuyo texto se inserta a continuación:</w:t>
      </w:r>
    </w:p>
    <w:p>
      <w:pPr>
        <w:pStyle w:val="0"/>
        <w:suppressAutoHyphens w:val="false"/>
        <w:rPr>
          <w:rStyle w:val="1"/>
        </w:rPr>
      </w:pPr>
      <w:r>
        <w:rPr>
          <w:rStyle w:val="1"/>
        </w:rPr>
        <w:t xml:space="preserve">“El Parlamento de Navarra insta al Gobierno de Navarra a: </w:t>
      </w:r>
    </w:p>
    <w:p>
      <w:pPr>
        <w:pStyle w:val="0"/>
        <w:suppressAutoHyphens w:val="false"/>
        <w:rPr>
          <w:rStyle w:val="1"/>
        </w:rPr>
      </w:pPr>
      <w:r>
        <w:rPr>
          <w:rStyle w:val="1"/>
        </w:rPr>
        <w:t xml:space="preserve">– Cumplir la Ley Orgánica 3/2007, de 22 de marzo, para la igualdad efectiva de mujeres y hombres, garantizando el principio de presencia equilibrada de mujeres y hombres en el nombramiento de las personas titulares de los consejos de administración de todas las empresas pertenecientes a la Corporación Pública Empresarial de Navarra, cuya designación le corresponda, antes de que finalice la presente legislatura. </w:t>
      </w:r>
    </w:p>
    <w:p>
      <w:pPr>
        <w:pStyle w:val="0"/>
        <w:suppressAutoHyphens w:val="false"/>
        <w:rPr>
          <w:rStyle w:val="1"/>
        </w:rPr>
      </w:pPr>
      <w:r>
        <w:rPr>
          <w:rStyle w:val="1"/>
        </w:rPr>
        <w:t xml:space="preserve">– Incorporar paulatinamente a todos los consejos de administración de las empresas pertenecientes a la Corporación Pública Empresarial de Navarra algunos perfiles profesionales y técnicos independientes, cuya trayectoria y conocimientos sean acordes a la temática de la empresa en cuestión”.</w:t>
      </w:r>
    </w:p>
    <w:p>
      <w:pPr>
        <w:pStyle w:val="0"/>
        <w:suppressAutoHyphens w:val="false"/>
        <w:rPr>
          <w:rStyle w:val="1"/>
        </w:rPr>
      </w:pPr>
      <w:r>
        <w:rPr>
          <w:rStyle w:val="1"/>
        </w:rPr>
        <w:t xml:space="preserve">Pamplona, 4 de mayo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