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7B" w:rsidRDefault="00E94A38"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En relación </w:t>
      </w:r>
      <w:r w:rsidR="00C20F7B">
        <w:rPr>
          <w:rFonts w:ascii="Arial" w:hAnsi="Arial" w:cs="Arial"/>
          <w:sz w:val="23"/>
          <w:szCs w:val="23"/>
        </w:rPr>
        <w:t>con</w:t>
      </w:r>
      <w:r w:rsidRPr="00EF0705">
        <w:rPr>
          <w:rFonts w:ascii="Arial" w:hAnsi="Arial" w:cs="Arial"/>
          <w:sz w:val="23"/>
          <w:szCs w:val="23"/>
        </w:rPr>
        <w:t xml:space="preserve"> la </w:t>
      </w:r>
      <w:r w:rsidR="00BB18FB" w:rsidRPr="00EF0705">
        <w:rPr>
          <w:rFonts w:ascii="Arial" w:hAnsi="Arial" w:cs="Arial"/>
          <w:sz w:val="23"/>
          <w:szCs w:val="23"/>
        </w:rPr>
        <w:t xml:space="preserve">pregunta escrita </w:t>
      </w:r>
      <w:r w:rsidR="007F2F29" w:rsidRPr="00EF0705">
        <w:rPr>
          <w:rFonts w:ascii="Arial" w:hAnsi="Arial" w:cs="Arial"/>
          <w:sz w:val="23"/>
          <w:szCs w:val="23"/>
        </w:rPr>
        <w:t>9-</w:t>
      </w:r>
      <w:r w:rsidR="0069025B" w:rsidRPr="00EF0705">
        <w:rPr>
          <w:rFonts w:ascii="Arial" w:hAnsi="Arial" w:cs="Arial"/>
          <w:sz w:val="23"/>
          <w:szCs w:val="23"/>
        </w:rPr>
        <w:t>18</w:t>
      </w:r>
      <w:r w:rsidR="005242CB" w:rsidRPr="00EF0705">
        <w:rPr>
          <w:rFonts w:ascii="Arial" w:hAnsi="Arial" w:cs="Arial"/>
          <w:sz w:val="23"/>
          <w:szCs w:val="23"/>
        </w:rPr>
        <w:t>/PES</w:t>
      </w:r>
      <w:r w:rsidR="007F2F29" w:rsidRPr="00EF0705">
        <w:rPr>
          <w:rFonts w:ascii="Arial" w:hAnsi="Arial" w:cs="Arial"/>
          <w:sz w:val="23"/>
          <w:szCs w:val="23"/>
        </w:rPr>
        <w:t>-</w:t>
      </w:r>
      <w:r w:rsidR="005242CB" w:rsidRPr="00EF0705">
        <w:rPr>
          <w:rFonts w:ascii="Arial" w:hAnsi="Arial" w:cs="Arial"/>
          <w:sz w:val="23"/>
          <w:szCs w:val="23"/>
        </w:rPr>
        <w:t>000</w:t>
      </w:r>
      <w:r w:rsidR="00516600" w:rsidRPr="00EF0705">
        <w:rPr>
          <w:rFonts w:ascii="Arial" w:hAnsi="Arial" w:cs="Arial"/>
          <w:sz w:val="23"/>
          <w:szCs w:val="23"/>
        </w:rPr>
        <w:t>9</w:t>
      </w:r>
      <w:r w:rsidR="005242CB" w:rsidRPr="00EF0705">
        <w:rPr>
          <w:rFonts w:ascii="Arial" w:hAnsi="Arial" w:cs="Arial"/>
          <w:sz w:val="23"/>
          <w:szCs w:val="23"/>
        </w:rPr>
        <w:t>3</w:t>
      </w:r>
      <w:r w:rsidRPr="00EF0705">
        <w:rPr>
          <w:rFonts w:ascii="Arial" w:hAnsi="Arial" w:cs="Arial"/>
          <w:sz w:val="23"/>
          <w:szCs w:val="23"/>
        </w:rPr>
        <w:t>, presentada por</w:t>
      </w:r>
      <w:r w:rsidR="004C1445" w:rsidRPr="00EF0705">
        <w:rPr>
          <w:rFonts w:ascii="Arial" w:hAnsi="Arial" w:cs="Arial"/>
          <w:sz w:val="23"/>
          <w:szCs w:val="23"/>
        </w:rPr>
        <w:t xml:space="preserve"> </w:t>
      </w:r>
      <w:r w:rsidR="007F2F29" w:rsidRPr="00EF0705">
        <w:rPr>
          <w:rFonts w:ascii="Arial" w:hAnsi="Arial" w:cs="Arial"/>
          <w:sz w:val="23"/>
          <w:szCs w:val="23"/>
        </w:rPr>
        <w:t xml:space="preserve">el </w:t>
      </w:r>
      <w:r w:rsidR="00C20F7B" w:rsidRPr="00C20F7B">
        <w:rPr>
          <w:rFonts w:ascii="Arial" w:hAnsi="Arial" w:cs="Arial"/>
          <w:sz w:val="23"/>
          <w:szCs w:val="23"/>
        </w:rPr>
        <w:t>Ilmo. Sr. D. Alberto Catalán Higueras</w:t>
      </w:r>
      <w:r w:rsidR="00C20F7B">
        <w:rPr>
          <w:rFonts w:ascii="Arial" w:hAnsi="Arial" w:cs="Arial"/>
          <w:sz w:val="23"/>
          <w:szCs w:val="23"/>
        </w:rPr>
        <w:t xml:space="preserve">, del </w:t>
      </w:r>
      <w:r w:rsidR="007F2F29" w:rsidRPr="00EF0705">
        <w:rPr>
          <w:rFonts w:ascii="Arial" w:hAnsi="Arial" w:cs="Arial"/>
          <w:sz w:val="23"/>
          <w:szCs w:val="23"/>
        </w:rPr>
        <w:t xml:space="preserve">Grupo Parlamentario </w:t>
      </w:r>
      <w:r w:rsidR="00277D15" w:rsidRPr="00EF0705">
        <w:rPr>
          <w:rFonts w:ascii="Arial" w:hAnsi="Arial" w:cs="Arial"/>
          <w:sz w:val="23"/>
          <w:szCs w:val="23"/>
        </w:rPr>
        <w:t>Unión del Pueblo Navarro (</w:t>
      </w:r>
      <w:r w:rsidR="005242CB" w:rsidRPr="00EF0705">
        <w:rPr>
          <w:rFonts w:ascii="Arial" w:hAnsi="Arial" w:cs="Arial"/>
          <w:sz w:val="23"/>
          <w:szCs w:val="23"/>
        </w:rPr>
        <w:t>UPN</w:t>
      </w:r>
      <w:r w:rsidR="00277D15" w:rsidRPr="00EF0705">
        <w:rPr>
          <w:rFonts w:ascii="Arial" w:hAnsi="Arial" w:cs="Arial"/>
          <w:sz w:val="23"/>
          <w:szCs w:val="23"/>
        </w:rPr>
        <w:t>)</w:t>
      </w:r>
      <w:r w:rsidR="00FE6B10" w:rsidRPr="00EF0705">
        <w:rPr>
          <w:rFonts w:ascii="Arial" w:hAnsi="Arial" w:cs="Arial"/>
          <w:sz w:val="23"/>
          <w:szCs w:val="23"/>
        </w:rPr>
        <w:t xml:space="preserve">, </w:t>
      </w:r>
      <w:r w:rsidR="009F715F" w:rsidRPr="00EF0705">
        <w:rPr>
          <w:rFonts w:ascii="Arial" w:hAnsi="Arial" w:cs="Arial"/>
          <w:sz w:val="23"/>
          <w:szCs w:val="23"/>
        </w:rPr>
        <w:t>la Consejera</w:t>
      </w:r>
      <w:r w:rsidR="00FE6B10" w:rsidRPr="00EF0705">
        <w:rPr>
          <w:rFonts w:ascii="Arial" w:hAnsi="Arial" w:cs="Arial"/>
          <w:sz w:val="23"/>
          <w:szCs w:val="23"/>
        </w:rPr>
        <w:t xml:space="preserve"> de Ed</w:t>
      </w:r>
      <w:r w:rsidR="00C20F7B">
        <w:rPr>
          <w:rFonts w:ascii="Arial" w:hAnsi="Arial" w:cs="Arial"/>
          <w:sz w:val="23"/>
          <w:szCs w:val="23"/>
        </w:rPr>
        <w:t xml:space="preserve">ucación del Gobierno de Navarra </w:t>
      </w:r>
      <w:r w:rsidR="00C20F7B" w:rsidRPr="00EF0705">
        <w:rPr>
          <w:rFonts w:ascii="Arial" w:hAnsi="Arial" w:cs="Arial"/>
          <w:sz w:val="23"/>
          <w:szCs w:val="23"/>
        </w:rPr>
        <w:t>informa</w:t>
      </w:r>
      <w:r w:rsidR="00277D15" w:rsidRPr="00EF0705">
        <w:rPr>
          <w:rFonts w:ascii="Arial" w:hAnsi="Arial" w:cs="Arial"/>
          <w:sz w:val="23"/>
          <w:szCs w:val="23"/>
        </w:rPr>
        <w:t>:</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El día 1 de julio de 2017 se publicó en el Portal de Contratación </w:t>
      </w:r>
      <w:smartTag w:uri="urn:schemas-microsoft-com:office:smarttags" w:element="PersonName">
        <w:smartTagPr>
          <w:attr w:name="ProductID" w:val="de Navarra el"/>
        </w:smartTagPr>
        <w:r w:rsidRPr="00EF0705">
          <w:rPr>
            <w:rFonts w:ascii="Arial" w:hAnsi="Arial" w:cs="Arial"/>
            <w:sz w:val="23"/>
            <w:szCs w:val="23"/>
          </w:rPr>
          <w:t>de Navarra el</w:t>
        </w:r>
      </w:smartTag>
      <w:r w:rsidRPr="00EF0705">
        <w:rPr>
          <w:rFonts w:ascii="Arial" w:hAnsi="Arial" w:cs="Arial"/>
          <w:sz w:val="23"/>
          <w:szCs w:val="23"/>
        </w:rPr>
        <w:t xml:space="preserve"> anuncio para la Contratación del Servicio de transporte escolar con Vehículos de más de 9 plazas durante el curso 2017-2018, del Departamento de Educación del Gobierno de Navarra.</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El día 11 de julio de 2017 ANET presentó reclamación en materia de contratación pública en la que alegaba la infracción de las normas de publicidad, transparencia y concurrencia que rigen la licitación y solicitaba la medida cautelar de suspensión del procedimiento.</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Mediante Acuerdo 44/2017, de 19 de julio, del </w:t>
      </w:r>
      <w:smartTag w:uri="urn:schemas-microsoft-com:office:smarttags" w:element="PersonName">
        <w:r w:rsidRPr="00EF0705">
          <w:rPr>
            <w:rFonts w:ascii="Arial" w:hAnsi="Arial" w:cs="Arial"/>
            <w:sz w:val="23"/>
            <w:szCs w:val="23"/>
          </w:rPr>
          <w:t>Tribunal Administrativo de Contratos Públicos de Navarra</w:t>
        </w:r>
      </w:smartTag>
      <w:r w:rsidRPr="00EF0705">
        <w:rPr>
          <w:rFonts w:ascii="Arial" w:hAnsi="Arial" w:cs="Arial"/>
          <w:sz w:val="23"/>
          <w:szCs w:val="23"/>
        </w:rPr>
        <w:t xml:space="preserve">, se estimó la medida cautelar de suspensión del procedimiento formulada por </w:t>
      </w:r>
      <w:smartTag w:uri="urn:schemas-microsoft-com:office:smarttags" w:element="PersonName">
        <w:smartTagPr>
          <w:attr w:name="ProductID" w:val="la Asociaci￳n Navarra"/>
        </w:smartTagPr>
        <w:r w:rsidRPr="00EF0705">
          <w:rPr>
            <w:rFonts w:ascii="Arial" w:hAnsi="Arial" w:cs="Arial"/>
            <w:sz w:val="23"/>
            <w:szCs w:val="23"/>
          </w:rPr>
          <w:t>la Asociación Navarra</w:t>
        </w:r>
      </w:smartTag>
      <w:r w:rsidRPr="00EF0705">
        <w:rPr>
          <w:rFonts w:ascii="Arial" w:hAnsi="Arial" w:cs="Arial"/>
          <w:sz w:val="23"/>
          <w:szCs w:val="23"/>
        </w:rPr>
        <w:t xml:space="preserve"> de Empresarios de Transporte por Carretera y Logística (ANET) frente al Pliego de cláusulas administrativas particulares del procedimiento de Contratación del servicio de transporte escolar con vehículos de más de 9 plazas durante el curso 2017-2018 del Depart</w:t>
      </w:r>
      <w:r w:rsidR="0069025B" w:rsidRPr="00EF0705">
        <w:rPr>
          <w:rFonts w:ascii="Arial" w:hAnsi="Arial" w:cs="Arial"/>
          <w:sz w:val="23"/>
          <w:szCs w:val="23"/>
        </w:rPr>
        <w:t>amento de Educación de Navarra.</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Mediante Acuerdo 54/2017, de 13 de septiembre, del Tribunal de Contratos Públicos de Navarra, se estimó la reclamación en materia de contratación pública </w:t>
      </w:r>
      <w:proofErr w:type="gramStart"/>
      <w:r w:rsidRPr="00EF0705">
        <w:rPr>
          <w:rFonts w:ascii="Arial" w:hAnsi="Arial" w:cs="Arial"/>
          <w:sz w:val="23"/>
          <w:szCs w:val="23"/>
        </w:rPr>
        <w:t>interpuesta</w:t>
      </w:r>
      <w:proofErr w:type="gramEnd"/>
      <w:r w:rsidRPr="00EF0705">
        <w:rPr>
          <w:rFonts w:ascii="Arial" w:hAnsi="Arial" w:cs="Arial"/>
          <w:sz w:val="23"/>
          <w:szCs w:val="23"/>
        </w:rPr>
        <w:t xml:space="preserve"> por </w:t>
      </w:r>
      <w:smartTag w:uri="urn:schemas-microsoft-com:office:smarttags" w:element="PersonName">
        <w:smartTagPr>
          <w:attr w:name="ProductID" w:val="la Asociaci￳n Navarra"/>
        </w:smartTagPr>
        <w:r w:rsidRPr="00EF0705">
          <w:rPr>
            <w:rFonts w:ascii="Arial" w:hAnsi="Arial" w:cs="Arial"/>
            <w:sz w:val="23"/>
            <w:szCs w:val="23"/>
          </w:rPr>
          <w:t>la Asociación Navarra</w:t>
        </w:r>
      </w:smartTag>
      <w:r w:rsidRPr="00EF0705">
        <w:rPr>
          <w:rFonts w:ascii="Arial" w:hAnsi="Arial" w:cs="Arial"/>
          <w:sz w:val="23"/>
          <w:szCs w:val="23"/>
        </w:rPr>
        <w:t xml:space="preserve"> de Empresarios de Transporte por Carretera y Logística (ANET) contra los pliegos de la licitación de referencia, anulando el procedimiento de licitación.</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El día 22 de noviembre de 2017 se publicó en el Portal de Contratación de Navarra nuevo anuncio para </w:t>
      </w:r>
      <w:smartTag w:uri="urn:schemas-microsoft-com:office:smarttags" w:element="PersonName">
        <w:smartTagPr>
          <w:attr w:name="ProductID" w:val="la Contrataci￳n"/>
        </w:smartTagPr>
        <w:r w:rsidRPr="00EF0705">
          <w:rPr>
            <w:rFonts w:ascii="Arial" w:hAnsi="Arial" w:cs="Arial"/>
            <w:sz w:val="23"/>
            <w:szCs w:val="23"/>
          </w:rPr>
          <w:t>la Contratación</w:t>
        </w:r>
      </w:smartTag>
      <w:r w:rsidRPr="00EF0705">
        <w:rPr>
          <w:rFonts w:ascii="Arial" w:hAnsi="Arial" w:cs="Arial"/>
          <w:sz w:val="23"/>
          <w:szCs w:val="23"/>
        </w:rPr>
        <w:t xml:space="preserve"> del Servicio de transporte escolar con Vehículos de más de 9 plazas durante el curso 2017-2018, del Departamento de Educación del Gobierno de Navarra, en el que se recogen las consideraciones que estimó el </w:t>
      </w:r>
      <w:smartTag w:uri="urn:schemas-microsoft-com:office:smarttags" w:element="PersonName">
        <w:r w:rsidRPr="00EF0705">
          <w:rPr>
            <w:rFonts w:ascii="Arial" w:hAnsi="Arial" w:cs="Arial"/>
            <w:sz w:val="23"/>
            <w:szCs w:val="23"/>
          </w:rPr>
          <w:t>Tribunal Administrativo de Contratos Públicos de Navarra</w:t>
        </w:r>
      </w:smartTag>
      <w:r w:rsidRPr="00EF0705">
        <w:rPr>
          <w:rFonts w:ascii="Arial" w:hAnsi="Arial" w:cs="Arial"/>
          <w:sz w:val="23"/>
          <w:szCs w:val="23"/>
        </w:rPr>
        <w:t xml:space="preserve">. Advertidos varios errores en los Pliegos que regían la contratación, se resolvió aprobar un nuevo Pliego de Cláusulas Administrativas Particulares, mediante Resolución 1074/2017, de 27 de noviembre, de </w:t>
      </w:r>
      <w:smartTag w:uri="urn:schemas-microsoft-com:office:smarttags" w:element="PersonName">
        <w:smartTagPr>
          <w:attr w:name="ProductID" w:val="la Directora General"/>
        </w:smartTagPr>
        <w:r w:rsidRPr="00EF0705">
          <w:rPr>
            <w:rFonts w:ascii="Arial" w:hAnsi="Arial" w:cs="Arial"/>
            <w:sz w:val="23"/>
            <w:szCs w:val="23"/>
          </w:rPr>
          <w:t>la Directora General</w:t>
        </w:r>
      </w:smartTag>
      <w:r w:rsidRPr="00EF0705">
        <w:rPr>
          <w:rFonts w:ascii="Arial" w:hAnsi="Arial" w:cs="Arial"/>
          <w:sz w:val="23"/>
          <w:szCs w:val="23"/>
        </w:rPr>
        <w:t xml:space="preserve"> de Universidades y Recursos Educativos. Estos pliegos se publicaron en el Portal de Contratación el 27 de noviembre y se prorrogó el </w:t>
      </w:r>
      <w:r w:rsidRPr="00EF0705">
        <w:rPr>
          <w:rFonts w:ascii="Arial" w:hAnsi="Arial" w:cs="Arial"/>
          <w:sz w:val="23"/>
          <w:szCs w:val="23"/>
        </w:rPr>
        <w:lastRenderedPageBreak/>
        <w:t xml:space="preserve">plazo para la presentación de proposiciones hasta el 8 de enero de 2018, cumpliéndose los plazos estipulados para la publicidad en </w:t>
      </w:r>
      <w:smartTag w:uri="urn:schemas-microsoft-com:office:smarttags" w:element="PersonName">
        <w:smartTagPr>
          <w:attr w:name="ProductID" w:val="la Ley Foral"/>
        </w:smartTagPr>
        <w:r w:rsidRPr="00EF0705">
          <w:rPr>
            <w:rFonts w:ascii="Arial" w:hAnsi="Arial" w:cs="Arial"/>
            <w:sz w:val="23"/>
            <w:szCs w:val="23"/>
          </w:rPr>
          <w:t>la Ley Foral</w:t>
        </w:r>
      </w:smartTag>
      <w:r w:rsidRPr="00EF0705">
        <w:rPr>
          <w:rFonts w:ascii="Arial" w:hAnsi="Arial" w:cs="Arial"/>
          <w:sz w:val="23"/>
          <w:szCs w:val="23"/>
        </w:rPr>
        <w:t xml:space="preserve"> 6/2006, de 9 de junio, de Contratos Públicos de Navarra.</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El 20 de noviembre de 2017 se advierte que no se había publicado el anuncio de licitación en el DOUE, tal y como establece el artículo 83.1 de </w:t>
      </w:r>
      <w:smartTag w:uri="urn:schemas-microsoft-com:office:smarttags" w:element="PersonName">
        <w:smartTagPr>
          <w:attr w:name="ProductID" w:val="la Ley Foral"/>
        </w:smartTagPr>
        <w:r w:rsidRPr="00EF0705">
          <w:rPr>
            <w:rFonts w:ascii="Arial" w:hAnsi="Arial" w:cs="Arial"/>
            <w:sz w:val="23"/>
            <w:szCs w:val="23"/>
          </w:rPr>
          <w:t>la Ley Foral</w:t>
        </w:r>
      </w:smartTag>
      <w:r w:rsidRPr="00EF0705">
        <w:rPr>
          <w:rFonts w:ascii="Arial" w:hAnsi="Arial" w:cs="Arial"/>
          <w:sz w:val="23"/>
          <w:szCs w:val="23"/>
        </w:rPr>
        <w:t xml:space="preserve"> de Contratos Públicos de Navarra, y se procedió a subsanar dicho error volviendo a publicar los pliegos aprobados mediante Resolución 1074/2017, de 27 de noviembre, de </w:t>
      </w:r>
      <w:smartTag w:uri="urn:schemas-microsoft-com:office:smarttags" w:element="PersonName">
        <w:smartTagPr>
          <w:attr w:name="ProductID" w:val="la Directora General"/>
        </w:smartTagPr>
        <w:r w:rsidRPr="00EF0705">
          <w:rPr>
            <w:rFonts w:ascii="Arial" w:hAnsi="Arial" w:cs="Arial"/>
            <w:sz w:val="23"/>
            <w:szCs w:val="23"/>
          </w:rPr>
          <w:t>la Directora General</w:t>
        </w:r>
      </w:smartTag>
      <w:r w:rsidRPr="00EF0705">
        <w:rPr>
          <w:rFonts w:ascii="Arial" w:hAnsi="Arial" w:cs="Arial"/>
          <w:sz w:val="23"/>
          <w:szCs w:val="23"/>
        </w:rPr>
        <w:t xml:space="preserve"> de Universidades y Recursos Educativos tanto en el Portal de Contratación de Navarra como en el DOUE, ampliándose el plazo de presentación de proposiciones hasta el 1 de febrero de 2018.</w:t>
      </w:r>
    </w:p>
    <w:p w:rsidR="00C20F7B" w:rsidRDefault="00DD42B1"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El 29 de diciembre, las mercantiles “Compañía Navarra de Autobuses, S.A.”, “La </w:t>
      </w:r>
      <w:proofErr w:type="spellStart"/>
      <w:r w:rsidRPr="00EF0705">
        <w:rPr>
          <w:rFonts w:ascii="Arial" w:hAnsi="Arial" w:cs="Arial"/>
          <w:sz w:val="23"/>
          <w:szCs w:val="23"/>
        </w:rPr>
        <w:t>Tafallesa</w:t>
      </w:r>
      <w:proofErr w:type="spellEnd"/>
      <w:r w:rsidRPr="00EF0705">
        <w:rPr>
          <w:rFonts w:ascii="Arial" w:hAnsi="Arial" w:cs="Arial"/>
          <w:sz w:val="23"/>
          <w:szCs w:val="23"/>
        </w:rPr>
        <w:t>, S.A.”, “Automóviles del Rio Alhama, S.A.”, “</w:t>
      </w:r>
      <w:proofErr w:type="spellStart"/>
      <w:r w:rsidRPr="00EF0705">
        <w:rPr>
          <w:rFonts w:ascii="Arial" w:hAnsi="Arial" w:cs="Arial"/>
          <w:sz w:val="23"/>
          <w:szCs w:val="23"/>
        </w:rPr>
        <w:t>Ativar</w:t>
      </w:r>
      <w:proofErr w:type="spellEnd"/>
      <w:r w:rsidRPr="00EF0705">
        <w:rPr>
          <w:rFonts w:ascii="Arial" w:hAnsi="Arial" w:cs="Arial"/>
          <w:sz w:val="23"/>
          <w:szCs w:val="23"/>
        </w:rPr>
        <w:t xml:space="preserve">, S.L.”, “La Burundesa, S.A.U.”, “La </w:t>
      </w:r>
      <w:proofErr w:type="spellStart"/>
      <w:r w:rsidRPr="00EF0705">
        <w:rPr>
          <w:rFonts w:ascii="Arial" w:hAnsi="Arial" w:cs="Arial"/>
          <w:sz w:val="23"/>
          <w:szCs w:val="23"/>
        </w:rPr>
        <w:t>Estellesa</w:t>
      </w:r>
      <w:proofErr w:type="spellEnd"/>
      <w:r w:rsidRPr="00EF0705">
        <w:rPr>
          <w:rFonts w:ascii="Arial" w:hAnsi="Arial" w:cs="Arial"/>
          <w:sz w:val="23"/>
          <w:szCs w:val="23"/>
        </w:rPr>
        <w:t xml:space="preserve">, S.A.”, “Autobuses La </w:t>
      </w:r>
      <w:proofErr w:type="spellStart"/>
      <w:r w:rsidRPr="00EF0705">
        <w:rPr>
          <w:rFonts w:ascii="Arial" w:hAnsi="Arial" w:cs="Arial"/>
          <w:sz w:val="23"/>
          <w:szCs w:val="23"/>
        </w:rPr>
        <w:t>Estellesa</w:t>
      </w:r>
      <w:proofErr w:type="spellEnd"/>
      <w:r w:rsidRPr="00EF0705">
        <w:rPr>
          <w:rFonts w:ascii="Arial" w:hAnsi="Arial" w:cs="Arial"/>
          <w:sz w:val="23"/>
          <w:szCs w:val="23"/>
        </w:rPr>
        <w:t xml:space="preserve">, S.L.”, “Autobuses Río Irati, S.A.”, “Autocares </w:t>
      </w:r>
      <w:proofErr w:type="spellStart"/>
      <w:r w:rsidRPr="00EF0705">
        <w:rPr>
          <w:rFonts w:ascii="Arial" w:hAnsi="Arial" w:cs="Arial"/>
          <w:sz w:val="23"/>
          <w:szCs w:val="23"/>
        </w:rPr>
        <w:t>Albizua</w:t>
      </w:r>
      <w:proofErr w:type="spellEnd"/>
      <w:r w:rsidRPr="00EF0705">
        <w:rPr>
          <w:rFonts w:ascii="Arial" w:hAnsi="Arial" w:cs="Arial"/>
          <w:sz w:val="23"/>
          <w:szCs w:val="23"/>
        </w:rPr>
        <w:t>, S.L.” y “Autobuses Pamplona Madrid, S.L.” interpusieron reclamación en materia de contratación pública contra los pliegos (y las aclaraciones) de la licitación, solicitando la suspens</w:t>
      </w:r>
      <w:r w:rsidR="00277D15" w:rsidRPr="00EF0705">
        <w:rPr>
          <w:rFonts w:ascii="Arial" w:hAnsi="Arial" w:cs="Arial"/>
          <w:sz w:val="23"/>
          <w:szCs w:val="23"/>
        </w:rPr>
        <w:t>ión cautelar del procedimiento.</w:t>
      </w:r>
    </w:p>
    <w:p w:rsidR="00C20F7B" w:rsidRDefault="00516600" w:rsidP="0038330F">
      <w:pPr>
        <w:spacing w:after="0" w:line="360" w:lineRule="auto"/>
        <w:ind w:firstLine="709"/>
        <w:jc w:val="both"/>
        <w:rPr>
          <w:rFonts w:ascii="Arial" w:hAnsi="Arial" w:cs="Arial"/>
          <w:sz w:val="23"/>
          <w:szCs w:val="23"/>
        </w:rPr>
      </w:pPr>
      <w:r w:rsidRPr="00EF0705">
        <w:rPr>
          <w:rFonts w:ascii="Arial" w:hAnsi="Arial" w:cs="Arial"/>
          <w:sz w:val="23"/>
          <w:szCs w:val="23"/>
        </w:rPr>
        <w:t xml:space="preserve">Mediante Acuerdo 23/2018, de 23 de marzo, el </w:t>
      </w:r>
      <w:smartTag w:uri="urn:schemas-microsoft-com:office:smarttags" w:element="PersonName">
        <w:r w:rsidRPr="00EF0705">
          <w:rPr>
            <w:rFonts w:ascii="Arial" w:hAnsi="Arial" w:cs="Arial"/>
            <w:sz w:val="23"/>
            <w:szCs w:val="23"/>
          </w:rPr>
          <w:t>Tribunal Administrativo de Contratos Públicos de Navarra</w:t>
        </w:r>
      </w:smartTag>
      <w:r w:rsidRPr="00EF0705">
        <w:rPr>
          <w:rFonts w:ascii="Arial" w:hAnsi="Arial" w:cs="Arial"/>
          <w:sz w:val="23"/>
          <w:szCs w:val="23"/>
        </w:rPr>
        <w:t>, estimó la reclamación en materia de contratación p</w:t>
      </w:r>
      <w:r w:rsidR="00420E61" w:rsidRPr="00EF0705">
        <w:rPr>
          <w:rFonts w:ascii="Arial" w:hAnsi="Arial" w:cs="Arial"/>
          <w:sz w:val="23"/>
          <w:szCs w:val="23"/>
        </w:rPr>
        <w:t>ú</w:t>
      </w:r>
      <w:r w:rsidRPr="00EF0705">
        <w:rPr>
          <w:rFonts w:ascii="Arial" w:hAnsi="Arial" w:cs="Arial"/>
          <w:sz w:val="23"/>
          <w:szCs w:val="23"/>
        </w:rPr>
        <w:t xml:space="preserve">blica y </w:t>
      </w:r>
      <w:r w:rsidR="009F2E47" w:rsidRPr="00EF0705">
        <w:rPr>
          <w:rFonts w:ascii="Arial" w:hAnsi="Arial" w:cs="Arial"/>
          <w:sz w:val="23"/>
          <w:szCs w:val="23"/>
        </w:rPr>
        <w:t>anuló</w:t>
      </w:r>
      <w:r w:rsidRPr="00EF0705">
        <w:rPr>
          <w:rFonts w:ascii="Arial" w:hAnsi="Arial" w:cs="Arial"/>
          <w:sz w:val="23"/>
          <w:szCs w:val="23"/>
        </w:rPr>
        <w:t xml:space="preserve"> </w:t>
      </w:r>
      <w:r w:rsidR="009F2E47" w:rsidRPr="00EF0705">
        <w:rPr>
          <w:rFonts w:ascii="Arial" w:hAnsi="Arial" w:cs="Arial"/>
          <w:sz w:val="23"/>
          <w:szCs w:val="23"/>
        </w:rPr>
        <w:t>el procedimiento de licitación</w:t>
      </w:r>
      <w:r w:rsidRPr="00EF0705">
        <w:rPr>
          <w:rFonts w:ascii="Arial" w:hAnsi="Arial" w:cs="Arial"/>
          <w:sz w:val="23"/>
          <w:szCs w:val="23"/>
        </w:rPr>
        <w:t>.</w:t>
      </w:r>
      <w:r w:rsidR="009F2E47" w:rsidRPr="00EF0705">
        <w:rPr>
          <w:rFonts w:ascii="Arial" w:hAnsi="Arial" w:cs="Arial"/>
          <w:sz w:val="23"/>
          <w:szCs w:val="23"/>
        </w:rPr>
        <w:t xml:space="preserve"> Las razones aducidas para la estimación (con el voto particular en contra de su presidente) son las siguientes:</w:t>
      </w:r>
    </w:p>
    <w:p w:rsidR="009F2E47" w:rsidRPr="00EF0705" w:rsidRDefault="009F2E47" w:rsidP="0038330F">
      <w:pPr>
        <w:numPr>
          <w:ilvl w:val="0"/>
          <w:numId w:val="1"/>
        </w:numPr>
        <w:spacing w:after="0" w:line="360" w:lineRule="auto"/>
        <w:ind w:left="0" w:firstLine="709"/>
        <w:jc w:val="both"/>
        <w:rPr>
          <w:rFonts w:ascii="Arial" w:hAnsi="Arial" w:cs="Arial"/>
          <w:sz w:val="23"/>
          <w:szCs w:val="23"/>
        </w:rPr>
      </w:pPr>
      <w:r w:rsidRPr="00EF0705">
        <w:rPr>
          <w:rFonts w:ascii="Arial" w:hAnsi="Arial" w:cs="Arial"/>
          <w:sz w:val="23"/>
          <w:szCs w:val="23"/>
        </w:rPr>
        <w:t>No inclusión del número máximo de lotes que puede ser adjudicatario un licitador.</w:t>
      </w:r>
    </w:p>
    <w:p w:rsidR="00C20F7B" w:rsidRDefault="009F2E47" w:rsidP="0038330F">
      <w:pPr>
        <w:numPr>
          <w:ilvl w:val="0"/>
          <w:numId w:val="1"/>
        </w:numPr>
        <w:spacing w:after="0" w:line="360" w:lineRule="auto"/>
        <w:ind w:left="0" w:firstLine="709"/>
        <w:jc w:val="both"/>
        <w:rPr>
          <w:rFonts w:ascii="Arial" w:hAnsi="Arial" w:cs="Arial"/>
          <w:sz w:val="23"/>
          <w:szCs w:val="23"/>
        </w:rPr>
      </w:pPr>
      <w:r w:rsidRPr="00EF0705">
        <w:rPr>
          <w:rFonts w:ascii="Arial" w:hAnsi="Arial" w:cs="Arial"/>
          <w:sz w:val="23"/>
          <w:szCs w:val="23"/>
        </w:rPr>
        <w:t>Falta de objetividad que representa el sistema de adjudicación de lotes tras la valoración de las ofertas conforme a los criterios de adjudicación.</w:t>
      </w:r>
    </w:p>
    <w:p w:rsidR="00C20F7B" w:rsidRDefault="00076DE1" w:rsidP="0038330F">
      <w:pPr>
        <w:spacing w:after="0" w:line="360" w:lineRule="auto"/>
        <w:ind w:firstLine="709"/>
        <w:jc w:val="both"/>
        <w:rPr>
          <w:rFonts w:ascii="Arial" w:hAnsi="Arial" w:cs="Arial"/>
          <w:sz w:val="23"/>
          <w:szCs w:val="23"/>
        </w:rPr>
      </w:pPr>
      <w:r w:rsidRPr="00EF0705">
        <w:rPr>
          <w:rFonts w:ascii="Arial" w:hAnsi="Arial" w:cs="Arial"/>
          <w:sz w:val="23"/>
          <w:szCs w:val="23"/>
        </w:rPr>
        <w:t>Sin embargo, en su voto particular, el Presidente del Tribunal Administrativo de Contratos Públicos de Navarra, contradice a las dos vocales del mismo aduciendo que “</w:t>
      </w:r>
      <w:r w:rsidRPr="00EF0705">
        <w:rPr>
          <w:rFonts w:ascii="Arial" w:hAnsi="Arial" w:cs="Arial"/>
          <w:i/>
          <w:sz w:val="23"/>
          <w:szCs w:val="23"/>
        </w:rPr>
        <w:t>el órgano de contratación divide los lotes de menor envergadura que en licitaciones anterior y permite presentar oferta a cada licitador en todos aquellos lotes que, individualmente considerados, cuentan con los suficientes medios (solvencia)</w:t>
      </w:r>
      <w:r w:rsidRPr="00EF0705">
        <w:rPr>
          <w:rFonts w:ascii="Arial" w:hAnsi="Arial" w:cs="Arial"/>
          <w:sz w:val="23"/>
          <w:szCs w:val="23"/>
        </w:rPr>
        <w:t xml:space="preserve">”, no incumpliendo el artículo 46 de </w:t>
      </w:r>
      <w:smartTag w:uri="urn:schemas-microsoft-com:office:smarttags" w:element="PersonName">
        <w:smartTagPr>
          <w:attr w:name="ProductID" w:val="la Directiva Europea"/>
        </w:smartTagPr>
        <w:r w:rsidRPr="00EF0705">
          <w:rPr>
            <w:rFonts w:ascii="Arial" w:hAnsi="Arial" w:cs="Arial"/>
            <w:sz w:val="23"/>
            <w:szCs w:val="23"/>
          </w:rPr>
          <w:t>la Directiva Europea</w:t>
        </w:r>
      </w:smartTag>
      <w:r w:rsidRPr="00EF0705">
        <w:rPr>
          <w:rFonts w:ascii="Arial" w:hAnsi="Arial" w:cs="Arial"/>
          <w:sz w:val="23"/>
          <w:szCs w:val="23"/>
        </w:rPr>
        <w:t>, y fomentando la participación de las PYMES sin producir el efecto de disuadir a las empresas de mayor volumen.</w:t>
      </w:r>
    </w:p>
    <w:p w:rsidR="00C20F7B" w:rsidRDefault="00076DE1" w:rsidP="0038330F">
      <w:pPr>
        <w:spacing w:after="0" w:line="360" w:lineRule="auto"/>
        <w:ind w:firstLine="709"/>
        <w:jc w:val="both"/>
        <w:rPr>
          <w:rFonts w:ascii="Arial" w:hAnsi="Arial" w:cs="Arial"/>
          <w:sz w:val="23"/>
          <w:szCs w:val="23"/>
        </w:rPr>
      </w:pPr>
      <w:r w:rsidRPr="00EF0705">
        <w:rPr>
          <w:rFonts w:ascii="Arial" w:hAnsi="Arial" w:cs="Arial"/>
          <w:sz w:val="23"/>
          <w:szCs w:val="23"/>
        </w:rPr>
        <w:lastRenderedPageBreak/>
        <w:t>Además, expresa que “</w:t>
      </w:r>
      <w:r w:rsidRPr="00EF0705">
        <w:rPr>
          <w:rFonts w:ascii="Arial" w:hAnsi="Arial" w:cs="Arial"/>
          <w:i/>
          <w:sz w:val="23"/>
          <w:szCs w:val="23"/>
        </w:rPr>
        <w:t>Dado el tenor literal del Pliego, ninguna falta de objetividad se aprecia en el sistema. Más aún, ningún juicio de valor puede hacer la Mesa de Contratación en su aplicación dado que únicamente se tr</w:t>
      </w:r>
      <w:r w:rsidR="0069025B" w:rsidRPr="00EF0705">
        <w:rPr>
          <w:rFonts w:ascii="Arial" w:hAnsi="Arial" w:cs="Arial"/>
          <w:i/>
          <w:sz w:val="23"/>
          <w:szCs w:val="23"/>
        </w:rPr>
        <w:t>a</w:t>
      </w:r>
      <w:r w:rsidRPr="00EF0705">
        <w:rPr>
          <w:rFonts w:ascii="Arial" w:hAnsi="Arial" w:cs="Arial"/>
          <w:i/>
          <w:sz w:val="23"/>
          <w:szCs w:val="23"/>
        </w:rPr>
        <w:t>ta de comprobar y cotejar datos y realizar los cálculos correspondientes, una labor totalmente objetiva y cuasi matemática a realizar aplicando unos criterios previamente fijados y claros</w:t>
      </w:r>
      <w:r w:rsidRPr="00EF0705">
        <w:rPr>
          <w:rFonts w:ascii="Arial" w:hAnsi="Arial" w:cs="Arial"/>
          <w:sz w:val="23"/>
          <w:szCs w:val="23"/>
        </w:rPr>
        <w:t>”.</w:t>
      </w:r>
    </w:p>
    <w:p w:rsidR="00C20F7B" w:rsidRDefault="00DD42B1" w:rsidP="0038330F">
      <w:pPr>
        <w:tabs>
          <w:tab w:val="left" w:pos="5040"/>
        </w:tabs>
        <w:spacing w:after="0" w:line="360" w:lineRule="auto"/>
        <w:ind w:firstLine="709"/>
        <w:jc w:val="both"/>
        <w:rPr>
          <w:rFonts w:ascii="Arial" w:hAnsi="Arial" w:cs="Arial"/>
          <w:sz w:val="23"/>
          <w:szCs w:val="23"/>
        </w:rPr>
      </w:pPr>
      <w:r w:rsidRPr="00EF0705">
        <w:rPr>
          <w:rFonts w:ascii="Arial" w:hAnsi="Arial" w:cs="Arial"/>
          <w:sz w:val="23"/>
          <w:szCs w:val="23"/>
        </w:rPr>
        <w:t>Respecto de anteriores licitaciones, el Acuerdo 18/2013 de 29 de julio</w:t>
      </w:r>
      <w:r w:rsidR="00420E61" w:rsidRPr="00EF0705">
        <w:rPr>
          <w:rFonts w:ascii="Arial" w:hAnsi="Arial" w:cs="Arial"/>
          <w:sz w:val="23"/>
          <w:szCs w:val="23"/>
        </w:rPr>
        <w:t>,</w:t>
      </w:r>
      <w:r w:rsidRPr="00EF0705">
        <w:rPr>
          <w:rFonts w:ascii="Arial" w:hAnsi="Arial" w:cs="Arial"/>
          <w:sz w:val="23"/>
          <w:szCs w:val="23"/>
        </w:rPr>
        <w:t xml:space="preserve"> el </w:t>
      </w:r>
      <w:smartTag w:uri="urn:schemas-microsoft-com:office:smarttags" w:element="PersonName">
        <w:r w:rsidRPr="00EF0705">
          <w:rPr>
            <w:rFonts w:ascii="Arial" w:hAnsi="Arial" w:cs="Arial"/>
            <w:sz w:val="23"/>
            <w:szCs w:val="23"/>
          </w:rPr>
          <w:t>Tribunal Administrativo de Contratos Públicos de Navarra</w:t>
        </w:r>
      </w:smartTag>
      <w:r w:rsidRPr="00EF0705">
        <w:rPr>
          <w:rFonts w:ascii="Arial" w:hAnsi="Arial" w:cs="Arial"/>
          <w:sz w:val="23"/>
          <w:szCs w:val="23"/>
        </w:rPr>
        <w:t>, estimó la reclamación en materia de contratación p</w:t>
      </w:r>
      <w:r w:rsidR="00420E61" w:rsidRPr="00EF0705">
        <w:rPr>
          <w:rFonts w:ascii="Arial" w:hAnsi="Arial" w:cs="Arial"/>
          <w:sz w:val="23"/>
          <w:szCs w:val="23"/>
        </w:rPr>
        <w:t>ú</w:t>
      </w:r>
      <w:r w:rsidRPr="00EF0705">
        <w:rPr>
          <w:rFonts w:ascii="Arial" w:hAnsi="Arial" w:cs="Arial"/>
          <w:sz w:val="23"/>
          <w:szCs w:val="23"/>
        </w:rPr>
        <w:t>blica y anuló el procedimiento de licitación</w:t>
      </w:r>
      <w:r w:rsidR="00420E61" w:rsidRPr="00EF0705">
        <w:rPr>
          <w:rFonts w:ascii="Arial" w:hAnsi="Arial" w:cs="Arial"/>
          <w:sz w:val="23"/>
          <w:szCs w:val="23"/>
        </w:rPr>
        <w:t xml:space="preserve"> del transporte escolar para el curso 2013/2014 por </w:t>
      </w:r>
      <w:r w:rsidR="004D249C" w:rsidRPr="00EF0705">
        <w:rPr>
          <w:rFonts w:ascii="Arial" w:hAnsi="Arial" w:cs="Arial"/>
          <w:sz w:val="23"/>
          <w:szCs w:val="23"/>
        </w:rPr>
        <w:t>vulnerar el principio de transparencia, igualdad de trato y no discriminación de los licitadores en una “</w:t>
      </w:r>
      <w:r w:rsidR="004D249C" w:rsidRPr="00EF0705">
        <w:rPr>
          <w:rFonts w:ascii="Arial" w:hAnsi="Arial" w:cs="Arial"/>
          <w:i/>
          <w:sz w:val="23"/>
          <w:szCs w:val="23"/>
        </w:rPr>
        <w:t>falta de objetividad, de adecuación al objeto del contrato y de ponderación de los criterios de adjudicación analizados</w:t>
      </w:r>
      <w:r w:rsidR="004D249C" w:rsidRPr="00EF0705">
        <w:rPr>
          <w:rFonts w:ascii="Arial" w:hAnsi="Arial" w:cs="Arial"/>
          <w:sz w:val="23"/>
          <w:szCs w:val="23"/>
        </w:rPr>
        <w:t>”.</w:t>
      </w:r>
    </w:p>
    <w:p w:rsidR="00C20F7B" w:rsidRDefault="001D79E0" w:rsidP="0038330F">
      <w:pPr>
        <w:tabs>
          <w:tab w:val="left" w:pos="5040"/>
        </w:tabs>
        <w:spacing w:after="0" w:line="360" w:lineRule="auto"/>
        <w:ind w:firstLine="709"/>
        <w:jc w:val="both"/>
        <w:rPr>
          <w:rFonts w:ascii="Arial" w:hAnsi="Arial" w:cs="Arial"/>
          <w:i/>
          <w:sz w:val="23"/>
          <w:szCs w:val="23"/>
        </w:rPr>
      </w:pPr>
      <w:r w:rsidRPr="00EF0705">
        <w:rPr>
          <w:rFonts w:ascii="Arial" w:hAnsi="Arial" w:cs="Arial"/>
          <w:sz w:val="23"/>
          <w:szCs w:val="23"/>
        </w:rPr>
        <w:t>A este respecto, y t</w:t>
      </w:r>
      <w:r w:rsidR="00AE5793" w:rsidRPr="00EF0705">
        <w:rPr>
          <w:rFonts w:ascii="Arial" w:hAnsi="Arial" w:cs="Arial"/>
          <w:sz w:val="23"/>
          <w:szCs w:val="23"/>
        </w:rPr>
        <w:t>al y como señala el presidente del Tribunal en su voto particular: “</w:t>
      </w:r>
      <w:r w:rsidR="00AE5793" w:rsidRPr="00EF0705">
        <w:rPr>
          <w:rFonts w:ascii="Arial" w:hAnsi="Arial" w:cs="Arial"/>
          <w:i/>
          <w:sz w:val="23"/>
          <w:szCs w:val="23"/>
        </w:rPr>
        <w:t>Como señalamos en nuestro Acuerdo 18/2013, de 29 de julio, “una cuestión es que una empresa no pueda licitar a más lotes de los que pueda al no disponer, en el momento de participar en la licitación, de los suficientes vehículos que cubran el servicio de todas las rutas ofertadas, (...), y otra cosa distinta es que de ello se derive que no pueda ofrecer los mismos vehículos para diferentes lotes siempre que la adjudicación se limite y quede condicionada, en su caso, a que la propuesta del licitador contenga al menos igual número de vehículos que la prevista en la licitación al efecto de que no pueda ser adjudicatario de lotes que en su conjunto requieran</w:t>
      </w:r>
      <w:r w:rsidR="0069025B" w:rsidRPr="00EF0705">
        <w:rPr>
          <w:rFonts w:ascii="Arial" w:hAnsi="Arial" w:cs="Arial"/>
          <w:i/>
          <w:sz w:val="23"/>
          <w:szCs w:val="23"/>
        </w:rPr>
        <w:t xml:space="preserve"> </w:t>
      </w:r>
      <w:r w:rsidR="00AE5793" w:rsidRPr="00EF0705">
        <w:rPr>
          <w:rFonts w:ascii="Arial" w:hAnsi="Arial" w:cs="Arial"/>
          <w:i/>
          <w:sz w:val="23"/>
          <w:szCs w:val="23"/>
        </w:rPr>
        <w:t xml:space="preserve">un número de vehículos superior de los que realmente oferta.” </w:t>
      </w:r>
    </w:p>
    <w:p w:rsidR="00C20F7B" w:rsidRDefault="00AE5793" w:rsidP="0038330F">
      <w:pPr>
        <w:tabs>
          <w:tab w:val="left" w:pos="5040"/>
        </w:tabs>
        <w:spacing w:after="0" w:line="360" w:lineRule="auto"/>
        <w:ind w:firstLine="709"/>
        <w:jc w:val="both"/>
        <w:rPr>
          <w:rFonts w:ascii="Arial" w:hAnsi="Arial" w:cs="Arial"/>
          <w:sz w:val="23"/>
          <w:szCs w:val="23"/>
        </w:rPr>
      </w:pPr>
      <w:r w:rsidRPr="00EF0705">
        <w:rPr>
          <w:rFonts w:ascii="Arial" w:hAnsi="Arial" w:cs="Arial"/>
          <w:i/>
          <w:sz w:val="23"/>
          <w:szCs w:val="23"/>
        </w:rPr>
        <w:t>Y esto es precisamente lo que se hace en esta licitación, siendo la propia solvencia del licitador (sus medios) la que limita el número de lotes de los que puede resultar adjudicatario</w:t>
      </w:r>
      <w:r w:rsidRPr="00EF0705">
        <w:rPr>
          <w:rFonts w:ascii="Arial" w:hAnsi="Arial" w:cs="Arial"/>
          <w:sz w:val="23"/>
          <w:szCs w:val="23"/>
        </w:rPr>
        <w:t>”</w:t>
      </w:r>
      <w:r w:rsidR="001D79E0" w:rsidRPr="00EF0705">
        <w:rPr>
          <w:rFonts w:ascii="Arial" w:hAnsi="Arial" w:cs="Arial"/>
          <w:sz w:val="23"/>
          <w:szCs w:val="23"/>
        </w:rPr>
        <w:t>, el Departamento de Educación ha cumplido los preceptos señalados a tal efecto, favoreciendo la licitación de PYMES en esta licitación.</w:t>
      </w:r>
    </w:p>
    <w:p w:rsidR="00C20F7B" w:rsidRDefault="001D79E0" w:rsidP="0038330F">
      <w:pPr>
        <w:spacing w:after="0" w:line="360" w:lineRule="auto"/>
        <w:ind w:firstLine="709"/>
        <w:jc w:val="both"/>
        <w:rPr>
          <w:rFonts w:ascii="Arial" w:hAnsi="Arial" w:cs="Arial"/>
          <w:sz w:val="23"/>
          <w:szCs w:val="23"/>
        </w:rPr>
      </w:pPr>
      <w:r w:rsidRPr="00EF0705">
        <w:rPr>
          <w:rFonts w:ascii="Arial" w:hAnsi="Arial" w:cs="Arial"/>
          <w:sz w:val="23"/>
          <w:szCs w:val="23"/>
          <w:lang w:val="es-ES"/>
        </w:rPr>
        <w:t>Por otro lado, e</w:t>
      </w:r>
      <w:r w:rsidR="001A09EE" w:rsidRPr="00EF0705">
        <w:rPr>
          <w:rFonts w:ascii="Arial" w:hAnsi="Arial" w:cs="Arial"/>
          <w:sz w:val="23"/>
          <w:szCs w:val="23"/>
          <w:lang w:val="es-ES"/>
        </w:rPr>
        <w:t xml:space="preserve">l Departamento de Educación, a través de </w:t>
      </w:r>
      <w:smartTag w:uri="urn:schemas-microsoft-com:office:smarttags" w:element="PersonName">
        <w:smartTagPr>
          <w:attr w:name="ProductID" w:val="la Orden Foral"/>
        </w:smartTagPr>
        <w:r w:rsidR="001A09EE" w:rsidRPr="00EF0705">
          <w:rPr>
            <w:rFonts w:ascii="Arial" w:hAnsi="Arial" w:cs="Arial"/>
            <w:sz w:val="23"/>
            <w:szCs w:val="23"/>
            <w:lang w:val="es-ES"/>
          </w:rPr>
          <w:t>la Orden Foral</w:t>
        </w:r>
      </w:smartTag>
      <w:r w:rsidR="001A09EE" w:rsidRPr="00EF0705">
        <w:rPr>
          <w:rFonts w:ascii="Arial" w:hAnsi="Arial" w:cs="Arial"/>
          <w:sz w:val="23"/>
          <w:szCs w:val="23"/>
          <w:lang w:val="es-ES"/>
        </w:rPr>
        <w:t xml:space="preserve"> </w:t>
      </w:r>
      <w:r w:rsidR="00AE5793" w:rsidRPr="00EF0705">
        <w:rPr>
          <w:rFonts w:ascii="Arial" w:hAnsi="Arial" w:cs="Arial"/>
          <w:sz w:val="23"/>
          <w:szCs w:val="23"/>
          <w:lang w:val="es-ES"/>
        </w:rPr>
        <w:t>35</w:t>
      </w:r>
      <w:r w:rsidR="001A09EE" w:rsidRPr="00EF0705">
        <w:rPr>
          <w:rFonts w:ascii="Arial" w:hAnsi="Arial" w:cs="Arial"/>
          <w:sz w:val="23"/>
          <w:szCs w:val="23"/>
          <w:lang w:val="es-ES"/>
        </w:rPr>
        <w:t>/2018, de 2</w:t>
      </w:r>
      <w:r w:rsidR="004D249C" w:rsidRPr="00EF0705">
        <w:rPr>
          <w:rFonts w:ascii="Arial" w:hAnsi="Arial" w:cs="Arial"/>
          <w:sz w:val="23"/>
          <w:szCs w:val="23"/>
          <w:lang w:val="es-ES"/>
        </w:rPr>
        <w:t>3</w:t>
      </w:r>
      <w:r w:rsidR="001A09EE" w:rsidRPr="00EF0705">
        <w:rPr>
          <w:rFonts w:ascii="Arial" w:hAnsi="Arial" w:cs="Arial"/>
          <w:sz w:val="23"/>
          <w:szCs w:val="23"/>
          <w:lang w:val="es-ES"/>
        </w:rPr>
        <w:t xml:space="preserve"> de abril,</w:t>
      </w:r>
      <w:r w:rsidR="004D249C" w:rsidRPr="00EF0705">
        <w:rPr>
          <w:rFonts w:ascii="Arial" w:hAnsi="Arial" w:cs="Arial"/>
          <w:sz w:val="23"/>
          <w:szCs w:val="23"/>
        </w:rPr>
        <w:t xml:space="preserve"> encomendó al Servicio de Asesoría Jurídica el ejercicio de las acciones para recurrir ante la Sala de lo Contencioso-Administrativo, del Tribunal Superior de Justicia de Navarra, del Acuerdo 23/2018, de 23 de Marzo, del </w:t>
      </w:r>
      <w:smartTag w:uri="urn:schemas-microsoft-com:office:smarttags" w:element="PersonName">
        <w:r w:rsidR="004D249C" w:rsidRPr="00EF0705">
          <w:rPr>
            <w:rFonts w:ascii="Arial" w:hAnsi="Arial" w:cs="Arial"/>
            <w:sz w:val="23"/>
            <w:szCs w:val="23"/>
          </w:rPr>
          <w:t>Tribunal Administrativo de Contratos Públicos de Navarra</w:t>
        </w:r>
      </w:smartTag>
      <w:r w:rsidR="004D249C" w:rsidRPr="00EF0705">
        <w:rPr>
          <w:rFonts w:ascii="Arial" w:hAnsi="Arial" w:cs="Arial"/>
          <w:sz w:val="23"/>
          <w:szCs w:val="23"/>
        </w:rPr>
        <w:t>.</w:t>
      </w:r>
    </w:p>
    <w:p w:rsidR="00C20F7B" w:rsidRDefault="001A09EE" w:rsidP="0038330F">
      <w:pPr>
        <w:spacing w:after="0" w:line="360" w:lineRule="auto"/>
        <w:ind w:firstLine="709"/>
        <w:jc w:val="both"/>
        <w:rPr>
          <w:rFonts w:ascii="Arial" w:hAnsi="Arial" w:cs="Arial"/>
          <w:sz w:val="23"/>
          <w:szCs w:val="23"/>
          <w:lang w:val="es-ES"/>
        </w:rPr>
      </w:pPr>
      <w:r w:rsidRPr="00EF0705">
        <w:rPr>
          <w:rFonts w:ascii="Arial" w:hAnsi="Arial" w:cs="Arial"/>
          <w:sz w:val="23"/>
          <w:szCs w:val="23"/>
        </w:rPr>
        <w:t>El servicio transporte escolar con vehículos de más de n</w:t>
      </w:r>
      <w:r w:rsidR="004D249C" w:rsidRPr="00EF0705">
        <w:rPr>
          <w:rFonts w:ascii="Arial" w:hAnsi="Arial" w:cs="Arial"/>
          <w:sz w:val="23"/>
          <w:szCs w:val="23"/>
        </w:rPr>
        <w:t>ueve plazas no se verá afectado y se prestará en condiciones similares a la actualidad.</w:t>
      </w:r>
    </w:p>
    <w:p w:rsidR="00C20F7B" w:rsidRDefault="00EF0D89" w:rsidP="00AE11D1">
      <w:pPr>
        <w:spacing w:after="0" w:line="360" w:lineRule="auto"/>
        <w:ind w:firstLine="709"/>
        <w:jc w:val="center"/>
        <w:rPr>
          <w:rFonts w:ascii="Arial" w:hAnsi="Arial" w:cs="Arial"/>
          <w:sz w:val="23"/>
          <w:szCs w:val="23"/>
        </w:rPr>
      </w:pPr>
      <w:proofErr w:type="spellStart"/>
      <w:r w:rsidRPr="00EF0705">
        <w:rPr>
          <w:rFonts w:ascii="Arial" w:hAnsi="Arial" w:cs="Arial"/>
          <w:sz w:val="23"/>
          <w:szCs w:val="23"/>
        </w:rPr>
        <w:lastRenderedPageBreak/>
        <w:t>Iruñean</w:t>
      </w:r>
      <w:proofErr w:type="spellEnd"/>
      <w:r w:rsidRPr="00EF0705">
        <w:rPr>
          <w:rFonts w:ascii="Arial" w:hAnsi="Arial" w:cs="Arial"/>
          <w:sz w:val="23"/>
          <w:szCs w:val="23"/>
        </w:rPr>
        <w:t>, 2018</w:t>
      </w:r>
      <w:r w:rsidR="003B53BA" w:rsidRPr="00EF0705">
        <w:rPr>
          <w:rFonts w:ascii="Arial" w:hAnsi="Arial" w:cs="Arial"/>
          <w:sz w:val="23"/>
          <w:szCs w:val="23"/>
        </w:rPr>
        <w:t xml:space="preserve">eko </w:t>
      </w:r>
      <w:proofErr w:type="spellStart"/>
      <w:r w:rsidR="008307C3" w:rsidRPr="00EF0705">
        <w:rPr>
          <w:rFonts w:ascii="Arial" w:hAnsi="Arial" w:cs="Arial"/>
          <w:sz w:val="23"/>
          <w:szCs w:val="23"/>
        </w:rPr>
        <w:t>maiatzaren</w:t>
      </w:r>
      <w:proofErr w:type="spellEnd"/>
      <w:r w:rsidR="008307C3" w:rsidRPr="00EF0705">
        <w:rPr>
          <w:rFonts w:ascii="Arial" w:hAnsi="Arial" w:cs="Arial"/>
          <w:sz w:val="23"/>
          <w:szCs w:val="23"/>
        </w:rPr>
        <w:t xml:space="preserve"> </w:t>
      </w:r>
      <w:r w:rsidR="00BB18FB" w:rsidRPr="00EF0705">
        <w:rPr>
          <w:rFonts w:ascii="Arial" w:hAnsi="Arial" w:cs="Arial"/>
          <w:sz w:val="23"/>
          <w:szCs w:val="23"/>
        </w:rPr>
        <w:t>1</w:t>
      </w:r>
      <w:r w:rsidR="00AE11D1" w:rsidRPr="00EF0705">
        <w:rPr>
          <w:rFonts w:ascii="Arial" w:hAnsi="Arial" w:cs="Arial"/>
          <w:sz w:val="23"/>
          <w:szCs w:val="23"/>
        </w:rPr>
        <w:t>5e</w:t>
      </w:r>
      <w:r w:rsidR="00BB18FB" w:rsidRPr="00EF0705">
        <w:rPr>
          <w:rFonts w:ascii="Arial" w:hAnsi="Arial" w:cs="Arial"/>
          <w:sz w:val="23"/>
          <w:szCs w:val="23"/>
        </w:rPr>
        <w:t>an</w:t>
      </w:r>
      <w:r w:rsidR="003B53BA" w:rsidRPr="00EF0705">
        <w:rPr>
          <w:rFonts w:ascii="Arial" w:hAnsi="Arial" w:cs="Arial"/>
          <w:sz w:val="23"/>
          <w:szCs w:val="23"/>
        </w:rPr>
        <w:t xml:space="preserve"> / </w:t>
      </w:r>
      <w:r w:rsidR="00AE11D1" w:rsidRPr="00EF0705">
        <w:rPr>
          <w:rFonts w:ascii="Arial" w:hAnsi="Arial" w:cs="Arial"/>
          <w:sz w:val="23"/>
          <w:szCs w:val="23"/>
        </w:rPr>
        <w:t xml:space="preserve">En </w:t>
      </w:r>
      <w:r w:rsidR="003B53BA" w:rsidRPr="00EF0705">
        <w:rPr>
          <w:rFonts w:ascii="Arial" w:hAnsi="Arial" w:cs="Arial"/>
          <w:sz w:val="23"/>
          <w:szCs w:val="23"/>
        </w:rPr>
        <w:t xml:space="preserve">Pamplona, </w:t>
      </w:r>
      <w:r w:rsidR="00AE11D1" w:rsidRPr="00EF0705">
        <w:rPr>
          <w:rFonts w:ascii="Arial" w:hAnsi="Arial" w:cs="Arial"/>
          <w:sz w:val="23"/>
          <w:szCs w:val="23"/>
        </w:rPr>
        <w:t xml:space="preserve">a </w:t>
      </w:r>
      <w:r w:rsidR="00BB18FB" w:rsidRPr="00EF0705">
        <w:rPr>
          <w:rFonts w:ascii="Arial" w:hAnsi="Arial" w:cs="Arial"/>
          <w:sz w:val="23"/>
          <w:szCs w:val="23"/>
        </w:rPr>
        <w:t>1</w:t>
      </w:r>
      <w:r w:rsidR="00AE11D1" w:rsidRPr="00EF0705">
        <w:rPr>
          <w:rFonts w:ascii="Arial" w:hAnsi="Arial" w:cs="Arial"/>
          <w:sz w:val="23"/>
          <w:szCs w:val="23"/>
        </w:rPr>
        <w:t>5</w:t>
      </w:r>
      <w:r w:rsidR="008307C3" w:rsidRPr="00EF0705">
        <w:rPr>
          <w:rFonts w:ascii="Arial" w:hAnsi="Arial" w:cs="Arial"/>
          <w:sz w:val="23"/>
          <w:szCs w:val="23"/>
        </w:rPr>
        <w:t xml:space="preserve"> de mayo</w:t>
      </w:r>
      <w:r w:rsidRPr="00EF0705">
        <w:rPr>
          <w:rFonts w:ascii="Arial" w:hAnsi="Arial" w:cs="Arial"/>
          <w:sz w:val="23"/>
          <w:szCs w:val="23"/>
        </w:rPr>
        <w:t xml:space="preserve"> de 2018</w:t>
      </w:r>
    </w:p>
    <w:p w:rsidR="00C20F7B" w:rsidRPr="004041FA" w:rsidRDefault="00C20F7B" w:rsidP="00C20F7B">
      <w:pPr>
        <w:spacing w:after="0" w:line="360" w:lineRule="auto"/>
        <w:ind w:firstLine="709"/>
        <w:jc w:val="center"/>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3B53BA" w:rsidRPr="00EF0705" w:rsidRDefault="003B53BA" w:rsidP="00C20F7B">
      <w:pPr>
        <w:spacing w:after="0" w:line="360" w:lineRule="auto"/>
        <w:ind w:firstLine="709"/>
        <w:jc w:val="center"/>
        <w:rPr>
          <w:rFonts w:ascii="Arial" w:hAnsi="Arial" w:cs="Arial"/>
          <w:sz w:val="23"/>
          <w:szCs w:val="23"/>
          <w:lang w:val="fr-FR"/>
        </w:rPr>
      </w:pPr>
      <w:bookmarkStart w:id="0" w:name="_GoBack"/>
      <w:bookmarkEnd w:id="0"/>
    </w:p>
    <w:sectPr w:rsidR="003B53BA" w:rsidRPr="00EF0705"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D1" w:rsidRPr="00EF0705" w:rsidRDefault="00AE11D1">
      <w:pPr>
        <w:rPr>
          <w:sz w:val="23"/>
          <w:szCs w:val="23"/>
        </w:rPr>
      </w:pPr>
      <w:r w:rsidRPr="00EF0705">
        <w:rPr>
          <w:sz w:val="23"/>
          <w:szCs w:val="23"/>
        </w:rPr>
        <w:separator/>
      </w:r>
    </w:p>
  </w:endnote>
  <w:endnote w:type="continuationSeparator" w:id="0">
    <w:p w:rsidR="00AE11D1" w:rsidRPr="00EF0705" w:rsidRDefault="00AE11D1">
      <w:pPr>
        <w:rPr>
          <w:sz w:val="23"/>
          <w:szCs w:val="23"/>
        </w:rPr>
      </w:pPr>
      <w:r w:rsidRPr="00EF070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D1" w:rsidRPr="00EF0705" w:rsidRDefault="00AE11D1">
      <w:pPr>
        <w:rPr>
          <w:sz w:val="23"/>
          <w:szCs w:val="23"/>
        </w:rPr>
      </w:pPr>
      <w:r w:rsidRPr="00EF0705">
        <w:rPr>
          <w:sz w:val="23"/>
          <w:szCs w:val="23"/>
        </w:rPr>
        <w:separator/>
      </w:r>
    </w:p>
  </w:footnote>
  <w:footnote w:type="continuationSeparator" w:id="0">
    <w:p w:rsidR="00AE11D1" w:rsidRPr="00EF0705" w:rsidRDefault="00AE11D1">
      <w:pPr>
        <w:rPr>
          <w:sz w:val="23"/>
          <w:szCs w:val="23"/>
        </w:rPr>
      </w:pPr>
      <w:r w:rsidRPr="00EF0705">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9F9"/>
    <w:multiLevelType w:val="hybridMultilevel"/>
    <w:tmpl w:val="0EDA321E"/>
    <w:lvl w:ilvl="0" w:tplc="97FC2E50">
      <w:start w:val="7"/>
      <w:numFmt w:val="bullet"/>
      <w:lvlText w:val="-"/>
      <w:lvlJc w:val="left"/>
      <w:pPr>
        <w:tabs>
          <w:tab w:val="num" w:pos="1609"/>
        </w:tabs>
        <w:ind w:left="1609" w:hanging="900"/>
      </w:pPr>
      <w:rPr>
        <w:rFonts w:ascii="Arial" w:eastAsia="Cambria" w:hAnsi="Arial" w:cs="Arial"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nsid w:val="26FA6E2B"/>
    <w:multiLevelType w:val="hybridMultilevel"/>
    <w:tmpl w:val="E8EEB1F8"/>
    <w:lvl w:ilvl="0" w:tplc="D376EF3A">
      <w:numFmt w:val="bullet"/>
      <w:lvlText w:val="-"/>
      <w:lvlJc w:val="left"/>
      <w:pPr>
        <w:ind w:left="1065"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272C0445"/>
    <w:multiLevelType w:val="hybridMultilevel"/>
    <w:tmpl w:val="855A303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nsid w:val="364520A4"/>
    <w:multiLevelType w:val="hybridMultilevel"/>
    <w:tmpl w:val="E1E6F93A"/>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nsid w:val="4FFE159C"/>
    <w:multiLevelType w:val="hybridMultilevel"/>
    <w:tmpl w:val="705E3EA8"/>
    <w:lvl w:ilvl="0" w:tplc="0C0A0003">
      <w:start w:val="1"/>
      <w:numFmt w:val="bullet"/>
      <w:lvlText w:val="o"/>
      <w:lvlJc w:val="left"/>
      <w:pPr>
        <w:ind w:left="1425" w:hanging="360"/>
      </w:pPr>
      <w:rPr>
        <w:rFonts w:ascii="Courier New" w:hAnsi="Courier New" w:cs="Courier New"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abstractNum w:abstractNumId="5">
    <w:nsid w:val="7505093E"/>
    <w:multiLevelType w:val="hybridMultilevel"/>
    <w:tmpl w:val="99C6E3A6"/>
    <w:lvl w:ilvl="0" w:tplc="D376EF3A">
      <w:numFmt w:val="bullet"/>
      <w:lvlText w:val="-"/>
      <w:lvlJc w:val="left"/>
      <w:pPr>
        <w:ind w:left="1065" w:hanging="360"/>
      </w:pPr>
      <w:rPr>
        <w:rFonts w:ascii="Calibri" w:eastAsia="Calibri" w:hAnsi="Calibri" w:cs="Times New Roman"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76DE1"/>
    <w:rsid w:val="000B7999"/>
    <w:rsid w:val="000C68C2"/>
    <w:rsid w:val="00111792"/>
    <w:rsid w:val="00146E30"/>
    <w:rsid w:val="00157F84"/>
    <w:rsid w:val="001A09EE"/>
    <w:rsid w:val="001C2BED"/>
    <w:rsid w:val="001D79E0"/>
    <w:rsid w:val="001E0CD7"/>
    <w:rsid w:val="001E7751"/>
    <w:rsid w:val="001F17DD"/>
    <w:rsid w:val="00224E9C"/>
    <w:rsid w:val="00267CE6"/>
    <w:rsid w:val="00277D15"/>
    <w:rsid w:val="002B556A"/>
    <w:rsid w:val="00310496"/>
    <w:rsid w:val="0038330F"/>
    <w:rsid w:val="003B53BA"/>
    <w:rsid w:val="00420E61"/>
    <w:rsid w:val="00444BD9"/>
    <w:rsid w:val="0044750A"/>
    <w:rsid w:val="00474A3D"/>
    <w:rsid w:val="004842CC"/>
    <w:rsid w:val="004C1445"/>
    <w:rsid w:val="004C6342"/>
    <w:rsid w:val="004D249C"/>
    <w:rsid w:val="004D589D"/>
    <w:rsid w:val="00516600"/>
    <w:rsid w:val="005242CB"/>
    <w:rsid w:val="00533A0C"/>
    <w:rsid w:val="005551BA"/>
    <w:rsid w:val="005623E5"/>
    <w:rsid w:val="005D5D04"/>
    <w:rsid w:val="005E3B6B"/>
    <w:rsid w:val="00640E9A"/>
    <w:rsid w:val="00644C1D"/>
    <w:rsid w:val="0069025B"/>
    <w:rsid w:val="007106BC"/>
    <w:rsid w:val="00755FE6"/>
    <w:rsid w:val="0077762A"/>
    <w:rsid w:val="00786E5D"/>
    <w:rsid w:val="007E0447"/>
    <w:rsid w:val="007F2F29"/>
    <w:rsid w:val="008307C3"/>
    <w:rsid w:val="008B141D"/>
    <w:rsid w:val="008C7D9D"/>
    <w:rsid w:val="0090698A"/>
    <w:rsid w:val="00921E8B"/>
    <w:rsid w:val="00992D92"/>
    <w:rsid w:val="009A7447"/>
    <w:rsid w:val="009C61CF"/>
    <w:rsid w:val="009F2E47"/>
    <w:rsid w:val="009F715F"/>
    <w:rsid w:val="00A15192"/>
    <w:rsid w:val="00A6685F"/>
    <w:rsid w:val="00AC7B2D"/>
    <w:rsid w:val="00AD3A61"/>
    <w:rsid w:val="00AE11D1"/>
    <w:rsid w:val="00AE5793"/>
    <w:rsid w:val="00B124F5"/>
    <w:rsid w:val="00B46505"/>
    <w:rsid w:val="00B470D0"/>
    <w:rsid w:val="00BA7F1A"/>
    <w:rsid w:val="00BB18FB"/>
    <w:rsid w:val="00C05B12"/>
    <w:rsid w:val="00C20F7B"/>
    <w:rsid w:val="00C37E64"/>
    <w:rsid w:val="00CA4615"/>
    <w:rsid w:val="00CA53FB"/>
    <w:rsid w:val="00CB1800"/>
    <w:rsid w:val="00D05420"/>
    <w:rsid w:val="00D124B5"/>
    <w:rsid w:val="00DB6412"/>
    <w:rsid w:val="00DD42B1"/>
    <w:rsid w:val="00E01864"/>
    <w:rsid w:val="00E459E1"/>
    <w:rsid w:val="00E85DB1"/>
    <w:rsid w:val="00E94A38"/>
    <w:rsid w:val="00EF0705"/>
    <w:rsid w:val="00EF0D89"/>
    <w:rsid w:val="00EF2DC9"/>
    <w:rsid w:val="00F15258"/>
    <w:rsid w:val="00F2561F"/>
    <w:rsid w:val="00F64A65"/>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msolistparagraph0">
    <w:name w:val="msolistparagraph"/>
    <w:basedOn w:val="Normal"/>
    <w:rsid w:val="00076DE1"/>
    <w:pPr>
      <w:spacing w:after="0"/>
      <w:ind w:left="720"/>
    </w:pPr>
    <w:rPr>
      <w:rFonts w:ascii="Times New Roman" w:eastAsia="Times New Roman" w:hAnsi="Times New Roman"/>
      <w:lang w:val="es-ES" w:eastAsia="es-ES"/>
    </w:rPr>
  </w:style>
  <w:style w:type="paragraph" w:styleId="Textoindependiente">
    <w:name w:val="Body Text"/>
    <w:basedOn w:val="Normal"/>
    <w:rsid w:val="00DD42B1"/>
    <w:pPr>
      <w:widowControl w:val="0"/>
      <w:suppressAutoHyphens/>
      <w:spacing w:after="0"/>
      <w:ind w:left="2205"/>
    </w:pPr>
    <w:rPr>
      <w:rFonts w:ascii="Times New Roman" w:eastAsia="Times New Roman" w:hAnsi="Times New Roman"/>
      <w:kern w:val="1"/>
      <w:sz w:val="23"/>
      <w:szCs w:val="23"/>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msolistparagraph0">
    <w:name w:val="msolistparagraph"/>
    <w:basedOn w:val="Normal"/>
    <w:rsid w:val="00076DE1"/>
    <w:pPr>
      <w:spacing w:after="0"/>
      <w:ind w:left="720"/>
    </w:pPr>
    <w:rPr>
      <w:rFonts w:ascii="Times New Roman" w:eastAsia="Times New Roman" w:hAnsi="Times New Roman"/>
      <w:lang w:val="es-ES" w:eastAsia="es-ES"/>
    </w:rPr>
  </w:style>
  <w:style w:type="paragraph" w:styleId="Textoindependiente">
    <w:name w:val="Body Text"/>
    <w:basedOn w:val="Normal"/>
    <w:rsid w:val="00DD42B1"/>
    <w:pPr>
      <w:widowControl w:val="0"/>
      <w:suppressAutoHyphens/>
      <w:spacing w:after="0"/>
      <w:ind w:left="2205"/>
    </w:pPr>
    <w:rPr>
      <w:rFonts w:ascii="Times New Roman" w:eastAsia="Times New Roman" w:hAnsi="Times New Roman"/>
      <w:kern w:val="1"/>
      <w:sz w:val="23"/>
      <w:szCs w:val="23"/>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625">
      <w:bodyDiv w:val="1"/>
      <w:marLeft w:val="0"/>
      <w:marRight w:val="0"/>
      <w:marTop w:val="0"/>
      <w:marBottom w:val="0"/>
      <w:divBdr>
        <w:top w:val="none" w:sz="0" w:space="0" w:color="auto"/>
        <w:left w:val="none" w:sz="0" w:space="0" w:color="auto"/>
        <w:bottom w:val="none" w:sz="0" w:space="0" w:color="auto"/>
        <w:right w:val="none" w:sz="0" w:space="0" w:color="auto"/>
      </w:divBdr>
    </w:div>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53272398">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851218910">
      <w:bodyDiv w:val="1"/>
      <w:marLeft w:val="0"/>
      <w:marRight w:val="0"/>
      <w:marTop w:val="0"/>
      <w:marBottom w:val="0"/>
      <w:divBdr>
        <w:top w:val="none" w:sz="0" w:space="0" w:color="auto"/>
        <w:left w:val="none" w:sz="0" w:space="0" w:color="auto"/>
        <w:bottom w:val="none" w:sz="0" w:space="0" w:color="auto"/>
        <w:right w:val="none" w:sz="0" w:space="0" w:color="auto"/>
      </w:divBdr>
      <w:divsChild>
        <w:div w:id="2515047">
          <w:marLeft w:val="0"/>
          <w:marRight w:val="0"/>
          <w:marTop w:val="0"/>
          <w:marBottom w:val="0"/>
          <w:divBdr>
            <w:top w:val="none" w:sz="0" w:space="0" w:color="auto"/>
            <w:left w:val="none" w:sz="0" w:space="0" w:color="auto"/>
            <w:bottom w:val="none" w:sz="0" w:space="0" w:color="auto"/>
            <w:right w:val="none" w:sz="0" w:space="0" w:color="auto"/>
          </w:divBdr>
        </w:div>
        <w:div w:id="220874336">
          <w:marLeft w:val="0"/>
          <w:marRight w:val="0"/>
          <w:marTop w:val="0"/>
          <w:marBottom w:val="0"/>
          <w:divBdr>
            <w:top w:val="none" w:sz="0" w:space="0" w:color="auto"/>
            <w:left w:val="none" w:sz="0" w:space="0" w:color="auto"/>
            <w:bottom w:val="none" w:sz="0" w:space="0" w:color="auto"/>
            <w:right w:val="none" w:sz="0" w:space="0" w:color="auto"/>
          </w:divBdr>
        </w:div>
        <w:div w:id="240872793">
          <w:marLeft w:val="0"/>
          <w:marRight w:val="0"/>
          <w:marTop w:val="0"/>
          <w:marBottom w:val="0"/>
          <w:divBdr>
            <w:top w:val="none" w:sz="0" w:space="0" w:color="auto"/>
            <w:left w:val="none" w:sz="0" w:space="0" w:color="auto"/>
            <w:bottom w:val="none" w:sz="0" w:space="0" w:color="auto"/>
            <w:right w:val="none" w:sz="0" w:space="0" w:color="auto"/>
          </w:divBdr>
        </w:div>
        <w:div w:id="513035557">
          <w:marLeft w:val="0"/>
          <w:marRight w:val="0"/>
          <w:marTop w:val="0"/>
          <w:marBottom w:val="0"/>
          <w:divBdr>
            <w:top w:val="none" w:sz="0" w:space="0" w:color="auto"/>
            <w:left w:val="none" w:sz="0" w:space="0" w:color="auto"/>
            <w:bottom w:val="none" w:sz="0" w:space="0" w:color="auto"/>
            <w:right w:val="none" w:sz="0" w:space="0" w:color="auto"/>
          </w:divBdr>
        </w:div>
        <w:div w:id="535657313">
          <w:marLeft w:val="0"/>
          <w:marRight w:val="0"/>
          <w:marTop w:val="0"/>
          <w:marBottom w:val="0"/>
          <w:divBdr>
            <w:top w:val="none" w:sz="0" w:space="0" w:color="auto"/>
            <w:left w:val="none" w:sz="0" w:space="0" w:color="auto"/>
            <w:bottom w:val="none" w:sz="0" w:space="0" w:color="auto"/>
            <w:right w:val="none" w:sz="0" w:space="0" w:color="auto"/>
          </w:divBdr>
        </w:div>
        <w:div w:id="643894676">
          <w:marLeft w:val="0"/>
          <w:marRight w:val="0"/>
          <w:marTop w:val="0"/>
          <w:marBottom w:val="0"/>
          <w:divBdr>
            <w:top w:val="none" w:sz="0" w:space="0" w:color="auto"/>
            <w:left w:val="none" w:sz="0" w:space="0" w:color="auto"/>
            <w:bottom w:val="none" w:sz="0" w:space="0" w:color="auto"/>
            <w:right w:val="none" w:sz="0" w:space="0" w:color="auto"/>
          </w:divBdr>
        </w:div>
        <w:div w:id="662318028">
          <w:marLeft w:val="0"/>
          <w:marRight w:val="0"/>
          <w:marTop w:val="0"/>
          <w:marBottom w:val="0"/>
          <w:divBdr>
            <w:top w:val="none" w:sz="0" w:space="0" w:color="auto"/>
            <w:left w:val="none" w:sz="0" w:space="0" w:color="auto"/>
            <w:bottom w:val="none" w:sz="0" w:space="0" w:color="auto"/>
            <w:right w:val="none" w:sz="0" w:space="0" w:color="auto"/>
          </w:divBdr>
        </w:div>
        <w:div w:id="818887096">
          <w:marLeft w:val="0"/>
          <w:marRight w:val="0"/>
          <w:marTop w:val="0"/>
          <w:marBottom w:val="0"/>
          <w:divBdr>
            <w:top w:val="none" w:sz="0" w:space="0" w:color="auto"/>
            <w:left w:val="none" w:sz="0" w:space="0" w:color="auto"/>
            <w:bottom w:val="none" w:sz="0" w:space="0" w:color="auto"/>
            <w:right w:val="none" w:sz="0" w:space="0" w:color="auto"/>
          </w:divBdr>
        </w:div>
        <w:div w:id="857281742">
          <w:marLeft w:val="0"/>
          <w:marRight w:val="0"/>
          <w:marTop w:val="0"/>
          <w:marBottom w:val="0"/>
          <w:divBdr>
            <w:top w:val="none" w:sz="0" w:space="0" w:color="auto"/>
            <w:left w:val="none" w:sz="0" w:space="0" w:color="auto"/>
            <w:bottom w:val="none" w:sz="0" w:space="0" w:color="auto"/>
            <w:right w:val="none" w:sz="0" w:space="0" w:color="auto"/>
          </w:divBdr>
        </w:div>
        <w:div w:id="894005102">
          <w:marLeft w:val="0"/>
          <w:marRight w:val="0"/>
          <w:marTop w:val="0"/>
          <w:marBottom w:val="0"/>
          <w:divBdr>
            <w:top w:val="none" w:sz="0" w:space="0" w:color="auto"/>
            <w:left w:val="none" w:sz="0" w:space="0" w:color="auto"/>
            <w:bottom w:val="none" w:sz="0" w:space="0" w:color="auto"/>
            <w:right w:val="none" w:sz="0" w:space="0" w:color="auto"/>
          </w:divBdr>
        </w:div>
        <w:div w:id="909727076">
          <w:marLeft w:val="0"/>
          <w:marRight w:val="0"/>
          <w:marTop w:val="0"/>
          <w:marBottom w:val="0"/>
          <w:divBdr>
            <w:top w:val="none" w:sz="0" w:space="0" w:color="auto"/>
            <w:left w:val="none" w:sz="0" w:space="0" w:color="auto"/>
            <w:bottom w:val="none" w:sz="0" w:space="0" w:color="auto"/>
            <w:right w:val="none" w:sz="0" w:space="0" w:color="auto"/>
          </w:divBdr>
        </w:div>
        <w:div w:id="1201816695">
          <w:marLeft w:val="0"/>
          <w:marRight w:val="0"/>
          <w:marTop w:val="0"/>
          <w:marBottom w:val="0"/>
          <w:divBdr>
            <w:top w:val="none" w:sz="0" w:space="0" w:color="auto"/>
            <w:left w:val="none" w:sz="0" w:space="0" w:color="auto"/>
            <w:bottom w:val="none" w:sz="0" w:space="0" w:color="auto"/>
            <w:right w:val="none" w:sz="0" w:space="0" w:color="auto"/>
          </w:divBdr>
        </w:div>
        <w:div w:id="1415516025">
          <w:marLeft w:val="0"/>
          <w:marRight w:val="0"/>
          <w:marTop w:val="0"/>
          <w:marBottom w:val="0"/>
          <w:divBdr>
            <w:top w:val="none" w:sz="0" w:space="0" w:color="auto"/>
            <w:left w:val="none" w:sz="0" w:space="0" w:color="auto"/>
            <w:bottom w:val="none" w:sz="0" w:space="0" w:color="auto"/>
            <w:right w:val="none" w:sz="0" w:space="0" w:color="auto"/>
          </w:divBdr>
        </w:div>
        <w:div w:id="1485318535">
          <w:marLeft w:val="0"/>
          <w:marRight w:val="0"/>
          <w:marTop w:val="0"/>
          <w:marBottom w:val="0"/>
          <w:divBdr>
            <w:top w:val="none" w:sz="0" w:space="0" w:color="auto"/>
            <w:left w:val="none" w:sz="0" w:space="0" w:color="auto"/>
            <w:bottom w:val="none" w:sz="0" w:space="0" w:color="auto"/>
            <w:right w:val="none" w:sz="0" w:space="0" w:color="auto"/>
          </w:divBdr>
        </w:div>
        <w:div w:id="1532887430">
          <w:marLeft w:val="0"/>
          <w:marRight w:val="0"/>
          <w:marTop w:val="0"/>
          <w:marBottom w:val="0"/>
          <w:divBdr>
            <w:top w:val="none" w:sz="0" w:space="0" w:color="auto"/>
            <w:left w:val="none" w:sz="0" w:space="0" w:color="auto"/>
            <w:bottom w:val="none" w:sz="0" w:space="0" w:color="auto"/>
            <w:right w:val="none" w:sz="0" w:space="0" w:color="auto"/>
          </w:divBdr>
        </w:div>
        <w:div w:id="1763913627">
          <w:marLeft w:val="0"/>
          <w:marRight w:val="0"/>
          <w:marTop w:val="0"/>
          <w:marBottom w:val="0"/>
          <w:divBdr>
            <w:top w:val="none" w:sz="0" w:space="0" w:color="auto"/>
            <w:left w:val="none" w:sz="0" w:space="0" w:color="auto"/>
            <w:bottom w:val="none" w:sz="0" w:space="0" w:color="auto"/>
            <w:right w:val="none" w:sz="0" w:space="0" w:color="auto"/>
          </w:divBdr>
        </w:div>
        <w:div w:id="1771706130">
          <w:marLeft w:val="0"/>
          <w:marRight w:val="0"/>
          <w:marTop w:val="0"/>
          <w:marBottom w:val="0"/>
          <w:divBdr>
            <w:top w:val="none" w:sz="0" w:space="0" w:color="auto"/>
            <w:left w:val="none" w:sz="0" w:space="0" w:color="auto"/>
            <w:bottom w:val="none" w:sz="0" w:space="0" w:color="auto"/>
            <w:right w:val="none" w:sz="0" w:space="0" w:color="auto"/>
          </w:divBdr>
        </w:div>
        <w:div w:id="1832671204">
          <w:marLeft w:val="0"/>
          <w:marRight w:val="0"/>
          <w:marTop w:val="0"/>
          <w:marBottom w:val="0"/>
          <w:divBdr>
            <w:top w:val="none" w:sz="0" w:space="0" w:color="auto"/>
            <w:left w:val="none" w:sz="0" w:space="0" w:color="auto"/>
            <w:bottom w:val="none" w:sz="0" w:space="0" w:color="auto"/>
            <w:right w:val="none" w:sz="0" w:space="0" w:color="auto"/>
          </w:divBdr>
        </w:div>
        <w:div w:id="1865558748">
          <w:marLeft w:val="0"/>
          <w:marRight w:val="0"/>
          <w:marTop w:val="0"/>
          <w:marBottom w:val="0"/>
          <w:divBdr>
            <w:top w:val="none" w:sz="0" w:space="0" w:color="auto"/>
            <w:left w:val="none" w:sz="0" w:space="0" w:color="auto"/>
            <w:bottom w:val="none" w:sz="0" w:space="0" w:color="auto"/>
            <w:right w:val="none" w:sz="0" w:space="0" w:color="auto"/>
          </w:divBdr>
        </w:div>
        <w:div w:id="1898322062">
          <w:marLeft w:val="0"/>
          <w:marRight w:val="0"/>
          <w:marTop w:val="0"/>
          <w:marBottom w:val="0"/>
          <w:divBdr>
            <w:top w:val="none" w:sz="0" w:space="0" w:color="auto"/>
            <w:left w:val="none" w:sz="0" w:space="0" w:color="auto"/>
            <w:bottom w:val="none" w:sz="0" w:space="0" w:color="auto"/>
            <w:right w:val="none" w:sz="0" w:space="0" w:color="auto"/>
          </w:divBdr>
        </w:div>
        <w:div w:id="1915236110">
          <w:marLeft w:val="0"/>
          <w:marRight w:val="0"/>
          <w:marTop w:val="0"/>
          <w:marBottom w:val="0"/>
          <w:divBdr>
            <w:top w:val="none" w:sz="0" w:space="0" w:color="auto"/>
            <w:left w:val="none" w:sz="0" w:space="0" w:color="auto"/>
            <w:bottom w:val="none" w:sz="0" w:space="0" w:color="auto"/>
            <w:right w:val="none" w:sz="0" w:space="0" w:color="auto"/>
          </w:divBdr>
        </w:div>
        <w:div w:id="1922908268">
          <w:marLeft w:val="0"/>
          <w:marRight w:val="0"/>
          <w:marTop w:val="0"/>
          <w:marBottom w:val="0"/>
          <w:divBdr>
            <w:top w:val="none" w:sz="0" w:space="0" w:color="auto"/>
            <w:left w:val="none" w:sz="0" w:space="0" w:color="auto"/>
            <w:bottom w:val="none" w:sz="0" w:space="0" w:color="auto"/>
            <w:right w:val="none" w:sz="0" w:space="0" w:color="auto"/>
          </w:divBdr>
        </w:div>
        <w:div w:id="1975795249">
          <w:marLeft w:val="0"/>
          <w:marRight w:val="0"/>
          <w:marTop w:val="0"/>
          <w:marBottom w:val="0"/>
          <w:divBdr>
            <w:top w:val="none" w:sz="0" w:space="0" w:color="auto"/>
            <w:left w:val="none" w:sz="0" w:space="0" w:color="auto"/>
            <w:bottom w:val="none" w:sz="0" w:space="0" w:color="auto"/>
            <w:right w:val="none" w:sz="0" w:space="0" w:color="auto"/>
          </w:divBdr>
        </w:div>
        <w:div w:id="2064525239">
          <w:marLeft w:val="0"/>
          <w:marRight w:val="0"/>
          <w:marTop w:val="0"/>
          <w:marBottom w:val="0"/>
          <w:divBdr>
            <w:top w:val="none" w:sz="0" w:space="0" w:color="auto"/>
            <w:left w:val="none" w:sz="0" w:space="0" w:color="auto"/>
            <w:bottom w:val="none" w:sz="0" w:space="0" w:color="auto"/>
            <w:right w:val="none" w:sz="0" w:space="0" w:color="auto"/>
          </w:divBdr>
        </w:div>
        <w:div w:id="209728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6267</Characters>
  <Application>Microsoft Office Word</Application>
  <DocSecurity>0</DocSecurity>
  <Lines>52</Lines>
  <Paragraphs>14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2018-03-09T06:53:00Z</cp:lastPrinted>
  <dcterms:created xsi:type="dcterms:W3CDTF">2018-05-15T12:31:00Z</dcterms:created>
  <dcterms:modified xsi:type="dcterms:W3CDTF">2018-05-15T16:31:00Z</dcterms:modified>
</cp:coreProperties>
</file>