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motivo por el que no se impide el desarrollo de actividades ilegales en el edificio ocupado de Marqués de Rozalejo, formulada por la Ilma. Sra. D.ª Ana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el Pleno dirigida a la consejera de Presidencia, Función Pública, Interior y Justicia, María José Beaumont </w:t>
      </w:r>
    </w:p>
    <w:p>
      <w:pPr>
        <w:pStyle w:val="0"/>
        <w:suppressAutoHyphens w:val="false"/>
        <w:rPr>
          <w:rStyle w:val="1"/>
        </w:rPr>
      </w:pPr>
      <w:r>
        <w:rPr>
          <w:rStyle w:val="1"/>
        </w:rPr>
        <w:t xml:space="preserve">¿Cuál es el motivo por el que el Gobierno de Navarra no ha impedido el desarrollo de actividades ilegales como venta de alcohol o celebración de conciertos en el edificio ocupado de Marqués de Rozalejo, del que es propietario? </w:t>
      </w:r>
    </w:p>
    <w:p>
      <w:pPr>
        <w:pStyle w:val="0"/>
        <w:suppressAutoHyphens w:val="false"/>
        <w:rPr>
          <w:rStyle w:val="1"/>
        </w:rPr>
      </w:pPr>
      <w:r>
        <w:rPr>
          <w:rStyle w:val="1"/>
        </w:rPr>
        <w:t xml:space="preserve">Pamplona, 14 de junio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