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junio de 2018,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Manifiesta su rechazo a la colaboración de las instituciones públicas en eventos culturales que supongan una humillación o vejación hacia las mujeres y promuevan la violencia machista. En este sentido, y desde el respeto a la autonomía municipal, solicita al Ayuntamiento de Cortes que reconsidere la decisión adoptada en relación con la cesión de espacio para la actuación de Kidd Keo.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Manifiesta que la cultura, en toda su dimensión, debe contribuir a la educación y a la sensibilización de la ciudadanía, para avanzar hacia una sociedad igualitaria y respetuosa”.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junio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