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irailaren 3an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Maiorga Ramírez Erro jaunak aurkeztutako galdera, jakitekoa ea Nafarroako Gobernuak edo haren enpresa publikoetako edozeinek zer zenbateko eta baliabiderekin lagundu dioten Arkitektura eta Gizartea Fundazioari.</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irailaren 3an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foru parlamentari Maiorga Ramírez Erro jaunak, Legebiltzarreko Erregelamenduan ezarritakoaren babesean, honako galdera hau aurkezten du, Nafarroako Gobernuak idatziz erantzun dezan:</w:t>
      </w:r>
    </w:p>
    <w:p>
      <w:pPr>
        <w:pStyle w:val="0"/>
        <w:suppressAutoHyphens w:val="false"/>
        <w:rPr>
          <w:rStyle w:val="1"/>
        </w:rPr>
      </w:pPr>
      <w:r>
        <w:rPr>
          <w:rStyle w:val="1"/>
        </w:rPr>
        <w:t xml:space="preserve">Arkitekturari eta Gizarteari buruzko Nazioarteko V. Biltzarrean, Mangado jaunak esker oneko hitzak izan zituen Nafarroako Gobernuarentzat, “zehazkiago, Nasuvinsarentzat”, zeina Fundazioaren patronatuko kide izatera igaro baitzen ekainaren 1etik aitzina. Mangadoren hitzetan, “haren babesak Arkitektura eta Gizartea Fundazioaren balio sozialaren isilbidezko eta berariazko aitortza esan nahi du”.</w:t>
      </w:r>
    </w:p>
    <w:p>
      <w:pPr>
        <w:pStyle w:val="0"/>
        <w:suppressAutoHyphens w:val="false"/>
        <w:rPr>
          <w:rStyle w:val="1"/>
        </w:rPr>
      </w:pPr>
      <w:r>
        <w:rPr>
          <w:rStyle w:val="1"/>
        </w:rPr>
        <w:t xml:space="preserve">Horri buruz, parlamentari honek honako hau jakin nahi du:</w:t>
      </w:r>
    </w:p>
    <w:p>
      <w:pPr>
        <w:pStyle w:val="0"/>
        <w:suppressAutoHyphens w:val="false"/>
        <w:rPr>
          <w:rStyle w:val="1"/>
        </w:rPr>
      </w:pPr>
      <w:r>
        <w:rPr>
          <w:rStyle w:val="1"/>
        </w:rPr>
        <w:t xml:space="preserve">Lehena.- Nafarroako Gobernuak edo haren enpresa publikoetako edozeinek Arkitektura eta Gizartea Fundazioari urtez urte zer zenbateko eta baliabiderekin lagundu dioten.</w:t>
      </w:r>
    </w:p>
    <w:p>
      <w:pPr>
        <w:pStyle w:val="0"/>
        <w:suppressAutoHyphens w:val="false"/>
        <w:rPr>
          <w:rStyle w:val="1"/>
        </w:rPr>
      </w:pPr>
      <w:r>
        <w:rPr>
          <w:rStyle w:val="1"/>
        </w:rPr>
        <w:t xml:space="preserve">Bigarrena.- Nafarroako Gobernuak parte hartutako, lagundutako edo finantzatutako ekitaldi guztien zerrenda, horietako bakoitzean lortutako interes publikoko helburuak zehaztuta.</w:t>
      </w:r>
    </w:p>
    <w:p>
      <w:pPr>
        <w:pStyle w:val="0"/>
        <w:suppressAutoHyphens w:val="false"/>
        <w:rPr>
          <w:rStyle w:val="1"/>
        </w:rPr>
      </w:pPr>
      <w:r>
        <w:rPr>
          <w:rStyle w:val="1"/>
        </w:rPr>
        <w:t xml:space="preserve">Hirugarrena.- Patronatukide izatetik Nafarroako Gobernuarentzat edo haren enpresa publikoetako edozeinentzat heldu diren betebeharren zehaztapena.</w:t>
      </w:r>
    </w:p>
    <w:p>
      <w:pPr>
        <w:pStyle w:val="0"/>
        <w:suppressAutoHyphens w:val="false"/>
        <w:rPr>
          <w:rStyle w:val="1"/>
        </w:rPr>
      </w:pPr>
      <w:r>
        <w:rPr>
          <w:rStyle w:val="1"/>
        </w:rPr>
        <w:t xml:space="preserve">Laugarrena.- Fundazio horretan patronatukide bat izendatzea erabakitzen duen Nasuvinsaren bilkuraren akta.</w:t>
      </w:r>
    </w:p>
    <w:p>
      <w:pPr>
        <w:pStyle w:val="0"/>
        <w:suppressAutoHyphens w:val="false"/>
        <w:rPr>
          <w:rStyle w:val="1"/>
        </w:rPr>
      </w:pPr>
      <w:r>
        <w:rPr>
          <w:rStyle w:val="1"/>
        </w:rPr>
        <w:t xml:space="preserve">Iruñean, 2018ko ekainaren 28an</w:t>
      </w:r>
    </w:p>
    <w:p>
      <w:pPr>
        <w:pStyle w:val="0"/>
        <w:suppressAutoHyphens w:val="false"/>
        <w:rPr>
          <w:rStyle w:val="1"/>
        </w:rPr>
      </w:pPr>
      <w:r>
        <w:rPr>
          <w:rStyle w:val="1"/>
        </w:rPr>
        <w:t xml:space="preserve">Foru parlamentaria: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