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de apoyo, coordinación y colaboración que se han puesto en marcha para el desarrollo del sector agroalimentario en la Ribera de Navarra,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En el Pleno del Parlamento de Navarra, celebrado el 6 de octubre de 2017, sobre la situación económica, educativa y social de la Ribera de Navarra se aprobaron diferentes resoluciones. Por ello, queremos conocer:</w:t>
      </w:r>
    </w:p>
    <w:p>
      <w:pPr>
        <w:pStyle w:val="0"/>
        <w:suppressAutoHyphens w:val="false"/>
        <w:rPr>
          <w:rStyle w:val="1"/>
        </w:rPr>
      </w:pPr>
      <w:r>
        <w:rPr>
          <w:rStyle w:val="1"/>
        </w:rPr>
        <w:t xml:space="preserve">-¿Qué nuevas medidas de apoyo, coordinación y colaboración con todos los organismos y entidades involucradas en el desarrollo del sector agroalimentario ha puesto en marcha el Gobierno de Navarra en la Ribera?</w:t>
      </w:r>
    </w:p>
    <w:p>
      <w:pPr>
        <w:pStyle w:val="0"/>
        <w:suppressAutoHyphens w:val="false"/>
        <w:rPr>
          <w:rStyle w:val="1"/>
        </w:rPr>
      </w:pPr>
      <w:r>
        <w:rPr>
          <w:rStyle w:val="1"/>
        </w:rPr>
        <w:t xml:space="preserve">Corella a 7 de noviembre de 2018</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