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42" w:rsidRPr="00470070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 xml:space="preserve">El </w:t>
      </w:r>
      <w:r w:rsidR="00F15BE5" w:rsidRPr="00470070">
        <w:rPr>
          <w:rFonts w:ascii="Arial" w:hAnsi="Arial" w:cs="Arial"/>
        </w:rPr>
        <w:t>Consejero</w:t>
      </w:r>
      <w:r w:rsidRPr="00470070">
        <w:rPr>
          <w:rFonts w:ascii="Arial" w:hAnsi="Arial" w:cs="Arial"/>
        </w:rPr>
        <w:t xml:space="preserve"> de Derechos Sociales </w:t>
      </w:r>
      <w:r w:rsidR="00865890" w:rsidRPr="00470070">
        <w:rPr>
          <w:rFonts w:ascii="Arial" w:hAnsi="Arial" w:cs="Arial"/>
        </w:rPr>
        <w:t>del Gobierno de Navarra</w:t>
      </w:r>
      <w:r w:rsidRPr="00470070">
        <w:rPr>
          <w:rFonts w:ascii="Arial" w:hAnsi="Arial" w:cs="Arial"/>
        </w:rPr>
        <w:t xml:space="preserve">, en relación </w:t>
      </w:r>
      <w:r w:rsidR="00B67C4B" w:rsidRPr="00470070">
        <w:rPr>
          <w:rFonts w:ascii="Arial" w:hAnsi="Arial" w:cs="Arial"/>
        </w:rPr>
        <w:t>con</w:t>
      </w:r>
      <w:r w:rsidRPr="00470070">
        <w:rPr>
          <w:rFonts w:ascii="Arial" w:hAnsi="Arial" w:cs="Arial"/>
        </w:rPr>
        <w:t xml:space="preserve"> la </w:t>
      </w:r>
      <w:r w:rsidR="007749E1" w:rsidRPr="00470070">
        <w:rPr>
          <w:rFonts w:ascii="Arial" w:hAnsi="Arial" w:cs="Arial"/>
        </w:rPr>
        <w:t>pregunta</w:t>
      </w:r>
      <w:r w:rsidRPr="00470070">
        <w:rPr>
          <w:rFonts w:ascii="Arial" w:hAnsi="Arial" w:cs="Arial"/>
        </w:rPr>
        <w:t xml:space="preserve"> </w:t>
      </w:r>
      <w:r w:rsidR="00865890" w:rsidRPr="00470070">
        <w:rPr>
          <w:rFonts w:ascii="Arial" w:hAnsi="Arial" w:cs="Arial"/>
        </w:rPr>
        <w:t>formulada</w:t>
      </w:r>
      <w:r w:rsidRPr="00470070">
        <w:rPr>
          <w:rFonts w:ascii="Arial" w:hAnsi="Arial" w:cs="Arial"/>
        </w:rPr>
        <w:t xml:space="preserve"> por </w:t>
      </w:r>
      <w:r w:rsidR="00EA2D5B" w:rsidRPr="00470070">
        <w:rPr>
          <w:rFonts w:ascii="Arial" w:hAnsi="Arial" w:cs="Arial"/>
        </w:rPr>
        <w:t>la</w:t>
      </w:r>
      <w:r w:rsidR="003860DD" w:rsidRPr="00470070">
        <w:rPr>
          <w:rFonts w:ascii="Arial" w:hAnsi="Arial" w:cs="Arial"/>
        </w:rPr>
        <w:t xml:space="preserve"> parlamentari</w:t>
      </w:r>
      <w:r w:rsidR="00EA2D5B" w:rsidRPr="00470070">
        <w:rPr>
          <w:rFonts w:ascii="Arial" w:hAnsi="Arial" w:cs="Arial"/>
        </w:rPr>
        <w:t>a</w:t>
      </w:r>
      <w:r w:rsidR="00B67C4B" w:rsidRPr="00470070">
        <w:rPr>
          <w:rFonts w:ascii="Arial" w:hAnsi="Arial" w:cs="Arial"/>
        </w:rPr>
        <w:t xml:space="preserve"> d</w:t>
      </w:r>
      <w:r w:rsidR="00EC31C9" w:rsidRPr="00470070">
        <w:rPr>
          <w:rFonts w:ascii="Arial" w:hAnsi="Arial" w:cs="Arial"/>
        </w:rPr>
        <w:t>o</w:t>
      </w:r>
      <w:r w:rsidR="00EA2D5B" w:rsidRPr="00470070">
        <w:rPr>
          <w:rFonts w:ascii="Arial" w:hAnsi="Arial" w:cs="Arial"/>
        </w:rPr>
        <w:t>ña</w:t>
      </w:r>
      <w:r w:rsidRPr="00470070">
        <w:rPr>
          <w:rFonts w:ascii="Arial" w:hAnsi="Arial" w:cs="Arial"/>
        </w:rPr>
        <w:t xml:space="preserve"> </w:t>
      </w:r>
      <w:r w:rsidR="002D0B65" w:rsidRPr="00470070">
        <w:rPr>
          <w:rFonts w:ascii="Arial" w:hAnsi="Arial" w:cs="Arial"/>
        </w:rPr>
        <w:t xml:space="preserve">Mónica </w:t>
      </w:r>
      <w:proofErr w:type="spellStart"/>
      <w:r w:rsidR="002D0B65" w:rsidRPr="00470070">
        <w:rPr>
          <w:rFonts w:ascii="Arial" w:hAnsi="Arial" w:cs="Arial"/>
        </w:rPr>
        <w:t>Doménech</w:t>
      </w:r>
      <w:proofErr w:type="spellEnd"/>
      <w:r w:rsidR="002D0B65" w:rsidRPr="00470070">
        <w:rPr>
          <w:rFonts w:ascii="Arial" w:hAnsi="Arial" w:cs="Arial"/>
        </w:rPr>
        <w:t xml:space="preserve"> Linde</w:t>
      </w:r>
      <w:r w:rsidRPr="00470070">
        <w:rPr>
          <w:rFonts w:ascii="Arial" w:hAnsi="Arial" w:cs="Arial"/>
        </w:rPr>
        <w:t>, adscrit</w:t>
      </w:r>
      <w:r w:rsidR="00EA2D5B" w:rsidRPr="00470070">
        <w:rPr>
          <w:rFonts w:ascii="Arial" w:hAnsi="Arial" w:cs="Arial"/>
        </w:rPr>
        <w:t>a</w:t>
      </w:r>
      <w:r w:rsidRPr="00470070">
        <w:rPr>
          <w:rFonts w:ascii="Arial" w:hAnsi="Arial" w:cs="Arial"/>
        </w:rPr>
        <w:t xml:space="preserve"> al Grupo </w:t>
      </w:r>
      <w:r w:rsidR="00B67C4B" w:rsidRPr="00470070">
        <w:rPr>
          <w:rFonts w:ascii="Arial" w:hAnsi="Arial" w:cs="Arial"/>
        </w:rPr>
        <w:t>P</w:t>
      </w:r>
      <w:r w:rsidRPr="00470070">
        <w:rPr>
          <w:rFonts w:ascii="Arial" w:hAnsi="Arial" w:cs="Arial"/>
        </w:rPr>
        <w:t xml:space="preserve">arlamentario </w:t>
      </w:r>
      <w:r w:rsidR="007704FF" w:rsidRPr="00470070">
        <w:rPr>
          <w:rFonts w:ascii="Arial" w:hAnsi="Arial" w:cs="Arial"/>
        </w:rPr>
        <w:t>Unión del Pueblo Navarro</w:t>
      </w:r>
      <w:r w:rsidRPr="00470070">
        <w:rPr>
          <w:rFonts w:ascii="Arial" w:hAnsi="Arial" w:cs="Arial"/>
        </w:rPr>
        <w:t xml:space="preserve">, </w:t>
      </w:r>
      <w:r w:rsidR="002D0B65" w:rsidRPr="00470070">
        <w:rPr>
          <w:rFonts w:ascii="Arial" w:hAnsi="Arial" w:cs="Arial"/>
        </w:rPr>
        <w:t>sobre el acogimiento familiar</w:t>
      </w:r>
      <w:r w:rsidR="003860DD" w:rsidRPr="00470070">
        <w:rPr>
          <w:rFonts w:ascii="Arial" w:hAnsi="Arial" w:cs="Arial"/>
        </w:rPr>
        <w:t xml:space="preserve"> </w:t>
      </w:r>
      <w:r w:rsidR="00B6563A" w:rsidRPr="00470070">
        <w:rPr>
          <w:rFonts w:ascii="Arial" w:hAnsi="Arial" w:cs="Arial"/>
        </w:rPr>
        <w:t>(9-18</w:t>
      </w:r>
      <w:r w:rsidR="00BF65B2" w:rsidRPr="00470070">
        <w:rPr>
          <w:rFonts w:ascii="Arial" w:hAnsi="Arial" w:cs="Arial"/>
        </w:rPr>
        <w:t>/PE</w:t>
      </w:r>
      <w:r w:rsidR="007749E1" w:rsidRPr="00470070">
        <w:rPr>
          <w:rFonts w:ascii="Arial" w:hAnsi="Arial" w:cs="Arial"/>
        </w:rPr>
        <w:t>S</w:t>
      </w:r>
      <w:r w:rsidR="00BF65B2" w:rsidRPr="00470070">
        <w:rPr>
          <w:rFonts w:ascii="Arial" w:hAnsi="Arial" w:cs="Arial"/>
        </w:rPr>
        <w:t>-00</w:t>
      </w:r>
      <w:r w:rsidR="00411E0B" w:rsidRPr="00470070">
        <w:rPr>
          <w:rFonts w:ascii="Arial" w:hAnsi="Arial" w:cs="Arial"/>
        </w:rPr>
        <w:t>187</w:t>
      </w:r>
      <w:r w:rsidR="00865890" w:rsidRPr="00470070">
        <w:rPr>
          <w:rFonts w:ascii="Arial" w:hAnsi="Arial" w:cs="Arial"/>
        </w:rPr>
        <w:t>)</w:t>
      </w:r>
      <w:r w:rsidRPr="00470070">
        <w:rPr>
          <w:rFonts w:ascii="Arial" w:hAnsi="Arial" w:cs="Arial"/>
        </w:rPr>
        <w:t xml:space="preserve">, </w:t>
      </w:r>
      <w:r w:rsidR="00F3516B" w:rsidRPr="00470070">
        <w:rPr>
          <w:rFonts w:ascii="Arial" w:hAnsi="Arial" w:cs="Arial"/>
        </w:rPr>
        <w:t xml:space="preserve">tiene el honor </w:t>
      </w:r>
      <w:r w:rsidR="00FB7948" w:rsidRPr="00470070">
        <w:rPr>
          <w:rFonts w:ascii="Arial" w:hAnsi="Arial" w:cs="Arial"/>
        </w:rPr>
        <w:t>de</w:t>
      </w:r>
      <w:r w:rsidR="00D2483A" w:rsidRPr="00470070">
        <w:rPr>
          <w:rFonts w:ascii="Arial" w:hAnsi="Arial" w:cs="Arial"/>
        </w:rPr>
        <w:t xml:space="preserve"> </w:t>
      </w:r>
      <w:r w:rsidR="00F3516B" w:rsidRPr="00470070">
        <w:rPr>
          <w:rFonts w:ascii="Arial" w:hAnsi="Arial" w:cs="Arial"/>
        </w:rPr>
        <w:t>informarle lo siguiente</w:t>
      </w:r>
      <w:r w:rsidR="00EC3319" w:rsidRPr="00470070">
        <w:rPr>
          <w:rFonts w:ascii="Arial" w:hAnsi="Arial" w:cs="Arial"/>
        </w:rPr>
        <w:t>:</w:t>
      </w:r>
    </w:p>
    <w:p w:rsidR="0084410E" w:rsidRPr="00470070" w:rsidRDefault="0084410E" w:rsidP="0084410E">
      <w:pPr>
        <w:spacing w:after="120" w:line="360" w:lineRule="auto"/>
        <w:jc w:val="both"/>
        <w:rPr>
          <w:rFonts w:ascii="Arial" w:hAnsi="Arial" w:cs="Arial"/>
          <w:i/>
        </w:rPr>
      </w:pPr>
      <w:r w:rsidRPr="00470070">
        <w:rPr>
          <w:rFonts w:ascii="Arial" w:hAnsi="Arial" w:cs="Arial"/>
          <w:i/>
        </w:rPr>
        <w:t>¿Qué cantidad de dinero ha destinado el Gobierno de Navarra al incremento en las campañas destinadas a fomentar el acogimiento familiar?</w:t>
      </w:r>
    </w:p>
    <w:p w:rsidR="00642C42" w:rsidRPr="00470070" w:rsidRDefault="00BD7505" w:rsidP="00BD7505">
      <w:p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>A lo largo de 2018 se ha</w:t>
      </w:r>
      <w:r w:rsidR="002D0B65" w:rsidRPr="00470070">
        <w:rPr>
          <w:rFonts w:ascii="Arial" w:hAnsi="Arial" w:cs="Arial"/>
        </w:rPr>
        <w:t>n</w:t>
      </w:r>
      <w:r w:rsidRPr="00470070">
        <w:rPr>
          <w:rFonts w:ascii="Arial" w:hAnsi="Arial" w:cs="Arial"/>
        </w:rPr>
        <w:t xml:space="preserve"> destinado 50.000€ de la partida 920008 93300 2269 231702 </w:t>
      </w:r>
      <w:r w:rsidRPr="00470070">
        <w:rPr>
          <w:rFonts w:ascii="Arial" w:hAnsi="Arial" w:cs="Arial"/>
          <w:i/>
        </w:rPr>
        <w:t>II Plan Integral de Infancia y Adolescencia</w:t>
      </w:r>
      <w:r w:rsidRPr="00470070">
        <w:rPr>
          <w:rFonts w:ascii="Arial" w:hAnsi="Arial" w:cs="Arial"/>
        </w:rPr>
        <w:t>.</w:t>
      </w:r>
    </w:p>
    <w:p w:rsidR="0084410E" w:rsidRPr="00470070" w:rsidRDefault="0084410E" w:rsidP="0084410E">
      <w:pPr>
        <w:spacing w:after="120" w:line="360" w:lineRule="auto"/>
        <w:jc w:val="both"/>
        <w:rPr>
          <w:rFonts w:ascii="Arial" w:hAnsi="Arial" w:cs="Arial"/>
          <w:i/>
        </w:rPr>
      </w:pPr>
      <w:r w:rsidRPr="00470070">
        <w:rPr>
          <w:rFonts w:ascii="Arial" w:hAnsi="Arial" w:cs="Arial"/>
          <w:i/>
        </w:rPr>
        <w:t>En la última campaña de acogida del Gobierno de Navarra: ¿cuántas personas han pedido información sobre el acogimiento familiar?, ¿cuántas personas se han inscrito para pasar la idoneidad como familias de acogida?</w:t>
      </w:r>
    </w:p>
    <w:p w:rsidR="00642C42" w:rsidRPr="00470070" w:rsidRDefault="002D0B65" w:rsidP="00BD7505">
      <w:p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>Durante el año 2018</w:t>
      </w:r>
      <w:r w:rsidR="00BD7505" w:rsidRPr="00470070">
        <w:rPr>
          <w:rFonts w:ascii="Arial" w:hAnsi="Arial" w:cs="Arial"/>
        </w:rPr>
        <w:t xml:space="preserve"> se han registrado y atendido 53 solicitudes de información. </w:t>
      </w:r>
      <w:r w:rsidRPr="00470070">
        <w:rPr>
          <w:rFonts w:ascii="Arial" w:hAnsi="Arial" w:cs="Arial"/>
        </w:rPr>
        <w:t>De ellas, c</w:t>
      </w:r>
      <w:r w:rsidR="00BD7505" w:rsidRPr="00470070">
        <w:rPr>
          <w:rFonts w:ascii="Arial" w:hAnsi="Arial" w:cs="Arial"/>
        </w:rPr>
        <w:t xml:space="preserve">atorce </w:t>
      </w:r>
      <w:r w:rsidRPr="00470070">
        <w:rPr>
          <w:rFonts w:ascii="Arial" w:hAnsi="Arial" w:cs="Arial"/>
        </w:rPr>
        <w:t xml:space="preserve">familias </w:t>
      </w:r>
      <w:r w:rsidR="00BD7505" w:rsidRPr="00470070">
        <w:rPr>
          <w:rFonts w:ascii="Arial" w:hAnsi="Arial" w:cs="Arial"/>
        </w:rPr>
        <w:t>han presentado solicitud para valoración de su idoneidad.</w:t>
      </w:r>
    </w:p>
    <w:p w:rsidR="0084410E" w:rsidRPr="00470070" w:rsidRDefault="0084410E" w:rsidP="0084410E">
      <w:pPr>
        <w:spacing w:after="120" w:line="360" w:lineRule="auto"/>
        <w:jc w:val="both"/>
        <w:rPr>
          <w:rFonts w:ascii="Arial" w:hAnsi="Arial" w:cs="Arial"/>
          <w:i/>
        </w:rPr>
      </w:pPr>
      <w:r w:rsidRPr="00470070">
        <w:rPr>
          <w:rFonts w:ascii="Arial" w:hAnsi="Arial" w:cs="Arial"/>
          <w:i/>
        </w:rPr>
        <w:t>Ruego los datos de solicitud de información de acogimiento de urgencia, acogimiento temporal y permanente y acogimiento profesional o especializado. ¿Qué seguimiento o qué trámites lleva esa solicitud de información para ser familias de acogida?</w:t>
      </w:r>
    </w:p>
    <w:p w:rsidR="002D0B65" w:rsidRPr="00470070" w:rsidRDefault="00BD7505" w:rsidP="00BD7505">
      <w:p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>Las solicitudes de acogimiento no diferencian la modalidad del mismo</w:t>
      </w:r>
      <w:r w:rsidR="002D0B65" w:rsidRPr="00470070">
        <w:rPr>
          <w:rFonts w:ascii="Arial" w:hAnsi="Arial" w:cs="Arial"/>
        </w:rPr>
        <w:t>. Es</w:t>
      </w:r>
      <w:r w:rsidRPr="00470070">
        <w:rPr>
          <w:rFonts w:ascii="Arial" w:hAnsi="Arial" w:cs="Arial"/>
        </w:rPr>
        <w:t xml:space="preserve"> a partir de la valoración de idoneidad cuando se establece</w:t>
      </w:r>
      <w:r w:rsidR="002D0B65" w:rsidRPr="00470070">
        <w:rPr>
          <w:rFonts w:ascii="Arial" w:hAnsi="Arial" w:cs="Arial"/>
        </w:rPr>
        <w:t>,</w:t>
      </w:r>
      <w:r w:rsidRPr="00470070">
        <w:rPr>
          <w:rFonts w:ascii="Arial" w:hAnsi="Arial" w:cs="Arial"/>
        </w:rPr>
        <w:t xml:space="preserve"> de mutuo acuerdo con los/as solicitantes y teniendo en cuenta las necesidades del servicio, así como las características de los/as menores susceptibles de ser acogidos/as</w:t>
      </w:r>
      <w:r w:rsidR="002D0B65" w:rsidRPr="00470070">
        <w:rPr>
          <w:rFonts w:ascii="Arial" w:hAnsi="Arial" w:cs="Arial"/>
        </w:rPr>
        <w:t>,</w:t>
      </w:r>
      <w:r w:rsidRPr="00470070">
        <w:rPr>
          <w:rFonts w:ascii="Arial" w:hAnsi="Arial" w:cs="Arial"/>
        </w:rPr>
        <w:t xml:space="preserve"> el modelo de acogimiento: de urgencia, temporal, permanente…</w:t>
      </w:r>
    </w:p>
    <w:p w:rsidR="00BD7505" w:rsidRPr="00470070" w:rsidRDefault="00BD7505" w:rsidP="00BD7505">
      <w:p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>El proceso que se sigue</w:t>
      </w:r>
      <w:r w:rsidR="002D0B65" w:rsidRPr="00470070">
        <w:rPr>
          <w:rFonts w:ascii="Arial" w:hAnsi="Arial" w:cs="Arial"/>
        </w:rPr>
        <w:t>,</w:t>
      </w:r>
      <w:r w:rsidRPr="00470070">
        <w:rPr>
          <w:rFonts w:ascii="Arial" w:hAnsi="Arial" w:cs="Arial"/>
        </w:rPr>
        <w:t xml:space="preserve"> tras la solicitud de información con las familias interesadas en el programa, se establece de acuerdo a la siguiente secuencia:</w:t>
      </w:r>
    </w:p>
    <w:p w:rsidR="00BD7505" w:rsidRPr="00470070" w:rsidRDefault="00BD7505" w:rsidP="00BD7505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>Primer contacto interesándose por el programa. Se entrega información en mano, por correo electrónico u ordinario, junto con un cuestionario que la familia debe cumplimentar. Se informa que, si desean ofrecerse como familia acogedora</w:t>
      </w:r>
      <w:r w:rsidR="00654559" w:rsidRPr="00470070">
        <w:rPr>
          <w:rFonts w:ascii="Arial" w:hAnsi="Arial" w:cs="Arial"/>
        </w:rPr>
        <w:t>,</w:t>
      </w:r>
      <w:r w:rsidRPr="00470070">
        <w:rPr>
          <w:rFonts w:ascii="Arial" w:hAnsi="Arial" w:cs="Arial"/>
        </w:rPr>
        <w:t xml:space="preserve"> </w:t>
      </w:r>
      <w:r w:rsidR="00AB6B67" w:rsidRPr="00470070">
        <w:rPr>
          <w:rFonts w:ascii="Arial" w:hAnsi="Arial" w:cs="Arial"/>
        </w:rPr>
        <w:t>debe cumplimentarse</w:t>
      </w:r>
      <w:r w:rsidRPr="00470070">
        <w:rPr>
          <w:rFonts w:ascii="Arial" w:hAnsi="Arial" w:cs="Arial"/>
        </w:rPr>
        <w:t xml:space="preserve"> instancia general </w:t>
      </w:r>
      <w:r w:rsidR="00AB6B67" w:rsidRPr="00470070">
        <w:rPr>
          <w:rFonts w:ascii="Arial" w:hAnsi="Arial" w:cs="Arial"/>
        </w:rPr>
        <w:t xml:space="preserve">solicitándolo adjuntando </w:t>
      </w:r>
      <w:r w:rsidRPr="00470070">
        <w:rPr>
          <w:rFonts w:ascii="Arial" w:hAnsi="Arial" w:cs="Arial"/>
        </w:rPr>
        <w:t>la documentación estipulada</w:t>
      </w:r>
      <w:r w:rsidR="00AB6B67" w:rsidRPr="00470070">
        <w:rPr>
          <w:rFonts w:ascii="Arial" w:hAnsi="Arial" w:cs="Arial"/>
        </w:rPr>
        <w:t xml:space="preserve"> para ello</w:t>
      </w:r>
      <w:r w:rsidRPr="00470070">
        <w:rPr>
          <w:rFonts w:ascii="Arial" w:hAnsi="Arial" w:cs="Arial"/>
        </w:rPr>
        <w:t>.</w:t>
      </w:r>
    </w:p>
    <w:p w:rsidR="00BD7505" w:rsidRPr="00470070" w:rsidRDefault="00BD7505" w:rsidP="00BD7505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lastRenderedPageBreak/>
        <w:t xml:space="preserve">La información puede proporcionarse </w:t>
      </w:r>
      <w:r w:rsidR="00AB6B67" w:rsidRPr="00470070">
        <w:rPr>
          <w:rFonts w:ascii="Arial" w:hAnsi="Arial" w:cs="Arial"/>
        </w:rPr>
        <w:t>mediante</w:t>
      </w:r>
      <w:r w:rsidRPr="00470070">
        <w:rPr>
          <w:rFonts w:ascii="Arial" w:hAnsi="Arial" w:cs="Arial"/>
        </w:rPr>
        <w:t xml:space="preserve"> entrevista personal o en sesión informativa programada para un grupo de personas. Además</w:t>
      </w:r>
      <w:r w:rsidR="00AB6B67" w:rsidRPr="00470070">
        <w:rPr>
          <w:rFonts w:ascii="Arial" w:hAnsi="Arial" w:cs="Arial"/>
        </w:rPr>
        <w:t>,</w:t>
      </w:r>
      <w:r w:rsidRPr="00470070">
        <w:rPr>
          <w:rFonts w:ascii="Arial" w:hAnsi="Arial" w:cs="Arial"/>
        </w:rPr>
        <w:t xml:space="preserve"> se mantienen entrevistas individuales con aquellas personas que requieren explicaciones o aclaraciones sobre el programa.</w:t>
      </w:r>
    </w:p>
    <w:p w:rsidR="00BD7505" w:rsidRPr="00470070" w:rsidRDefault="00BD7505" w:rsidP="00BD7505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 xml:space="preserve">Una vez recogido el ofrecimiento, las familias deben participar en las sesiones formativas programadas por el servicio. </w:t>
      </w:r>
    </w:p>
    <w:p w:rsidR="00BD7505" w:rsidRPr="00470070" w:rsidRDefault="00BD7505" w:rsidP="00BD7505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>Proceso de valoración de Idoneidad. Consta de un mínimo de dos entrevistas, una de ella</w:t>
      </w:r>
      <w:r w:rsidR="00AB6B67" w:rsidRPr="00470070">
        <w:rPr>
          <w:rFonts w:ascii="Arial" w:hAnsi="Arial" w:cs="Arial"/>
        </w:rPr>
        <w:t>s</w:t>
      </w:r>
      <w:r w:rsidRPr="00470070">
        <w:rPr>
          <w:rFonts w:ascii="Arial" w:hAnsi="Arial" w:cs="Arial"/>
        </w:rPr>
        <w:t xml:space="preserve"> </w:t>
      </w:r>
      <w:r w:rsidR="00AB6B67" w:rsidRPr="00470070">
        <w:rPr>
          <w:rFonts w:ascii="Arial" w:hAnsi="Arial" w:cs="Arial"/>
        </w:rPr>
        <w:t>en el domicilio</w:t>
      </w:r>
      <w:r w:rsidRPr="00470070">
        <w:rPr>
          <w:rFonts w:ascii="Arial" w:hAnsi="Arial" w:cs="Arial"/>
        </w:rPr>
        <w:t>, llevadas</w:t>
      </w:r>
      <w:r w:rsidR="00AB6B67" w:rsidRPr="00470070">
        <w:rPr>
          <w:rFonts w:ascii="Arial" w:hAnsi="Arial" w:cs="Arial"/>
        </w:rPr>
        <w:t xml:space="preserve"> a cabo por dos profesionales. Si</w:t>
      </w:r>
      <w:r w:rsidRPr="00470070">
        <w:rPr>
          <w:rFonts w:ascii="Arial" w:hAnsi="Arial" w:cs="Arial"/>
        </w:rPr>
        <w:t xml:space="preserve"> se considera necesario</w:t>
      </w:r>
      <w:r w:rsidR="00AB6B67" w:rsidRPr="00470070">
        <w:rPr>
          <w:rFonts w:ascii="Arial" w:hAnsi="Arial" w:cs="Arial"/>
        </w:rPr>
        <w:t>,</w:t>
      </w:r>
      <w:r w:rsidRPr="00470070">
        <w:rPr>
          <w:rFonts w:ascii="Arial" w:hAnsi="Arial" w:cs="Arial"/>
        </w:rPr>
        <w:t xml:space="preserve"> pueden realizarse un mayor número de entrevistas, con ambos miembros de la famili</w:t>
      </w:r>
      <w:r w:rsidR="002D0B65" w:rsidRPr="00470070">
        <w:rPr>
          <w:rFonts w:ascii="Arial" w:hAnsi="Arial" w:cs="Arial"/>
        </w:rPr>
        <w:t>a conjuntamente o por separado.</w:t>
      </w:r>
    </w:p>
    <w:p w:rsidR="00BD7505" w:rsidRPr="00470070" w:rsidRDefault="00BD7505" w:rsidP="00BD7505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 xml:space="preserve">La valoración puede concluir con la idoneidad o no idoneidad de la familia para el </w:t>
      </w:r>
      <w:r w:rsidR="00AB6B67" w:rsidRPr="00470070">
        <w:rPr>
          <w:rFonts w:ascii="Arial" w:hAnsi="Arial" w:cs="Arial"/>
        </w:rPr>
        <w:t>a</w:t>
      </w:r>
      <w:r w:rsidRPr="00470070">
        <w:rPr>
          <w:rFonts w:ascii="Arial" w:hAnsi="Arial" w:cs="Arial"/>
        </w:rPr>
        <w:t xml:space="preserve">cogimiento </w:t>
      </w:r>
      <w:r w:rsidR="00AB6B67" w:rsidRPr="00470070">
        <w:rPr>
          <w:rFonts w:ascii="Arial" w:hAnsi="Arial" w:cs="Arial"/>
        </w:rPr>
        <w:t>f</w:t>
      </w:r>
      <w:r w:rsidRPr="00470070">
        <w:rPr>
          <w:rFonts w:ascii="Arial" w:hAnsi="Arial" w:cs="Arial"/>
        </w:rPr>
        <w:t>amiliar. En ambos casos</w:t>
      </w:r>
      <w:r w:rsidR="00AB6B67" w:rsidRPr="00470070">
        <w:rPr>
          <w:rFonts w:ascii="Arial" w:hAnsi="Arial" w:cs="Arial"/>
        </w:rPr>
        <w:t>,</w:t>
      </w:r>
      <w:r w:rsidRPr="00470070">
        <w:rPr>
          <w:rFonts w:ascii="Arial" w:hAnsi="Arial" w:cs="Arial"/>
        </w:rPr>
        <w:t xml:space="preserve"> se emite resolución administrativa declarando la idoneidad o no idoneidad de la familia.</w:t>
      </w:r>
    </w:p>
    <w:p w:rsidR="00BD7505" w:rsidRPr="00470070" w:rsidRDefault="00BD7505" w:rsidP="00BD7505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>En caso de que la valoración sea positiva, la familia pasa a formar parte de la cartera de familias acogedoras.</w:t>
      </w:r>
    </w:p>
    <w:p w:rsidR="00BD7505" w:rsidRPr="00470070" w:rsidRDefault="00BD7505" w:rsidP="00BD7505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 xml:space="preserve">Una vez </w:t>
      </w:r>
      <w:r w:rsidR="00AB6B67" w:rsidRPr="00470070">
        <w:rPr>
          <w:rFonts w:ascii="Arial" w:hAnsi="Arial" w:cs="Arial"/>
        </w:rPr>
        <w:t>que se valora el acogimiento f</w:t>
      </w:r>
      <w:r w:rsidRPr="00470070">
        <w:rPr>
          <w:rFonts w:ascii="Arial" w:hAnsi="Arial" w:cs="Arial"/>
        </w:rPr>
        <w:t xml:space="preserve">amiliar como medida para un/una menor, se selecciona </w:t>
      </w:r>
      <w:r w:rsidR="00AB6B67" w:rsidRPr="00470070">
        <w:rPr>
          <w:rFonts w:ascii="Arial" w:hAnsi="Arial" w:cs="Arial"/>
        </w:rPr>
        <w:t>de</w:t>
      </w:r>
      <w:r w:rsidRPr="00470070">
        <w:rPr>
          <w:rFonts w:ascii="Arial" w:hAnsi="Arial" w:cs="Arial"/>
        </w:rPr>
        <w:t xml:space="preserve"> la cartera de familias acogedoras aquella que, en función de las necesidades </w:t>
      </w:r>
      <w:r w:rsidR="00AB6B67" w:rsidRPr="00470070">
        <w:rPr>
          <w:rFonts w:ascii="Arial" w:hAnsi="Arial" w:cs="Arial"/>
        </w:rPr>
        <w:t>d</w:t>
      </w:r>
      <w:r w:rsidRPr="00470070">
        <w:rPr>
          <w:rFonts w:ascii="Arial" w:hAnsi="Arial" w:cs="Arial"/>
        </w:rPr>
        <w:t>el</w:t>
      </w:r>
      <w:r w:rsidR="00AB6B67" w:rsidRPr="00470070">
        <w:rPr>
          <w:rFonts w:ascii="Arial" w:hAnsi="Arial" w:cs="Arial"/>
        </w:rPr>
        <w:t>/de la</w:t>
      </w:r>
      <w:r w:rsidRPr="00470070">
        <w:rPr>
          <w:rFonts w:ascii="Arial" w:hAnsi="Arial" w:cs="Arial"/>
        </w:rPr>
        <w:t xml:space="preserve"> menor y las características de la familia, mejor se adecúa.</w:t>
      </w:r>
    </w:p>
    <w:p w:rsidR="00BD7505" w:rsidRPr="00470070" w:rsidRDefault="00BD7505" w:rsidP="00BD7505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>E</w:t>
      </w:r>
      <w:r w:rsidR="00AB6B67" w:rsidRPr="00470070">
        <w:rPr>
          <w:rFonts w:ascii="Arial" w:hAnsi="Arial" w:cs="Arial"/>
        </w:rPr>
        <w:t>l caso se plantea a la posible familia acogedora e</w:t>
      </w:r>
      <w:r w:rsidRPr="00470070">
        <w:rPr>
          <w:rFonts w:ascii="Arial" w:hAnsi="Arial" w:cs="Arial"/>
        </w:rPr>
        <w:t>n</w:t>
      </w:r>
      <w:r w:rsidR="00AB6B67" w:rsidRPr="00470070">
        <w:rPr>
          <w:rFonts w:ascii="Arial" w:hAnsi="Arial" w:cs="Arial"/>
        </w:rPr>
        <w:t xml:space="preserve"> un</w:t>
      </w:r>
      <w:r w:rsidRPr="00470070">
        <w:rPr>
          <w:rFonts w:ascii="Arial" w:hAnsi="Arial" w:cs="Arial"/>
        </w:rPr>
        <w:t xml:space="preserve"> encuentro presencial. En caso de aceptación por su parte</w:t>
      </w:r>
      <w:r w:rsidR="00AB6B67" w:rsidRPr="00470070">
        <w:rPr>
          <w:rFonts w:ascii="Arial" w:hAnsi="Arial" w:cs="Arial"/>
        </w:rPr>
        <w:t>,</w:t>
      </w:r>
      <w:r w:rsidRPr="00470070">
        <w:rPr>
          <w:rFonts w:ascii="Arial" w:hAnsi="Arial" w:cs="Arial"/>
        </w:rPr>
        <w:t xml:space="preserve"> se inicia el proceso de preparación del</w:t>
      </w:r>
      <w:r w:rsidR="00AB6B67" w:rsidRPr="00470070">
        <w:rPr>
          <w:rFonts w:ascii="Arial" w:hAnsi="Arial" w:cs="Arial"/>
        </w:rPr>
        <w:t>/de la</w:t>
      </w:r>
      <w:r w:rsidRPr="00470070">
        <w:rPr>
          <w:rFonts w:ascii="Arial" w:hAnsi="Arial" w:cs="Arial"/>
        </w:rPr>
        <w:t xml:space="preserve"> menor y la familia. Dicho proceso contempla un trabajo previo de preparación individual y un proceso de acoplamiento progresivo.</w:t>
      </w:r>
    </w:p>
    <w:p w:rsidR="00BD7505" w:rsidRPr="00470070" w:rsidRDefault="00BD7505" w:rsidP="00BD7505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>En caso de que dicho proceso concluya positivamente</w:t>
      </w:r>
      <w:r w:rsidR="00AB6B67" w:rsidRPr="00470070">
        <w:rPr>
          <w:rFonts w:ascii="Arial" w:hAnsi="Arial" w:cs="Arial"/>
        </w:rPr>
        <w:t>,</w:t>
      </w:r>
      <w:r w:rsidRPr="00470070">
        <w:rPr>
          <w:rFonts w:ascii="Arial" w:hAnsi="Arial" w:cs="Arial"/>
        </w:rPr>
        <w:t xml:space="preserve"> se inicia la convivencia y se constituye, mediante resolución administrativa, el Acogimiento Familiar. Se establecen las condiciones en relación a los recursos de apoyo y programa de visitas.</w:t>
      </w:r>
    </w:p>
    <w:p w:rsidR="00642C42" w:rsidRPr="00470070" w:rsidRDefault="00BD7505" w:rsidP="00BD7505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>A partir de este momento se inicia el seguimiento del proceso de acogimiento.</w:t>
      </w:r>
    </w:p>
    <w:p w:rsidR="0084410E" w:rsidRPr="00470070" w:rsidRDefault="0084410E" w:rsidP="0084410E">
      <w:pPr>
        <w:spacing w:after="120" w:line="360" w:lineRule="auto"/>
        <w:jc w:val="both"/>
        <w:rPr>
          <w:rFonts w:ascii="Arial" w:hAnsi="Arial" w:cs="Arial"/>
          <w:i/>
        </w:rPr>
      </w:pPr>
      <w:r w:rsidRPr="00470070">
        <w:rPr>
          <w:rFonts w:ascii="Arial" w:hAnsi="Arial" w:cs="Arial"/>
          <w:i/>
        </w:rPr>
        <w:lastRenderedPageBreak/>
        <w:t>Evolución de las familias de acogida en Navarra desde la anterior campaña de 2014 a la actual de 2018, detallando los diferentes tipos de acogimiento (urgencia, temporal, permanente, especializado).</w:t>
      </w:r>
    </w:p>
    <w:p w:rsidR="00BD7505" w:rsidRPr="00470070" w:rsidRDefault="00BD7505" w:rsidP="00BD7505">
      <w:p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>Respecto a la evolución del programa de Acogimiento Familiar, se detallan los acogimientos constituidos en los años 2014-2018</w:t>
      </w:r>
      <w:r w:rsidR="00856CDE" w:rsidRPr="00470070">
        <w:rPr>
          <w:rFonts w:ascii="Arial" w:hAnsi="Arial" w:cs="Arial"/>
        </w:rPr>
        <w:t>,</w:t>
      </w:r>
      <w:r w:rsidRPr="00470070">
        <w:rPr>
          <w:rFonts w:ascii="Arial" w:hAnsi="Arial" w:cs="Arial"/>
        </w:rPr>
        <w:t xml:space="preserve"> por tipo de acogimiento:</w:t>
      </w:r>
    </w:p>
    <w:tbl>
      <w:tblPr>
        <w:tblW w:w="915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1452"/>
        <w:gridCol w:w="1453"/>
        <w:gridCol w:w="1453"/>
        <w:gridCol w:w="1453"/>
        <w:gridCol w:w="1170"/>
        <w:gridCol w:w="1171"/>
      </w:tblGrid>
      <w:tr w:rsidR="00BD7505" w:rsidRPr="00470070" w:rsidTr="00856CDE">
        <w:trPr>
          <w:trHeight w:val="402"/>
        </w:trPr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Temporales en familia…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Permanentes en familia…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Urgencia</w:t>
            </w:r>
          </w:p>
        </w:tc>
        <w:tc>
          <w:tcPr>
            <w:tcW w:w="117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BD7505" w:rsidRPr="00470070" w:rsidTr="00856CDE">
        <w:trPr>
          <w:trHeight w:val="40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… ajena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… extensa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… ajena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… extensa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D7505" w:rsidRPr="00470070" w:rsidTr="00856CDE">
        <w:trPr>
          <w:trHeight w:val="40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</w:tr>
      <w:tr w:rsidR="00BD7505" w:rsidRPr="00470070" w:rsidTr="00856CDE">
        <w:trPr>
          <w:trHeight w:val="40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</w:tr>
      <w:tr w:rsidR="00BD7505" w:rsidRPr="00470070" w:rsidTr="00856CDE">
        <w:trPr>
          <w:trHeight w:val="40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</w:tr>
      <w:tr w:rsidR="00BD7505" w:rsidRPr="00470070" w:rsidTr="00856CDE">
        <w:trPr>
          <w:trHeight w:val="40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BD7505" w:rsidRPr="00470070" w:rsidTr="00856CDE">
        <w:trPr>
          <w:trHeight w:val="40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2018 (*)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505" w:rsidRPr="00470070" w:rsidRDefault="00856CDE" w:rsidP="00BD75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31</w:t>
            </w:r>
          </w:p>
        </w:tc>
      </w:tr>
    </w:tbl>
    <w:p w:rsidR="00642C42" w:rsidRPr="00470070" w:rsidRDefault="00BD7505" w:rsidP="00BD7505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470070">
        <w:rPr>
          <w:rFonts w:ascii="Arial" w:hAnsi="Arial" w:cs="Arial"/>
          <w:sz w:val="16"/>
          <w:szCs w:val="16"/>
        </w:rPr>
        <w:t>(*) Datos hasta 30/09/2018</w:t>
      </w:r>
    </w:p>
    <w:p w:rsidR="0084410E" w:rsidRPr="00470070" w:rsidRDefault="0084410E" w:rsidP="0084410E">
      <w:pPr>
        <w:spacing w:after="120" w:line="360" w:lineRule="auto"/>
        <w:jc w:val="both"/>
        <w:rPr>
          <w:rFonts w:ascii="Arial" w:hAnsi="Arial" w:cs="Arial"/>
          <w:i/>
        </w:rPr>
      </w:pPr>
      <w:r w:rsidRPr="00470070">
        <w:rPr>
          <w:rFonts w:ascii="Arial" w:hAnsi="Arial" w:cs="Arial"/>
          <w:i/>
        </w:rPr>
        <w:t>Personal del Departamento del ámbito de Menores destinado a la atención delas familias acogedoras. Evolución del personal de 2015 a la actualidad.</w:t>
      </w:r>
    </w:p>
    <w:p w:rsidR="00BD7505" w:rsidRPr="00BC6F3C" w:rsidRDefault="00BD7505" w:rsidP="00BC6F3C">
      <w:pPr>
        <w:spacing w:after="120" w:line="360" w:lineRule="auto"/>
        <w:ind w:right="-427"/>
        <w:jc w:val="center"/>
        <w:rPr>
          <w:rFonts w:ascii="Arial" w:hAnsi="Arial" w:cs="Arial"/>
          <w:sz w:val="19"/>
          <w:szCs w:val="19"/>
        </w:rPr>
      </w:pPr>
      <w:bookmarkStart w:id="0" w:name="_GoBack"/>
      <w:r w:rsidRPr="00BC6F3C">
        <w:rPr>
          <w:rFonts w:ascii="Arial" w:hAnsi="Arial" w:cs="Arial"/>
          <w:sz w:val="19"/>
          <w:szCs w:val="19"/>
        </w:rPr>
        <w:t>Personal del Departamento destinado a la atención del programa de Acogimiento Familiar:</w:t>
      </w:r>
    </w:p>
    <w:tbl>
      <w:tblPr>
        <w:tblW w:w="895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296"/>
        <w:gridCol w:w="1388"/>
        <w:gridCol w:w="1388"/>
        <w:gridCol w:w="1388"/>
        <w:gridCol w:w="1388"/>
        <w:gridCol w:w="1388"/>
      </w:tblGrid>
      <w:tr w:rsidR="00BD7505" w:rsidRPr="00470070" w:rsidTr="00470070">
        <w:trPr>
          <w:trHeight w:val="586"/>
        </w:trPr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Jefe/a de Sección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Jefe/a de Negociado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Psicólogo/a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Trabajador/a Social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Educador/a Social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BD7505" w:rsidRPr="00470070" w:rsidTr="00470070">
        <w:trPr>
          <w:trHeight w:val="4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D7505" w:rsidRPr="00470070" w:rsidTr="00470070">
        <w:trPr>
          <w:trHeight w:val="4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D7505" w:rsidRPr="00470070" w:rsidTr="00470070">
        <w:trPr>
          <w:trHeight w:val="4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D7505" w:rsidRPr="00470070" w:rsidTr="00470070">
        <w:trPr>
          <w:trHeight w:val="4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505" w:rsidRPr="00470070" w:rsidRDefault="00BD7505" w:rsidP="00BD7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7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bookmarkEnd w:id="0"/>
    </w:tbl>
    <w:p w:rsidR="00EA2D5B" w:rsidRPr="00470070" w:rsidRDefault="00EA2D5B" w:rsidP="00CA544A">
      <w:pPr>
        <w:spacing w:after="120" w:line="360" w:lineRule="auto"/>
        <w:jc w:val="both"/>
        <w:rPr>
          <w:rFonts w:ascii="Arial" w:hAnsi="Arial" w:cs="Arial"/>
        </w:rPr>
      </w:pPr>
    </w:p>
    <w:p w:rsidR="00642C42" w:rsidRPr="00470070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 w:rsidRPr="00470070">
        <w:rPr>
          <w:rFonts w:ascii="Arial" w:hAnsi="Arial" w:cs="Arial"/>
        </w:rPr>
        <w:t>Es cuanto tengo el honor de informar en cumplimiento del artículo 1</w:t>
      </w:r>
      <w:r w:rsidR="00642C42" w:rsidRPr="00470070">
        <w:rPr>
          <w:rFonts w:ascii="Arial" w:hAnsi="Arial" w:cs="Arial"/>
        </w:rPr>
        <w:t>9</w:t>
      </w:r>
      <w:r w:rsidRPr="00470070">
        <w:rPr>
          <w:rFonts w:ascii="Arial" w:hAnsi="Arial" w:cs="Arial"/>
        </w:rPr>
        <w:t>4 del Reglamento del Parlamento de Navarra.</w:t>
      </w:r>
    </w:p>
    <w:p w:rsidR="00642C42" w:rsidRPr="00470070" w:rsidRDefault="0006150C" w:rsidP="00CA544A">
      <w:pPr>
        <w:spacing w:after="120" w:line="360" w:lineRule="auto"/>
        <w:jc w:val="center"/>
        <w:outlineLvl w:val="0"/>
        <w:rPr>
          <w:rFonts w:ascii="Arial" w:hAnsi="Arial" w:cs="Arial"/>
        </w:rPr>
      </w:pPr>
      <w:r w:rsidRPr="00470070">
        <w:rPr>
          <w:rFonts w:ascii="Arial" w:hAnsi="Arial" w:cs="Arial"/>
        </w:rPr>
        <w:t xml:space="preserve">Pamplona, </w:t>
      </w:r>
      <w:r w:rsidR="00BD7505" w:rsidRPr="00470070">
        <w:rPr>
          <w:rFonts w:ascii="Arial" w:hAnsi="Arial" w:cs="Arial"/>
        </w:rPr>
        <w:t>11 de octubre</w:t>
      </w:r>
      <w:r w:rsidR="00E20828" w:rsidRPr="00470070">
        <w:rPr>
          <w:rFonts w:ascii="Arial" w:hAnsi="Arial" w:cs="Arial"/>
        </w:rPr>
        <w:t xml:space="preserve"> de 2018</w:t>
      </w:r>
      <w:r w:rsidRPr="00470070">
        <w:rPr>
          <w:rFonts w:ascii="Arial" w:hAnsi="Arial" w:cs="Arial"/>
        </w:rPr>
        <w:t>.</w:t>
      </w:r>
    </w:p>
    <w:p w:rsidR="0006150C" w:rsidRPr="00470070" w:rsidRDefault="00D45F8B" w:rsidP="00642C42">
      <w:pPr>
        <w:spacing w:after="120" w:line="360" w:lineRule="auto"/>
        <w:jc w:val="center"/>
        <w:rPr>
          <w:rFonts w:ascii="Arial" w:hAnsi="Arial" w:cs="Arial"/>
        </w:rPr>
      </w:pPr>
      <w:r w:rsidRPr="00470070">
        <w:rPr>
          <w:rFonts w:ascii="Arial" w:hAnsi="Arial" w:cs="Arial"/>
        </w:rPr>
        <w:t xml:space="preserve">El </w:t>
      </w:r>
      <w:r w:rsidR="00F15BE5" w:rsidRPr="00470070">
        <w:rPr>
          <w:rFonts w:ascii="Arial" w:hAnsi="Arial" w:cs="Arial"/>
        </w:rPr>
        <w:t>Consejero</w:t>
      </w:r>
      <w:r w:rsidRPr="00470070">
        <w:rPr>
          <w:rFonts w:ascii="Arial" w:hAnsi="Arial" w:cs="Arial"/>
        </w:rPr>
        <w:t xml:space="preserve"> de Derechos Sociales</w:t>
      </w:r>
      <w:r w:rsidR="00642C42" w:rsidRPr="00470070">
        <w:rPr>
          <w:rFonts w:ascii="Arial" w:hAnsi="Arial" w:cs="Arial"/>
        </w:rPr>
        <w:t xml:space="preserve">: </w:t>
      </w:r>
      <w:r w:rsidRPr="00470070">
        <w:rPr>
          <w:rFonts w:ascii="Arial" w:hAnsi="Arial" w:cs="Arial"/>
        </w:rPr>
        <w:t xml:space="preserve">Miguel </w:t>
      </w:r>
      <w:proofErr w:type="spellStart"/>
      <w:r w:rsidRPr="00470070">
        <w:rPr>
          <w:rFonts w:ascii="Arial" w:hAnsi="Arial" w:cs="Arial"/>
        </w:rPr>
        <w:t>Laparra</w:t>
      </w:r>
      <w:proofErr w:type="spellEnd"/>
      <w:r w:rsidRPr="00470070">
        <w:rPr>
          <w:rFonts w:ascii="Arial" w:hAnsi="Arial" w:cs="Arial"/>
        </w:rPr>
        <w:t xml:space="preserve"> Navarro</w:t>
      </w:r>
    </w:p>
    <w:sectPr w:rsidR="0006150C" w:rsidRPr="00470070" w:rsidSect="00642C42">
      <w:headerReference w:type="default" r:id="rId8"/>
      <w:pgSz w:w="11906" w:h="16838" w:code="9"/>
      <w:pgMar w:top="1135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71" w:rsidRDefault="002A5B71">
      <w:r>
        <w:separator/>
      </w:r>
    </w:p>
  </w:endnote>
  <w:endnote w:type="continuationSeparator" w:id="0">
    <w:p w:rsidR="002A5B71" w:rsidRDefault="002A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71" w:rsidRDefault="002A5B71">
      <w:r>
        <w:separator/>
      </w:r>
    </w:p>
  </w:footnote>
  <w:footnote w:type="continuationSeparator" w:id="0">
    <w:p w:rsidR="002A5B71" w:rsidRDefault="002A5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27EE5"/>
    <w:multiLevelType w:val="hybridMultilevel"/>
    <w:tmpl w:val="BB125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7B3B66"/>
    <w:multiLevelType w:val="hybridMultilevel"/>
    <w:tmpl w:val="CDA02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6150C"/>
    <w:rsid w:val="00065565"/>
    <w:rsid w:val="001207D5"/>
    <w:rsid w:val="0015056C"/>
    <w:rsid w:val="0019679B"/>
    <w:rsid w:val="001D2F3E"/>
    <w:rsid w:val="00225C7D"/>
    <w:rsid w:val="00240BC3"/>
    <w:rsid w:val="00241092"/>
    <w:rsid w:val="00252442"/>
    <w:rsid w:val="002A5B71"/>
    <w:rsid w:val="002D0B65"/>
    <w:rsid w:val="00332E76"/>
    <w:rsid w:val="00360281"/>
    <w:rsid w:val="00360CD5"/>
    <w:rsid w:val="003770D5"/>
    <w:rsid w:val="003860DD"/>
    <w:rsid w:val="003926A4"/>
    <w:rsid w:val="00394EE0"/>
    <w:rsid w:val="003E7CAB"/>
    <w:rsid w:val="00411E0B"/>
    <w:rsid w:val="00462A9A"/>
    <w:rsid w:val="00470070"/>
    <w:rsid w:val="004C1A1B"/>
    <w:rsid w:val="004D3ACF"/>
    <w:rsid w:val="004F7FAC"/>
    <w:rsid w:val="0055627E"/>
    <w:rsid w:val="0056046D"/>
    <w:rsid w:val="0058384E"/>
    <w:rsid w:val="005A70B9"/>
    <w:rsid w:val="005D4333"/>
    <w:rsid w:val="005E5A1A"/>
    <w:rsid w:val="00625CDC"/>
    <w:rsid w:val="006345F0"/>
    <w:rsid w:val="00641778"/>
    <w:rsid w:val="00642C42"/>
    <w:rsid w:val="00654559"/>
    <w:rsid w:val="00666A3F"/>
    <w:rsid w:val="007008C6"/>
    <w:rsid w:val="007130CC"/>
    <w:rsid w:val="0072343A"/>
    <w:rsid w:val="007477D1"/>
    <w:rsid w:val="007704FF"/>
    <w:rsid w:val="0077073F"/>
    <w:rsid w:val="007749E1"/>
    <w:rsid w:val="007A7B54"/>
    <w:rsid w:val="007E0158"/>
    <w:rsid w:val="0080339F"/>
    <w:rsid w:val="008230A2"/>
    <w:rsid w:val="00832DA8"/>
    <w:rsid w:val="0084410E"/>
    <w:rsid w:val="008442C4"/>
    <w:rsid w:val="00856CDE"/>
    <w:rsid w:val="00865890"/>
    <w:rsid w:val="008A7332"/>
    <w:rsid w:val="008E030C"/>
    <w:rsid w:val="008F0A77"/>
    <w:rsid w:val="00970F18"/>
    <w:rsid w:val="00980A6E"/>
    <w:rsid w:val="009A245D"/>
    <w:rsid w:val="009C1765"/>
    <w:rsid w:val="009D7AC7"/>
    <w:rsid w:val="00A90748"/>
    <w:rsid w:val="00AA3582"/>
    <w:rsid w:val="00AB306A"/>
    <w:rsid w:val="00AB6B67"/>
    <w:rsid w:val="00B123A0"/>
    <w:rsid w:val="00B613DA"/>
    <w:rsid w:val="00B6563A"/>
    <w:rsid w:val="00B67C4B"/>
    <w:rsid w:val="00BC6F3C"/>
    <w:rsid w:val="00BD7505"/>
    <w:rsid w:val="00BF65B2"/>
    <w:rsid w:val="00C01B8F"/>
    <w:rsid w:val="00C517F4"/>
    <w:rsid w:val="00C703AD"/>
    <w:rsid w:val="00CA544A"/>
    <w:rsid w:val="00CB0E0F"/>
    <w:rsid w:val="00CB1CBC"/>
    <w:rsid w:val="00CC0679"/>
    <w:rsid w:val="00CD7DE9"/>
    <w:rsid w:val="00CE5F5F"/>
    <w:rsid w:val="00D16EAB"/>
    <w:rsid w:val="00D2483A"/>
    <w:rsid w:val="00D45F8B"/>
    <w:rsid w:val="00DC2615"/>
    <w:rsid w:val="00DD3F5C"/>
    <w:rsid w:val="00E023C6"/>
    <w:rsid w:val="00E179F4"/>
    <w:rsid w:val="00E20828"/>
    <w:rsid w:val="00E26C41"/>
    <w:rsid w:val="00E4466D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customStyle="1" w:styleId="Default">
    <w:name w:val="Default"/>
    <w:rsid w:val="00BD75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D75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240B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40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customStyle="1" w:styleId="Default">
    <w:name w:val="Default"/>
    <w:rsid w:val="00BD75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D75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240B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40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Iñaki De Santiago</cp:lastModifiedBy>
  <cp:revision>5</cp:revision>
  <cp:lastPrinted>2018-10-15T07:49:00Z</cp:lastPrinted>
  <dcterms:created xsi:type="dcterms:W3CDTF">2018-10-15T11:56:00Z</dcterms:created>
  <dcterms:modified xsi:type="dcterms:W3CDTF">2019-01-30T08:21:00Z</dcterms:modified>
</cp:coreProperties>
</file>