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3" w:rsidRPr="00E76C9B" w:rsidRDefault="009573E3" w:rsidP="00E42B87">
      <w:pPr>
        <w:pStyle w:val="NormalWeb"/>
        <w:spacing w:line="360" w:lineRule="auto"/>
        <w:ind w:firstLine="708"/>
        <w:jc w:val="both"/>
        <w:rPr>
          <w:rFonts w:ascii="Arial" w:hAnsi="Arial" w:cs="Arial"/>
          <w:sz w:val="22"/>
          <w:szCs w:val="22"/>
        </w:rPr>
      </w:pPr>
      <w:r w:rsidRPr="00824709">
        <w:rPr>
          <w:rFonts w:ascii="Arial" w:hAnsi="Arial" w:cs="Arial"/>
          <w:color w:val="000000"/>
          <w:sz w:val="22"/>
          <w:szCs w:val="22"/>
        </w:rPr>
        <w:t>La Consejera de Desarrollo Rural, Medio Ambiente y Administración Local, en relación con la</w:t>
      </w:r>
      <w:r w:rsidR="00BA2B0D" w:rsidRPr="00824709">
        <w:rPr>
          <w:rFonts w:ascii="Arial" w:hAnsi="Arial" w:cs="Arial"/>
          <w:color w:val="000000"/>
          <w:sz w:val="22"/>
          <w:szCs w:val="22"/>
        </w:rPr>
        <w:t>s</w:t>
      </w:r>
      <w:r w:rsidRPr="00824709">
        <w:rPr>
          <w:rFonts w:ascii="Arial" w:hAnsi="Arial" w:cs="Arial"/>
          <w:color w:val="000000"/>
          <w:sz w:val="22"/>
          <w:szCs w:val="22"/>
        </w:rPr>
        <w:t xml:space="preserve"> pregunta</w:t>
      </w:r>
      <w:r w:rsidR="00BA2B0D" w:rsidRPr="00824709">
        <w:rPr>
          <w:rFonts w:ascii="Arial" w:hAnsi="Arial" w:cs="Arial"/>
          <w:color w:val="000000"/>
          <w:sz w:val="22"/>
          <w:szCs w:val="22"/>
        </w:rPr>
        <w:t>s</w:t>
      </w:r>
      <w:r w:rsidRPr="00824709">
        <w:rPr>
          <w:rFonts w:ascii="Arial" w:hAnsi="Arial" w:cs="Arial"/>
          <w:color w:val="000000"/>
          <w:sz w:val="22"/>
          <w:szCs w:val="22"/>
        </w:rPr>
        <w:t xml:space="preserve"> para su contestación por escrito formulada</w:t>
      </w:r>
      <w:r w:rsidR="00BA2B0D" w:rsidRPr="00824709">
        <w:rPr>
          <w:rFonts w:ascii="Arial" w:hAnsi="Arial" w:cs="Arial"/>
          <w:color w:val="000000"/>
          <w:sz w:val="22"/>
          <w:szCs w:val="22"/>
        </w:rPr>
        <w:t>s</w:t>
      </w:r>
      <w:r w:rsidRPr="00824709">
        <w:rPr>
          <w:rFonts w:ascii="Arial" w:hAnsi="Arial" w:cs="Arial"/>
          <w:color w:val="000000"/>
          <w:sz w:val="22"/>
          <w:szCs w:val="22"/>
        </w:rPr>
        <w:t xml:space="preserve"> por </w:t>
      </w:r>
      <w:r w:rsidR="00E42B87">
        <w:rPr>
          <w:rFonts w:ascii="DejaVuSerif" w:hAnsi="DejaVuSerif" w:cs="DejaVuSerif"/>
        </w:rPr>
        <w:t xml:space="preserve">el </w:t>
      </w:r>
      <w:r w:rsidR="00E42B87" w:rsidRPr="00E42B87">
        <w:rPr>
          <w:rFonts w:ascii="Arial" w:hAnsi="Arial" w:cs="Arial"/>
          <w:color w:val="000000"/>
          <w:sz w:val="22"/>
          <w:szCs w:val="22"/>
        </w:rPr>
        <w:t>Parlamentario Foral Ilmo.</w:t>
      </w:r>
      <w:r w:rsidR="00E42B87">
        <w:rPr>
          <w:rFonts w:ascii="DejaVuSerif" w:hAnsi="DejaVuSerif" w:cs="DejaVuSerif"/>
        </w:rPr>
        <w:t xml:space="preserve"> Sr. D.</w:t>
      </w:r>
      <w:r w:rsidR="00E42B87" w:rsidRPr="00824709">
        <w:rPr>
          <w:rFonts w:ascii="Arial" w:hAnsi="Arial" w:cs="Arial"/>
          <w:color w:val="000000"/>
          <w:sz w:val="22"/>
          <w:szCs w:val="22"/>
        </w:rPr>
        <w:t xml:space="preserve"> </w:t>
      </w:r>
      <w:r w:rsidR="00C92EC7" w:rsidRPr="00824709">
        <w:rPr>
          <w:rFonts w:ascii="Arial" w:hAnsi="Arial" w:cs="Arial"/>
          <w:color w:val="000000"/>
          <w:sz w:val="22"/>
          <w:szCs w:val="22"/>
        </w:rPr>
        <w:t>Alberto Catalán Higueras</w:t>
      </w:r>
      <w:r w:rsidRPr="00824709">
        <w:rPr>
          <w:rFonts w:ascii="Arial" w:hAnsi="Arial" w:cs="Arial"/>
          <w:color w:val="000000"/>
          <w:sz w:val="22"/>
          <w:szCs w:val="22"/>
        </w:rPr>
        <w:t>,</w:t>
      </w:r>
      <w:bookmarkStart w:id="0" w:name="Listadesplegable5"/>
      <w:r w:rsidRPr="00824709">
        <w:rPr>
          <w:rFonts w:ascii="Arial" w:hAnsi="Arial" w:cs="Arial"/>
          <w:color w:val="000000"/>
          <w:sz w:val="22"/>
          <w:szCs w:val="22"/>
        </w:rPr>
        <w:t xml:space="preserve"> </w:t>
      </w:r>
      <w:bookmarkEnd w:id="0"/>
      <w:r w:rsidR="00E42B87">
        <w:rPr>
          <w:rFonts w:ascii="Arial" w:hAnsi="Arial" w:cs="Arial"/>
          <w:color w:val="000000"/>
          <w:sz w:val="22"/>
          <w:szCs w:val="22"/>
        </w:rPr>
        <w:t xml:space="preserve">adscrito </w:t>
      </w:r>
      <w:r w:rsidRPr="00824709">
        <w:rPr>
          <w:rFonts w:ascii="Arial" w:hAnsi="Arial" w:cs="Arial"/>
          <w:color w:val="000000"/>
          <w:sz w:val="22"/>
          <w:szCs w:val="22"/>
        </w:rPr>
        <w:t xml:space="preserve">al Grupo Parlamentario </w:t>
      </w:r>
      <w:r w:rsidR="00E42B87">
        <w:rPr>
          <w:rFonts w:ascii="Arial" w:hAnsi="Arial" w:cs="Arial"/>
          <w:color w:val="000000"/>
          <w:sz w:val="22"/>
          <w:szCs w:val="22"/>
        </w:rPr>
        <w:t>Unión del Pueblo Navarro</w:t>
      </w:r>
      <w:r w:rsidR="00D56BC4" w:rsidRPr="00824709">
        <w:rPr>
          <w:rFonts w:ascii="Arial" w:hAnsi="Arial" w:cs="Arial"/>
          <w:color w:val="000000"/>
          <w:sz w:val="22"/>
          <w:szCs w:val="22"/>
        </w:rPr>
        <w:t xml:space="preserve"> (UPN)</w:t>
      </w:r>
      <w:r w:rsidRPr="00824709">
        <w:rPr>
          <w:rFonts w:ascii="Arial" w:hAnsi="Arial" w:cs="Arial"/>
          <w:color w:val="000000"/>
          <w:sz w:val="22"/>
          <w:szCs w:val="22"/>
        </w:rPr>
        <w:t xml:space="preserve">, </w:t>
      </w:r>
      <w:r w:rsidR="00901293" w:rsidRPr="00E76C9B">
        <w:rPr>
          <w:rFonts w:ascii="Arial" w:hAnsi="Arial" w:cs="Arial"/>
          <w:sz w:val="22"/>
          <w:szCs w:val="22"/>
        </w:rPr>
        <w:t>(</w:t>
      </w:r>
      <w:r w:rsidR="00440B04" w:rsidRPr="00E76C9B">
        <w:rPr>
          <w:rFonts w:ascii="Arial" w:hAnsi="Arial" w:cs="Arial"/>
          <w:b/>
          <w:sz w:val="22"/>
          <w:szCs w:val="22"/>
        </w:rPr>
        <w:t>9</w:t>
      </w:r>
      <w:r w:rsidR="00710131" w:rsidRPr="00E76C9B">
        <w:rPr>
          <w:rFonts w:ascii="Arial" w:hAnsi="Arial" w:cs="Arial"/>
          <w:b/>
          <w:sz w:val="22"/>
          <w:szCs w:val="22"/>
        </w:rPr>
        <w:t>-1</w:t>
      </w:r>
      <w:r w:rsidR="00BA2B0D" w:rsidRPr="00E76C9B">
        <w:rPr>
          <w:rFonts w:ascii="Arial" w:hAnsi="Arial" w:cs="Arial"/>
          <w:b/>
          <w:sz w:val="22"/>
          <w:szCs w:val="22"/>
        </w:rPr>
        <w:t>8</w:t>
      </w:r>
      <w:r w:rsidR="00901293" w:rsidRPr="00E76C9B">
        <w:rPr>
          <w:rFonts w:ascii="Arial" w:hAnsi="Arial" w:cs="Arial"/>
          <w:b/>
          <w:sz w:val="22"/>
          <w:szCs w:val="22"/>
        </w:rPr>
        <w:t>-/PES-00</w:t>
      </w:r>
      <w:r w:rsidR="00E76C9B" w:rsidRPr="00E76C9B">
        <w:rPr>
          <w:rFonts w:ascii="Arial" w:hAnsi="Arial" w:cs="Arial"/>
          <w:b/>
          <w:sz w:val="22"/>
          <w:szCs w:val="22"/>
        </w:rPr>
        <w:t>2</w:t>
      </w:r>
      <w:r w:rsidR="00C92EC7">
        <w:rPr>
          <w:rFonts w:ascii="Arial" w:hAnsi="Arial" w:cs="Arial"/>
          <w:b/>
          <w:sz w:val="22"/>
          <w:szCs w:val="22"/>
        </w:rPr>
        <w:t>48</w:t>
      </w:r>
      <w:r w:rsidR="00901293" w:rsidRPr="00E76C9B">
        <w:rPr>
          <w:rFonts w:ascii="Arial" w:hAnsi="Arial" w:cs="Arial"/>
          <w:b/>
          <w:sz w:val="22"/>
          <w:szCs w:val="22"/>
        </w:rPr>
        <w:t>)</w:t>
      </w:r>
      <w:r w:rsidR="00901293" w:rsidRPr="00E76C9B">
        <w:rPr>
          <w:rFonts w:ascii="Arial" w:hAnsi="Arial" w:cs="Arial"/>
          <w:sz w:val="22"/>
          <w:szCs w:val="22"/>
        </w:rPr>
        <w:t>, tiene el honor de remitirle la siguiente contestación:</w:t>
      </w:r>
    </w:p>
    <w:p w:rsidR="00E42B87" w:rsidRDefault="00F41082" w:rsidP="00F41082">
      <w:pPr>
        <w:spacing w:line="276" w:lineRule="auto"/>
        <w:jc w:val="both"/>
        <w:rPr>
          <w:rFonts w:ascii="Arial" w:hAnsi="Arial" w:cs="Arial"/>
          <w:b/>
          <w:sz w:val="22"/>
          <w:szCs w:val="22"/>
          <w:lang w:val="es-ES_tradnl"/>
        </w:rPr>
      </w:pPr>
      <w:r w:rsidRPr="00F41082">
        <w:rPr>
          <w:rFonts w:ascii="Arial" w:hAnsi="Arial" w:cs="Arial"/>
          <w:b/>
          <w:sz w:val="22"/>
          <w:szCs w:val="22"/>
          <w:lang w:val="es-ES_tradnl"/>
        </w:rPr>
        <w:t>.- ¿Qué decisiones ha adoptado el Gobierno de Navarra para conservar e incrementar la reforestación con especies autóctonas la masa forestal en la Ribera?</w:t>
      </w:r>
    </w:p>
    <w:p w:rsidR="009624F8" w:rsidRDefault="009624F8" w:rsidP="009624F8">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 xml:space="preserve">Gran parte de las políticas que se llevan a cabo en el medio rural y, especialmente aquellas orientadas a la restauración, preservación y mejora de los ecosistemas relacionados con la agricultura y selvicultura, la </w:t>
      </w:r>
      <w:r w:rsidRPr="00C57A5D">
        <w:rPr>
          <w:rFonts w:ascii="Arial" w:hAnsi="Arial" w:cs="Arial"/>
          <w:color w:val="000000"/>
          <w:sz w:val="22"/>
          <w:szCs w:val="22"/>
        </w:rPr>
        <w:t>promoción de la eficiencia de los recursos y el paso a una economía baja en carbono, capaz de adaptarse al cambio climático en los sectores agrícola, alimentario y forestal</w:t>
      </w:r>
      <w:r>
        <w:rPr>
          <w:rFonts w:ascii="Arial" w:hAnsi="Arial" w:cs="Arial"/>
          <w:color w:val="000000"/>
          <w:sz w:val="22"/>
          <w:szCs w:val="22"/>
        </w:rPr>
        <w:t xml:space="preserve"> se articulan bajo el paraguas de los denominados Programas de Desarrollo Rural. El actual Programa de Desarrollo Rural de Navarra fue aprobado por la Comisión Europea el 18 de noviembre de 2015 y de él se desprenden gran parte de las medidas.</w:t>
      </w:r>
    </w:p>
    <w:p w:rsidR="009624F8" w:rsidRDefault="009624F8" w:rsidP="009624F8">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En el apartado de Análisis DAFO y detección de necesidades previo al documento ya mencionado se identifica como necesidad el “</w:t>
      </w:r>
      <w:r w:rsidRPr="00A8529C">
        <w:rPr>
          <w:rFonts w:ascii="Arial" w:hAnsi="Arial" w:cs="Arial"/>
          <w:i/>
          <w:color w:val="000000"/>
          <w:sz w:val="22"/>
          <w:szCs w:val="22"/>
        </w:rPr>
        <w:t>Aumento de la superficie arbolada en las zonas rurales”</w:t>
      </w:r>
      <w:r>
        <w:rPr>
          <w:rFonts w:ascii="Arial" w:hAnsi="Arial" w:cs="Arial"/>
          <w:color w:val="000000"/>
          <w:sz w:val="22"/>
          <w:szCs w:val="22"/>
        </w:rPr>
        <w:t xml:space="preserve"> a pesar de que la región cuenta con una importante superficie forestal (60% del total de superficie de Navarra es forestal) y de ella el 73,54% es arbolada (Fuente: Cuarto Inventario Forestal Nacional). Dicha necesidad se argumenta en la conveniencia de continuar con las actuaciones tendentes a aumentar dicha superficie tanto en terrenos</w:t>
      </w:r>
      <w:bookmarkStart w:id="1" w:name="_GoBack"/>
      <w:bookmarkEnd w:id="1"/>
      <w:r>
        <w:rPr>
          <w:rFonts w:ascii="Arial" w:hAnsi="Arial" w:cs="Arial"/>
          <w:color w:val="000000"/>
          <w:sz w:val="22"/>
          <w:szCs w:val="22"/>
        </w:rPr>
        <w:t xml:space="preserve"> agrarios como forestales y, especialmente, en aquellas zonas afectadas por riesgos naturales y antrópicos, c</w:t>
      </w:r>
      <w:r w:rsidRPr="00C57A5D">
        <w:rPr>
          <w:rFonts w:ascii="Arial" w:hAnsi="Arial" w:cs="Arial"/>
          <w:color w:val="000000"/>
          <w:sz w:val="22"/>
          <w:szCs w:val="22"/>
        </w:rPr>
        <w:t>ombina</w:t>
      </w:r>
      <w:r>
        <w:rPr>
          <w:rFonts w:ascii="Arial" w:hAnsi="Arial" w:cs="Arial"/>
          <w:color w:val="000000"/>
          <w:sz w:val="22"/>
          <w:szCs w:val="22"/>
        </w:rPr>
        <w:t>ndo</w:t>
      </w:r>
      <w:r w:rsidRPr="00C57A5D">
        <w:rPr>
          <w:rFonts w:ascii="Arial" w:hAnsi="Arial" w:cs="Arial"/>
          <w:color w:val="000000"/>
          <w:sz w:val="22"/>
          <w:szCs w:val="22"/>
        </w:rPr>
        <w:t xml:space="preserve"> un doble beneficio: por una parte, mejora</w:t>
      </w:r>
      <w:r>
        <w:rPr>
          <w:rFonts w:ascii="Arial" w:hAnsi="Arial" w:cs="Arial"/>
          <w:color w:val="000000"/>
          <w:sz w:val="22"/>
          <w:szCs w:val="22"/>
        </w:rPr>
        <w:t>ndo</w:t>
      </w:r>
      <w:r w:rsidRPr="00C57A5D">
        <w:rPr>
          <w:rFonts w:ascii="Arial" w:hAnsi="Arial" w:cs="Arial"/>
          <w:color w:val="000000"/>
          <w:sz w:val="22"/>
          <w:szCs w:val="22"/>
        </w:rPr>
        <w:t xml:space="preserve"> o mant</w:t>
      </w:r>
      <w:r>
        <w:rPr>
          <w:rFonts w:ascii="Arial" w:hAnsi="Arial" w:cs="Arial"/>
          <w:color w:val="000000"/>
          <w:sz w:val="22"/>
          <w:szCs w:val="22"/>
        </w:rPr>
        <w:t>eniendo</w:t>
      </w:r>
      <w:r w:rsidRPr="00C57A5D">
        <w:rPr>
          <w:rFonts w:ascii="Arial" w:hAnsi="Arial" w:cs="Arial"/>
          <w:color w:val="000000"/>
          <w:sz w:val="22"/>
          <w:szCs w:val="22"/>
        </w:rPr>
        <w:t xml:space="preserve"> el medio ambiente y, por otra, mitiga</w:t>
      </w:r>
      <w:r>
        <w:rPr>
          <w:rFonts w:ascii="Arial" w:hAnsi="Arial" w:cs="Arial"/>
          <w:color w:val="000000"/>
          <w:sz w:val="22"/>
          <w:szCs w:val="22"/>
        </w:rPr>
        <w:t>ndo</w:t>
      </w:r>
      <w:r w:rsidRPr="00C57A5D">
        <w:rPr>
          <w:rFonts w:ascii="Arial" w:hAnsi="Arial" w:cs="Arial"/>
          <w:color w:val="000000"/>
          <w:sz w:val="22"/>
          <w:szCs w:val="22"/>
        </w:rPr>
        <w:t>, en la medida de lo posible, el cambio climático.</w:t>
      </w:r>
    </w:p>
    <w:p w:rsidR="009624F8" w:rsidRDefault="009624F8" w:rsidP="009624F8">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 xml:space="preserve">Dicha necesidad descrita y argumentada en el Análisis DAFO del Programa se materializa posteriormente en el desarrollo de la Medida 8 del Programa de Desarrollo Rural de Navarra. Dicha medida 8 denominada </w:t>
      </w:r>
      <w:r w:rsidRPr="00D75349">
        <w:rPr>
          <w:rFonts w:ascii="Arial" w:hAnsi="Arial" w:cs="Arial"/>
          <w:i/>
          <w:color w:val="000000"/>
          <w:sz w:val="22"/>
          <w:szCs w:val="22"/>
        </w:rPr>
        <w:t>“Inversiones en el desarrollo de zonas forestales y mejora de la viabilidad de los bosques”</w:t>
      </w:r>
      <w:r>
        <w:rPr>
          <w:rFonts w:ascii="Arial" w:hAnsi="Arial" w:cs="Arial"/>
          <w:color w:val="000000"/>
          <w:sz w:val="22"/>
          <w:szCs w:val="22"/>
        </w:rPr>
        <w:t>.</w:t>
      </w:r>
    </w:p>
    <w:p w:rsidR="009624F8" w:rsidRDefault="009624F8" w:rsidP="009624F8">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Dicha medida, además de encajar lógicamente en la normativa foral en materia de montes, queda encuadrada a nivel europeo en el artículo 21</w:t>
      </w:r>
      <w:r w:rsidRPr="00606C1A">
        <w:rPr>
          <w:rFonts w:ascii="Arial" w:hAnsi="Arial" w:cs="Arial"/>
          <w:color w:val="000000"/>
          <w:sz w:val="22"/>
          <w:szCs w:val="22"/>
        </w:rPr>
        <w:t xml:space="preserve"> del Reglamento (UE) nº 1305/2013 del Parlamento Europeo y del Consejo, de 17 de diciembre de 2013, relativo a la ayuda al desarrollo rural a través del Fondo Europeo Agrícola de Desarrollo Rural (Feader). </w:t>
      </w:r>
    </w:p>
    <w:p w:rsidR="009624F8" w:rsidRDefault="009624F8" w:rsidP="009624F8">
      <w:pPr>
        <w:pStyle w:val="NormalWeb"/>
        <w:spacing w:line="360" w:lineRule="auto"/>
        <w:ind w:firstLine="708"/>
        <w:jc w:val="both"/>
        <w:outlineLvl w:val="0"/>
        <w:rPr>
          <w:rFonts w:ascii="Arial" w:hAnsi="Arial" w:cs="Arial"/>
          <w:color w:val="000000"/>
          <w:sz w:val="22"/>
          <w:szCs w:val="22"/>
        </w:rPr>
      </w:pPr>
      <w:r>
        <w:rPr>
          <w:rFonts w:ascii="Arial" w:hAnsi="Arial" w:cs="Arial"/>
          <w:color w:val="000000"/>
          <w:sz w:val="22"/>
          <w:szCs w:val="22"/>
        </w:rPr>
        <w:t>Dentro de dicha medida se contemplan 5 sub-medidas. A continuación se desarrollan aquellas relacionadas con la pregunta parlamentaria:</w:t>
      </w:r>
    </w:p>
    <w:p w:rsidR="009624F8" w:rsidRDefault="009624F8" w:rsidP="009624F8">
      <w:pPr>
        <w:pStyle w:val="NormalWeb"/>
        <w:numPr>
          <w:ilvl w:val="0"/>
          <w:numId w:val="12"/>
        </w:numPr>
        <w:spacing w:line="360" w:lineRule="auto"/>
        <w:ind w:left="567"/>
        <w:jc w:val="both"/>
        <w:rPr>
          <w:rFonts w:ascii="Arial" w:hAnsi="Arial" w:cs="Arial"/>
          <w:color w:val="000000"/>
          <w:sz w:val="22"/>
          <w:szCs w:val="22"/>
        </w:rPr>
      </w:pPr>
      <w:r>
        <w:rPr>
          <w:rFonts w:ascii="Arial" w:hAnsi="Arial" w:cs="Arial"/>
          <w:color w:val="000000"/>
          <w:sz w:val="22"/>
          <w:szCs w:val="22"/>
        </w:rPr>
        <w:t>A</w:t>
      </w:r>
      <w:r w:rsidRPr="004C5C6C">
        <w:rPr>
          <w:rFonts w:ascii="Arial" w:hAnsi="Arial" w:cs="Arial"/>
          <w:color w:val="000000"/>
          <w:sz w:val="22"/>
          <w:szCs w:val="22"/>
        </w:rPr>
        <w:t>yuda para la reforestación/creación de superficies forestales</w:t>
      </w:r>
      <w:r>
        <w:rPr>
          <w:rFonts w:ascii="Arial" w:hAnsi="Arial" w:cs="Arial"/>
          <w:color w:val="000000"/>
          <w:sz w:val="22"/>
          <w:szCs w:val="22"/>
        </w:rPr>
        <w:t xml:space="preserve">. </w:t>
      </w:r>
      <w:r w:rsidRPr="00B92750">
        <w:rPr>
          <w:rFonts w:ascii="Arial" w:hAnsi="Arial" w:cs="Arial"/>
          <w:i/>
          <w:color w:val="000000"/>
          <w:sz w:val="22"/>
          <w:szCs w:val="22"/>
        </w:rPr>
        <w:t>Se refiere a las medidas asociadas al mantenimiento de plantaciones y pérdida de renta</w:t>
      </w:r>
      <w:r>
        <w:rPr>
          <w:rFonts w:ascii="Arial" w:hAnsi="Arial" w:cs="Arial"/>
          <w:i/>
          <w:color w:val="000000"/>
          <w:sz w:val="22"/>
          <w:szCs w:val="22"/>
        </w:rPr>
        <w:t xml:space="preserve"> de las </w:t>
      </w:r>
      <w:r>
        <w:rPr>
          <w:rFonts w:ascii="Arial" w:hAnsi="Arial" w:cs="Arial"/>
          <w:i/>
          <w:color w:val="000000"/>
          <w:sz w:val="22"/>
          <w:szCs w:val="22"/>
        </w:rPr>
        <w:lastRenderedPageBreak/>
        <w:t xml:space="preserve">anteriores campañas de Reforestación de Terrenos Agrarios. </w:t>
      </w:r>
      <w:bookmarkStart w:id="2" w:name="_Hlk531531242"/>
      <w:r>
        <w:rPr>
          <w:rFonts w:ascii="Arial" w:hAnsi="Arial" w:cs="Arial"/>
          <w:color w:val="000000"/>
          <w:sz w:val="22"/>
          <w:szCs w:val="22"/>
        </w:rPr>
        <w:t>En la Ribera en los últimos años se han abonado las siguientes cuantías.</w:t>
      </w:r>
    </w:p>
    <w:tbl>
      <w:tblPr>
        <w:tblW w:w="8588" w:type="dxa"/>
        <w:tblInd w:w="55" w:type="dxa"/>
        <w:tblCellMar>
          <w:left w:w="70" w:type="dxa"/>
          <w:right w:w="70" w:type="dxa"/>
        </w:tblCellMar>
        <w:tblLook w:val="0000" w:firstRow="0" w:lastRow="0" w:firstColumn="0" w:lastColumn="0" w:noHBand="0" w:noVBand="0"/>
      </w:tblPr>
      <w:tblGrid>
        <w:gridCol w:w="1539"/>
        <w:gridCol w:w="1478"/>
        <w:gridCol w:w="1313"/>
        <w:gridCol w:w="1438"/>
        <w:gridCol w:w="1447"/>
        <w:gridCol w:w="1373"/>
      </w:tblGrid>
      <w:tr w:rsidR="009624F8" w:rsidRPr="00844466" w:rsidTr="00DE316D">
        <w:trPr>
          <w:trHeight w:val="330"/>
        </w:trPr>
        <w:tc>
          <w:tcPr>
            <w:tcW w:w="1539" w:type="dxa"/>
            <w:tcBorders>
              <w:top w:val="single" w:sz="4" w:space="0" w:color="auto"/>
              <w:left w:val="single" w:sz="4" w:space="0" w:color="auto"/>
              <w:bottom w:val="single" w:sz="4" w:space="0" w:color="auto"/>
              <w:right w:val="single" w:sz="4" w:space="0" w:color="auto"/>
            </w:tcBorders>
            <w:shd w:val="clear" w:color="auto" w:fill="CCCCFF"/>
            <w:vAlign w:val="bottom"/>
          </w:tcPr>
          <w:p w:rsidR="009624F8" w:rsidRPr="00844466" w:rsidRDefault="009624F8" w:rsidP="00DE316D">
            <w:pPr>
              <w:jc w:val="center"/>
              <w:rPr>
                <w:rFonts w:ascii="Calibri" w:hAnsi="Calibri"/>
                <w:b/>
                <w:bCs/>
                <w:color w:val="000000"/>
                <w:sz w:val="22"/>
                <w:szCs w:val="22"/>
              </w:rPr>
            </w:pPr>
            <w:r w:rsidRPr="00844466">
              <w:rPr>
                <w:rFonts w:ascii="Calibri" w:hAnsi="Calibri"/>
                <w:b/>
                <w:bCs/>
                <w:color w:val="000000"/>
                <w:sz w:val="22"/>
                <w:szCs w:val="22"/>
              </w:rPr>
              <w:t>2011</w:t>
            </w:r>
          </w:p>
        </w:tc>
        <w:tc>
          <w:tcPr>
            <w:tcW w:w="1478" w:type="dxa"/>
            <w:tcBorders>
              <w:top w:val="single" w:sz="4" w:space="0" w:color="auto"/>
              <w:left w:val="nil"/>
              <w:bottom w:val="single" w:sz="4" w:space="0" w:color="auto"/>
              <w:right w:val="single" w:sz="4" w:space="0" w:color="auto"/>
            </w:tcBorders>
            <w:shd w:val="clear" w:color="auto" w:fill="CCCCFF"/>
            <w:vAlign w:val="bottom"/>
          </w:tcPr>
          <w:p w:rsidR="009624F8" w:rsidRPr="00844466" w:rsidRDefault="009624F8" w:rsidP="00DE316D">
            <w:pPr>
              <w:jc w:val="center"/>
              <w:rPr>
                <w:rFonts w:ascii="Calibri" w:hAnsi="Calibri"/>
                <w:b/>
                <w:bCs/>
                <w:color w:val="000000"/>
                <w:sz w:val="22"/>
                <w:szCs w:val="22"/>
              </w:rPr>
            </w:pPr>
            <w:r w:rsidRPr="00844466">
              <w:rPr>
                <w:rFonts w:ascii="Calibri" w:hAnsi="Calibri"/>
                <w:b/>
                <w:bCs/>
                <w:color w:val="000000"/>
                <w:sz w:val="22"/>
                <w:szCs w:val="22"/>
              </w:rPr>
              <w:t>2012</w:t>
            </w:r>
          </w:p>
        </w:tc>
        <w:tc>
          <w:tcPr>
            <w:tcW w:w="1313" w:type="dxa"/>
            <w:tcBorders>
              <w:top w:val="single" w:sz="4" w:space="0" w:color="auto"/>
              <w:left w:val="nil"/>
              <w:bottom w:val="single" w:sz="4" w:space="0" w:color="auto"/>
              <w:right w:val="single" w:sz="4" w:space="0" w:color="auto"/>
            </w:tcBorders>
            <w:shd w:val="clear" w:color="auto" w:fill="CCCCFF"/>
            <w:vAlign w:val="bottom"/>
          </w:tcPr>
          <w:p w:rsidR="009624F8" w:rsidRPr="00844466" w:rsidRDefault="009624F8" w:rsidP="00DE316D">
            <w:pPr>
              <w:jc w:val="center"/>
              <w:rPr>
                <w:rFonts w:ascii="Calibri" w:hAnsi="Calibri"/>
                <w:b/>
                <w:bCs/>
                <w:color w:val="000000"/>
                <w:sz w:val="22"/>
                <w:szCs w:val="22"/>
              </w:rPr>
            </w:pPr>
            <w:r w:rsidRPr="00844466">
              <w:rPr>
                <w:rFonts w:ascii="Calibri" w:hAnsi="Calibri"/>
                <w:b/>
                <w:bCs/>
                <w:color w:val="000000"/>
                <w:sz w:val="22"/>
                <w:szCs w:val="22"/>
              </w:rPr>
              <w:t>2013</w:t>
            </w:r>
          </w:p>
        </w:tc>
        <w:tc>
          <w:tcPr>
            <w:tcW w:w="1438" w:type="dxa"/>
            <w:tcBorders>
              <w:top w:val="single" w:sz="4" w:space="0" w:color="auto"/>
              <w:left w:val="nil"/>
              <w:bottom w:val="single" w:sz="4" w:space="0" w:color="auto"/>
              <w:right w:val="single" w:sz="4" w:space="0" w:color="auto"/>
            </w:tcBorders>
            <w:shd w:val="clear" w:color="auto" w:fill="CCCCFF"/>
            <w:vAlign w:val="bottom"/>
          </w:tcPr>
          <w:p w:rsidR="009624F8" w:rsidRPr="00844466" w:rsidRDefault="009624F8" w:rsidP="00DE316D">
            <w:pPr>
              <w:jc w:val="center"/>
              <w:rPr>
                <w:rFonts w:ascii="Calibri" w:hAnsi="Calibri"/>
                <w:b/>
                <w:bCs/>
                <w:color w:val="000000"/>
                <w:sz w:val="22"/>
                <w:szCs w:val="22"/>
              </w:rPr>
            </w:pPr>
            <w:r w:rsidRPr="00844466">
              <w:rPr>
                <w:rFonts w:ascii="Calibri" w:hAnsi="Calibri"/>
                <w:b/>
                <w:bCs/>
                <w:color w:val="000000"/>
                <w:sz w:val="22"/>
                <w:szCs w:val="22"/>
              </w:rPr>
              <w:t>2014</w:t>
            </w:r>
          </w:p>
        </w:tc>
        <w:tc>
          <w:tcPr>
            <w:tcW w:w="1447" w:type="dxa"/>
            <w:tcBorders>
              <w:top w:val="single" w:sz="4" w:space="0" w:color="auto"/>
              <w:left w:val="nil"/>
              <w:bottom w:val="single" w:sz="4" w:space="0" w:color="auto"/>
              <w:right w:val="single" w:sz="4" w:space="0" w:color="auto"/>
            </w:tcBorders>
            <w:shd w:val="clear" w:color="auto" w:fill="CCCCFF"/>
            <w:vAlign w:val="bottom"/>
          </w:tcPr>
          <w:p w:rsidR="009624F8" w:rsidRPr="00844466" w:rsidRDefault="009624F8" w:rsidP="00DE316D">
            <w:pPr>
              <w:jc w:val="center"/>
              <w:rPr>
                <w:rFonts w:ascii="Calibri" w:hAnsi="Calibri"/>
                <w:b/>
                <w:bCs/>
                <w:color w:val="000000"/>
                <w:sz w:val="22"/>
                <w:szCs w:val="22"/>
              </w:rPr>
            </w:pPr>
            <w:r w:rsidRPr="00844466">
              <w:rPr>
                <w:rFonts w:ascii="Calibri" w:hAnsi="Calibri"/>
                <w:b/>
                <w:bCs/>
                <w:color w:val="000000"/>
                <w:sz w:val="22"/>
                <w:szCs w:val="22"/>
              </w:rPr>
              <w:t>2015</w:t>
            </w:r>
          </w:p>
        </w:tc>
        <w:tc>
          <w:tcPr>
            <w:tcW w:w="1373" w:type="dxa"/>
            <w:tcBorders>
              <w:top w:val="single" w:sz="4" w:space="0" w:color="auto"/>
              <w:left w:val="nil"/>
              <w:bottom w:val="single" w:sz="4" w:space="0" w:color="auto"/>
              <w:right w:val="single" w:sz="4" w:space="0" w:color="auto"/>
            </w:tcBorders>
            <w:shd w:val="clear" w:color="auto" w:fill="CCCCFF"/>
            <w:vAlign w:val="bottom"/>
          </w:tcPr>
          <w:p w:rsidR="009624F8" w:rsidRPr="00844466" w:rsidRDefault="009624F8" w:rsidP="00DE316D">
            <w:pPr>
              <w:jc w:val="center"/>
              <w:rPr>
                <w:rFonts w:ascii="Calibri" w:hAnsi="Calibri"/>
                <w:b/>
                <w:bCs/>
                <w:color w:val="000000"/>
                <w:sz w:val="22"/>
                <w:szCs w:val="22"/>
              </w:rPr>
            </w:pPr>
            <w:r w:rsidRPr="00844466">
              <w:rPr>
                <w:rFonts w:ascii="Calibri" w:hAnsi="Calibri"/>
                <w:b/>
                <w:bCs/>
                <w:color w:val="000000"/>
                <w:sz w:val="22"/>
                <w:szCs w:val="22"/>
              </w:rPr>
              <w:t>2016</w:t>
            </w:r>
          </w:p>
        </w:tc>
      </w:tr>
      <w:tr w:rsidR="009624F8" w:rsidRPr="00844466" w:rsidTr="00DE316D">
        <w:trPr>
          <w:trHeight w:val="307"/>
        </w:trPr>
        <w:tc>
          <w:tcPr>
            <w:tcW w:w="1539" w:type="dxa"/>
            <w:tcBorders>
              <w:top w:val="nil"/>
              <w:left w:val="single" w:sz="4" w:space="0" w:color="auto"/>
              <w:bottom w:val="single" w:sz="4" w:space="0" w:color="auto"/>
              <w:right w:val="single" w:sz="4" w:space="0" w:color="auto"/>
            </w:tcBorders>
            <w:noWrap/>
            <w:vAlign w:val="bottom"/>
          </w:tcPr>
          <w:p w:rsidR="009624F8" w:rsidRDefault="009624F8" w:rsidP="00DE316D">
            <w:pPr>
              <w:jc w:val="center"/>
              <w:rPr>
                <w:rFonts w:ascii="Calibri" w:hAnsi="Calibri"/>
                <w:b/>
                <w:bCs/>
                <w:color w:val="000000"/>
                <w:sz w:val="22"/>
                <w:szCs w:val="22"/>
              </w:rPr>
            </w:pPr>
            <w:r>
              <w:rPr>
                <w:rFonts w:ascii="Calibri" w:hAnsi="Calibri"/>
                <w:b/>
                <w:bCs/>
                <w:color w:val="000000"/>
                <w:sz w:val="22"/>
                <w:szCs w:val="22"/>
              </w:rPr>
              <w:t>116.189,41 €</w:t>
            </w:r>
          </w:p>
        </w:tc>
        <w:tc>
          <w:tcPr>
            <w:tcW w:w="1478" w:type="dxa"/>
            <w:tcBorders>
              <w:top w:val="nil"/>
              <w:left w:val="nil"/>
              <w:bottom w:val="single" w:sz="4" w:space="0" w:color="auto"/>
              <w:right w:val="single" w:sz="4" w:space="0" w:color="auto"/>
            </w:tcBorders>
            <w:noWrap/>
            <w:vAlign w:val="bottom"/>
          </w:tcPr>
          <w:p w:rsidR="009624F8" w:rsidRDefault="009624F8" w:rsidP="00DE316D">
            <w:pPr>
              <w:jc w:val="center"/>
              <w:rPr>
                <w:rFonts w:ascii="Calibri" w:hAnsi="Calibri"/>
                <w:b/>
                <w:bCs/>
                <w:color w:val="000000"/>
                <w:sz w:val="22"/>
                <w:szCs w:val="22"/>
              </w:rPr>
            </w:pPr>
            <w:r>
              <w:rPr>
                <w:rFonts w:ascii="Calibri" w:hAnsi="Calibri"/>
                <w:b/>
                <w:bCs/>
                <w:color w:val="000000"/>
                <w:sz w:val="22"/>
                <w:szCs w:val="22"/>
              </w:rPr>
              <w:t>128.804,30 €</w:t>
            </w:r>
          </w:p>
        </w:tc>
        <w:tc>
          <w:tcPr>
            <w:tcW w:w="1313" w:type="dxa"/>
            <w:tcBorders>
              <w:top w:val="nil"/>
              <w:left w:val="nil"/>
              <w:bottom w:val="single" w:sz="4" w:space="0" w:color="auto"/>
              <w:right w:val="single" w:sz="4" w:space="0" w:color="auto"/>
            </w:tcBorders>
            <w:noWrap/>
            <w:vAlign w:val="bottom"/>
          </w:tcPr>
          <w:p w:rsidR="009624F8" w:rsidRDefault="009624F8" w:rsidP="00DE316D">
            <w:pPr>
              <w:jc w:val="center"/>
              <w:rPr>
                <w:rFonts w:ascii="Calibri" w:hAnsi="Calibri"/>
                <w:b/>
                <w:bCs/>
                <w:color w:val="000000"/>
                <w:sz w:val="22"/>
                <w:szCs w:val="22"/>
              </w:rPr>
            </w:pPr>
            <w:r>
              <w:rPr>
                <w:rFonts w:ascii="Calibri" w:hAnsi="Calibri"/>
                <w:b/>
                <w:bCs/>
                <w:color w:val="000000"/>
                <w:sz w:val="22"/>
                <w:szCs w:val="22"/>
              </w:rPr>
              <w:t>101.126,93 €</w:t>
            </w:r>
          </w:p>
        </w:tc>
        <w:tc>
          <w:tcPr>
            <w:tcW w:w="1438" w:type="dxa"/>
            <w:tcBorders>
              <w:top w:val="nil"/>
              <w:left w:val="nil"/>
              <w:bottom w:val="single" w:sz="4" w:space="0" w:color="auto"/>
              <w:right w:val="single" w:sz="4" w:space="0" w:color="auto"/>
            </w:tcBorders>
            <w:noWrap/>
            <w:vAlign w:val="bottom"/>
          </w:tcPr>
          <w:p w:rsidR="009624F8" w:rsidRDefault="009624F8" w:rsidP="00DE316D">
            <w:pPr>
              <w:jc w:val="center"/>
              <w:rPr>
                <w:rFonts w:ascii="Calibri" w:hAnsi="Calibri"/>
                <w:b/>
                <w:bCs/>
                <w:color w:val="000000"/>
                <w:sz w:val="22"/>
                <w:szCs w:val="22"/>
              </w:rPr>
            </w:pPr>
            <w:r>
              <w:rPr>
                <w:rFonts w:ascii="Calibri" w:hAnsi="Calibri"/>
                <w:b/>
                <w:bCs/>
                <w:color w:val="000000"/>
                <w:sz w:val="22"/>
                <w:szCs w:val="22"/>
              </w:rPr>
              <w:t>136.107,31 €</w:t>
            </w:r>
          </w:p>
        </w:tc>
        <w:tc>
          <w:tcPr>
            <w:tcW w:w="1447" w:type="dxa"/>
            <w:tcBorders>
              <w:top w:val="nil"/>
              <w:left w:val="nil"/>
              <w:bottom w:val="single" w:sz="4" w:space="0" w:color="auto"/>
              <w:right w:val="single" w:sz="4" w:space="0" w:color="auto"/>
            </w:tcBorders>
            <w:noWrap/>
            <w:vAlign w:val="bottom"/>
          </w:tcPr>
          <w:p w:rsidR="009624F8" w:rsidRDefault="009624F8" w:rsidP="00DE316D">
            <w:pPr>
              <w:jc w:val="center"/>
              <w:rPr>
                <w:rFonts w:ascii="Calibri" w:hAnsi="Calibri"/>
                <w:b/>
                <w:bCs/>
                <w:color w:val="000000"/>
                <w:sz w:val="22"/>
                <w:szCs w:val="22"/>
              </w:rPr>
            </w:pPr>
            <w:r>
              <w:rPr>
                <w:rFonts w:ascii="Calibri" w:hAnsi="Calibri"/>
                <w:b/>
                <w:bCs/>
                <w:color w:val="000000"/>
                <w:sz w:val="22"/>
                <w:szCs w:val="22"/>
              </w:rPr>
              <w:t>100.362,84 €</w:t>
            </w:r>
          </w:p>
        </w:tc>
        <w:tc>
          <w:tcPr>
            <w:tcW w:w="1373" w:type="dxa"/>
            <w:tcBorders>
              <w:top w:val="nil"/>
              <w:left w:val="nil"/>
              <w:bottom w:val="single" w:sz="4" w:space="0" w:color="auto"/>
              <w:right w:val="single" w:sz="4" w:space="0" w:color="auto"/>
            </w:tcBorders>
            <w:noWrap/>
            <w:vAlign w:val="bottom"/>
          </w:tcPr>
          <w:p w:rsidR="009624F8" w:rsidRDefault="009624F8" w:rsidP="00DE316D">
            <w:pPr>
              <w:jc w:val="center"/>
              <w:rPr>
                <w:rFonts w:ascii="Calibri" w:hAnsi="Calibri"/>
                <w:b/>
                <w:bCs/>
                <w:color w:val="000000"/>
                <w:sz w:val="22"/>
                <w:szCs w:val="22"/>
              </w:rPr>
            </w:pPr>
            <w:r>
              <w:rPr>
                <w:rFonts w:ascii="Calibri" w:hAnsi="Calibri"/>
                <w:b/>
                <w:bCs/>
                <w:color w:val="000000"/>
                <w:sz w:val="22"/>
                <w:szCs w:val="22"/>
              </w:rPr>
              <w:t>76.979,88 €</w:t>
            </w:r>
          </w:p>
        </w:tc>
      </w:tr>
      <w:bookmarkEnd w:id="2"/>
    </w:tbl>
    <w:p w:rsidR="009624F8" w:rsidRDefault="009624F8" w:rsidP="009624F8">
      <w:pPr>
        <w:pStyle w:val="NormalWeb"/>
        <w:spacing w:line="360" w:lineRule="auto"/>
        <w:ind w:left="567"/>
        <w:jc w:val="both"/>
        <w:rPr>
          <w:rFonts w:ascii="Arial" w:hAnsi="Arial" w:cs="Arial"/>
          <w:color w:val="000000"/>
          <w:sz w:val="22"/>
          <w:szCs w:val="22"/>
        </w:rPr>
      </w:pPr>
    </w:p>
    <w:p w:rsidR="009624F8" w:rsidRDefault="009624F8" w:rsidP="009624F8">
      <w:pPr>
        <w:pStyle w:val="NormalWeb"/>
        <w:numPr>
          <w:ilvl w:val="0"/>
          <w:numId w:val="12"/>
        </w:numPr>
        <w:spacing w:line="360" w:lineRule="auto"/>
        <w:ind w:left="567"/>
        <w:jc w:val="both"/>
        <w:rPr>
          <w:rFonts w:ascii="Arial" w:hAnsi="Arial" w:cs="Arial"/>
          <w:color w:val="000000"/>
          <w:sz w:val="22"/>
          <w:szCs w:val="22"/>
        </w:rPr>
      </w:pPr>
      <w:r>
        <w:rPr>
          <w:rFonts w:ascii="Arial" w:hAnsi="Arial" w:cs="Arial"/>
          <w:color w:val="000000"/>
          <w:sz w:val="22"/>
          <w:szCs w:val="22"/>
        </w:rPr>
        <w:t>A</w:t>
      </w:r>
      <w:r w:rsidRPr="00607B5F">
        <w:rPr>
          <w:rFonts w:ascii="Arial" w:hAnsi="Arial" w:cs="Arial"/>
          <w:color w:val="000000"/>
          <w:sz w:val="22"/>
          <w:szCs w:val="22"/>
        </w:rPr>
        <w:t>yuda para inversiones para incrementar la capacidad de adaptación y el valor medioambiental de los ecosistemas forestales</w:t>
      </w:r>
      <w:r>
        <w:rPr>
          <w:rFonts w:ascii="Arial" w:hAnsi="Arial" w:cs="Arial"/>
          <w:color w:val="000000"/>
          <w:sz w:val="22"/>
          <w:szCs w:val="22"/>
        </w:rPr>
        <w:t xml:space="preserve">. Esta submedida se materializa en las campañas anuales de Ayudas a Trabajos Forestales a solicitud de las Entidades Locales o particulares. En la Ribera en los últimos años se han abonado las siguientes cuantías en la campaña de ayudas a trabajos forestales para Entidades Locales. </w:t>
      </w:r>
    </w:p>
    <w:tbl>
      <w:tblPr>
        <w:tblW w:w="7200" w:type="dxa"/>
        <w:jc w:val="center"/>
        <w:tblInd w:w="55" w:type="dxa"/>
        <w:tblCellMar>
          <w:left w:w="70" w:type="dxa"/>
          <w:right w:w="70" w:type="dxa"/>
        </w:tblCellMar>
        <w:tblLook w:val="0000" w:firstRow="0" w:lastRow="0" w:firstColumn="0" w:lastColumn="0" w:noHBand="0" w:noVBand="0"/>
      </w:tblPr>
      <w:tblGrid>
        <w:gridCol w:w="1200"/>
        <w:gridCol w:w="1200"/>
        <w:gridCol w:w="1200"/>
        <w:gridCol w:w="1200"/>
        <w:gridCol w:w="1200"/>
        <w:gridCol w:w="1200"/>
      </w:tblGrid>
      <w:tr w:rsidR="009624F8" w:rsidRPr="0095000A" w:rsidTr="00DE316D">
        <w:trPr>
          <w:trHeight w:val="330"/>
          <w:jc w:val="center"/>
        </w:trPr>
        <w:tc>
          <w:tcPr>
            <w:tcW w:w="1200" w:type="dxa"/>
            <w:tcBorders>
              <w:top w:val="single" w:sz="8" w:space="0" w:color="auto"/>
              <w:left w:val="single" w:sz="8" w:space="0" w:color="auto"/>
              <w:bottom w:val="single" w:sz="8" w:space="0" w:color="auto"/>
              <w:right w:val="single" w:sz="8" w:space="0" w:color="auto"/>
            </w:tcBorders>
            <w:shd w:val="clear" w:color="auto" w:fill="FF00FF"/>
            <w:vAlign w:val="bottom"/>
          </w:tcPr>
          <w:p w:rsidR="009624F8" w:rsidRPr="0095000A" w:rsidRDefault="009624F8" w:rsidP="00DE316D">
            <w:pPr>
              <w:jc w:val="center"/>
              <w:rPr>
                <w:rFonts w:ascii="Calibri" w:hAnsi="Calibri"/>
                <w:b/>
                <w:bCs/>
                <w:color w:val="000000"/>
                <w:sz w:val="22"/>
                <w:szCs w:val="22"/>
              </w:rPr>
            </w:pPr>
            <w:r w:rsidRPr="0095000A">
              <w:rPr>
                <w:rFonts w:ascii="Calibri" w:hAnsi="Calibri"/>
                <w:b/>
                <w:bCs/>
                <w:color w:val="000000"/>
                <w:sz w:val="22"/>
                <w:szCs w:val="22"/>
              </w:rPr>
              <w:t>2011</w:t>
            </w:r>
          </w:p>
        </w:tc>
        <w:tc>
          <w:tcPr>
            <w:tcW w:w="1200" w:type="dxa"/>
            <w:tcBorders>
              <w:top w:val="single" w:sz="8" w:space="0" w:color="auto"/>
              <w:left w:val="nil"/>
              <w:bottom w:val="single" w:sz="8" w:space="0" w:color="auto"/>
              <w:right w:val="single" w:sz="8" w:space="0" w:color="auto"/>
            </w:tcBorders>
            <w:shd w:val="clear" w:color="auto" w:fill="FF00FF"/>
            <w:vAlign w:val="bottom"/>
          </w:tcPr>
          <w:p w:rsidR="009624F8" w:rsidRPr="0095000A" w:rsidRDefault="009624F8" w:rsidP="00DE316D">
            <w:pPr>
              <w:jc w:val="center"/>
              <w:rPr>
                <w:rFonts w:ascii="Calibri" w:hAnsi="Calibri"/>
                <w:b/>
                <w:bCs/>
                <w:color w:val="000000"/>
                <w:sz w:val="22"/>
                <w:szCs w:val="22"/>
              </w:rPr>
            </w:pPr>
            <w:r w:rsidRPr="0095000A">
              <w:rPr>
                <w:rFonts w:ascii="Calibri" w:hAnsi="Calibri"/>
                <w:b/>
                <w:bCs/>
                <w:color w:val="000000"/>
                <w:sz w:val="22"/>
                <w:szCs w:val="22"/>
              </w:rPr>
              <w:t>2012</w:t>
            </w:r>
          </w:p>
        </w:tc>
        <w:tc>
          <w:tcPr>
            <w:tcW w:w="1200" w:type="dxa"/>
            <w:tcBorders>
              <w:top w:val="single" w:sz="8" w:space="0" w:color="auto"/>
              <w:left w:val="nil"/>
              <w:bottom w:val="single" w:sz="8" w:space="0" w:color="auto"/>
              <w:right w:val="single" w:sz="8" w:space="0" w:color="auto"/>
            </w:tcBorders>
            <w:shd w:val="clear" w:color="auto" w:fill="FF00FF"/>
            <w:vAlign w:val="bottom"/>
          </w:tcPr>
          <w:p w:rsidR="009624F8" w:rsidRPr="0095000A" w:rsidRDefault="009624F8" w:rsidP="00DE316D">
            <w:pPr>
              <w:jc w:val="center"/>
              <w:rPr>
                <w:rFonts w:ascii="Calibri" w:hAnsi="Calibri"/>
                <w:b/>
                <w:bCs/>
                <w:color w:val="000000"/>
                <w:sz w:val="22"/>
                <w:szCs w:val="22"/>
              </w:rPr>
            </w:pPr>
            <w:r w:rsidRPr="0095000A">
              <w:rPr>
                <w:rFonts w:ascii="Calibri" w:hAnsi="Calibri"/>
                <w:b/>
                <w:bCs/>
                <w:color w:val="000000"/>
                <w:sz w:val="22"/>
                <w:szCs w:val="22"/>
              </w:rPr>
              <w:t>2013</w:t>
            </w:r>
          </w:p>
        </w:tc>
        <w:tc>
          <w:tcPr>
            <w:tcW w:w="1200" w:type="dxa"/>
            <w:tcBorders>
              <w:top w:val="single" w:sz="8" w:space="0" w:color="auto"/>
              <w:left w:val="nil"/>
              <w:bottom w:val="single" w:sz="8" w:space="0" w:color="auto"/>
              <w:right w:val="single" w:sz="8" w:space="0" w:color="auto"/>
            </w:tcBorders>
            <w:shd w:val="clear" w:color="auto" w:fill="FF00FF"/>
            <w:vAlign w:val="bottom"/>
          </w:tcPr>
          <w:p w:rsidR="009624F8" w:rsidRPr="0095000A" w:rsidRDefault="009624F8" w:rsidP="00DE316D">
            <w:pPr>
              <w:jc w:val="center"/>
              <w:rPr>
                <w:rFonts w:ascii="Calibri" w:hAnsi="Calibri"/>
                <w:b/>
                <w:bCs/>
                <w:color w:val="000000"/>
                <w:sz w:val="22"/>
                <w:szCs w:val="22"/>
              </w:rPr>
            </w:pPr>
            <w:r w:rsidRPr="0095000A">
              <w:rPr>
                <w:rFonts w:ascii="Calibri" w:hAnsi="Calibri"/>
                <w:b/>
                <w:bCs/>
                <w:color w:val="000000"/>
                <w:sz w:val="22"/>
                <w:szCs w:val="22"/>
              </w:rPr>
              <w:t>2014</w:t>
            </w:r>
          </w:p>
        </w:tc>
        <w:tc>
          <w:tcPr>
            <w:tcW w:w="1200" w:type="dxa"/>
            <w:tcBorders>
              <w:top w:val="single" w:sz="8" w:space="0" w:color="auto"/>
              <w:left w:val="nil"/>
              <w:bottom w:val="single" w:sz="8" w:space="0" w:color="auto"/>
              <w:right w:val="single" w:sz="8" w:space="0" w:color="auto"/>
            </w:tcBorders>
            <w:shd w:val="clear" w:color="auto" w:fill="FF00FF"/>
            <w:vAlign w:val="bottom"/>
          </w:tcPr>
          <w:p w:rsidR="009624F8" w:rsidRPr="0095000A" w:rsidRDefault="009624F8" w:rsidP="00DE316D">
            <w:pPr>
              <w:jc w:val="center"/>
              <w:rPr>
                <w:rFonts w:ascii="Calibri" w:hAnsi="Calibri"/>
                <w:b/>
                <w:bCs/>
                <w:color w:val="000000"/>
                <w:sz w:val="22"/>
                <w:szCs w:val="22"/>
              </w:rPr>
            </w:pPr>
            <w:r w:rsidRPr="0095000A">
              <w:rPr>
                <w:rFonts w:ascii="Calibri" w:hAnsi="Calibri"/>
                <w:b/>
                <w:bCs/>
                <w:color w:val="000000"/>
                <w:sz w:val="22"/>
                <w:szCs w:val="22"/>
              </w:rPr>
              <w:t>2015</w:t>
            </w:r>
            <w:r>
              <w:rPr>
                <w:rFonts w:ascii="Calibri" w:hAnsi="Calibri"/>
                <w:b/>
                <w:bCs/>
                <w:color w:val="000000"/>
                <w:sz w:val="22"/>
                <w:szCs w:val="22"/>
              </w:rPr>
              <w:t>-16</w:t>
            </w:r>
          </w:p>
        </w:tc>
        <w:tc>
          <w:tcPr>
            <w:tcW w:w="1200" w:type="dxa"/>
            <w:tcBorders>
              <w:top w:val="single" w:sz="8" w:space="0" w:color="auto"/>
              <w:left w:val="nil"/>
              <w:bottom w:val="single" w:sz="8" w:space="0" w:color="auto"/>
              <w:right w:val="single" w:sz="8" w:space="0" w:color="auto"/>
            </w:tcBorders>
            <w:shd w:val="clear" w:color="auto" w:fill="FF00FF"/>
            <w:vAlign w:val="bottom"/>
          </w:tcPr>
          <w:p w:rsidR="009624F8" w:rsidRPr="0095000A" w:rsidRDefault="009624F8" w:rsidP="00DE316D">
            <w:pPr>
              <w:jc w:val="center"/>
              <w:rPr>
                <w:rFonts w:ascii="Calibri" w:hAnsi="Calibri"/>
                <w:b/>
                <w:bCs/>
                <w:color w:val="000000"/>
                <w:sz w:val="22"/>
                <w:szCs w:val="22"/>
              </w:rPr>
            </w:pPr>
            <w:r w:rsidRPr="0095000A">
              <w:rPr>
                <w:rFonts w:ascii="Calibri" w:hAnsi="Calibri"/>
                <w:b/>
                <w:bCs/>
                <w:color w:val="000000"/>
                <w:sz w:val="22"/>
                <w:szCs w:val="22"/>
              </w:rPr>
              <w:t>2016</w:t>
            </w:r>
            <w:r>
              <w:rPr>
                <w:rFonts w:ascii="Calibri" w:hAnsi="Calibri"/>
                <w:b/>
                <w:bCs/>
                <w:color w:val="000000"/>
                <w:sz w:val="22"/>
                <w:szCs w:val="22"/>
              </w:rPr>
              <w:t xml:space="preserve"> -17</w:t>
            </w:r>
          </w:p>
        </w:tc>
      </w:tr>
      <w:tr w:rsidR="009624F8" w:rsidRPr="0095000A" w:rsidTr="00DE316D">
        <w:trPr>
          <w:trHeight w:val="330"/>
          <w:jc w:val="center"/>
        </w:trPr>
        <w:tc>
          <w:tcPr>
            <w:tcW w:w="1200" w:type="dxa"/>
            <w:tcBorders>
              <w:top w:val="single" w:sz="4" w:space="0" w:color="auto"/>
              <w:left w:val="single" w:sz="4" w:space="0" w:color="auto"/>
              <w:bottom w:val="single" w:sz="4" w:space="0" w:color="auto"/>
              <w:right w:val="single" w:sz="4" w:space="0" w:color="auto"/>
            </w:tcBorders>
            <w:noWrap/>
            <w:vAlign w:val="bottom"/>
          </w:tcPr>
          <w:p w:rsidR="009624F8" w:rsidRDefault="009624F8" w:rsidP="00DE316D">
            <w:pPr>
              <w:jc w:val="right"/>
              <w:rPr>
                <w:rFonts w:ascii="Calibri" w:hAnsi="Calibri"/>
                <w:color w:val="000000"/>
                <w:sz w:val="22"/>
                <w:szCs w:val="22"/>
              </w:rPr>
            </w:pPr>
            <w:r>
              <w:rPr>
                <w:rFonts w:ascii="Calibri" w:hAnsi="Calibri"/>
                <w:color w:val="000000"/>
                <w:sz w:val="22"/>
                <w:szCs w:val="22"/>
              </w:rPr>
              <w:t>56.785,22</w:t>
            </w:r>
          </w:p>
        </w:tc>
        <w:tc>
          <w:tcPr>
            <w:tcW w:w="1200" w:type="dxa"/>
            <w:tcBorders>
              <w:top w:val="single" w:sz="4" w:space="0" w:color="auto"/>
              <w:left w:val="nil"/>
              <w:bottom w:val="single" w:sz="4" w:space="0" w:color="auto"/>
              <w:right w:val="single" w:sz="4" w:space="0" w:color="auto"/>
            </w:tcBorders>
            <w:noWrap/>
            <w:vAlign w:val="bottom"/>
          </w:tcPr>
          <w:p w:rsidR="009624F8" w:rsidRDefault="009624F8" w:rsidP="00DE316D">
            <w:pPr>
              <w:jc w:val="right"/>
              <w:rPr>
                <w:rFonts w:ascii="Calibri" w:hAnsi="Calibri"/>
                <w:color w:val="000000"/>
                <w:sz w:val="22"/>
                <w:szCs w:val="22"/>
              </w:rPr>
            </w:pPr>
            <w:r>
              <w:rPr>
                <w:rFonts w:ascii="Calibri" w:hAnsi="Calibri"/>
                <w:color w:val="000000"/>
                <w:sz w:val="22"/>
                <w:szCs w:val="22"/>
              </w:rPr>
              <w:t>35.588,95</w:t>
            </w:r>
          </w:p>
        </w:tc>
        <w:tc>
          <w:tcPr>
            <w:tcW w:w="1200" w:type="dxa"/>
            <w:tcBorders>
              <w:top w:val="single" w:sz="4" w:space="0" w:color="auto"/>
              <w:left w:val="nil"/>
              <w:bottom w:val="single" w:sz="4" w:space="0" w:color="auto"/>
              <w:right w:val="single" w:sz="4" w:space="0" w:color="auto"/>
            </w:tcBorders>
            <w:noWrap/>
            <w:vAlign w:val="bottom"/>
          </w:tcPr>
          <w:p w:rsidR="009624F8" w:rsidRDefault="009624F8" w:rsidP="00DE316D">
            <w:pPr>
              <w:jc w:val="right"/>
              <w:rPr>
                <w:rFonts w:ascii="Calibri" w:hAnsi="Calibri"/>
                <w:color w:val="000000"/>
                <w:sz w:val="22"/>
                <w:szCs w:val="22"/>
              </w:rPr>
            </w:pPr>
            <w:r>
              <w:rPr>
                <w:rFonts w:ascii="Calibri" w:hAnsi="Calibri"/>
                <w:color w:val="000000"/>
                <w:sz w:val="22"/>
                <w:szCs w:val="22"/>
              </w:rPr>
              <w:t>0,00</w:t>
            </w:r>
          </w:p>
        </w:tc>
        <w:tc>
          <w:tcPr>
            <w:tcW w:w="1200" w:type="dxa"/>
            <w:tcBorders>
              <w:top w:val="single" w:sz="4" w:space="0" w:color="auto"/>
              <w:left w:val="nil"/>
              <w:bottom w:val="single" w:sz="4" w:space="0" w:color="auto"/>
              <w:right w:val="single" w:sz="4" w:space="0" w:color="auto"/>
            </w:tcBorders>
            <w:noWrap/>
            <w:vAlign w:val="bottom"/>
          </w:tcPr>
          <w:p w:rsidR="009624F8" w:rsidRDefault="009624F8" w:rsidP="00DE316D">
            <w:pPr>
              <w:jc w:val="right"/>
              <w:rPr>
                <w:rFonts w:ascii="Calibri" w:hAnsi="Calibri"/>
                <w:color w:val="000000"/>
                <w:sz w:val="22"/>
                <w:szCs w:val="22"/>
              </w:rPr>
            </w:pPr>
            <w:r>
              <w:rPr>
                <w:rFonts w:ascii="Calibri" w:hAnsi="Calibri"/>
                <w:color w:val="000000"/>
                <w:sz w:val="22"/>
                <w:szCs w:val="22"/>
              </w:rPr>
              <w:t>0,00</w:t>
            </w:r>
          </w:p>
        </w:tc>
        <w:tc>
          <w:tcPr>
            <w:tcW w:w="1200" w:type="dxa"/>
            <w:tcBorders>
              <w:top w:val="single" w:sz="4" w:space="0" w:color="auto"/>
              <w:left w:val="nil"/>
              <w:bottom w:val="single" w:sz="4" w:space="0" w:color="auto"/>
              <w:right w:val="single" w:sz="4" w:space="0" w:color="auto"/>
            </w:tcBorders>
            <w:noWrap/>
            <w:vAlign w:val="bottom"/>
          </w:tcPr>
          <w:p w:rsidR="009624F8" w:rsidRDefault="009624F8" w:rsidP="00DE316D">
            <w:pPr>
              <w:jc w:val="right"/>
              <w:rPr>
                <w:rFonts w:ascii="Calibri" w:hAnsi="Calibri"/>
                <w:color w:val="000000"/>
                <w:sz w:val="22"/>
                <w:szCs w:val="22"/>
              </w:rPr>
            </w:pPr>
            <w:r>
              <w:rPr>
                <w:rFonts w:ascii="Calibri" w:hAnsi="Calibri"/>
                <w:color w:val="000000"/>
                <w:sz w:val="22"/>
                <w:szCs w:val="22"/>
              </w:rPr>
              <w:t>0,00</w:t>
            </w:r>
          </w:p>
        </w:tc>
        <w:tc>
          <w:tcPr>
            <w:tcW w:w="1200" w:type="dxa"/>
            <w:tcBorders>
              <w:top w:val="nil"/>
              <w:left w:val="nil"/>
              <w:bottom w:val="single" w:sz="4" w:space="0" w:color="auto"/>
              <w:right w:val="single" w:sz="4" w:space="0" w:color="auto"/>
            </w:tcBorders>
            <w:noWrap/>
            <w:vAlign w:val="bottom"/>
          </w:tcPr>
          <w:p w:rsidR="009624F8" w:rsidRDefault="009624F8" w:rsidP="00DE316D">
            <w:pPr>
              <w:jc w:val="right"/>
              <w:rPr>
                <w:rFonts w:ascii="Calibri" w:hAnsi="Calibri"/>
                <w:color w:val="000000"/>
                <w:sz w:val="22"/>
                <w:szCs w:val="22"/>
              </w:rPr>
            </w:pPr>
            <w:r>
              <w:rPr>
                <w:rFonts w:ascii="Calibri" w:hAnsi="Calibri"/>
                <w:color w:val="000000"/>
                <w:sz w:val="22"/>
                <w:szCs w:val="22"/>
              </w:rPr>
              <w:t>26.681,34</w:t>
            </w:r>
          </w:p>
        </w:tc>
      </w:tr>
    </w:tbl>
    <w:p w:rsidR="009624F8" w:rsidRDefault="009624F8" w:rsidP="009624F8">
      <w:pPr>
        <w:pStyle w:val="NormalWeb"/>
        <w:spacing w:line="360" w:lineRule="auto"/>
        <w:jc w:val="both"/>
        <w:rPr>
          <w:rFonts w:ascii="Arial" w:hAnsi="Arial" w:cs="Arial"/>
          <w:color w:val="000000"/>
          <w:sz w:val="22"/>
          <w:szCs w:val="22"/>
        </w:rPr>
      </w:pPr>
    </w:p>
    <w:p w:rsidR="009624F8" w:rsidRDefault="009624F8" w:rsidP="009624F8">
      <w:pPr>
        <w:pStyle w:val="NormalWeb"/>
        <w:spacing w:line="360" w:lineRule="auto"/>
        <w:jc w:val="both"/>
        <w:rPr>
          <w:rFonts w:ascii="Arial" w:hAnsi="Arial" w:cs="Arial"/>
          <w:color w:val="000000"/>
          <w:sz w:val="22"/>
          <w:szCs w:val="22"/>
        </w:rPr>
      </w:pPr>
      <w:r>
        <w:rPr>
          <w:rFonts w:ascii="Arial" w:hAnsi="Arial" w:cs="Arial"/>
          <w:color w:val="000000"/>
          <w:sz w:val="22"/>
          <w:szCs w:val="22"/>
        </w:rPr>
        <w:t>Y las siguientes cantidades en el marco de la campaña de ayudas a Agentes y Asociaciones Privadas.</w:t>
      </w:r>
    </w:p>
    <w:tbl>
      <w:tblPr>
        <w:tblW w:w="7200" w:type="dxa"/>
        <w:jc w:val="center"/>
        <w:tblInd w:w="55" w:type="dxa"/>
        <w:tblCellMar>
          <w:left w:w="70" w:type="dxa"/>
          <w:right w:w="70" w:type="dxa"/>
        </w:tblCellMar>
        <w:tblLook w:val="0000" w:firstRow="0" w:lastRow="0" w:firstColumn="0" w:lastColumn="0" w:noHBand="0" w:noVBand="0"/>
      </w:tblPr>
      <w:tblGrid>
        <w:gridCol w:w="1200"/>
        <w:gridCol w:w="1200"/>
        <w:gridCol w:w="1200"/>
        <w:gridCol w:w="1200"/>
        <w:gridCol w:w="1200"/>
        <w:gridCol w:w="1200"/>
      </w:tblGrid>
      <w:tr w:rsidR="009624F8" w:rsidRPr="008A734D" w:rsidTr="00DE316D">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FF99CC"/>
            <w:vAlign w:val="bottom"/>
          </w:tcPr>
          <w:p w:rsidR="009624F8" w:rsidRPr="008A734D" w:rsidRDefault="009624F8" w:rsidP="00DE316D">
            <w:pPr>
              <w:jc w:val="center"/>
              <w:rPr>
                <w:rFonts w:ascii="Calibri" w:hAnsi="Calibri"/>
                <w:b/>
                <w:bCs/>
                <w:color w:val="000000"/>
                <w:sz w:val="22"/>
                <w:szCs w:val="22"/>
              </w:rPr>
            </w:pPr>
            <w:r w:rsidRPr="008A734D">
              <w:rPr>
                <w:rFonts w:ascii="Calibri" w:hAnsi="Calibri"/>
                <w:b/>
                <w:bCs/>
                <w:color w:val="000000"/>
                <w:sz w:val="22"/>
                <w:szCs w:val="22"/>
              </w:rPr>
              <w:t>2011</w:t>
            </w:r>
          </w:p>
        </w:tc>
        <w:tc>
          <w:tcPr>
            <w:tcW w:w="1200" w:type="dxa"/>
            <w:tcBorders>
              <w:top w:val="single" w:sz="4" w:space="0" w:color="auto"/>
              <w:left w:val="nil"/>
              <w:bottom w:val="single" w:sz="4" w:space="0" w:color="auto"/>
              <w:right w:val="single" w:sz="4" w:space="0" w:color="auto"/>
            </w:tcBorders>
            <w:shd w:val="clear" w:color="auto" w:fill="FF99CC"/>
            <w:vAlign w:val="bottom"/>
          </w:tcPr>
          <w:p w:rsidR="009624F8" w:rsidRPr="008A734D" w:rsidRDefault="009624F8" w:rsidP="00DE316D">
            <w:pPr>
              <w:jc w:val="center"/>
              <w:rPr>
                <w:rFonts w:ascii="Calibri" w:hAnsi="Calibri"/>
                <w:b/>
                <w:bCs/>
                <w:color w:val="000000"/>
                <w:sz w:val="22"/>
                <w:szCs w:val="22"/>
              </w:rPr>
            </w:pPr>
            <w:r w:rsidRPr="008A734D">
              <w:rPr>
                <w:rFonts w:ascii="Calibri" w:hAnsi="Calibri"/>
                <w:b/>
                <w:bCs/>
                <w:color w:val="000000"/>
                <w:sz w:val="22"/>
                <w:szCs w:val="22"/>
              </w:rPr>
              <w:t>2012</w:t>
            </w:r>
          </w:p>
        </w:tc>
        <w:tc>
          <w:tcPr>
            <w:tcW w:w="1200" w:type="dxa"/>
            <w:tcBorders>
              <w:top w:val="single" w:sz="4" w:space="0" w:color="auto"/>
              <w:left w:val="nil"/>
              <w:bottom w:val="single" w:sz="4" w:space="0" w:color="auto"/>
              <w:right w:val="single" w:sz="4" w:space="0" w:color="auto"/>
            </w:tcBorders>
            <w:shd w:val="clear" w:color="auto" w:fill="FF99CC"/>
            <w:vAlign w:val="bottom"/>
          </w:tcPr>
          <w:p w:rsidR="009624F8" w:rsidRPr="008A734D" w:rsidRDefault="009624F8" w:rsidP="00DE316D">
            <w:pPr>
              <w:jc w:val="center"/>
              <w:rPr>
                <w:rFonts w:ascii="Calibri" w:hAnsi="Calibri"/>
                <w:b/>
                <w:bCs/>
                <w:color w:val="000000"/>
                <w:sz w:val="22"/>
                <w:szCs w:val="22"/>
              </w:rPr>
            </w:pPr>
            <w:r w:rsidRPr="008A734D">
              <w:rPr>
                <w:rFonts w:ascii="Calibri" w:hAnsi="Calibri"/>
                <w:b/>
                <w:bCs/>
                <w:color w:val="000000"/>
                <w:sz w:val="22"/>
                <w:szCs w:val="22"/>
              </w:rPr>
              <w:t>2013</w:t>
            </w:r>
          </w:p>
        </w:tc>
        <w:tc>
          <w:tcPr>
            <w:tcW w:w="1200" w:type="dxa"/>
            <w:tcBorders>
              <w:top w:val="single" w:sz="4" w:space="0" w:color="auto"/>
              <w:left w:val="nil"/>
              <w:bottom w:val="single" w:sz="4" w:space="0" w:color="auto"/>
              <w:right w:val="single" w:sz="4" w:space="0" w:color="auto"/>
            </w:tcBorders>
            <w:shd w:val="clear" w:color="auto" w:fill="FF99CC"/>
            <w:vAlign w:val="bottom"/>
          </w:tcPr>
          <w:p w:rsidR="009624F8" w:rsidRPr="008A734D" w:rsidRDefault="009624F8" w:rsidP="00DE316D">
            <w:pPr>
              <w:jc w:val="center"/>
              <w:rPr>
                <w:rFonts w:ascii="Calibri" w:hAnsi="Calibri"/>
                <w:b/>
                <w:bCs/>
                <w:color w:val="000000"/>
                <w:sz w:val="22"/>
                <w:szCs w:val="22"/>
              </w:rPr>
            </w:pPr>
            <w:r w:rsidRPr="008A734D">
              <w:rPr>
                <w:rFonts w:ascii="Calibri" w:hAnsi="Calibri"/>
                <w:b/>
                <w:bCs/>
                <w:color w:val="000000"/>
                <w:sz w:val="22"/>
                <w:szCs w:val="22"/>
              </w:rPr>
              <w:t>2014</w:t>
            </w:r>
          </w:p>
        </w:tc>
        <w:tc>
          <w:tcPr>
            <w:tcW w:w="1200" w:type="dxa"/>
            <w:tcBorders>
              <w:top w:val="single" w:sz="4" w:space="0" w:color="auto"/>
              <w:left w:val="nil"/>
              <w:bottom w:val="single" w:sz="4" w:space="0" w:color="auto"/>
              <w:right w:val="single" w:sz="4" w:space="0" w:color="auto"/>
            </w:tcBorders>
            <w:shd w:val="clear" w:color="auto" w:fill="FF99CC"/>
            <w:vAlign w:val="bottom"/>
          </w:tcPr>
          <w:p w:rsidR="009624F8" w:rsidRPr="008A734D" w:rsidRDefault="009624F8" w:rsidP="00DE316D">
            <w:pPr>
              <w:jc w:val="center"/>
              <w:rPr>
                <w:rFonts w:ascii="Calibri" w:hAnsi="Calibri"/>
                <w:b/>
                <w:bCs/>
                <w:color w:val="000000"/>
                <w:sz w:val="22"/>
                <w:szCs w:val="22"/>
              </w:rPr>
            </w:pPr>
            <w:r w:rsidRPr="008A734D">
              <w:rPr>
                <w:rFonts w:ascii="Calibri" w:hAnsi="Calibri"/>
                <w:b/>
                <w:bCs/>
                <w:color w:val="000000"/>
                <w:sz w:val="22"/>
                <w:szCs w:val="22"/>
              </w:rPr>
              <w:t>2015</w:t>
            </w:r>
            <w:r>
              <w:rPr>
                <w:rFonts w:ascii="Calibri" w:hAnsi="Calibri"/>
                <w:b/>
                <w:bCs/>
                <w:color w:val="000000"/>
                <w:sz w:val="22"/>
                <w:szCs w:val="22"/>
              </w:rPr>
              <w:t>-16</w:t>
            </w:r>
          </w:p>
        </w:tc>
        <w:tc>
          <w:tcPr>
            <w:tcW w:w="1200" w:type="dxa"/>
            <w:tcBorders>
              <w:top w:val="single" w:sz="4" w:space="0" w:color="auto"/>
              <w:left w:val="nil"/>
              <w:bottom w:val="single" w:sz="4" w:space="0" w:color="auto"/>
              <w:right w:val="single" w:sz="4" w:space="0" w:color="auto"/>
            </w:tcBorders>
            <w:shd w:val="clear" w:color="auto" w:fill="FF99CC"/>
            <w:vAlign w:val="bottom"/>
          </w:tcPr>
          <w:p w:rsidR="009624F8" w:rsidRPr="008A734D" w:rsidRDefault="009624F8" w:rsidP="00DE316D">
            <w:pPr>
              <w:jc w:val="center"/>
              <w:rPr>
                <w:rFonts w:ascii="Calibri" w:hAnsi="Calibri"/>
                <w:b/>
                <w:bCs/>
                <w:color w:val="000000"/>
                <w:sz w:val="22"/>
                <w:szCs w:val="22"/>
              </w:rPr>
            </w:pPr>
            <w:r w:rsidRPr="008A734D">
              <w:rPr>
                <w:rFonts w:ascii="Calibri" w:hAnsi="Calibri"/>
                <w:b/>
                <w:bCs/>
                <w:color w:val="000000"/>
                <w:sz w:val="22"/>
                <w:szCs w:val="22"/>
              </w:rPr>
              <w:t>2016</w:t>
            </w:r>
            <w:r>
              <w:rPr>
                <w:rFonts w:ascii="Calibri" w:hAnsi="Calibri"/>
                <w:b/>
                <w:bCs/>
                <w:color w:val="000000"/>
                <w:sz w:val="22"/>
                <w:szCs w:val="22"/>
              </w:rPr>
              <w:t>-17</w:t>
            </w:r>
          </w:p>
        </w:tc>
      </w:tr>
      <w:tr w:rsidR="009624F8" w:rsidRPr="008A734D" w:rsidTr="00DE316D">
        <w:trPr>
          <w:trHeight w:val="330"/>
          <w:jc w:val="center"/>
        </w:trPr>
        <w:tc>
          <w:tcPr>
            <w:tcW w:w="1200" w:type="dxa"/>
            <w:tcBorders>
              <w:top w:val="nil"/>
              <w:left w:val="single" w:sz="4" w:space="0" w:color="auto"/>
              <w:bottom w:val="single" w:sz="4" w:space="0" w:color="auto"/>
              <w:right w:val="single" w:sz="4" w:space="0" w:color="auto"/>
            </w:tcBorders>
            <w:noWrap/>
            <w:vAlign w:val="bottom"/>
          </w:tcPr>
          <w:p w:rsidR="009624F8" w:rsidRPr="008A734D" w:rsidRDefault="009624F8" w:rsidP="00DE316D">
            <w:pPr>
              <w:jc w:val="right"/>
              <w:rPr>
                <w:rFonts w:ascii="Calibri" w:hAnsi="Calibri"/>
                <w:color w:val="000000"/>
                <w:sz w:val="22"/>
                <w:szCs w:val="22"/>
              </w:rPr>
            </w:pPr>
            <w:r w:rsidRPr="008A734D">
              <w:rPr>
                <w:rFonts w:ascii="Calibri" w:hAnsi="Calibri"/>
                <w:color w:val="000000"/>
                <w:sz w:val="22"/>
                <w:szCs w:val="22"/>
              </w:rPr>
              <w:t>58</w:t>
            </w:r>
            <w:r>
              <w:rPr>
                <w:rFonts w:ascii="Calibri" w:hAnsi="Calibri"/>
                <w:color w:val="000000"/>
                <w:sz w:val="22"/>
                <w:szCs w:val="22"/>
              </w:rPr>
              <w:t>.</w:t>
            </w:r>
            <w:r w:rsidRPr="008A734D">
              <w:rPr>
                <w:rFonts w:ascii="Calibri" w:hAnsi="Calibri"/>
                <w:color w:val="000000"/>
                <w:sz w:val="22"/>
                <w:szCs w:val="22"/>
              </w:rPr>
              <w:t>807,74</w:t>
            </w:r>
          </w:p>
        </w:tc>
        <w:tc>
          <w:tcPr>
            <w:tcW w:w="1200" w:type="dxa"/>
            <w:tcBorders>
              <w:top w:val="nil"/>
              <w:left w:val="nil"/>
              <w:bottom w:val="single" w:sz="4" w:space="0" w:color="auto"/>
              <w:right w:val="single" w:sz="4" w:space="0" w:color="auto"/>
            </w:tcBorders>
            <w:noWrap/>
            <w:vAlign w:val="bottom"/>
          </w:tcPr>
          <w:p w:rsidR="009624F8" w:rsidRPr="008A734D" w:rsidRDefault="009624F8" w:rsidP="00DE316D">
            <w:pPr>
              <w:jc w:val="right"/>
              <w:rPr>
                <w:rFonts w:ascii="Calibri" w:hAnsi="Calibri"/>
                <w:color w:val="000000"/>
                <w:sz w:val="22"/>
                <w:szCs w:val="22"/>
              </w:rPr>
            </w:pPr>
            <w:r w:rsidRPr="008A734D">
              <w:rPr>
                <w:rFonts w:ascii="Calibri" w:hAnsi="Calibri"/>
                <w:color w:val="000000"/>
                <w:sz w:val="22"/>
                <w:szCs w:val="22"/>
              </w:rPr>
              <w:t>7</w:t>
            </w:r>
            <w:r>
              <w:rPr>
                <w:rFonts w:ascii="Calibri" w:hAnsi="Calibri"/>
                <w:color w:val="000000"/>
                <w:sz w:val="22"/>
                <w:szCs w:val="22"/>
              </w:rPr>
              <w:t>.</w:t>
            </w:r>
            <w:r w:rsidRPr="008A734D">
              <w:rPr>
                <w:rFonts w:ascii="Calibri" w:hAnsi="Calibri"/>
                <w:color w:val="000000"/>
                <w:sz w:val="22"/>
                <w:szCs w:val="22"/>
              </w:rPr>
              <w:t>783,35</w:t>
            </w:r>
          </w:p>
        </w:tc>
        <w:tc>
          <w:tcPr>
            <w:tcW w:w="1200" w:type="dxa"/>
            <w:tcBorders>
              <w:top w:val="nil"/>
              <w:left w:val="nil"/>
              <w:bottom w:val="single" w:sz="4" w:space="0" w:color="auto"/>
              <w:right w:val="single" w:sz="4" w:space="0" w:color="auto"/>
            </w:tcBorders>
            <w:noWrap/>
            <w:vAlign w:val="bottom"/>
          </w:tcPr>
          <w:p w:rsidR="009624F8" w:rsidRPr="008A734D" w:rsidRDefault="009624F8" w:rsidP="00DE316D">
            <w:pPr>
              <w:jc w:val="right"/>
              <w:rPr>
                <w:rFonts w:ascii="Calibri" w:hAnsi="Calibri"/>
                <w:color w:val="000000"/>
                <w:sz w:val="22"/>
                <w:szCs w:val="22"/>
              </w:rPr>
            </w:pPr>
            <w:r w:rsidRPr="008A734D">
              <w:rPr>
                <w:rFonts w:ascii="Calibri" w:hAnsi="Calibri"/>
                <w:color w:val="000000"/>
                <w:sz w:val="22"/>
                <w:szCs w:val="22"/>
              </w:rPr>
              <w:t>0</w:t>
            </w:r>
          </w:p>
        </w:tc>
        <w:tc>
          <w:tcPr>
            <w:tcW w:w="1200" w:type="dxa"/>
            <w:tcBorders>
              <w:top w:val="nil"/>
              <w:left w:val="nil"/>
              <w:bottom w:val="single" w:sz="4" w:space="0" w:color="auto"/>
              <w:right w:val="single" w:sz="4" w:space="0" w:color="auto"/>
            </w:tcBorders>
            <w:noWrap/>
            <w:vAlign w:val="bottom"/>
          </w:tcPr>
          <w:p w:rsidR="009624F8" w:rsidRPr="008A734D" w:rsidRDefault="009624F8" w:rsidP="00DE316D">
            <w:pPr>
              <w:jc w:val="right"/>
              <w:rPr>
                <w:rFonts w:ascii="Calibri" w:hAnsi="Calibri"/>
                <w:color w:val="000000"/>
                <w:sz w:val="22"/>
                <w:szCs w:val="22"/>
              </w:rPr>
            </w:pPr>
            <w:r w:rsidRPr="008A734D">
              <w:rPr>
                <w:rFonts w:ascii="Calibri" w:hAnsi="Calibri"/>
                <w:color w:val="000000"/>
                <w:sz w:val="22"/>
                <w:szCs w:val="22"/>
              </w:rPr>
              <w:t>0</w:t>
            </w:r>
          </w:p>
        </w:tc>
        <w:tc>
          <w:tcPr>
            <w:tcW w:w="1200" w:type="dxa"/>
            <w:tcBorders>
              <w:top w:val="nil"/>
              <w:left w:val="nil"/>
              <w:bottom w:val="single" w:sz="4" w:space="0" w:color="auto"/>
              <w:right w:val="single" w:sz="4" w:space="0" w:color="auto"/>
            </w:tcBorders>
            <w:noWrap/>
            <w:vAlign w:val="bottom"/>
          </w:tcPr>
          <w:p w:rsidR="009624F8" w:rsidRPr="008A734D" w:rsidRDefault="009624F8" w:rsidP="00DE316D">
            <w:pPr>
              <w:jc w:val="right"/>
              <w:rPr>
                <w:rFonts w:ascii="Calibri" w:hAnsi="Calibri"/>
                <w:color w:val="000000"/>
                <w:sz w:val="22"/>
                <w:szCs w:val="22"/>
              </w:rPr>
            </w:pPr>
            <w:r w:rsidRPr="008A734D">
              <w:rPr>
                <w:rFonts w:ascii="Calibri" w:hAnsi="Calibri"/>
                <w:color w:val="000000"/>
                <w:sz w:val="22"/>
                <w:szCs w:val="22"/>
              </w:rPr>
              <w:t>21</w:t>
            </w:r>
            <w:r>
              <w:rPr>
                <w:rFonts w:ascii="Calibri" w:hAnsi="Calibri"/>
                <w:color w:val="000000"/>
                <w:sz w:val="22"/>
                <w:szCs w:val="22"/>
              </w:rPr>
              <w:t>.</w:t>
            </w:r>
            <w:r w:rsidRPr="008A734D">
              <w:rPr>
                <w:rFonts w:ascii="Calibri" w:hAnsi="Calibri"/>
                <w:color w:val="000000"/>
                <w:sz w:val="22"/>
                <w:szCs w:val="22"/>
              </w:rPr>
              <w:t>350,29</w:t>
            </w:r>
          </w:p>
        </w:tc>
        <w:tc>
          <w:tcPr>
            <w:tcW w:w="1200" w:type="dxa"/>
            <w:tcBorders>
              <w:top w:val="nil"/>
              <w:left w:val="nil"/>
              <w:bottom w:val="single" w:sz="4" w:space="0" w:color="auto"/>
              <w:right w:val="single" w:sz="4" w:space="0" w:color="auto"/>
            </w:tcBorders>
            <w:noWrap/>
            <w:vAlign w:val="bottom"/>
          </w:tcPr>
          <w:p w:rsidR="009624F8" w:rsidRPr="008A734D" w:rsidRDefault="009624F8" w:rsidP="00DE316D">
            <w:pPr>
              <w:jc w:val="right"/>
              <w:rPr>
                <w:rFonts w:ascii="Calibri" w:hAnsi="Calibri"/>
                <w:color w:val="000000"/>
                <w:sz w:val="22"/>
                <w:szCs w:val="22"/>
              </w:rPr>
            </w:pPr>
            <w:r w:rsidRPr="008A734D">
              <w:rPr>
                <w:rFonts w:ascii="Calibri" w:hAnsi="Calibri"/>
                <w:color w:val="000000"/>
                <w:sz w:val="22"/>
                <w:szCs w:val="22"/>
              </w:rPr>
              <w:t>9</w:t>
            </w:r>
            <w:r>
              <w:rPr>
                <w:rFonts w:ascii="Calibri" w:hAnsi="Calibri"/>
                <w:color w:val="000000"/>
                <w:sz w:val="22"/>
                <w:szCs w:val="22"/>
              </w:rPr>
              <w:t>.</w:t>
            </w:r>
            <w:r w:rsidRPr="008A734D">
              <w:rPr>
                <w:rFonts w:ascii="Calibri" w:hAnsi="Calibri"/>
                <w:color w:val="000000"/>
                <w:sz w:val="22"/>
                <w:szCs w:val="22"/>
              </w:rPr>
              <w:t>910,4</w:t>
            </w:r>
          </w:p>
        </w:tc>
      </w:tr>
    </w:tbl>
    <w:p w:rsidR="009624F8" w:rsidRDefault="009624F8" w:rsidP="009624F8">
      <w:pPr>
        <w:pStyle w:val="NormalWeb"/>
        <w:spacing w:line="360" w:lineRule="auto"/>
        <w:jc w:val="both"/>
        <w:rPr>
          <w:rFonts w:ascii="Arial" w:hAnsi="Arial" w:cs="Arial"/>
          <w:color w:val="000000"/>
          <w:sz w:val="22"/>
          <w:szCs w:val="22"/>
        </w:rPr>
      </w:pPr>
    </w:p>
    <w:p w:rsidR="009624F8" w:rsidRDefault="009624F8" w:rsidP="009624F8">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Las mencionadas campañas son bianuales, en el momento actual se está procediendo al pago de la campaña 2017-2018 por lo que no se ha podido incluir de momento las cantidades correspondientes. También en este mes de diciembre se están concediendo las ayudas de la campaña 2018-1019.</w:t>
      </w:r>
    </w:p>
    <w:p w:rsidR="009624F8" w:rsidRPr="007D5A22" w:rsidRDefault="009624F8" w:rsidP="009624F8">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 xml:space="preserve">Estas campañas de ayudas incluyen repoblaciones forestales, labores silvícolas, biodiversidad y pequeñas infraestructuras. En el caso de las repoblaciones solo son subvencionables aquellas que utilizan especies incluidas en el PDR, siendo la mayoría autóctonas. En cualquier caso es obligatoria la presentación de un proyecto o memoria técnica en donde se asegura la idoneidad de las especies forestales.  </w:t>
      </w:r>
    </w:p>
    <w:p w:rsidR="00E42B87" w:rsidRDefault="009624F8" w:rsidP="009624F8">
      <w:pPr>
        <w:pStyle w:val="Textoindependiente"/>
        <w:spacing w:before="120" w:after="0" w:line="360" w:lineRule="auto"/>
        <w:ind w:firstLine="708"/>
        <w:rPr>
          <w:rFonts w:cs="Arial"/>
          <w:color w:val="000000"/>
          <w:sz w:val="22"/>
          <w:szCs w:val="22"/>
        </w:rPr>
      </w:pPr>
      <w:r>
        <w:rPr>
          <w:rFonts w:cs="Arial"/>
          <w:color w:val="000000"/>
          <w:sz w:val="22"/>
          <w:szCs w:val="22"/>
        </w:rPr>
        <w:t xml:space="preserve">Finalmente indicar que con fecha 22 de agosto de 2018 y mediante Acuerdo de Gobierno se </w:t>
      </w:r>
      <w:r w:rsidRPr="0043281B">
        <w:rPr>
          <w:rFonts w:cs="Arial"/>
          <w:color w:val="000000"/>
          <w:sz w:val="22"/>
          <w:szCs w:val="22"/>
        </w:rPr>
        <w:t>autoriza a la adquisición de compromisos plurianuales imputables a al ejercicio 2020 por un importe total de 2.950.000 euros, para promover las convocatorias de ayudas a trabajos forestales promovidos por entidades locales y por agentes y asociaciones privados campaña 2019/2020 (medidas 04.03.05 y 08.05.01) incluidas en el Programa de Desarrollo Rural de la Comunid</w:t>
      </w:r>
      <w:r>
        <w:rPr>
          <w:rFonts w:cs="Arial"/>
          <w:color w:val="000000"/>
          <w:sz w:val="22"/>
          <w:szCs w:val="22"/>
        </w:rPr>
        <w:t>ad Foral de Navarra 2014–2020, lo que supone una ampliación en 650.000 € con respecto a la campaña anterior.</w:t>
      </w:r>
    </w:p>
    <w:p w:rsidR="00E42B87" w:rsidRDefault="00011E8C" w:rsidP="00011E8C">
      <w:pPr>
        <w:spacing w:line="276" w:lineRule="auto"/>
        <w:jc w:val="both"/>
        <w:rPr>
          <w:rFonts w:ascii="Arial" w:hAnsi="Arial" w:cs="Arial"/>
          <w:b/>
          <w:sz w:val="22"/>
          <w:szCs w:val="22"/>
          <w:lang w:val="es-ES_tradnl"/>
        </w:rPr>
      </w:pPr>
      <w:r w:rsidRPr="00011E8C">
        <w:rPr>
          <w:rFonts w:ascii="Arial" w:hAnsi="Arial" w:cs="Arial"/>
          <w:b/>
          <w:sz w:val="22"/>
          <w:szCs w:val="22"/>
          <w:lang w:val="es-ES_tradnl"/>
        </w:rPr>
        <w:t xml:space="preserve">.- ¿Qué decisiones ha adoptado el Gobierno de Navarra para garantizar en la Ribera de Navarra el cumplimiento de los principios y objetivos que establece la Directiva Marco de Residuos 200/98/CEE y el propio Plan de Residuos de Navarra 2017-2027 en relación a la gestión de los residuos que realiza la plante de “El </w:t>
      </w:r>
      <w:proofErr w:type="spellStart"/>
      <w:r w:rsidRPr="00011E8C">
        <w:rPr>
          <w:rFonts w:ascii="Arial" w:hAnsi="Arial" w:cs="Arial"/>
          <w:b/>
          <w:sz w:val="22"/>
          <w:szCs w:val="22"/>
          <w:lang w:val="es-ES_tradnl"/>
        </w:rPr>
        <w:t>Culebrete</w:t>
      </w:r>
      <w:proofErr w:type="spellEnd"/>
      <w:r w:rsidRPr="00011E8C">
        <w:rPr>
          <w:rFonts w:ascii="Arial" w:hAnsi="Arial" w:cs="Arial"/>
          <w:b/>
          <w:sz w:val="22"/>
          <w:szCs w:val="22"/>
          <w:lang w:val="es-ES_tradnl"/>
        </w:rPr>
        <w:t>”?</w:t>
      </w:r>
    </w:p>
    <w:p w:rsidR="002D6B4A" w:rsidRDefault="002D6B4A" w:rsidP="00824709">
      <w:pPr>
        <w:numPr>
          <w:ilvl w:val="0"/>
          <w:numId w:val="13"/>
        </w:numPr>
        <w:spacing w:after="200" w:line="360" w:lineRule="auto"/>
        <w:ind w:left="426"/>
        <w:jc w:val="both"/>
        <w:rPr>
          <w:rFonts w:ascii="Arial" w:hAnsi="Arial" w:cs="Arial"/>
          <w:sz w:val="22"/>
        </w:rPr>
      </w:pPr>
      <w:r w:rsidRPr="00824709">
        <w:rPr>
          <w:rFonts w:ascii="Arial" w:hAnsi="Arial" w:cs="Arial"/>
          <w:sz w:val="22"/>
        </w:rPr>
        <w:lastRenderedPageBreak/>
        <w:t xml:space="preserve">En primer lugar se viene realizando una labor de control e inspección sobre la instalación que implica, entre otras, la de vigilancia del cumplimiento de los objetivos previstos por la normativa y planificación citada. Se han tramitado expedientes recientes de modificación de esta instalación para adecuar el tratamiento de la fracción de materia orgánica como bioestabilizado o como compost, según su origen, y de este modo realizar el tratamiento de la materia orgánica previo al vertido en el primer caso, o bien para su uso como compost en el segundo. </w:t>
      </w:r>
      <w:r w:rsidR="00824709" w:rsidRPr="00824709">
        <w:rPr>
          <w:rFonts w:ascii="Arial" w:hAnsi="Arial" w:cs="Arial"/>
          <w:sz w:val="22"/>
        </w:rPr>
        <w:t>Dicha modificación significativa de la instalación fue aprobada mediante Resolución 301E/2018 de 21 de agosto. Con carácter previo a la entrada en funcionamiento de la modificación, el titular deberá presentar ante el Departamento de Desarrollo Rural, Medio Ambiente y Administración Local, una declaración responsable de puesta en marcha, que será verificada por el Gobierno de Navarra.</w:t>
      </w:r>
    </w:p>
    <w:p w:rsidR="003E7D06" w:rsidRPr="00824709" w:rsidRDefault="003E7D06" w:rsidP="003E7D06">
      <w:pPr>
        <w:spacing w:after="200" w:line="360" w:lineRule="auto"/>
        <w:ind w:left="426"/>
        <w:jc w:val="both"/>
        <w:rPr>
          <w:rFonts w:ascii="Arial" w:hAnsi="Arial" w:cs="Arial"/>
          <w:sz w:val="22"/>
        </w:rPr>
      </w:pPr>
      <w:r>
        <w:rPr>
          <w:rFonts w:ascii="Arial" w:hAnsi="Arial" w:cs="Arial"/>
          <w:sz w:val="22"/>
        </w:rPr>
        <w:t xml:space="preserve">Dentro del Plan de Inversiones Locales para el periodo 2017-2019 se ha incluido el proyecto presentado por la Mancomunidad de la Ribera para la ejecución de planta de estabilización aerobia de rechazo con una aportación de </w:t>
      </w:r>
      <w:r w:rsidRPr="003E7D06">
        <w:rPr>
          <w:rFonts w:ascii="Arial" w:hAnsi="Arial" w:cs="Arial"/>
          <w:sz w:val="22"/>
        </w:rPr>
        <w:t xml:space="preserve">1.423.963,55 </w:t>
      </w:r>
      <w:r>
        <w:rPr>
          <w:rFonts w:ascii="Arial" w:hAnsi="Arial" w:cs="Arial"/>
          <w:sz w:val="22"/>
        </w:rPr>
        <w:t>euros (</w:t>
      </w:r>
      <w:r w:rsidRPr="003E7D06">
        <w:rPr>
          <w:rFonts w:ascii="Arial" w:hAnsi="Arial" w:cs="Arial"/>
          <w:sz w:val="22"/>
        </w:rPr>
        <w:t>Resolución 504/2018, de 12 de julio</w:t>
      </w:r>
      <w:r>
        <w:rPr>
          <w:rFonts w:ascii="Arial" w:hAnsi="Arial" w:cs="Arial"/>
          <w:sz w:val="22"/>
        </w:rPr>
        <w:t>), el cual se encuentra</w:t>
      </w:r>
      <w:r w:rsidRPr="003E7D06">
        <w:rPr>
          <w:rFonts w:ascii="Arial" w:hAnsi="Arial" w:cs="Arial"/>
          <w:sz w:val="22"/>
        </w:rPr>
        <w:t xml:space="preserve"> en fase de ejecución. Actualmente, se está tramitando el abono de inicio.</w:t>
      </w:r>
    </w:p>
    <w:p w:rsidR="002D6B4A" w:rsidRPr="002D6B4A" w:rsidRDefault="002D6B4A" w:rsidP="002D6B4A">
      <w:pPr>
        <w:numPr>
          <w:ilvl w:val="0"/>
          <w:numId w:val="13"/>
        </w:numPr>
        <w:spacing w:after="200" w:line="360" w:lineRule="auto"/>
        <w:ind w:left="426"/>
        <w:jc w:val="both"/>
        <w:rPr>
          <w:rFonts w:ascii="Arial" w:hAnsi="Arial" w:cs="Arial"/>
          <w:sz w:val="22"/>
        </w:rPr>
      </w:pPr>
      <w:r w:rsidRPr="002D6B4A">
        <w:rPr>
          <w:rFonts w:ascii="Arial" w:hAnsi="Arial" w:cs="Arial"/>
          <w:sz w:val="22"/>
        </w:rPr>
        <w:t>Además desde la Oficina de Prevención de Residuos e impulso a la Economía Circular , y específicamente dentro de la tarea que realiza el Consorcio de Residuos Urbanos de Navarra, se está realizando las siguientes tareas de acompañamiento en labores de prevención y de recogida de materia orgánica:</w:t>
      </w:r>
    </w:p>
    <w:p w:rsidR="00E42B87" w:rsidRDefault="002D6B4A" w:rsidP="002D6B4A">
      <w:pPr>
        <w:spacing w:line="360" w:lineRule="auto"/>
        <w:ind w:left="851"/>
        <w:jc w:val="both"/>
        <w:rPr>
          <w:rFonts w:ascii="Arial" w:hAnsi="Arial" w:cs="Arial"/>
          <w:sz w:val="22"/>
        </w:rPr>
      </w:pPr>
      <w:r w:rsidRPr="002D6B4A">
        <w:rPr>
          <w:rFonts w:ascii="Arial" w:hAnsi="Arial" w:cs="Arial"/>
          <w:sz w:val="22"/>
        </w:rPr>
        <w:t>PREVENCIÓN</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En estos momentos estamos colaborando con mancomunidad de Ribera en un proyecto de prevención de residuos e impulso del comercio de cercanía en el que ya hemos estado viéndolo “in situ” y al que hemos ofrecido entrar en los programas de prevención que impulsa Consorcio de residuos en todas las mancomunidades.</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Se ha realizado la Jornada de prevención en el mercado de Tudela con la presentación de experiencias de consumo local y de cercanía. Comercio sin envases. En esta actividad se repartieron bolsas de tela reutilizables en todos los comercios del mercado de abastos.</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Presentación del programa educativo para toda Navarra en el C.P. de Cascante con reparto de BokatONas (portabocadillos para reducir el uso de envoltorios en el centro escolar).</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lastRenderedPageBreak/>
        <w:t>Caracterización, en el mismo centro, de los residuos que se generan en un patio a la hora del almuerzo.</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Jornada completa en Tudela con multitud de actividades dentro de la semana de la prevención. En la misma se llevó a cabo una visita con la presencia de cargos electos riberos al Banco de Alimentos, al comedor social Villa Javier y el supermercado El Capacico dentro del intento de paliar el desperdicio alimentario.</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Ese mismo día hubo jornada de yonolotiradores en el mercado de Tudela con talleres de reutilización tanto alimentaria como de ropa y bicicletas. En la jornada se repartieron bolsas reutilizables de papel dentro de la campaña agurplásticoadiós.</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En Mancomunidad de Ribera se han repartido 35.000 bolsas de papel en el comercio local y de cercanía.</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Se han llevado vajilla reutilizable a las fiestas de la juventud de Murchante y vasos reutilizables  a la concentración motera de La Pellejo de Ribaforada.</w:t>
      </w:r>
    </w:p>
    <w:p w:rsidR="00E42B87"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Recogida de desperdicio alimentario con el Banco de Alimentos para abrir una vía de recogida de alimentos a punto de caducar para incluirlos, por medio de los servicios sociales, en el circuito de reparto habitual. Tanto Consorcio de residuos como la propia mancomunidad están dispuestos a buscar financiación y logística, el problema o dificultad está, en estos momentos, en el propio voluntariado del Banco de alimentos.</w:t>
      </w:r>
    </w:p>
    <w:p w:rsidR="00E42B87" w:rsidRDefault="002D6B4A" w:rsidP="002D6B4A">
      <w:pPr>
        <w:spacing w:line="360" w:lineRule="auto"/>
        <w:ind w:left="851"/>
        <w:jc w:val="both"/>
        <w:rPr>
          <w:rFonts w:ascii="Arial" w:hAnsi="Arial" w:cs="Arial"/>
          <w:sz w:val="22"/>
        </w:rPr>
      </w:pPr>
      <w:r w:rsidRPr="002D6B4A">
        <w:rPr>
          <w:rFonts w:ascii="Arial" w:hAnsi="Arial" w:cs="Arial"/>
          <w:sz w:val="22"/>
        </w:rPr>
        <w:t>MATERIA ORGÁNICA</w:t>
      </w:r>
    </w:p>
    <w:p w:rsidR="002D6B4A" w:rsidRPr="002D6B4A"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 xml:space="preserve">En estos momentos se recogen de manera selectiva con 5º contenedor en zonas comerciales de Tudela 238 toneladas. En Septiembre se comunica que no hay partida presupuestaria para comenzar en 2018 y se comprometen a meterlo para los presupuestos del 2019, en concreto para la recogida de Tudela por medio de 5º contenedor. </w:t>
      </w:r>
    </w:p>
    <w:p w:rsidR="00E42B87" w:rsidRDefault="002D6B4A" w:rsidP="002D6B4A">
      <w:pPr>
        <w:numPr>
          <w:ilvl w:val="0"/>
          <w:numId w:val="14"/>
        </w:numPr>
        <w:spacing w:after="200" w:line="360" w:lineRule="auto"/>
        <w:ind w:left="851"/>
        <w:jc w:val="both"/>
        <w:rPr>
          <w:rFonts w:ascii="Arial" w:hAnsi="Arial" w:cs="Arial"/>
          <w:sz w:val="22"/>
        </w:rPr>
      </w:pPr>
      <w:r w:rsidRPr="002D6B4A">
        <w:rPr>
          <w:rFonts w:ascii="Arial" w:hAnsi="Arial" w:cs="Arial"/>
          <w:sz w:val="22"/>
        </w:rPr>
        <w:t>Desde la Oficina de Prevención se ha elaborado un proyecto de compostaje de podas municipales en el Queiles en colaboración con los servicios sociales del Alto Queiles, Ayuntamiento de Murchante y mancomunidad de Ribera. En una zona habilitada por el ayuntamiento se van a tratar los restos de poda y compostar, junto con la materia orgánica de la hostelería del propio pueblo.</w:t>
      </w:r>
    </w:p>
    <w:p w:rsidR="00E42B87" w:rsidRDefault="00966998" w:rsidP="00E320CB">
      <w:pPr>
        <w:pStyle w:val="Textoindependiente"/>
        <w:spacing w:before="120" w:after="0" w:line="360" w:lineRule="auto"/>
        <w:ind w:firstLine="708"/>
        <w:rPr>
          <w:rFonts w:cs="Arial"/>
          <w:sz w:val="22"/>
          <w:szCs w:val="22"/>
        </w:rPr>
      </w:pPr>
      <w:r w:rsidRPr="00901293">
        <w:rPr>
          <w:rFonts w:cs="Arial"/>
          <w:sz w:val="22"/>
          <w:szCs w:val="22"/>
        </w:rPr>
        <w:t>Es cuanto te</w:t>
      </w:r>
      <w:r w:rsidR="00E42B87">
        <w:rPr>
          <w:rFonts w:cs="Arial"/>
          <w:sz w:val="22"/>
          <w:szCs w:val="22"/>
        </w:rPr>
        <w:t>ngo el honor de informar</w:t>
      </w:r>
      <w:r w:rsidRPr="00901293">
        <w:rPr>
          <w:rFonts w:cs="Arial"/>
          <w:sz w:val="22"/>
          <w:szCs w:val="22"/>
        </w:rPr>
        <w:t>en cumplimiento de</w:t>
      </w:r>
      <w:r w:rsidR="00E42B87">
        <w:rPr>
          <w:rFonts w:cs="Arial"/>
          <w:sz w:val="22"/>
          <w:szCs w:val="22"/>
        </w:rPr>
        <w:t xml:space="preserve"> lo dispuesto en el artículo 194</w:t>
      </w:r>
      <w:r w:rsidRPr="00901293">
        <w:rPr>
          <w:rFonts w:cs="Arial"/>
          <w:sz w:val="22"/>
          <w:szCs w:val="22"/>
        </w:rPr>
        <w:t xml:space="preserve"> del Reglamento del Parlamento de Navarra.</w:t>
      </w:r>
    </w:p>
    <w:p w:rsidR="00E42B87" w:rsidRDefault="00901293" w:rsidP="00901293">
      <w:pPr>
        <w:spacing w:line="360" w:lineRule="auto"/>
        <w:jc w:val="center"/>
        <w:rPr>
          <w:rFonts w:ascii="Arial" w:hAnsi="Arial" w:cs="Arial"/>
          <w:sz w:val="22"/>
          <w:szCs w:val="22"/>
        </w:rPr>
      </w:pPr>
      <w:r w:rsidRPr="00901293">
        <w:rPr>
          <w:rFonts w:ascii="Arial" w:hAnsi="Arial" w:cs="Arial"/>
          <w:sz w:val="22"/>
          <w:szCs w:val="22"/>
        </w:rPr>
        <w:lastRenderedPageBreak/>
        <w:t xml:space="preserve">Pamplona, </w:t>
      </w:r>
      <w:r w:rsidR="00CD2597">
        <w:rPr>
          <w:rFonts w:ascii="Arial" w:hAnsi="Arial" w:cs="Arial"/>
          <w:sz w:val="22"/>
          <w:szCs w:val="22"/>
        </w:rPr>
        <w:t>1</w:t>
      </w:r>
      <w:r w:rsidR="002D6B4A">
        <w:rPr>
          <w:rFonts w:ascii="Arial" w:hAnsi="Arial" w:cs="Arial"/>
          <w:sz w:val="22"/>
          <w:szCs w:val="22"/>
        </w:rPr>
        <w:t>4</w:t>
      </w:r>
      <w:r w:rsidR="00CD2597">
        <w:rPr>
          <w:rFonts w:ascii="Arial" w:hAnsi="Arial" w:cs="Arial"/>
          <w:sz w:val="22"/>
          <w:szCs w:val="22"/>
        </w:rPr>
        <w:t xml:space="preserve"> de diciembre de 2018</w:t>
      </w:r>
    </w:p>
    <w:p w:rsidR="00E42B87" w:rsidRDefault="00E42B87" w:rsidP="00E42B87">
      <w:pPr>
        <w:widowControl w:val="0"/>
        <w:autoSpaceDE w:val="0"/>
        <w:autoSpaceDN w:val="0"/>
        <w:adjustRightInd w:val="0"/>
        <w:spacing w:line="360" w:lineRule="auto"/>
        <w:jc w:val="center"/>
        <w:rPr>
          <w:rFonts w:ascii="Arial" w:hAnsi="Arial" w:cs="Arial"/>
          <w:sz w:val="22"/>
          <w:szCs w:val="22"/>
        </w:rPr>
      </w:pPr>
      <w:r>
        <w:rPr>
          <w:rFonts w:ascii="Arial" w:hAnsi="Arial" w:cs="Arial"/>
          <w:sz w:val="22"/>
          <w:szCs w:val="22"/>
        </w:rPr>
        <w:t>La Consejera</w:t>
      </w:r>
      <w:r w:rsidRPr="00901293">
        <w:rPr>
          <w:rFonts w:ascii="Arial" w:hAnsi="Arial" w:cs="Arial"/>
          <w:sz w:val="22"/>
          <w:szCs w:val="22"/>
        </w:rPr>
        <w:t xml:space="preserve"> de Desarrollo Rural,</w:t>
      </w:r>
      <w:r>
        <w:rPr>
          <w:rFonts w:ascii="Arial" w:hAnsi="Arial" w:cs="Arial"/>
          <w:sz w:val="22"/>
          <w:szCs w:val="22"/>
        </w:rPr>
        <w:t xml:space="preserve"> </w:t>
      </w:r>
      <w:r w:rsidRPr="00901293">
        <w:rPr>
          <w:rFonts w:ascii="Arial" w:hAnsi="Arial" w:cs="Arial"/>
          <w:sz w:val="22"/>
          <w:szCs w:val="22"/>
        </w:rPr>
        <w:t xml:space="preserve">Medio </w:t>
      </w:r>
      <w:r>
        <w:rPr>
          <w:rFonts w:ascii="Arial" w:hAnsi="Arial" w:cs="Arial"/>
          <w:sz w:val="22"/>
          <w:szCs w:val="22"/>
        </w:rPr>
        <w:t xml:space="preserve">Ambiente y Administración Local: </w:t>
      </w:r>
      <w:r w:rsidR="00886558">
        <w:rPr>
          <w:rFonts w:ascii="Arial" w:hAnsi="Arial" w:cs="Arial"/>
          <w:sz w:val="22"/>
          <w:szCs w:val="22"/>
        </w:rPr>
        <w:t xml:space="preserve">Isabel Elizalde </w:t>
      </w:r>
      <w:proofErr w:type="spellStart"/>
      <w:r w:rsidR="00886558">
        <w:rPr>
          <w:rFonts w:ascii="Arial" w:hAnsi="Arial" w:cs="Arial"/>
          <w:sz w:val="22"/>
          <w:szCs w:val="22"/>
        </w:rPr>
        <w:t>Arretxea</w:t>
      </w:r>
      <w:proofErr w:type="spellEnd"/>
    </w:p>
    <w:sectPr w:rsidR="00E42B87" w:rsidSect="00F008A3">
      <w:headerReference w:type="default" r:id="rId9"/>
      <w:footerReference w:type="default" r:id="rId10"/>
      <w:footerReference w:type="first" r:id="rId11"/>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4E" w:rsidRDefault="0010674E">
      <w:r>
        <w:separator/>
      </w:r>
    </w:p>
  </w:endnote>
  <w:endnote w:type="continuationSeparator" w:id="0">
    <w:p w:rsidR="0010674E" w:rsidRDefault="0010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F41082" w:rsidRPr="00124D6B" w:rsidTr="00C75BB9">
      <w:tc>
        <w:tcPr>
          <w:tcW w:w="8648" w:type="dxa"/>
        </w:tcPr>
        <w:p w:rsidR="00F41082" w:rsidRPr="00124D6B" w:rsidRDefault="00F41082" w:rsidP="00C75BB9">
          <w:pPr>
            <w:pStyle w:val="Piedepgina"/>
            <w:tabs>
              <w:tab w:val="clear" w:pos="4252"/>
              <w:tab w:val="center" w:pos="5705"/>
            </w:tabs>
          </w:pPr>
        </w:p>
      </w:tc>
      <w:tc>
        <w:tcPr>
          <w:tcW w:w="2126" w:type="dxa"/>
        </w:tcPr>
        <w:p w:rsidR="00F41082" w:rsidRPr="00124D6B" w:rsidRDefault="00F41082" w:rsidP="00C75BB9">
          <w:pPr>
            <w:pStyle w:val="Piedepgina"/>
            <w:jc w:val="right"/>
            <w:rPr>
              <w:sz w:val="14"/>
              <w:szCs w:val="14"/>
            </w:rPr>
          </w:pPr>
        </w:p>
      </w:tc>
    </w:tr>
  </w:tbl>
  <w:p w:rsidR="00F41082" w:rsidRDefault="00F410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82" w:rsidRPr="00124D6B" w:rsidRDefault="00F41082" w:rsidP="00E42B87">
    <w:pPr>
      <w:pStyle w:val="Piedepgina"/>
      <w:rPr>
        <w:sz w:val="14"/>
        <w:szCs w:val="14"/>
      </w:rPr>
    </w:pPr>
    <w:r>
      <w:tab/>
    </w:r>
  </w:p>
  <w:p w:rsidR="00E42B87" w:rsidRDefault="00E42B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4E" w:rsidRDefault="0010674E">
      <w:r>
        <w:separator/>
      </w:r>
    </w:p>
  </w:footnote>
  <w:footnote w:type="continuationSeparator" w:id="0">
    <w:p w:rsidR="0010674E" w:rsidRDefault="0010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82" w:rsidRDefault="00F41082"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87A5B52"/>
    <w:multiLevelType w:val="hybridMultilevel"/>
    <w:tmpl w:val="68748E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143DF1"/>
    <w:multiLevelType w:val="hybridMultilevel"/>
    <w:tmpl w:val="E12873D4"/>
    <w:lvl w:ilvl="0" w:tplc="1EFC0DF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FB82A94"/>
    <w:multiLevelType w:val="hybridMultilevel"/>
    <w:tmpl w:val="7564F99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17B7C37"/>
    <w:multiLevelType w:val="hybridMultilevel"/>
    <w:tmpl w:val="5EDCB6E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75FE5C83"/>
    <w:multiLevelType w:val="hybridMultilevel"/>
    <w:tmpl w:val="E26AA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1"/>
  </w:num>
  <w:num w:numId="5">
    <w:abstractNumId w:val="8"/>
  </w:num>
  <w:num w:numId="6">
    <w:abstractNumId w:val="4"/>
  </w:num>
  <w:num w:numId="7">
    <w:abstractNumId w:val="9"/>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11E8C"/>
    <w:rsid w:val="000429E0"/>
    <w:rsid w:val="000608A6"/>
    <w:rsid w:val="00072C4F"/>
    <w:rsid w:val="0008313F"/>
    <w:rsid w:val="000C4EA8"/>
    <w:rsid w:val="0010674E"/>
    <w:rsid w:val="00162111"/>
    <w:rsid w:val="001D3AA7"/>
    <w:rsid w:val="001E2EDF"/>
    <w:rsid w:val="002364F6"/>
    <w:rsid w:val="002A7F52"/>
    <w:rsid w:val="002B0435"/>
    <w:rsid w:val="002C487D"/>
    <w:rsid w:val="002D6B4A"/>
    <w:rsid w:val="002D7F3F"/>
    <w:rsid w:val="002F09BF"/>
    <w:rsid w:val="0030333F"/>
    <w:rsid w:val="003059EB"/>
    <w:rsid w:val="00335D98"/>
    <w:rsid w:val="0037010A"/>
    <w:rsid w:val="003E7D06"/>
    <w:rsid w:val="003F202A"/>
    <w:rsid w:val="0041058C"/>
    <w:rsid w:val="00440B04"/>
    <w:rsid w:val="00453C47"/>
    <w:rsid w:val="0046104F"/>
    <w:rsid w:val="004E12F7"/>
    <w:rsid w:val="004F4DAA"/>
    <w:rsid w:val="0051364C"/>
    <w:rsid w:val="005521B3"/>
    <w:rsid w:val="00592A62"/>
    <w:rsid w:val="005D18F1"/>
    <w:rsid w:val="005F0890"/>
    <w:rsid w:val="00612F2B"/>
    <w:rsid w:val="00615EDD"/>
    <w:rsid w:val="006415DD"/>
    <w:rsid w:val="006422F9"/>
    <w:rsid w:val="00645385"/>
    <w:rsid w:val="006E3228"/>
    <w:rsid w:val="007100D4"/>
    <w:rsid w:val="00710131"/>
    <w:rsid w:val="00722D06"/>
    <w:rsid w:val="007751A2"/>
    <w:rsid w:val="007D3B60"/>
    <w:rsid w:val="00807388"/>
    <w:rsid w:val="00824709"/>
    <w:rsid w:val="00842199"/>
    <w:rsid w:val="008501A8"/>
    <w:rsid w:val="00862504"/>
    <w:rsid w:val="00886558"/>
    <w:rsid w:val="008932F8"/>
    <w:rsid w:val="008E7325"/>
    <w:rsid w:val="00901293"/>
    <w:rsid w:val="009222E1"/>
    <w:rsid w:val="009573E3"/>
    <w:rsid w:val="009624F8"/>
    <w:rsid w:val="00966998"/>
    <w:rsid w:val="009B017C"/>
    <w:rsid w:val="00A526BF"/>
    <w:rsid w:val="00A52CE4"/>
    <w:rsid w:val="00A572B9"/>
    <w:rsid w:val="00B8751E"/>
    <w:rsid w:val="00BA2B0D"/>
    <w:rsid w:val="00BA3258"/>
    <w:rsid w:val="00BD7FDC"/>
    <w:rsid w:val="00BF26FD"/>
    <w:rsid w:val="00C0086A"/>
    <w:rsid w:val="00C14281"/>
    <w:rsid w:val="00C2236F"/>
    <w:rsid w:val="00C32F70"/>
    <w:rsid w:val="00C75BB9"/>
    <w:rsid w:val="00C8136E"/>
    <w:rsid w:val="00C92EC7"/>
    <w:rsid w:val="00CD2597"/>
    <w:rsid w:val="00CE3A5E"/>
    <w:rsid w:val="00D32628"/>
    <w:rsid w:val="00D56BC4"/>
    <w:rsid w:val="00D81ABA"/>
    <w:rsid w:val="00D81E4B"/>
    <w:rsid w:val="00D92403"/>
    <w:rsid w:val="00D963CD"/>
    <w:rsid w:val="00DA210E"/>
    <w:rsid w:val="00DC3750"/>
    <w:rsid w:val="00DC4813"/>
    <w:rsid w:val="00DC4FB9"/>
    <w:rsid w:val="00E16985"/>
    <w:rsid w:val="00E320CB"/>
    <w:rsid w:val="00E42B87"/>
    <w:rsid w:val="00E76C9B"/>
    <w:rsid w:val="00E76CF6"/>
    <w:rsid w:val="00E85304"/>
    <w:rsid w:val="00E9767F"/>
    <w:rsid w:val="00EB02C9"/>
    <w:rsid w:val="00EC430E"/>
    <w:rsid w:val="00EF6384"/>
    <w:rsid w:val="00F008A3"/>
    <w:rsid w:val="00F0596D"/>
    <w:rsid w:val="00F41082"/>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uiPriority w:val="99"/>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uiPriority w:val="99"/>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FFE6-B921-4C7C-A476-99B854D5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5</TotalTime>
  <Pages>5</Pages>
  <Words>1587</Words>
  <Characters>8474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5</cp:revision>
  <cp:lastPrinted>2018-12-14T08:03:00Z</cp:lastPrinted>
  <dcterms:created xsi:type="dcterms:W3CDTF">2018-12-28T11:54:00Z</dcterms:created>
  <dcterms:modified xsi:type="dcterms:W3CDTF">2019-04-08T12:12:00Z</dcterms:modified>
</cp:coreProperties>
</file>