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4A" w:rsidRDefault="000E1D0F" w:rsidP="00CA544A">
      <w:pPr>
        <w:spacing w:after="120" w:line="360" w:lineRule="auto"/>
        <w:jc w:val="both"/>
        <w:rPr>
          <w:rFonts w:ascii="Arial" w:hAnsi="Arial" w:cs="Arial"/>
        </w:rPr>
      </w:pPr>
      <w:r>
        <w:rPr>
          <w:rFonts w:ascii="Arial" w:hAnsi="Arial"/>
        </w:rPr>
        <w:t>Abenduak 12</w:t>
      </w:r>
    </w:p>
    <w:p w:rsidR="000E1D0F" w:rsidRDefault="0006150C" w:rsidP="00CA544A">
      <w:pPr>
        <w:spacing w:after="120" w:line="360" w:lineRule="auto"/>
        <w:jc w:val="both"/>
        <w:rPr>
          <w:rFonts w:ascii="Arial" w:hAnsi="Arial" w:cs="Arial"/>
        </w:rPr>
      </w:pPr>
      <w:proofErr w:type="spellStart"/>
      <w:r>
        <w:rPr>
          <w:rFonts w:ascii="Arial" w:hAnsi="Arial"/>
        </w:rPr>
        <w:t>Unión</w:t>
      </w:r>
      <w:proofErr w:type="spellEnd"/>
      <w:r>
        <w:rPr>
          <w:rFonts w:ascii="Arial" w:hAnsi="Arial"/>
        </w:rPr>
        <w:t xml:space="preserve"> del </w:t>
      </w:r>
      <w:proofErr w:type="spellStart"/>
      <w:r>
        <w:rPr>
          <w:rFonts w:ascii="Arial" w:hAnsi="Arial"/>
        </w:rPr>
        <w:t>Pueblo</w:t>
      </w:r>
      <w:proofErr w:type="spellEnd"/>
      <w:r>
        <w:rPr>
          <w:rFonts w:ascii="Arial" w:hAnsi="Arial"/>
        </w:rPr>
        <w:t xml:space="preserve"> Navarro talde parlamentarioari atxikitako foru parlamentari Alberto Catalán Higueras jaunak galdera egin du (9-18/PES-00241) Erriberako langabezia-tasa handia gutxitzeko enplegu plan bat egiteari buruz. Hona Nafarroako Gobernuko Eskubide Sozialetako kontseilariaren erantzuna:</w:t>
      </w:r>
    </w:p>
    <w:p w:rsidR="000E1D0F" w:rsidRDefault="003402E9" w:rsidP="003402E9">
      <w:pPr>
        <w:spacing w:line="360" w:lineRule="auto"/>
        <w:jc w:val="both"/>
        <w:rPr>
          <w:rFonts w:ascii="Arial" w:hAnsi="Arial" w:cs="Arial"/>
        </w:rPr>
      </w:pPr>
      <w:r>
        <w:rPr>
          <w:rFonts w:ascii="Arial" w:hAnsi="Arial"/>
        </w:rPr>
        <w:t>Nafarroako lurraldeetan bizi diren eta langabezia-indize handienak dituzten pertsonen arretari eman beharreko lehentasuna enplegu politika aktiboei buruzko erabakian aurreikusita dago (2017-2020). Erabaki horrek ezartzen du ezen Nafarroako lan-merkatuan lurraldearen araberako ezberdintasun handiak daudela, hainbat gairekin lotuta dauden arrazoiei erantzuten dietenak: demografia, produkziorako egitura, garraioa, hezkuntza eta azpiegituren zuzkidura, eta lurraldearen araberako zalantzarik gabeko aldea dagoela langabeziari dagokionez. Horri gehitu behar zaio enplegu politika aktiboen definizioak Nafarroako lurralde-egituraren bereizkuntzari erantzunen diola. Horretarako, proposatzen da lurralde-oreka handiena lortzea egoera hobetzeko eta lanpostuak tokiko arloan sor daitezen sustatzeko berariazko neurriak abian jarriz.</w:t>
      </w:r>
    </w:p>
    <w:p w:rsidR="000E1D0F" w:rsidRDefault="003402E9" w:rsidP="003402E9">
      <w:pPr>
        <w:spacing w:line="360" w:lineRule="auto"/>
        <w:jc w:val="both"/>
        <w:rPr>
          <w:rFonts w:ascii="Arial" w:hAnsi="Arial" w:cs="Arial"/>
        </w:rPr>
      </w:pPr>
      <w:r>
        <w:rPr>
          <w:rFonts w:ascii="Arial" w:hAnsi="Arial"/>
        </w:rPr>
        <w:t>Helburu hori lehentasunezkotzat definitzen duen esparru erregulatzaile bat badagoenez, ez da beharrezkoa Nafarroako lurralderako berariazko enplegu plan bat onestea. Garrantzitsuena da plangintza bat izatea eta aipatutako helburua lortzen laguntzeko neurriak garatzea.</w:t>
      </w:r>
    </w:p>
    <w:p w:rsidR="003402E9" w:rsidRDefault="003402E9" w:rsidP="003402E9">
      <w:pPr>
        <w:spacing w:line="360" w:lineRule="auto"/>
        <w:jc w:val="both"/>
        <w:rPr>
          <w:rFonts w:ascii="Arial" w:hAnsi="Arial" w:cs="Arial"/>
        </w:rPr>
      </w:pPr>
      <w:r>
        <w:rPr>
          <w:rFonts w:ascii="Arial" w:hAnsi="Arial"/>
        </w:rPr>
        <w:t>Horri dagokionez, 2018. urtean, honako neurri hauek garatu dira:</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ERSISI proiektua.</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Banakako arreta eta lanbide-orientazioa ematea langabezian dauden pertsonei, Tuterako Enplegu Agentziako langileen bitartez.</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Lanbide-orientazioko zerbitzuak esparru-akordioaren adjudikazio-hartzaile ziren entitateen bitartez.</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Proiektu bereziak.</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Tuterako Enplegu Agentziak proposatuta garatutako prestakuntza-ekintzak.</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 xml:space="preserve">Enpresa txiki eta ertainentzako diru-laguntzak, langileen prestakuntzarako. </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lastRenderedPageBreak/>
        <w:t xml:space="preserve">Langabetuentzako eta landunentzako prestakuntza ekintzak, diru-laguntzen deialdiaren bitartez. </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Tailer-eskolak eta programa integratuak.</w:t>
      </w:r>
    </w:p>
    <w:p w:rsidR="003402E9" w:rsidRPr="00493EB0" w:rsidRDefault="003402E9" w:rsidP="003402E9">
      <w:pPr>
        <w:pStyle w:val="Prrafodelista"/>
        <w:numPr>
          <w:ilvl w:val="0"/>
          <w:numId w:val="9"/>
        </w:numPr>
        <w:spacing w:line="360" w:lineRule="auto"/>
        <w:jc w:val="both"/>
        <w:rPr>
          <w:rFonts w:ascii="Arial" w:hAnsi="Arial" w:cs="Arial"/>
        </w:rPr>
      </w:pPr>
      <w:r>
        <w:rPr>
          <w:rFonts w:ascii="Arial" w:hAnsi="Arial"/>
        </w:rPr>
        <w:t>Enplegu autonomoa sustatzeko diru-laguntzak.</w:t>
      </w:r>
    </w:p>
    <w:p w:rsidR="003402E9" w:rsidRDefault="003402E9" w:rsidP="003402E9">
      <w:pPr>
        <w:pStyle w:val="Prrafodelista"/>
        <w:numPr>
          <w:ilvl w:val="0"/>
          <w:numId w:val="9"/>
        </w:numPr>
        <w:spacing w:line="360" w:lineRule="auto"/>
        <w:jc w:val="both"/>
        <w:rPr>
          <w:rFonts w:ascii="Arial" w:hAnsi="Arial" w:cs="Arial"/>
        </w:rPr>
      </w:pPr>
      <w:r>
        <w:rPr>
          <w:rFonts w:ascii="Arial" w:hAnsi="Arial"/>
        </w:rPr>
        <w:t>Toki entitateentzako diru-laguntzak, langabetuak kontratatzeko.</w:t>
      </w:r>
    </w:p>
    <w:p w:rsidR="000E1D0F" w:rsidRDefault="003402E9" w:rsidP="003402E9">
      <w:pPr>
        <w:pStyle w:val="Prrafodelista"/>
        <w:numPr>
          <w:ilvl w:val="0"/>
          <w:numId w:val="9"/>
        </w:numPr>
        <w:spacing w:line="360" w:lineRule="auto"/>
        <w:jc w:val="both"/>
        <w:rPr>
          <w:rFonts w:ascii="Arial" w:hAnsi="Arial" w:cs="Arial"/>
        </w:rPr>
      </w:pPr>
      <w:r>
        <w:rPr>
          <w:rFonts w:ascii="Arial" w:hAnsi="Arial"/>
        </w:rPr>
        <w:t xml:space="preserve">Enpresentzako pizgarriak, langabetuak kontratatzeko. </w:t>
      </w:r>
    </w:p>
    <w:p w:rsidR="003402E9" w:rsidRPr="00493EB0"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ERISISI proiektua.</w:t>
      </w:r>
    </w:p>
    <w:p w:rsidR="003402E9" w:rsidRDefault="003402E9" w:rsidP="003402E9">
      <w:pPr>
        <w:spacing w:line="360" w:lineRule="auto"/>
        <w:jc w:val="both"/>
        <w:rPr>
          <w:rFonts w:ascii="Arial" w:hAnsi="Arial" w:cs="Arial"/>
        </w:rPr>
      </w:pPr>
      <w:r>
        <w:rPr>
          <w:rFonts w:ascii="Arial" w:hAnsi="Arial"/>
        </w:rPr>
        <w:t>“</w:t>
      </w:r>
      <w:proofErr w:type="spellStart"/>
      <w:r>
        <w:rPr>
          <w:rFonts w:ascii="Arial" w:hAnsi="Arial"/>
        </w:rPr>
        <w:t>Enhancing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Right</w:t>
      </w:r>
      <w:proofErr w:type="spellEnd"/>
      <w:r>
        <w:rPr>
          <w:rFonts w:ascii="Arial" w:hAnsi="Arial"/>
        </w:rPr>
        <w:t xml:space="preserve"> to </w:t>
      </w:r>
      <w:proofErr w:type="spellStart"/>
      <w:r>
        <w:rPr>
          <w:rFonts w:ascii="Arial" w:hAnsi="Arial"/>
        </w:rPr>
        <w:t>Social</w:t>
      </w:r>
      <w:proofErr w:type="spellEnd"/>
      <w:r>
        <w:rPr>
          <w:rFonts w:ascii="Arial" w:hAnsi="Arial"/>
        </w:rPr>
        <w:t xml:space="preserve"> </w:t>
      </w:r>
      <w:proofErr w:type="spellStart"/>
      <w:r>
        <w:rPr>
          <w:rFonts w:ascii="Arial" w:hAnsi="Arial"/>
        </w:rPr>
        <w:t>Inclusion</w:t>
      </w:r>
      <w:proofErr w:type="spellEnd"/>
      <w:r>
        <w:rPr>
          <w:rFonts w:ascii="Arial" w:hAnsi="Arial"/>
        </w:rPr>
        <w:t xml:space="preserve"> </w:t>
      </w:r>
      <w:proofErr w:type="spellStart"/>
      <w:r>
        <w:rPr>
          <w:rFonts w:ascii="Arial" w:hAnsi="Arial"/>
        </w:rPr>
        <w:t>through</w:t>
      </w:r>
      <w:proofErr w:type="spellEnd"/>
      <w:r>
        <w:rPr>
          <w:rFonts w:ascii="Arial" w:hAnsi="Arial"/>
        </w:rPr>
        <w:t xml:space="preserve"> </w:t>
      </w:r>
      <w:proofErr w:type="spellStart"/>
      <w:r>
        <w:rPr>
          <w:rFonts w:ascii="Arial" w:hAnsi="Arial"/>
        </w:rPr>
        <w:t>Service</w:t>
      </w:r>
      <w:proofErr w:type="spellEnd"/>
      <w:r>
        <w:rPr>
          <w:rFonts w:ascii="Arial" w:hAnsi="Arial"/>
        </w:rPr>
        <w:t xml:space="preserve"> </w:t>
      </w:r>
      <w:proofErr w:type="spellStart"/>
      <w:r>
        <w:rPr>
          <w:rFonts w:ascii="Arial" w:hAnsi="Arial"/>
        </w:rPr>
        <w:t>Integration</w:t>
      </w:r>
      <w:proofErr w:type="spellEnd"/>
      <w:r>
        <w:rPr>
          <w:rFonts w:ascii="Arial" w:hAnsi="Arial"/>
        </w:rPr>
        <w:t xml:space="preserve">” (Gizarteratzerako eskubidea indartzea zerbitzuen integrazioaren bitartez) programa esperimental bat da, langabetuen gizarteratzea errazteko, zeinak, 2016tik 2019ra Tuterako eta Sakanako eskualdeetako gizarte- eta enplegu-zerbitzuak batera bildu baititu. </w:t>
      </w:r>
    </w:p>
    <w:p w:rsidR="003402E9" w:rsidRDefault="003402E9" w:rsidP="003402E9">
      <w:pPr>
        <w:pStyle w:val="NormalWeb"/>
        <w:shd w:val="clear" w:color="auto" w:fill="FFFFFF"/>
        <w:spacing w:line="360" w:lineRule="atLeast"/>
        <w:jc w:val="both"/>
        <w:rPr>
          <w:rFonts w:ascii="Arial" w:hAnsi="Arial" w:cs="Arial"/>
        </w:rPr>
      </w:pPr>
      <w:r>
        <w:rPr>
          <w:rFonts w:ascii="Arial" w:hAnsi="Arial"/>
        </w:rPr>
        <w:t xml:space="preserve">Funtsezko helburua da enplegurako arreta-/aktibazio-eredu berri bat diseinatu eta proban jartzea egoera ahulean dauden langabetuentzat, gizarte- eta enplegu-zerbitzuen esku-hartze koordinatu batean oinarrituta. Onuradunek beren beharrizanetarako eta egoera partikularrerako banakako zerbitzu bat daukate, zeinak azpimarra jartzen baitu norberaren </w:t>
      </w:r>
      <w:proofErr w:type="spellStart"/>
      <w:r>
        <w:rPr>
          <w:rFonts w:ascii="Arial" w:hAnsi="Arial"/>
        </w:rPr>
        <w:t>indarguneetan</w:t>
      </w:r>
      <w:proofErr w:type="spellEnd"/>
      <w:r>
        <w:rPr>
          <w:rFonts w:ascii="Arial" w:hAnsi="Arial"/>
        </w:rPr>
        <w:t xml:space="preserve"> eta autodeterminazioan.</w:t>
      </w:r>
    </w:p>
    <w:p w:rsidR="000E1D0F" w:rsidRDefault="003402E9" w:rsidP="003402E9">
      <w:pPr>
        <w:pStyle w:val="NormalWeb"/>
        <w:shd w:val="clear" w:color="auto" w:fill="FFFFFF"/>
        <w:spacing w:line="360" w:lineRule="atLeast"/>
        <w:jc w:val="both"/>
        <w:rPr>
          <w:rFonts w:ascii="Arial" w:hAnsi="Arial" w:cs="Arial"/>
        </w:rPr>
      </w:pPr>
      <w:r>
        <w:rPr>
          <w:rFonts w:ascii="Arial" w:hAnsi="Arial"/>
        </w:rPr>
        <w:t xml:space="preserve">2018an, Tuteran, 225 pertsonek hartu dute parte programa horretan, errenta bermatua edo bestelako enplegu-laguntzak jasotzen dituztenek (141 emakume eta 84 gizon). </w:t>
      </w:r>
    </w:p>
    <w:p w:rsidR="003402E9" w:rsidRPr="001852D0"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Banakako arreta eta lanbide-orientazioa ematea Tuterako Enplegu Agentziako langileen bitartez.</w:t>
      </w:r>
    </w:p>
    <w:p w:rsidR="003402E9" w:rsidRDefault="003402E9" w:rsidP="003402E9">
      <w:pPr>
        <w:pStyle w:val="NormalWeb"/>
        <w:shd w:val="clear" w:color="auto" w:fill="FFFFFF"/>
        <w:spacing w:line="360" w:lineRule="atLeast"/>
        <w:jc w:val="both"/>
        <w:rPr>
          <w:rFonts w:ascii="Arial" w:hAnsi="Arial" w:cs="Arial"/>
        </w:rPr>
      </w:pPr>
      <w:r>
        <w:rPr>
          <w:rFonts w:ascii="Arial" w:hAnsi="Arial"/>
        </w:rPr>
        <w:t xml:space="preserve">Aurten, Tuterako Enplegu Agentzian, langabetuen </w:t>
      </w:r>
      <w:proofErr w:type="spellStart"/>
      <w:r>
        <w:rPr>
          <w:rFonts w:ascii="Arial" w:hAnsi="Arial"/>
        </w:rPr>
        <w:t>enplegagarritasunari</w:t>
      </w:r>
      <w:proofErr w:type="spellEnd"/>
      <w:r>
        <w:rPr>
          <w:rFonts w:ascii="Arial" w:hAnsi="Arial"/>
        </w:rPr>
        <w:t xml:space="preserve"> buruzko 823 diagnostiko egin dira, haien gaitasunak, lan-esperientzia, prestakuntza-maila eta abar zehazteko lehen urrats gisa. Diagnostiko horrek aukera ematen du pertsonaren gizarte- eta lan-egoera ezagutzeko. Behin diagnostikoa eginda, banakako ibilbideen bitartez zehaztu ahal dira pertsona horren laneratzea lortzeko egin beharreko jarduketak. </w:t>
      </w:r>
    </w:p>
    <w:p w:rsidR="000E1D0F" w:rsidRDefault="003402E9" w:rsidP="003402E9">
      <w:pPr>
        <w:pStyle w:val="NormalWeb"/>
        <w:shd w:val="clear" w:color="auto" w:fill="FFFFFF"/>
        <w:spacing w:line="360" w:lineRule="atLeast"/>
        <w:jc w:val="both"/>
        <w:rPr>
          <w:rFonts w:ascii="Arial" w:hAnsi="Arial" w:cs="Arial"/>
        </w:rPr>
      </w:pPr>
      <w:r>
        <w:rPr>
          <w:rFonts w:ascii="Arial" w:hAnsi="Arial"/>
        </w:rPr>
        <w:t xml:space="preserve">Halaber, 633 ibilbide pertsonalizatu egin dira langabetuentzat. Ibilbide horiek, diagnostikotik abiatuta egindakoek, kasuko langabetuak bere laneratzea lortzeko behar dituen jarduketa guztiak jasotzen ditu (prestakuntza, curriculum </w:t>
      </w:r>
      <w:proofErr w:type="spellStart"/>
      <w:r>
        <w:rPr>
          <w:rFonts w:ascii="Arial" w:hAnsi="Arial"/>
        </w:rPr>
        <w:t>vitaearen</w:t>
      </w:r>
      <w:proofErr w:type="spellEnd"/>
      <w:r>
        <w:rPr>
          <w:rFonts w:ascii="Arial" w:hAnsi="Arial"/>
        </w:rPr>
        <w:t xml:space="preserve"> gaurkotzeak, enplegua bilatzeko tailerrak, motibazio-tailerrak eta abar).</w:t>
      </w:r>
    </w:p>
    <w:p w:rsidR="003402E9" w:rsidRPr="00635DC1"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lastRenderedPageBreak/>
        <w:t>Lanbide-orientazioko zerbitzuak esparru-akordioaren adjudikazio-hartzaile ziren entitateen bitartez.</w:t>
      </w:r>
    </w:p>
    <w:p w:rsidR="000E1D0F" w:rsidRDefault="003402E9" w:rsidP="003402E9">
      <w:pPr>
        <w:pStyle w:val="NormalWeb"/>
        <w:shd w:val="clear" w:color="auto" w:fill="FFFFFF"/>
        <w:spacing w:line="360" w:lineRule="atLeast"/>
        <w:jc w:val="both"/>
        <w:rPr>
          <w:rFonts w:ascii="Arial" w:hAnsi="Arial" w:cs="Arial"/>
        </w:rPr>
      </w:pPr>
      <w:r>
        <w:rPr>
          <w:rFonts w:ascii="Arial" w:hAnsi="Arial"/>
        </w:rPr>
        <w:t xml:space="preserve">Aurten, lanbide-orientaziorako zerbitzua emateko esparru-akordioaren bitartez, Erriberako lurralde-esparruko 969 pertsona bideratu dira entitate adjudikazio-hartzaileetara. Pertsona horiek beren </w:t>
      </w:r>
      <w:proofErr w:type="spellStart"/>
      <w:r>
        <w:rPr>
          <w:rFonts w:ascii="Arial" w:hAnsi="Arial"/>
        </w:rPr>
        <w:t>enplegagarritasuna</w:t>
      </w:r>
      <w:proofErr w:type="spellEnd"/>
      <w:r>
        <w:rPr>
          <w:rFonts w:ascii="Arial" w:hAnsi="Arial"/>
        </w:rPr>
        <w:t xml:space="preserve"> hobetzen lagundu duten lanbide-orientazioko ekintzetan hartu dute parte.</w:t>
      </w:r>
    </w:p>
    <w:p w:rsidR="003402E9"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Proiektu bereziak.</w:t>
      </w:r>
    </w:p>
    <w:p w:rsidR="003402E9" w:rsidRDefault="003402E9" w:rsidP="003402E9">
      <w:pPr>
        <w:spacing w:line="360" w:lineRule="auto"/>
        <w:jc w:val="both"/>
        <w:rPr>
          <w:rFonts w:ascii="Arial" w:hAnsi="Arial"/>
        </w:rPr>
      </w:pPr>
      <w:r>
        <w:rPr>
          <w:rFonts w:ascii="Arial" w:hAnsi="Arial"/>
        </w:rPr>
        <w:t>Proiektu bereziak berariazko prestakuntza-ekintzak dira, sektoreen, lurralde-eremuen edo enpresen eskariz diseinatu eta garatutakoak. Tuterako kasuan, zenbait analisi egin dira, eta bilerak egin dira eskualdeko enpresekin langile kualifikatuak edukitzeko dauzkaten beharrak detektatu eta langabetuak gai horietan gaitzera zuzendutako berariazko prestakuntza ekintzak programatzeko. Honako hauek izan dira proiektu horiek:</w:t>
      </w:r>
    </w:p>
    <w:tbl>
      <w:tblPr>
        <w:tblW w:w="8797" w:type="dxa"/>
        <w:tblInd w:w="55" w:type="dxa"/>
        <w:tblCellMar>
          <w:left w:w="70" w:type="dxa"/>
          <w:right w:w="70" w:type="dxa"/>
        </w:tblCellMar>
        <w:tblLook w:val="04A0" w:firstRow="1" w:lastRow="0" w:firstColumn="1" w:lastColumn="0" w:noHBand="0" w:noVBand="1"/>
      </w:tblPr>
      <w:tblGrid>
        <w:gridCol w:w="1480"/>
        <w:gridCol w:w="3360"/>
        <w:gridCol w:w="2600"/>
        <w:gridCol w:w="1357"/>
      </w:tblGrid>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Ontziratze-linea erabiltzea (</w:t>
            </w:r>
            <w:proofErr w:type="spellStart"/>
            <w:r w:rsidRPr="00632F5E">
              <w:rPr>
                <w:rFonts w:asciiTheme="minorHAnsi" w:hAnsiTheme="minorHAnsi"/>
                <w:color w:val="000000"/>
                <w:sz w:val="18"/>
                <w:szCs w:val="18"/>
              </w:rPr>
              <w:t>Aceites</w:t>
            </w:r>
            <w:proofErr w:type="spellEnd"/>
            <w:r w:rsidRPr="00632F5E">
              <w:rPr>
                <w:rFonts w:asciiTheme="minorHAnsi" w:hAnsiTheme="minorHAnsi"/>
                <w:color w:val="000000"/>
                <w:sz w:val="18"/>
                <w:szCs w:val="18"/>
              </w:rPr>
              <w:t xml:space="preserve"> </w:t>
            </w:r>
            <w:proofErr w:type="spellStart"/>
            <w:r w:rsidRPr="00632F5E">
              <w:rPr>
                <w:rFonts w:asciiTheme="minorHAnsi" w:hAnsiTheme="minorHAnsi"/>
                <w:color w:val="000000"/>
                <w:sz w:val="18"/>
                <w:szCs w:val="18"/>
              </w:rPr>
              <w:t>Artajo</w:t>
            </w:r>
            <w:proofErr w:type="spellEnd"/>
            <w:r w:rsidRPr="00632F5E">
              <w:rPr>
                <w:rFonts w:asciiTheme="minorHAnsi" w:hAnsiTheme="minorHAnsi"/>
                <w:color w:val="000000"/>
                <w:sz w:val="18"/>
                <w:szCs w:val="18"/>
              </w:rPr>
              <w: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AER.</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Fontellas</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Hiri baratze ekologikoa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Tuterako Udala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Tutera</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Oinarrizko igeltserotza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Tuterako Udala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Tutera</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MIG-MAG</w:t>
            </w:r>
            <w:proofErr w:type="spellEnd"/>
            <w:r w:rsidRPr="00632F5E">
              <w:rPr>
                <w:rFonts w:asciiTheme="minorHAnsi" w:hAnsiTheme="minorHAnsi"/>
                <w:color w:val="000000"/>
                <w:sz w:val="18"/>
                <w:szCs w:val="18"/>
              </w:rPr>
              <w:t xml:space="preserve"> soldadura (</w:t>
            </w:r>
            <w:proofErr w:type="spellStart"/>
            <w:r w:rsidRPr="00632F5E">
              <w:rPr>
                <w:rFonts w:asciiTheme="minorHAnsi" w:hAnsiTheme="minorHAnsi"/>
                <w:color w:val="000000"/>
                <w:sz w:val="18"/>
                <w:szCs w:val="18"/>
              </w:rPr>
              <w:t>Sic-Lázaro)</w:t>
            </w:r>
            <w:proofErr w:type="spellEnd"/>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Sic-Lázaro</w:t>
            </w:r>
            <w:proofErr w:type="spellEnd"/>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Buñuel</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ORGA JASOTZAILEEN OPERADOREA (FITERO)</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Fitero</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Plataforma jasotzailea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Fitero</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Lorezaintza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Gizarte Zerbitzuetarako Mankomunitatea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Cascante</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Kontratuak. Nominak. Gizarte Segurantza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EPER, S.L.</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Cintruénigo</w:t>
            </w:r>
            <w:proofErr w:type="spellEnd"/>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Erakinen garbiketa (MF0972 eta MF0996)</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Gizarte Zerbitzuetako Mankomunitatea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Ablitas</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 xml:space="preserve">Soldadura </w:t>
            </w:r>
            <w:proofErr w:type="spellStart"/>
            <w:r w:rsidRPr="00632F5E">
              <w:rPr>
                <w:rFonts w:asciiTheme="minorHAnsi" w:hAnsiTheme="minorHAnsi"/>
                <w:color w:val="000000"/>
                <w:sz w:val="18"/>
                <w:szCs w:val="18"/>
              </w:rPr>
              <w:t>MIG-MAG</w:t>
            </w:r>
            <w:proofErr w:type="spellEnd"/>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EPER, S.L.</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Cintruénigo</w:t>
            </w:r>
            <w:proofErr w:type="spellEnd"/>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 xml:space="preserve">Etorkinentzako </w:t>
            </w:r>
            <w:proofErr w:type="spellStart"/>
            <w:r w:rsidRPr="00632F5E">
              <w:rPr>
                <w:rFonts w:asciiTheme="minorHAnsi" w:hAnsiTheme="minorHAnsi"/>
                <w:color w:val="000000"/>
                <w:sz w:val="18"/>
                <w:szCs w:val="18"/>
              </w:rPr>
              <w:t>ekintzailetza</w:t>
            </w:r>
            <w:proofErr w:type="spellEnd"/>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Nafarroako Ganbera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Iruña</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 xml:space="preserve">Nekazaritzarako langile </w:t>
            </w:r>
            <w:proofErr w:type="spellStart"/>
            <w:r w:rsidRPr="00632F5E">
              <w:rPr>
                <w:rFonts w:asciiTheme="minorHAnsi" w:hAnsiTheme="minorHAnsi"/>
                <w:color w:val="000000"/>
                <w:sz w:val="18"/>
                <w:szCs w:val="18"/>
              </w:rPr>
              <w:t>balioaniztuna</w:t>
            </w:r>
            <w:proofErr w:type="spellEnd"/>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Fitero</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UNE HONETAN EGITEN ARI DA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4.0. ZUZENDARIA ERALDAKETA DIGITALA BULTZATUZ</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AIN</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Tutera</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Erakinen garbiketa (MF1087 eta MF1088)</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Gizarte Zerbitzuetako Mankomunitatea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Ablitas</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“UDA BERANDUKO BERDURAK” JARDUNALDIAK</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Asoc</w:t>
            </w:r>
            <w:proofErr w:type="spellEnd"/>
            <w:r w:rsidRPr="00632F5E">
              <w:rPr>
                <w:rFonts w:asciiTheme="minorHAnsi" w:hAnsiTheme="minorHAnsi"/>
                <w:color w:val="000000"/>
                <w:sz w:val="18"/>
                <w:szCs w:val="18"/>
              </w:rPr>
              <w:t xml:space="preserve">. de </w:t>
            </w:r>
            <w:proofErr w:type="spellStart"/>
            <w:r w:rsidRPr="00632F5E">
              <w:rPr>
                <w:rFonts w:asciiTheme="minorHAnsi" w:hAnsiTheme="minorHAnsi"/>
                <w:color w:val="000000"/>
                <w:sz w:val="18"/>
                <w:szCs w:val="18"/>
              </w:rPr>
              <w:t>Hostelería</w:t>
            </w:r>
            <w:proofErr w:type="spellEnd"/>
            <w:r w:rsidRPr="00632F5E">
              <w:rPr>
                <w:rFonts w:asciiTheme="minorHAnsi" w:hAnsiTheme="minorHAnsi"/>
                <w:color w:val="000000"/>
                <w:sz w:val="18"/>
                <w:szCs w:val="18"/>
              </w:rPr>
              <w:t xml:space="preserve"> y Turismo de Navarra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Burlata/Tutera</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 xml:space="preserve">LAP, </w:t>
            </w:r>
            <w:proofErr w:type="spellStart"/>
            <w:r w:rsidRPr="00632F5E">
              <w:rPr>
                <w:rFonts w:asciiTheme="minorHAnsi" w:hAnsiTheme="minorHAnsi"/>
                <w:color w:val="000000"/>
                <w:sz w:val="18"/>
                <w:szCs w:val="18"/>
              </w:rPr>
              <w:t>Biruta</w:t>
            </w:r>
            <w:proofErr w:type="spellEnd"/>
            <w:r w:rsidRPr="00632F5E">
              <w:rPr>
                <w:rFonts w:asciiTheme="minorHAnsi" w:hAnsiTheme="minorHAnsi"/>
                <w:color w:val="000000"/>
                <w:sz w:val="18"/>
                <w:szCs w:val="18"/>
              </w:rPr>
              <w:t xml:space="preserve"> bidezko mekanizatuko makinako operadorea</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AER</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Tutera</w:t>
            </w: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Eskolako jantokiko laguntzailea</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Buñuelgo eta Ribaforadako Gizarte Zerbitzuetako Mankomunitatea</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p>
        </w:tc>
      </w:tr>
      <w:tr w:rsidR="003402E9" w:rsidRPr="00632F5E" w:rsidTr="00632F5E">
        <w:trPr>
          <w:cantSplit/>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ORGA GIDARIA ETA MARGOLARITZAKO LANGILEA</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EPER, S.L.</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proofErr w:type="spellStart"/>
            <w:r w:rsidRPr="00632F5E">
              <w:rPr>
                <w:rFonts w:asciiTheme="minorHAnsi" w:hAnsiTheme="minorHAnsi"/>
                <w:color w:val="000000"/>
                <w:sz w:val="18"/>
                <w:szCs w:val="18"/>
              </w:rPr>
              <w:t>Cintruénigo</w:t>
            </w:r>
            <w:proofErr w:type="spellEnd"/>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UNE HONETAN EGITEN ARI DA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 xml:space="preserve">Ingelesa </w:t>
            </w:r>
            <w:proofErr w:type="spellStart"/>
            <w:r w:rsidRPr="00632F5E">
              <w:rPr>
                <w:rFonts w:asciiTheme="minorHAnsi" w:hAnsiTheme="minorHAnsi"/>
                <w:color w:val="000000"/>
                <w:sz w:val="18"/>
                <w:szCs w:val="18"/>
              </w:rPr>
              <w:t>enpresaburuarentzat/profesionalarentzat</w:t>
            </w:r>
            <w:proofErr w:type="spellEnd"/>
            <w:r w:rsidRPr="00632F5E">
              <w:rPr>
                <w:rFonts w:asciiTheme="minorHAnsi" w:hAnsiTheme="minorHAnsi"/>
                <w:color w:val="000000"/>
                <w:sz w:val="18"/>
                <w:szCs w:val="18"/>
              </w:rPr>
              <w:t xml:space="preserve"> Oinarrizko maila</w:t>
            </w:r>
          </w:p>
        </w:tc>
        <w:tc>
          <w:tcPr>
            <w:tcW w:w="260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Fitero</w:t>
            </w:r>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UNE HONETAN EGITEN ARI DA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 xml:space="preserve">Ingelesa </w:t>
            </w:r>
            <w:proofErr w:type="spellStart"/>
            <w:r w:rsidRPr="00632F5E">
              <w:rPr>
                <w:rFonts w:asciiTheme="minorHAnsi" w:hAnsiTheme="minorHAnsi"/>
                <w:color w:val="000000"/>
                <w:sz w:val="18"/>
                <w:szCs w:val="18"/>
              </w:rPr>
              <w:t>enpresaburuarentzat/profesionalarentzat</w:t>
            </w:r>
            <w:proofErr w:type="spellEnd"/>
            <w:r w:rsidRPr="00632F5E">
              <w:rPr>
                <w:rFonts w:asciiTheme="minorHAnsi" w:hAnsiTheme="minorHAnsi"/>
                <w:color w:val="000000"/>
                <w:sz w:val="18"/>
                <w:szCs w:val="18"/>
              </w:rPr>
              <w:t xml:space="preserve"> Tarteko maila</w:t>
            </w:r>
          </w:p>
        </w:tc>
        <w:tc>
          <w:tcPr>
            <w:tcW w:w="260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Fitero</w:t>
            </w:r>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Gizonezkoentzako galtzen oinarrizko ebaketa eta jantzigintza</w:t>
            </w:r>
          </w:p>
        </w:tc>
        <w:tc>
          <w:tcPr>
            <w:tcW w:w="260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proofErr w:type="spellStart"/>
            <w:r w:rsidRPr="00632F5E">
              <w:rPr>
                <w:rFonts w:asciiTheme="minorHAnsi" w:hAnsiTheme="minorHAnsi"/>
                <w:color w:val="000000"/>
                <w:sz w:val="18"/>
                <w:szCs w:val="18"/>
              </w:rPr>
              <w:t>Cintruénigo</w:t>
            </w:r>
            <w:proofErr w:type="spellEnd"/>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 xml:space="preserve">Produktu </w:t>
            </w:r>
            <w:proofErr w:type="spellStart"/>
            <w:r w:rsidRPr="00632F5E">
              <w:rPr>
                <w:rFonts w:asciiTheme="minorHAnsi" w:hAnsiTheme="minorHAnsi"/>
                <w:color w:val="000000"/>
                <w:sz w:val="18"/>
                <w:szCs w:val="18"/>
              </w:rPr>
              <w:t>fitosanitarioen</w:t>
            </w:r>
            <w:proofErr w:type="spellEnd"/>
            <w:r w:rsidRPr="00632F5E">
              <w:rPr>
                <w:rFonts w:asciiTheme="minorHAnsi" w:hAnsiTheme="minorHAnsi"/>
                <w:color w:val="000000"/>
                <w:sz w:val="18"/>
                <w:szCs w:val="18"/>
              </w:rPr>
              <w:t xml:space="preserve"> </w:t>
            </w:r>
            <w:proofErr w:type="spellStart"/>
            <w:r w:rsidRPr="00632F5E">
              <w:rPr>
                <w:rFonts w:asciiTheme="minorHAnsi" w:hAnsiTheme="minorHAnsi"/>
                <w:color w:val="000000"/>
                <w:sz w:val="18"/>
                <w:szCs w:val="18"/>
              </w:rPr>
              <w:t>manipulatzailea</w:t>
            </w:r>
            <w:proofErr w:type="spellEnd"/>
            <w:r w:rsidRPr="00632F5E">
              <w:rPr>
                <w:rFonts w:asciiTheme="minorHAnsi" w:hAnsiTheme="minorHAnsi"/>
                <w:color w:val="000000"/>
                <w:sz w:val="18"/>
                <w:szCs w:val="18"/>
              </w:rPr>
              <w:t xml:space="preserve"> izateko zubi-ikastaroa </w:t>
            </w:r>
            <w:proofErr w:type="spellStart"/>
            <w:r w:rsidRPr="00632F5E">
              <w:rPr>
                <w:rFonts w:asciiTheme="minorHAnsi" w:hAnsiTheme="minorHAnsi"/>
                <w:color w:val="000000"/>
                <w:sz w:val="18"/>
                <w:szCs w:val="18"/>
              </w:rPr>
              <w:t>—maila</w:t>
            </w:r>
            <w:proofErr w:type="spellEnd"/>
            <w:r w:rsidRPr="00632F5E">
              <w:rPr>
                <w:rFonts w:asciiTheme="minorHAnsi" w:hAnsiTheme="minorHAnsi"/>
                <w:color w:val="000000"/>
                <w:sz w:val="18"/>
                <w:szCs w:val="18"/>
              </w:rPr>
              <w:t xml:space="preserve"> </w:t>
            </w:r>
            <w:proofErr w:type="spellStart"/>
            <w:r w:rsidRPr="00632F5E">
              <w:rPr>
                <w:rFonts w:asciiTheme="minorHAnsi" w:hAnsiTheme="minorHAnsi"/>
                <w:color w:val="000000"/>
                <w:sz w:val="18"/>
                <w:szCs w:val="18"/>
              </w:rPr>
              <w:t>kualifikatua—</w:t>
            </w:r>
            <w:proofErr w:type="spellEnd"/>
          </w:p>
        </w:tc>
        <w:tc>
          <w:tcPr>
            <w:tcW w:w="260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Fitero</w:t>
            </w:r>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LAP, METALAREN DEFORMAZIO BIDEZKO MEKANIZATUA ETA EBAKETA</w:t>
            </w:r>
          </w:p>
        </w:tc>
        <w:tc>
          <w:tcPr>
            <w:tcW w:w="260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AER</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Tutera</w:t>
            </w:r>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ERAKUSLEIHO-APAINKETA</w:t>
            </w:r>
          </w:p>
        </w:tc>
        <w:tc>
          <w:tcPr>
            <w:tcW w:w="260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Nafarroako Merkataritza Ganbera</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olor w:val="000000"/>
                <w:sz w:val="18"/>
                <w:szCs w:val="18"/>
              </w:rPr>
            </w:pPr>
            <w:r w:rsidRPr="00632F5E">
              <w:rPr>
                <w:rFonts w:asciiTheme="minorHAnsi" w:hAnsiTheme="minorHAnsi"/>
                <w:color w:val="000000"/>
                <w:sz w:val="18"/>
                <w:szCs w:val="18"/>
              </w:rPr>
              <w:t>Tutera</w:t>
            </w:r>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B3188"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UNE HONETAN EGITEN ARI DA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LAP, ENBOR-IKASTAROA</w:t>
            </w:r>
          </w:p>
        </w:tc>
        <w:tc>
          <w:tcPr>
            <w:tcW w:w="260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AGRO-ALHAMA</w:t>
            </w:r>
            <w:proofErr w:type="spellEnd"/>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Fitero</w:t>
            </w:r>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Zubi-garabiaren erabiltze segurua</w:t>
            </w:r>
          </w:p>
        </w:tc>
        <w:tc>
          <w:tcPr>
            <w:tcW w:w="2600"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EPER, S.L.</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Cintruénigo</w:t>
            </w:r>
            <w:proofErr w:type="spellEnd"/>
          </w:p>
        </w:tc>
      </w:tr>
      <w:tr w:rsidR="003402E9" w:rsidRPr="00632F5E" w:rsidTr="00632F5E">
        <w:trPr>
          <w:cantSplit/>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AMAITUTA</w:t>
            </w:r>
          </w:p>
        </w:tc>
        <w:tc>
          <w:tcPr>
            <w:tcW w:w="3360" w:type="dxa"/>
            <w:tcBorders>
              <w:top w:val="nil"/>
              <w:left w:val="nil"/>
              <w:bottom w:val="single" w:sz="4" w:space="0" w:color="auto"/>
              <w:right w:val="single" w:sz="4" w:space="0" w:color="auto"/>
            </w:tcBorders>
            <w:shd w:val="clear" w:color="auto" w:fill="auto"/>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Zubi-garabiaren erabiltze segurua</w:t>
            </w:r>
          </w:p>
        </w:tc>
        <w:tc>
          <w:tcPr>
            <w:tcW w:w="2600"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r w:rsidRPr="00632F5E">
              <w:rPr>
                <w:rFonts w:asciiTheme="minorHAnsi" w:hAnsiTheme="minorHAnsi"/>
                <w:color w:val="000000"/>
                <w:sz w:val="18"/>
                <w:szCs w:val="18"/>
              </w:rPr>
              <w:t>EPER, S.L.</w:t>
            </w:r>
          </w:p>
        </w:tc>
        <w:tc>
          <w:tcPr>
            <w:tcW w:w="1357" w:type="dxa"/>
            <w:tcBorders>
              <w:top w:val="nil"/>
              <w:left w:val="nil"/>
              <w:bottom w:val="single" w:sz="4" w:space="0" w:color="auto"/>
              <w:right w:val="single" w:sz="4" w:space="0" w:color="auto"/>
            </w:tcBorders>
            <w:shd w:val="clear" w:color="auto" w:fill="auto"/>
            <w:noWrap/>
            <w:vAlign w:val="center"/>
            <w:hideMark/>
          </w:tcPr>
          <w:p w:rsidR="003402E9" w:rsidRPr="00632F5E" w:rsidRDefault="003402E9" w:rsidP="00632F5E">
            <w:pPr>
              <w:spacing w:before="40" w:after="40"/>
              <w:rPr>
                <w:rFonts w:asciiTheme="minorHAnsi" w:hAnsiTheme="minorHAnsi" w:cs="Carlito"/>
                <w:color w:val="000000"/>
                <w:sz w:val="18"/>
                <w:szCs w:val="18"/>
              </w:rPr>
            </w:pPr>
            <w:proofErr w:type="spellStart"/>
            <w:r w:rsidRPr="00632F5E">
              <w:rPr>
                <w:rFonts w:asciiTheme="minorHAnsi" w:hAnsiTheme="minorHAnsi"/>
                <w:color w:val="000000"/>
                <w:sz w:val="18"/>
                <w:szCs w:val="18"/>
              </w:rPr>
              <w:t>Cintruénigo</w:t>
            </w:r>
            <w:proofErr w:type="spellEnd"/>
          </w:p>
        </w:tc>
      </w:tr>
    </w:tbl>
    <w:p w:rsidR="003402E9" w:rsidRDefault="003402E9" w:rsidP="006A5E9C">
      <w:pPr>
        <w:spacing w:after="240" w:line="360" w:lineRule="auto"/>
        <w:jc w:val="both"/>
        <w:rPr>
          <w:rFonts w:ascii="Arial" w:hAnsi="Arial" w:cs="Arial"/>
          <w:color w:val="000000"/>
        </w:rPr>
      </w:pPr>
    </w:p>
    <w:p w:rsidR="003402E9"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Langabetuen beharrizan bereziei erreparatuta egindako prestakuntza ekintzak, Tuterako Enplegu Agentziaren proposamenez eginak.</w:t>
      </w:r>
    </w:p>
    <w:p w:rsidR="003402E9" w:rsidRDefault="003402E9" w:rsidP="003402E9">
      <w:pPr>
        <w:pStyle w:val="NormalWeb"/>
        <w:shd w:val="clear" w:color="auto" w:fill="FFFFFF"/>
        <w:spacing w:line="360" w:lineRule="atLeast"/>
        <w:jc w:val="both"/>
        <w:rPr>
          <w:rFonts w:ascii="Arial" w:hAnsi="Arial" w:cs="Arial"/>
        </w:rPr>
      </w:pPr>
      <w:r>
        <w:rPr>
          <w:rFonts w:ascii="Arial" w:hAnsi="Arial"/>
        </w:rPr>
        <w:t xml:space="preserve">Tuterako Enplegu Agentziako langileek, </w:t>
      </w:r>
      <w:proofErr w:type="spellStart"/>
      <w:r>
        <w:rPr>
          <w:rFonts w:ascii="Arial" w:hAnsi="Arial"/>
        </w:rPr>
        <w:t>enplegagarritasunari</w:t>
      </w:r>
      <w:proofErr w:type="spellEnd"/>
      <w:r>
        <w:rPr>
          <w:rFonts w:ascii="Arial" w:hAnsi="Arial"/>
        </w:rPr>
        <w:t xml:space="preserve"> buruzko diagnostikoen eta garatutako banakako ibilbideen arabera, langabetuen prestakuntza-beharrak detektatzen dituzte, eta ekintza horiei buruzko plangintza egiten dute.</w:t>
      </w:r>
    </w:p>
    <w:p w:rsidR="000E1D0F" w:rsidRDefault="003402E9" w:rsidP="003402E9">
      <w:pPr>
        <w:pStyle w:val="NormalWeb"/>
        <w:shd w:val="clear" w:color="auto" w:fill="FFFFFF"/>
        <w:spacing w:line="360" w:lineRule="atLeast"/>
        <w:jc w:val="both"/>
        <w:rPr>
          <w:rFonts w:ascii="Arial" w:hAnsi="Arial" w:cs="Arial"/>
        </w:rPr>
      </w:pPr>
      <w:r>
        <w:rPr>
          <w:rFonts w:ascii="Arial" w:hAnsi="Arial"/>
        </w:rPr>
        <w:t xml:space="preserve">2018an 9 ikastaro egin dira, guztira 520 orduko iraupenarekin; haietan, 104 pertsonek hartu dute parte. Honako gai hauei buruzkoak izan dira ikastaro horiek: kudeaketa administratiboa, lan-arriskuen prebentzioa igeltserotza lanetan, alfabetizazio informatikoa, elikagaien arloko higieneari buruzko oinarrizko prestakuntza, industriarako langile </w:t>
      </w:r>
      <w:proofErr w:type="spellStart"/>
      <w:r>
        <w:rPr>
          <w:rFonts w:ascii="Arial" w:hAnsi="Arial"/>
        </w:rPr>
        <w:t>balioaniztuna</w:t>
      </w:r>
      <w:proofErr w:type="spellEnd"/>
      <w:r>
        <w:rPr>
          <w:rFonts w:ascii="Arial" w:hAnsi="Arial"/>
        </w:rPr>
        <w:t>, eta abar.</w:t>
      </w:r>
    </w:p>
    <w:p w:rsidR="003402E9" w:rsidRPr="00EF10DC"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 xml:space="preserve">Enpresa txiki eta ertainentzako diru-laguntzak, langileen prestakuntzarako. </w:t>
      </w:r>
    </w:p>
    <w:p w:rsidR="003402E9" w:rsidRDefault="003402E9" w:rsidP="003402E9">
      <w:pPr>
        <w:autoSpaceDE w:val="0"/>
        <w:autoSpaceDN w:val="0"/>
        <w:adjustRightInd w:val="0"/>
        <w:spacing w:line="360" w:lineRule="auto"/>
        <w:jc w:val="both"/>
        <w:rPr>
          <w:rFonts w:ascii="Arial" w:hAnsi="Arial" w:cs="Arial"/>
        </w:rPr>
      </w:pPr>
      <w:r>
        <w:rPr>
          <w:rFonts w:ascii="Arial" w:hAnsi="Arial"/>
        </w:rPr>
        <w:t xml:space="preserve">Enpresa txiki eta ertainen arloko prestakuntzarako diru-laguntzen deialdiak, enpresa horien prestakuntza-ekintzak finantzatzeko, bai eskumenak eta kualifikazioak hobetzeari begira, bai landunen gaurkotze eta espezializazio profesionalari begira. </w:t>
      </w:r>
    </w:p>
    <w:p w:rsidR="000E1D0F" w:rsidRDefault="003402E9" w:rsidP="003402E9">
      <w:pPr>
        <w:autoSpaceDE w:val="0"/>
        <w:autoSpaceDN w:val="0"/>
        <w:adjustRightInd w:val="0"/>
        <w:spacing w:line="360" w:lineRule="auto"/>
        <w:jc w:val="both"/>
        <w:rPr>
          <w:rFonts w:ascii="Arial" w:hAnsi="Arial" w:cs="Arial"/>
        </w:rPr>
      </w:pPr>
      <w:r>
        <w:rPr>
          <w:rFonts w:ascii="Arial" w:hAnsi="Arial"/>
        </w:rPr>
        <w:t>2018an, Erriberan, 9 ekintza garatu dira. Haietan, 48 langilek hartu dute parte.</w:t>
      </w:r>
    </w:p>
    <w:p w:rsidR="003402E9" w:rsidRPr="00EF10DC"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 xml:space="preserve">Langabetuentzako eta landunentzako prestakuntza ekintzak, diru-laguntzen deialdiaren bitartez. </w:t>
      </w:r>
    </w:p>
    <w:p w:rsidR="000E1D0F" w:rsidRDefault="003402E9" w:rsidP="003402E9">
      <w:pPr>
        <w:spacing w:line="360" w:lineRule="auto"/>
        <w:jc w:val="both"/>
        <w:rPr>
          <w:rFonts w:ascii="Arial" w:hAnsi="Arial" w:cs="Arial"/>
        </w:rPr>
      </w:pPr>
      <w:r>
        <w:rPr>
          <w:rFonts w:ascii="Arial" w:hAnsi="Arial"/>
        </w:rPr>
        <w:t>Aurten, langabetuei zuzendutako prestakuntza-ekintzen deialdian, profesionaltasun-ziurtagiria emateko 29 ikastaro egin dira, eta haietan 435 pertsonak hartu dute parte. Landunen esparruan, 52 ekintza egin dira, eta haietan 805 pertsonak hartu dute parte.</w:t>
      </w:r>
    </w:p>
    <w:p w:rsidR="003402E9" w:rsidRPr="00EF10DC"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Tailer-eskolak eta programa integratuak.</w:t>
      </w:r>
    </w:p>
    <w:p w:rsidR="003402E9" w:rsidRDefault="003402E9" w:rsidP="003402E9">
      <w:pPr>
        <w:spacing w:line="360" w:lineRule="auto"/>
        <w:jc w:val="both"/>
        <w:rPr>
          <w:rFonts w:ascii="Arial" w:hAnsi="Arial"/>
        </w:rPr>
      </w:pPr>
      <w:r>
        <w:rPr>
          <w:rFonts w:ascii="Arial" w:hAnsi="Arial"/>
        </w:rPr>
        <w:t>2018an, Erriberako lurralde-eremuan, honako programa integratu eta tailer-eskola hauek garatu dira, prestakuntza eta enplegua konbinatzen dituztenak:</w:t>
      </w:r>
    </w:p>
    <w:p w:rsidR="00632F5E" w:rsidRDefault="00632F5E" w:rsidP="003402E9">
      <w:pPr>
        <w:spacing w:line="360" w:lineRule="auto"/>
        <w:jc w:val="both"/>
        <w:rPr>
          <w:rFonts w:ascii="Arial" w:hAnsi="Arial"/>
        </w:rPr>
      </w:pPr>
    </w:p>
    <w:p w:rsidR="00632F5E" w:rsidRDefault="00632F5E" w:rsidP="003402E9">
      <w:pPr>
        <w:spacing w:line="360" w:lineRule="auto"/>
        <w:jc w:val="both"/>
        <w:rPr>
          <w:rFonts w:ascii="Arial" w:hAnsi="Arial"/>
        </w:rPr>
      </w:pPr>
      <w:bookmarkStart w:id="0" w:name="_GoBack"/>
      <w:bookmarkEnd w:id="0"/>
    </w:p>
    <w:p w:rsidR="00632F5E" w:rsidRDefault="00632F5E" w:rsidP="003402E9">
      <w:pPr>
        <w:spacing w:line="360" w:lineRule="auto"/>
        <w:jc w:val="both"/>
        <w:rPr>
          <w:rFonts w:ascii="Arial" w:hAnsi="Arial"/>
        </w:rPr>
      </w:pPr>
    </w:p>
    <w:p w:rsidR="00632F5E" w:rsidRDefault="00632F5E" w:rsidP="003402E9">
      <w:pPr>
        <w:spacing w:line="360" w:lineRule="auto"/>
        <w:jc w:val="both"/>
        <w:rPr>
          <w:rFonts w:ascii="Arial" w:hAnsi="Arial"/>
        </w:rPr>
      </w:pPr>
    </w:p>
    <w:p w:rsidR="00632F5E" w:rsidRDefault="00632F5E" w:rsidP="003402E9">
      <w:pPr>
        <w:spacing w:line="360" w:lineRule="auto"/>
        <w:jc w:val="both"/>
        <w:rPr>
          <w:rFonts w:ascii="Arial" w:hAnsi="Arial" w:cs="Arial"/>
        </w:rPr>
      </w:pPr>
    </w:p>
    <w:tbl>
      <w:tblPr>
        <w:tblW w:w="8438" w:type="dxa"/>
        <w:jc w:val="center"/>
        <w:tblCellMar>
          <w:left w:w="70" w:type="dxa"/>
          <w:right w:w="70" w:type="dxa"/>
        </w:tblCellMar>
        <w:tblLook w:val="04A0" w:firstRow="1" w:lastRow="0" w:firstColumn="1" w:lastColumn="0" w:noHBand="0" w:noVBand="1"/>
      </w:tblPr>
      <w:tblGrid>
        <w:gridCol w:w="4005"/>
        <w:gridCol w:w="1297"/>
        <w:gridCol w:w="1304"/>
        <w:gridCol w:w="1832"/>
      </w:tblGrid>
      <w:tr w:rsidR="006A5E9C" w:rsidRPr="00632F5E" w:rsidTr="00632F5E">
        <w:trPr>
          <w:trHeight w:val="20"/>
          <w:jc w:val="center"/>
        </w:trPr>
        <w:tc>
          <w:tcPr>
            <w:tcW w:w="4005" w:type="dxa"/>
            <w:tcBorders>
              <w:top w:val="single"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b/>
                <w:bCs/>
                <w:color w:val="000000"/>
                <w:sz w:val="18"/>
                <w:szCs w:val="18"/>
              </w:rPr>
            </w:pPr>
            <w:r w:rsidRPr="00632F5E">
              <w:rPr>
                <w:rFonts w:ascii="Calibri" w:hAnsi="Calibri"/>
                <w:b/>
                <w:bCs/>
                <w:color w:val="000000"/>
                <w:sz w:val="18"/>
                <w:szCs w:val="18"/>
              </w:rPr>
              <w:t>PROIEKTUA</w:t>
            </w:r>
          </w:p>
        </w:tc>
        <w:tc>
          <w:tcPr>
            <w:tcW w:w="1297" w:type="dxa"/>
            <w:tcBorders>
              <w:top w:val="single"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b/>
                <w:bCs/>
                <w:color w:val="000000"/>
                <w:sz w:val="18"/>
                <w:szCs w:val="18"/>
              </w:rPr>
            </w:pPr>
            <w:r w:rsidRPr="00632F5E">
              <w:rPr>
                <w:rFonts w:ascii="Calibri" w:hAnsi="Calibri"/>
                <w:b/>
                <w:bCs/>
                <w:color w:val="000000"/>
                <w:sz w:val="18"/>
                <w:szCs w:val="18"/>
              </w:rPr>
              <w:t>E.T./</w:t>
            </w:r>
            <w:proofErr w:type="spellStart"/>
            <w:r w:rsidRPr="00632F5E">
              <w:rPr>
                <w:rFonts w:ascii="Calibri" w:hAnsi="Calibri"/>
                <w:b/>
                <w:bCs/>
                <w:color w:val="000000"/>
                <w:sz w:val="18"/>
                <w:szCs w:val="18"/>
              </w:rPr>
              <w:t>P.I.F.</w:t>
            </w:r>
            <w:proofErr w:type="spellEnd"/>
            <w:r w:rsidRPr="00632F5E">
              <w:rPr>
                <w:rFonts w:ascii="Calibri" w:hAnsi="Calibri"/>
                <w:b/>
                <w:bCs/>
                <w:color w:val="000000"/>
                <w:sz w:val="18"/>
                <w:szCs w:val="18"/>
              </w:rPr>
              <w:t>E.</w:t>
            </w:r>
          </w:p>
        </w:tc>
        <w:tc>
          <w:tcPr>
            <w:tcW w:w="1304" w:type="dxa"/>
            <w:tcBorders>
              <w:top w:val="single"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b/>
                <w:bCs/>
                <w:color w:val="000000"/>
                <w:sz w:val="18"/>
                <w:szCs w:val="18"/>
              </w:rPr>
            </w:pPr>
            <w:r w:rsidRPr="00632F5E">
              <w:rPr>
                <w:rFonts w:ascii="Calibri" w:hAnsi="Calibri"/>
                <w:b/>
                <w:bCs/>
                <w:color w:val="000000"/>
                <w:sz w:val="18"/>
                <w:szCs w:val="18"/>
              </w:rPr>
              <w:t>HERRIA</w:t>
            </w:r>
          </w:p>
        </w:tc>
        <w:tc>
          <w:tcPr>
            <w:tcW w:w="1832" w:type="dxa"/>
            <w:tcBorders>
              <w:top w:val="single"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b/>
                <w:bCs/>
                <w:color w:val="000000"/>
                <w:sz w:val="18"/>
                <w:szCs w:val="18"/>
              </w:rPr>
            </w:pPr>
            <w:r w:rsidRPr="00632F5E">
              <w:rPr>
                <w:rFonts w:ascii="Calibri" w:hAnsi="Calibri"/>
                <w:b/>
                <w:bCs/>
                <w:color w:val="000000"/>
                <w:sz w:val="18"/>
                <w:szCs w:val="18"/>
              </w:rPr>
              <w:t>IKASLE KOPURUA</w:t>
            </w:r>
          </w:p>
        </w:tc>
      </w:tr>
      <w:tr w:rsidR="006A5E9C" w:rsidRPr="00632F5E" w:rsidTr="00632F5E">
        <w:trPr>
          <w:trHeight w:val="20"/>
          <w:jc w:val="center"/>
        </w:trPr>
        <w:tc>
          <w:tcPr>
            <w:tcW w:w="4005" w:type="dxa"/>
            <w:tcBorders>
              <w:top w:val="single"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rPr>
                <w:rFonts w:ascii="Calibri" w:hAnsi="Calibri"/>
                <w:color w:val="000000"/>
                <w:sz w:val="18"/>
                <w:szCs w:val="18"/>
              </w:rPr>
            </w:pPr>
            <w:r w:rsidRPr="00632F5E">
              <w:rPr>
                <w:rFonts w:ascii="Calibri" w:hAnsi="Calibri"/>
                <w:color w:val="000000"/>
                <w:sz w:val="18"/>
                <w:szCs w:val="18"/>
              </w:rPr>
              <w:t>Tutera eta ostalaritza I</w:t>
            </w:r>
          </w:p>
        </w:tc>
        <w:tc>
          <w:tcPr>
            <w:tcW w:w="1297" w:type="dxa"/>
            <w:tcBorders>
              <w:top w:val="single"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roofErr w:type="spellStart"/>
            <w:r w:rsidRPr="00632F5E">
              <w:rPr>
                <w:rFonts w:ascii="Calibri" w:hAnsi="Calibri"/>
                <w:color w:val="000000"/>
                <w:sz w:val="18"/>
                <w:szCs w:val="18"/>
              </w:rPr>
              <w:t>P.I.F.</w:t>
            </w:r>
            <w:proofErr w:type="spellEnd"/>
            <w:r w:rsidRPr="00632F5E">
              <w:rPr>
                <w:rFonts w:ascii="Calibri" w:hAnsi="Calibri"/>
                <w:color w:val="000000"/>
                <w:sz w:val="18"/>
                <w:szCs w:val="18"/>
              </w:rPr>
              <w:t>E. Tutera</w:t>
            </w:r>
          </w:p>
        </w:tc>
        <w:tc>
          <w:tcPr>
            <w:tcW w:w="1304" w:type="dxa"/>
            <w:tcBorders>
              <w:top w:val="single"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
        </w:tc>
        <w:tc>
          <w:tcPr>
            <w:tcW w:w="1832" w:type="dxa"/>
            <w:tcBorders>
              <w:top w:val="single"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15</w:t>
            </w:r>
          </w:p>
        </w:tc>
      </w:tr>
      <w:tr w:rsidR="006A5E9C" w:rsidRPr="00632F5E" w:rsidTr="00632F5E">
        <w:trPr>
          <w:trHeight w:val="2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rPr>
                <w:rFonts w:ascii="Calibri" w:hAnsi="Calibri"/>
                <w:color w:val="000000"/>
                <w:sz w:val="18"/>
                <w:szCs w:val="18"/>
              </w:rPr>
            </w:pPr>
            <w:r w:rsidRPr="00632F5E">
              <w:rPr>
                <w:rFonts w:ascii="Calibri" w:hAnsi="Calibri"/>
                <w:color w:val="000000"/>
                <w:sz w:val="18"/>
                <w:szCs w:val="18"/>
              </w:rPr>
              <w:t>Tutera eta ostalaritza II</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roofErr w:type="spellStart"/>
            <w:r w:rsidRPr="00632F5E">
              <w:rPr>
                <w:rFonts w:ascii="Calibri" w:hAnsi="Calibri"/>
                <w:color w:val="000000"/>
                <w:sz w:val="18"/>
                <w:szCs w:val="18"/>
              </w:rPr>
              <w:t>P.I.F.</w:t>
            </w:r>
            <w:proofErr w:type="spellEnd"/>
            <w:r w:rsidRPr="00632F5E">
              <w:rPr>
                <w:rFonts w:ascii="Calibri" w:hAnsi="Calibri"/>
                <w:color w:val="000000"/>
                <w:sz w:val="18"/>
                <w:szCs w:val="18"/>
              </w:rPr>
              <w:t>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Tutera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15</w:t>
            </w:r>
          </w:p>
        </w:tc>
      </w:tr>
      <w:tr w:rsidR="006A5E9C" w:rsidRPr="00632F5E" w:rsidTr="00632F5E">
        <w:trPr>
          <w:trHeight w:val="2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rPr>
                <w:rFonts w:ascii="Calibri" w:hAnsi="Calibri"/>
                <w:color w:val="000000"/>
                <w:sz w:val="18"/>
                <w:szCs w:val="18"/>
              </w:rPr>
            </w:pPr>
            <w:r w:rsidRPr="00632F5E">
              <w:rPr>
                <w:rFonts w:ascii="Calibri" w:hAnsi="Calibri"/>
                <w:color w:val="000000"/>
                <w:sz w:val="18"/>
                <w:szCs w:val="18"/>
              </w:rPr>
              <w:t xml:space="preserve">Mendekotasuna duten pertsonentzako arreta </w:t>
            </w:r>
            <w:proofErr w:type="spellStart"/>
            <w:r w:rsidRPr="00632F5E">
              <w:rPr>
                <w:rFonts w:ascii="Calibri" w:hAnsi="Calibri"/>
                <w:color w:val="000000"/>
                <w:sz w:val="18"/>
                <w:szCs w:val="18"/>
              </w:rPr>
              <w:t>soziosanitarioa</w:t>
            </w:r>
            <w:proofErr w:type="spellEnd"/>
            <w:r w:rsidRPr="00632F5E">
              <w:rPr>
                <w:rFonts w:ascii="Calibri" w:hAnsi="Calibri"/>
                <w:color w:val="000000"/>
                <w:sz w:val="18"/>
                <w:szCs w:val="18"/>
              </w:rPr>
              <w:t xml:space="preserve"> gizarte erakundeetan II</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roofErr w:type="spellStart"/>
            <w:r w:rsidRPr="00632F5E">
              <w:rPr>
                <w:rFonts w:ascii="Calibri" w:hAnsi="Calibri"/>
                <w:color w:val="000000"/>
                <w:sz w:val="18"/>
                <w:szCs w:val="18"/>
              </w:rPr>
              <w:t>P.I.F.</w:t>
            </w:r>
            <w:proofErr w:type="spellEnd"/>
            <w:r w:rsidRPr="00632F5E">
              <w:rPr>
                <w:rFonts w:ascii="Calibri" w:hAnsi="Calibri"/>
                <w:color w:val="000000"/>
                <w:sz w:val="18"/>
                <w:szCs w:val="18"/>
              </w:rPr>
              <w:t>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Corella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20</w:t>
            </w:r>
          </w:p>
        </w:tc>
      </w:tr>
      <w:tr w:rsidR="006A5E9C" w:rsidRPr="00632F5E" w:rsidTr="00632F5E">
        <w:trPr>
          <w:trHeight w:val="2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rPr>
                <w:rFonts w:ascii="Calibri" w:hAnsi="Calibri"/>
                <w:color w:val="000000"/>
                <w:sz w:val="18"/>
                <w:szCs w:val="18"/>
              </w:rPr>
            </w:pPr>
            <w:r w:rsidRPr="00632F5E">
              <w:rPr>
                <w:rFonts w:ascii="Calibri" w:hAnsi="Calibri"/>
                <w:color w:val="000000"/>
                <w:sz w:val="18"/>
                <w:szCs w:val="18"/>
              </w:rPr>
              <w:t xml:space="preserve">Mendekotasuna duten pertsonentzako arreta </w:t>
            </w:r>
            <w:proofErr w:type="spellStart"/>
            <w:r w:rsidRPr="00632F5E">
              <w:rPr>
                <w:rFonts w:ascii="Calibri" w:hAnsi="Calibri"/>
                <w:color w:val="000000"/>
                <w:sz w:val="18"/>
                <w:szCs w:val="18"/>
              </w:rPr>
              <w:t>soziosanitarioa</w:t>
            </w:r>
            <w:proofErr w:type="spellEnd"/>
            <w:r w:rsidRPr="00632F5E">
              <w:rPr>
                <w:rFonts w:ascii="Calibri" w:hAnsi="Calibri"/>
                <w:color w:val="000000"/>
                <w:sz w:val="18"/>
                <w:szCs w:val="18"/>
              </w:rPr>
              <w:t xml:space="preserve"> gizarte erakundeetan III</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roofErr w:type="spellStart"/>
            <w:r w:rsidRPr="00632F5E">
              <w:rPr>
                <w:rFonts w:ascii="Calibri" w:hAnsi="Calibri"/>
                <w:color w:val="000000"/>
                <w:sz w:val="18"/>
                <w:szCs w:val="18"/>
              </w:rPr>
              <w:t>P.I.F.</w:t>
            </w:r>
            <w:proofErr w:type="spellEnd"/>
            <w:r w:rsidRPr="00632F5E">
              <w:rPr>
                <w:rFonts w:ascii="Calibri" w:hAnsi="Calibri"/>
                <w:color w:val="000000"/>
                <w:sz w:val="18"/>
                <w:szCs w:val="18"/>
              </w:rPr>
              <w:t>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Corella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20</w:t>
            </w:r>
          </w:p>
        </w:tc>
      </w:tr>
      <w:tr w:rsidR="006A5E9C" w:rsidRPr="00632F5E" w:rsidTr="00632F5E">
        <w:trPr>
          <w:trHeight w:val="2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rPr>
                <w:rFonts w:ascii="Calibri" w:hAnsi="Calibri"/>
                <w:color w:val="000000"/>
                <w:sz w:val="18"/>
                <w:szCs w:val="18"/>
              </w:rPr>
            </w:pPr>
            <w:r w:rsidRPr="00632F5E">
              <w:rPr>
                <w:rFonts w:ascii="Calibri" w:hAnsi="Calibri"/>
                <w:color w:val="000000"/>
                <w:sz w:val="18"/>
                <w:szCs w:val="18"/>
              </w:rPr>
              <w:t>Mendekotasunaren eta dibertsitate funtzionalaren arreta osoa</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E.T. Tutera</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
        </w:tc>
        <w:tc>
          <w:tcPr>
            <w:tcW w:w="1832"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15</w:t>
            </w:r>
          </w:p>
        </w:tc>
      </w:tr>
      <w:tr w:rsidR="006A5E9C" w:rsidRPr="00632F5E" w:rsidTr="00632F5E">
        <w:trPr>
          <w:trHeight w:val="20"/>
          <w:jc w:val="center"/>
        </w:trPr>
        <w:tc>
          <w:tcPr>
            <w:tcW w:w="4005"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rPr>
                <w:rFonts w:ascii="Calibri" w:hAnsi="Calibri"/>
                <w:color w:val="000000"/>
                <w:sz w:val="18"/>
                <w:szCs w:val="18"/>
              </w:rPr>
            </w:pPr>
            <w:r w:rsidRPr="00632F5E">
              <w:rPr>
                <w:rFonts w:ascii="Calibri" w:hAnsi="Calibri"/>
                <w:color w:val="000000"/>
                <w:sz w:val="18"/>
                <w:szCs w:val="18"/>
              </w:rPr>
              <w:t>Lorezaintza</w:t>
            </w:r>
          </w:p>
        </w:tc>
        <w:tc>
          <w:tcPr>
            <w:tcW w:w="1297"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roofErr w:type="spellStart"/>
            <w:r w:rsidRPr="00632F5E">
              <w:rPr>
                <w:rFonts w:ascii="Calibri" w:hAnsi="Calibri"/>
                <w:color w:val="000000"/>
                <w:sz w:val="18"/>
                <w:szCs w:val="18"/>
              </w:rPr>
              <w:t>P.I.F.</w:t>
            </w:r>
            <w:proofErr w:type="spellEnd"/>
            <w:r w:rsidRPr="00632F5E">
              <w:rPr>
                <w:rFonts w:ascii="Calibri" w:hAnsi="Calibri"/>
                <w:color w:val="000000"/>
                <w:sz w:val="18"/>
                <w:szCs w:val="18"/>
              </w:rPr>
              <w:t>E.</w:t>
            </w:r>
          </w:p>
        </w:tc>
        <w:tc>
          <w:tcPr>
            <w:tcW w:w="1304"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Tutera</w:t>
            </w:r>
          </w:p>
        </w:tc>
        <w:tc>
          <w:tcPr>
            <w:tcW w:w="1832" w:type="dxa"/>
            <w:tcBorders>
              <w:top w:val="dashed" w:sz="4" w:space="0" w:color="auto"/>
              <w:left w:val="nil"/>
              <w:bottom w:val="dashed"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16</w:t>
            </w:r>
          </w:p>
        </w:tc>
      </w:tr>
      <w:tr w:rsidR="006A5E9C" w:rsidRPr="00632F5E" w:rsidTr="00632F5E">
        <w:trPr>
          <w:trHeight w:val="20"/>
          <w:jc w:val="center"/>
        </w:trPr>
        <w:tc>
          <w:tcPr>
            <w:tcW w:w="4005" w:type="dxa"/>
            <w:tcBorders>
              <w:top w:val="dashed"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rPr>
                <w:rFonts w:ascii="Calibri" w:hAnsi="Calibri"/>
                <w:color w:val="000000"/>
                <w:sz w:val="18"/>
                <w:szCs w:val="18"/>
              </w:rPr>
            </w:pPr>
            <w:proofErr w:type="spellStart"/>
            <w:r w:rsidRPr="00632F5E">
              <w:rPr>
                <w:rFonts w:ascii="Calibri" w:hAnsi="Calibri"/>
                <w:color w:val="000000"/>
                <w:sz w:val="18"/>
                <w:szCs w:val="18"/>
              </w:rPr>
              <w:t>Oihangintza</w:t>
            </w:r>
            <w:proofErr w:type="spellEnd"/>
            <w:r w:rsidRPr="00632F5E">
              <w:rPr>
                <w:rFonts w:ascii="Calibri" w:hAnsi="Calibri"/>
                <w:color w:val="000000"/>
                <w:sz w:val="18"/>
                <w:szCs w:val="18"/>
              </w:rPr>
              <w:t xml:space="preserve"> eta lorezaintza</w:t>
            </w:r>
          </w:p>
        </w:tc>
        <w:tc>
          <w:tcPr>
            <w:tcW w:w="1297" w:type="dxa"/>
            <w:tcBorders>
              <w:top w:val="dashed"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proofErr w:type="spellStart"/>
            <w:r w:rsidRPr="00632F5E">
              <w:rPr>
                <w:rFonts w:ascii="Calibri" w:hAnsi="Calibri"/>
                <w:color w:val="000000"/>
                <w:sz w:val="18"/>
                <w:szCs w:val="18"/>
              </w:rPr>
              <w:t>P.I.F.</w:t>
            </w:r>
            <w:proofErr w:type="spellEnd"/>
            <w:r w:rsidRPr="00632F5E">
              <w:rPr>
                <w:rFonts w:ascii="Calibri" w:hAnsi="Calibri"/>
                <w:color w:val="000000"/>
                <w:sz w:val="18"/>
                <w:szCs w:val="18"/>
              </w:rPr>
              <w:t>E.</w:t>
            </w:r>
          </w:p>
        </w:tc>
        <w:tc>
          <w:tcPr>
            <w:tcW w:w="1304" w:type="dxa"/>
            <w:tcBorders>
              <w:top w:val="dashed"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Arguedas</w:t>
            </w:r>
          </w:p>
        </w:tc>
        <w:tc>
          <w:tcPr>
            <w:tcW w:w="1832" w:type="dxa"/>
            <w:tcBorders>
              <w:top w:val="dashed" w:sz="4" w:space="0" w:color="auto"/>
              <w:left w:val="nil"/>
              <w:bottom w:val="single" w:sz="4" w:space="0" w:color="auto"/>
              <w:right w:val="nil"/>
            </w:tcBorders>
            <w:shd w:val="clear" w:color="auto" w:fill="auto"/>
            <w:noWrap/>
            <w:vAlign w:val="center"/>
            <w:hideMark/>
          </w:tcPr>
          <w:p w:rsidR="003402E9" w:rsidRPr="00632F5E" w:rsidRDefault="003402E9" w:rsidP="00632F5E">
            <w:pPr>
              <w:spacing w:before="40" w:after="40"/>
              <w:jc w:val="center"/>
              <w:rPr>
                <w:rFonts w:ascii="Calibri" w:hAnsi="Calibri"/>
                <w:color w:val="000000"/>
                <w:sz w:val="18"/>
                <w:szCs w:val="18"/>
              </w:rPr>
            </w:pPr>
            <w:r w:rsidRPr="00632F5E">
              <w:rPr>
                <w:rFonts w:ascii="Calibri" w:hAnsi="Calibri"/>
                <w:color w:val="000000"/>
                <w:sz w:val="18"/>
                <w:szCs w:val="18"/>
              </w:rPr>
              <w:t>15</w:t>
            </w:r>
          </w:p>
        </w:tc>
      </w:tr>
    </w:tbl>
    <w:p w:rsidR="003402E9" w:rsidRPr="00EF10DC" w:rsidRDefault="003402E9" w:rsidP="003402E9">
      <w:pPr>
        <w:spacing w:line="360" w:lineRule="auto"/>
        <w:jc w:val="both"/>
        <w:rPr>
          <w:rFonts w:ascii="Arial" w:hAnsi="Arial" w:cs="Arial"/>
        </w:rPr>
      </w:pPr>
    </w:p>
    <w:p w:rsidR="003402E9" w:rsidRDefault="006A5E9C" w:rsidP="003402E9">
      <w:pPr>
        <w:pStyle w:val="Prrafodelista"/>
        <w:numPr>
          <w:ilvl w:val="0"/>
          <w:numId w:val="10"/>
        </w:numPr>
        <w:spacing w:line="360" w:lineRule="auto"/>
        <w:jc w:val="both"/>
        <w:rPr>
          <w:rFonts w:ascii="Arial" w:hAnsi="Arial" w:cs="Arial"/>
          <w:u w:val="single"/>
        </w:rPr>
      </w:pPr>
      <w:r>
        <w:br w:type="page"/>
      </w:r>
      <w:r>
        <w:rPr>
          <w:rFonts w:ascii="Arial" w:hAnsi="Arial"/>
          <w:u w:val="single"/>
        </w:rPr>
        <w:t>Enplegu autonomoa sustatzeko diru-laguntzak.</w:t>
      </w:r>
    </w:p>
    <w:p w:rsidR="000E1D0F" w:rsidRDefault="003402E9" w:rsidP="003402E9">
      <w:pPr>
        <w:spacing w:line="360" w:lineRule="auto"/>
        <w:jc w:val="both"/>
        <w:rPr>
          <w:rFonts w:ascii="Arial" w:hAnsi="Arial" w:cs="Arial"/>
          <w:u w:val="single"/>
        </w:rPr>
      </w:pPr>
      <w:r>
        <w:rPr>
          <w:rFonts w:ascii="Arial" w:hAnsi="Arial"/>
        </w:rPr>
        <w:t xml:space="preserve">Aurten Erribera aldean langile autonomo gisa alta eman duten 94 langabeturi diru-laguntza eman zaie. Emandako diru-laguntza guztien % 15 da hori. </w:t>
      </w:r>
    </w:p>
    <w:p w:rsidR="003402E9"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Toki entitateentzako diru-laguntzak, langabetuak kontratatzeko.</w:t>
      </w:r>
    </w:p>
    <w:p w:rsidR="000E1D0F" w:rsidRDefault="003402E9" w:rsidP="003402E9">
      <w:pPr>
        <w:spacing w:line="360" w:lineRule="auto"/>
        <w:jc w:val="both"/>
        <w:rPr>
          <w:rFonts w:ascii="Arial" w:hAnsi="Arial" w:cs="Arial"/>
        </w:rPr>
      </w:pPr>
      <w:r>
        <w:rPr>
          <w:rFonts w:ascii="Arial" w:hAnsi="Arial"/>
        </w:rPr>
        <w:t>Aurten, Erriberako lurralde-eremuko toki entitateek langabetuekin izenpetutako 231 kontratutarako diru-laguntza eman da. Diruz lagundutako kontratu guztien % 27,90 dira.</w:t>
      </w:r>
    </w:p>
    <w:p w:rsidR="003402E9" w:rsidRPr="005E72B7" w:rsidRDefault="003402E9" w:rsidP="003402E9">
      <w:pPr>
        <w:pStyle w:val="Prrafodelista"/>
        <w:numPr>
          <w:ilvl w:val="0"/>
          <w:numId w:val="10"/>
        </w:numPr>
        <w:spacing w:line="360" w:lineRule="auto"/>
        <w:jc w:val="both"/>
        <w:rPr>
          <w:rFonts w:ascii="Arial" w:hAnsi="Arial" w:cs="Arial"/>
          <w:u w:val="single"/>
        </w:rPr>
      </w:pPr>
      <w:r>
        <w:rPr>
          <w:rFonts w:ascii="Arial" w:hAnsi="Arial"/>
          <w:u w:val="single"/>
        </w:rPr>
        <w:t xml:space="preserve">Enpresentzako pizgarriak, langabetuak kontratatzeko. </w:t>
      </w:r>
    </w:p>
    <w:p w:rsidR="000E1D0F" w:rsidRDefault="003402E9" w:rsidP="003402E9">
      <w:pPr>
        <w:spacing w:line="360" w:lineRule="auto"/>
        <w:jc w:val="both"/>
        <w:rPr>
          <w:rFonts w:ascii="Arial" w:hAnsi="Arial" w:cs="Arial"/>
        </w:rPr>
      </w:pPr>
      <w:r>
        <w:rPr>
          <w:rFonts w:ascii="Arial" w:hAnsi="Arial"/>
        </w:rPr>
        <w:t xml:space="preserve">Enpresek </w:t>
      </w:r>
      <w:proofErr w:type="spellStart"/>
      <w:r>
        <w:rPr>
          <w:rFonts w:ascii="Arial" w:hAnsi="Arial"/>
        </w:rPr>
        <w:t>praktikaldiak</w:t>
      </w:r>
      <w:proofErr w:type="spellEnd"/>
      <w:r>
        <w:rPr>
          <w:rFonts w:ascii="Arial" w:hAnsi="Arial"/>
        </w:rPr>
        <w:t xml:space="preserve"> egiteko eta sektore estrategikoetarako gazteak kontratatzeko eta iraupen luzeko langabetuak eta errenta bermatuaren jasotzaileak kontratatzeko pizgarrietarako deialdien bitartez, Erriberako lurralde-eremuko 54 kontrataziotarako diru-laguntzak eman dira. Deialdi horien bitartez diruz lagundutako kontratu guztien % 10,60 dira.</w:t>
      </w:r>
    </w:p>
    <w:p w:rsidR="000E1D0F" w:rsidRDefault="0006150C" w:rsidP="00CA544A">
      <w:pPr>
        <w:spacing w:after="120" w:line="360" w:lineRule="auto"/>
        <w:jc w:val="both"/>
        <w:rPr>
          <w:rFonts w:ascii="Arial" w:hAnsi="Arial" w:cs="Arial"/>
        </w:rPr>
      </w:pPr>
      <w:r>
        <w:rPr>
          <w:rFonts w:ascii="Arial" w:hAnsi="Arial"/>
        </w:rPr>
        <w:t>Hori guztia jakinarazten dizut Nafarroako Parlamentuko Erregelamenduaren 194. artikulua betez.</w:t>
      </w:r>
    </w:p>
    <w:p w:rsidR="000E1D0F" w:rsidRDefault="0006150C" w:rsidP="00CA544A">
      <w:pPr>
        <w:spacing w:after="120" w:line="360" w:lineRule="auto"/>
        <w:jc w:val="center"/>
        <w:outlineLvl w:val="0"/>
        <w:rPr>
          <w:rFonts w:ascii="Arial" w:hAnsi="Arial" w:cs="Arial"/>
        </w:rPr>
      </w:pPr>
      <w:r>
        <w:rPr>
          <w:rFonts w:ascii="Arial" w:hAnsi="Arial"/>
        </w:rPr>
        <w:t>Iruñean, 2018ko abenduaren 11n.</w:t>
      </w:r>
    </w:p>
    <w:p w:rsidR="000E1D0F" w:rsidRPr="000E1D0F" w:rsidRDefault="00D45F8B" w:rsidP="000E1D0F">
      <w:pPr>
        <w:spacing w:after="120" w:line="360" w:lineRule="auto"/>
        <w:jc w:val="center"/>
        <w:rPr>
          <w:rFonts w:ascii="Arial" w:hAnsi="Arial" w:cs="Arial"/>
        </w:rPr>
      </w:pPr>
      <w:r>
        <w:rPr>
          <w:rFonts w:ascii="Arial" w:hAnsi="Arial"/>
        </w:rPr>
        <w:t>Eskubide Sozialetako kontseilaria: Miguel Laparra Navarro</w:t>
      </w:r>
    </w:p>
    <w:sectPr w:rsidR="000E1D0F" w:rsidRPr="000E1D0F" w:rsidSect="00632F5E">
      <w:headerReference w:type="default" r:id="rId8"/>
      <w:pgSz w:w="11906" w:h="16838" w:code="9"/>
      <w:pgMar w:top="1588" w:right="1133"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D3E" w:rsidRDefault="00FC3D3E">
      <w:r>
        <w:separator/>
      </w:r>
    </w:p>
  </w:endnote>
  <w:endnote w:type="continuationSeparator" w:id="0">
    <w:p w:rsidR="00FC3D3E" w:rsidRDefault="00FC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D3E" w:rsidRDefault="00FC3D3E">
      <w:r>
        <w:separator/>
      </w:r>
    </w:p>
  </w:footnote>
  <w:footnote w:type="continuationSeparator" w:id="0">
    <w:p w:rsidR="00FC3D3E" w:rsidRDefault="00FC3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7B91"/>
    <w:multiLevelType w:val="hybridMultilevel"/>
    <w:tmpl w:val="53E60C8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B9E5874"/>
    <w:multiLevelType w:val="hybridMultilevel"/>
    <w:tmpl w:val="E4ECDB52"/>
    <w:lvl w:ilvl="0" w:tplc="60203210">
      <w:start w:val="1"/>
      <w:numFmt w:val="decimal"/>
      <w:lvlText w:val="%1)"/>
      <w:lvlJc w:val="left"/>
      <w:pPr>
        <w:ind w:left="360" w:hanging="360"/>
      </w:pPr>
      <w:rPr>
        <w:rFonts w:hint="default"/>
        <w:color w:val="333333"/>
        <w:sz w:val="19"/>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4"/>
  </w:num>
  <w:num w:numId="4">
    <w:abstractNumId w:val="8"/>
  </w:num>
  <w:num w:numId="5">
    <w:abstractNumId w:val="7"/>
  </w:num>
  <w:num w:numId="6">
    <w:abstractNumId w:val="2"/>
  </w:num>
  <w:num w:numId="7">
    <w:abstractNumId w:val="3"/>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E1D0F"/>
    <w:rsid w:val="001207D5"/>
    <w:rsid w:val="0015056C"/>
    <w:rsid w:val="0019679B"/>
    <w:rsid w:val="001D2F3E"/>
    <w:rsid w:val="00225C7D"/>
    <w:rsid w:val="00241092"/>
    <w:rsid w:val="00252442"/>
    <w:rsid w:val="002A12C2"/>
    <w:rsid w:val="002F08EC"/>
    <w:rsid w:val="00332E76"/>
    <w:rsid w:val="00332F99"/>
    <w:rsid w:val="003402E9"/>
    <w:rsid w:val="00360CD5"/>
    <w:rsid w:val="003770D5"/>
    <w:rsid w:val="003860DD"/>
    <w:rsid w:val="003926A4"/>
    <w:rsid w:val="00394EE0"/>
    <w:rsid w:val="003B3188"/>
    <w:rsid w:val="003E7CAB"/>
    <w:rsid w:val="00462A9A"/>
    <w:rsid w:val="004D3ACF"/>
    <w:rsid w:val="0055627E"/>
    <w:rsid w:val="0056046D"/>
    <w:rsid w:val="0058384E"/>
    <w:rsid w:val="005D4333"/>
    <w:rsid w:val="005E5A1A"/>
    <w:rsid w:val="00625CDC"/>
    <w:rsid w:val="00632F5E"/>
    <w:rsid w:val="006345F0"/>
    <w:rsid w:val="00641778"/>
    <w:rsid w:val="00666A3F"/>
    <w:rsid w:val="006A5E9C"/>
    <w:rsid w:val="006A5F35"/>
    <w:rsid w:val="007008C6"/>
    <w:rsid w:val="007130CC"/>
    <w:rsid w:val="0072343A"/>
    <w:rsid w:val="007477D1"/>
    <w:rsid w:val="007704FF"/>
    <w:rsid w:val="0077073F"/>
    <w:rsid w:val="0077374F"/>
    <w:rsid w:val="007749E1"/>
    <w:rsid w:val="007A7B54"/>
    <w:rsid w:val="007E0158"/>
    <w:rsid w:val="0080339F"/>
    <w:rsid w:val="008230A2"/>
    <w:rsid w:val="00826122"/>
    <w:rsid w:val="00832DA8"/>
    <w:rsid w:val="008442C4"/>
    <w:rsid w:val="00862FE2"/>
    <w:rsid w:val="00865890"/>
    <w:rsid w:val="008A7332"/>
    <w:rsid w:val="008F0A77"/>
    <w:rsid w:val="00970F18"/>
    <w:rsid w:val="00980A6E"/>
    <w:rsid w:val="009A245D"/>
    <w:rsid w:val="009C1765"/>
    <w:rsid w:val="009D7AC7"/>
    <w:rsid w:val="00A90748"/>
    <w:rsid w:val="00AA3582"/>
    <w:rsid w:val="00AB306A"/>
    <w:rsid w:val="00B123A0"/>
    <w:rsid w:val="00B42DEE"/>
    <w:rsid w:val="00B6563A"/>
    <w:rsid w:val="00B67C4B"/>
    <w:rsid w:val="00BF65B2"/>
    <w:rsid w:val="00C01B8F"/>
    <w:rsid w:val="00C517F4"/>
    <w:rsid w:val="00C703AD"/>
    <w:rsid w:val="00CA544A"/>
    <w:rsid w:val="00CB0E0F"/>
    <w:rsid w:val="00CB1CBC"/>
    <w:rsid w:val="00CC0679"/>
    <w:rsid w:val="00CD7DE9"/>
    <w:rsid w:val="00CE5F5F"/>
    <w:rsid w:val="00D16EAB"/>
    <w:rsid w:val="00D2483A"/>
    <w:rsid w:val="00D45F8B"/>
    <w:rsid w:val="00DC2615"/>
    <w:rsid w:val="00DD3F5C"/>
    <w:rsid w:val="00E023C6"/>
    <w:rsid w:val="00E179F4"/>
    <w:rsid w:val="00E20828"/>
    <w:rsid w:val="00E26C41"/>
    <w:rsid w:val="00E4466D"/>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C3D3E"/>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Prrafodelista">
    <w:name w:val="List Paragraph"/>
    <w:basedOn w:val="Normal"/>
    <w:uiPriority w:val="34"/>
    <w:qFormat/>
    <w:rsid w:val="003402E9"/>
    <w:pPr>
      <w:ind w:left="720"/>
      <w:contextualSpacing/>
    </w:pPr>
  </w:style>
  <w:style w:type="paragraph" w:styleId="NormalWeb">
    <w:name w:val="Normal (Web)"/>
    <w:basedOn w:val="Normal"/>
    <w:uiPriority w:val="99"/>
    <w:unhideWhenUsed/>
    <w:rsid w:val="003402E9"/>
    <w:pPr>
      <w:spacing w:after="240"/>
    </w:pPr>
  </w:style>
  <w:style w:type="paragraph" w:styleId="Textodeglobo">
    <w:name w:val="Balloon Text"/>
    <w:basedOn w:val="Normal"/>
    <w:link w:val="TextodegloboCar"/>
    <w:rsid w:val="00826122"/>
    <w:rPr>
      <w:rFonts w:ascii="Tahoma" w:hAnsi="Tahoma" w:cs="Tahoma"/>
      <w:sz w:val="16"/>
      <w:szCs w:val="16"/>
    </w:rPr>
  </w:style>
  <w:style w:type="character" w:customStyle="1" w:styleId="TextodegloboCar">
    <w:name w:val="Texto de globo Car"/>
    <w:link w:val="Textodeglobo"/>
    <w:rsid w:val="00826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50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Prrafodelista">
    <w:name w:val="List Paragraph"/>
    <w:basedOn w:val="Normal"/>
    <w:uiPriority w:val="34"/>
    <w:qFormat/>
    <w:rsid w:val="003402E9"/>
    <w:pPr>
      <w:ind w:left="720"/>
      <w:contextualSpacing/>
    </w:pPr>
  </w:style>
  <w:style w:type="paragraph" w:styleId="NormalWeb">
    <w:name w:val="Normal (Web)"/>
    <w:basedOn w:val="Normal"/>
    <w:uiPriority w:val="99"/>
    <w:unhideWhenUsed/>
    <w:rsid w:val="003402E9"/>
    <w:pPr>
      <w:spacing w:after="240"/>
    </w:pPr>
  </w:style>
  <w:style w:type="paragraph" w:styleId="Textodeglobo">
    <w:name w:val="Balloon Text"/>
    <w:basedOn w:val="Normal"/>
    <w:link w:val="TextodegloboCar"/>
    <w:rsid w:val="00826122"/>
    <w:rPr>
      <w:rFonts w:ascii="Tahoma" w:hAnsi="Tahoma" w:cs="Tahoma"/>
      <w:sz w:val="16"/>
      <w:szCs w:val="16"/>
    </w:rPr>
  </w:style>
  <w:style w:type="character" w:customStyle="1" w:styleId="TextodegloboCar">
    <w:name w:val="Texto de globo Car"/>
    <w:link w:val="Textodeglobo"/>
    <w:rsid w:val="00826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1080</Words>
  <Characters>8955</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Iñaki De Santiago</cp:lastModifiedBy>
  <cp:revision>3</cp:revision>
  <cp:lastPrinted>2018-12-12T11:32:00Z</cp:lastPrinted>
  <dcterms:created xsi:type="dcterms:W3CDTF">2019-04-09T11:19:00Z</dcterms:created>
  <dcterms:modified xsi:type="dcterms:W3CDTF">2019-04-09T11:36:00Z</dcterms:modified>
</cp:coreProperties>
</file>