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4A" w:rsidRDefault="00B21437" w:rsidP="00CA544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Abenduak 12</w:t>
      </w:r>
    </w:p>
    <w:p w:rsidR="00B21437" w:rsidRDefault="0006150C" w:rsidP="00CA544A">
      <w:pPr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Unión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Pueblo</w:t>
      </w:r>
      <w:proofErr w:type="spellEnd"/>
      <w:r>
        <w:rPr>
          <w:rFonts w:ascii="Arial" w:hAnsi="Arial"/>
        </w:rPr>
        <w:t xml:space="preserve"> Navarro talde parlamentarioari atxikitako foru parlamentari Alberto Catalán Higueras jaunak galdera egin du (9-18/PES-00252) Nafarroako Erriberan kultur aniztasunaren eta migrazioaren arloko politiken gaineko neurriak abian jartze aldera lankidetzarako eta koordinaziorako espazio misto bat sortzeari buruz. Hona hemen Nafarroako Gobernuko Eskubide Sozialetako kontseilariaren erantzuna:</w:t>
      </w:r>
    </w:p>
    <w:p w:rsidR="00B21437" w:rsidRDefault="00A0636B" w:rsidP="00A0636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Eskubide Sozialetako Departamentuak, Gizarteratzeari buruzko Plan Estrategikoaren (2018-2021) esparruan, honako hau aipatzen du funtsezko helburu gisa: “Kultur aniztasuna kudeatzeko erreferentziako eredua finkatzea, gatazka sozialeko egoerei aurre hartu eta haiei buelta emateko balio dezan, herritarren kulturen arteko bizikidetasuna lortzeko, hartara herritar guztien bizi-baldintzak hobetzeko prozesuetan lagunduz”. </w:t>
      </w:r>
    </w:p>
    <w:p w:rsidR="00B21437" w:rsidRDefault="00A0636B" w:rsidP="00A0636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Eskubide Sozialetako Departamentuak, baloratuz planaren helburua betetzeko esku-hartze egokienak ingurune hurbilenarekin lotutakoak direla </w:t>
      </w:r>
      <w:proofErr w:type="spellStart"/>
      <w:r>
        <w:rPr>
          <w:rFonts w:ascii="Arial" w:hAnsi="Arial"/>
        </w:rPr>
        <w:t>—udalak</w:t>
      </w:r>
      <w:proofErr w:type="spellEnd"/>
      <w:r>
        <w:rPr>
          <w:rFonts w:ascii="Arial" w:hAnsi="Arial"/>
        </w:rPr>
        <w:t xml:space="preserve">, kasu </w:t>
      </w:r>
      <w:proofErr w:type="spellStart"/>
      <w:r>
        <w:rPr>
          <w:rFonts w:ascii="Arial" w:hAnsi="Arial"/>
        </w:rPr>
        <w:t>honetan—</w:t>
      </w:r>
      <w:proofErr w:type="spellEnd"/>
      <w:r>
        <w:rPr>
          <w:rFonts w:ascii="Arial" w:hAnsi="Arial"/>
        </w:rPr>
        <w:t>, honako ekintza-ildo hauek bultzatu izan ditu:</w:t>
      </w:r>
    </w:p>
    <w:p w:rsidR="00A0636B" w:rsidRPr="00A0636B" w:rsidRDefault="00A0636B" w:rsidP="00A0636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1.- Toki entitateek garatutako proiektuetarako laguntza, kulturen arteko bizikidetasunaren eta kohesio sozialaren alde. Zehazki, honako proiektu hauek garatu dira Erriberan: </w:t>
      </w:r>
    </w:p>
    <w:p w:rsidR="00A0636B" w:rsidRPr="00A0636B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 xml:space="preserve">Ribaforadako esku-hartze sozial eta bizitegikoa, eta bizikidetasuna hobetzekoa: Horren helburua da Ribaforadako herritarren </w:t>
      </w:r>
      <w:proofErr w:type="spellStart"/>
      <w:r>
        <w:rPr>
          <w:rFonts w:ascii="Arial" w:hAnsi="Arial"/>
        </w:rPr>
        <w:t>—bertakoen</w:t>
      </w:r>
      <w:proofErr w:type="spellEnd"/>
      <w:r>
        <w:rPr>
          <w:rFonts w:ascii="Arial" w:hAnsi="Arial"/>
        </w:rPr>
        <w:t xml:space="preserve"> eta </w:t>
      </w:r>
      <w:proofErr w:type="spellStart"/>
      <w:r>
        <w:rPr>
          <w:rFonts w:ascii="Arial" w:hAnsi="Arial"/>
        </w:rPr>
        <w:t>etorkinen—</w:t>
      </w:r>
      <w:proofErr w:type="spellEnd"/>
      <w:r>
        <w:rPr>
          <w:rFonts w:ascii="Arial" w:hAnsi="Arial"/>
        </w:rPr>
        <w:t xml:space="preserve"> arteko komunikazioa eta harreman positiboa erraztea, azpimarra berezia jarriz esparru sozial eta bizitegikoan; halaber, kulturen arteko testuinguru batean herritarren arteko topaketa dela eta, bizikidetasuna hobetzeko dauden beharrak identifikatzea.</w:t>
      </w:r>
    </w:p>
    <w:p w:rsidR="00A0636B" w:rsidRPr="00A0636B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Proiektu horren bidez, zenbait esperientzia garatu dira, eremu komunitarioa indartzera bideratuta, baliabide sozialak optimizatuz. Proiektu komunitario integral bat da, dibertsitatea modu positiboan kudeatzen duena. </w:t>
      </w:r>
    </w:p>
    <w:p w:rsidR="00A0636B" w:rsidRPr="00A0636B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/>
        </w:rPr>
        <w:t>Kulturen arteko esku-hartze komunitarioaren ardatzak honako hauek izan dira:</w:t>
      </w:r>
    </w:p>
    <w:p w:rsidR="00B21437" w:rsidRDefault="008B287C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bookmarkStart w:id="0" w:name="_GoBack"/>
      <w:r>
        <w:rPr>
          <w:noProof/>
          <w:lang w:val="es-ES"/>
        </w:rPr>
        <w:lastRenderedPageBreak/>
        <w:drawing>
          <wp:inline distT="0" distB="0" distL="0" distR="0">
            <wp:extent cx="4629150" cy="2209800"/>
            <wp:effectExtent l="0" t="0" r="0" b="0"/>
            <wp:docPr id="1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636B" w:rsidRPr="00A0636B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</w:r>
      <w:proofErr w:type="spellStart"/>
      <w:r>
        <w:rPr>
          <w:rFonts w:ascii="Arial" w:hAnsi="Arial"/>
          <w:u w:val="single"/>
        </w:rPr>
        <w:t>ConviLourdes</w:t>
      </w:r>
      <w:proofErr w:type="spellEnd"/>
      <w:r>
        <w:rPr>
          <w:rFonts w:ascii="Arial" w:hAnsi="Arial"/>
          <w:u w:val="single"/>
        </w:rPr>
        <w:t>: Diagnostiko sozial eta bizitegikoa egiteko proiektua eta Tuterako Lourdes auzoan bizikidetasuna hobetzekoa.</w:t>
      </w:r>
    </w:p>
    <w:p w:rsidR="00A0636B" w:rsidRPr="00A0636B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Gizarteratzerako proiektu bat da, zeinaren joera baita izaera sozial eta bizitegikoa duten ekintzak garatzea, bizilagunen arteko bizikidetasuna hobetzera bideratua, ingurune ahul batean, nola baita Tuterako Lourdes auzoa, </w:t>
      </w:r>
      <w:proofErr w:type="spellStart"/>
      <w:r>
        <w:rPr>
          <w:rFonts w:ascii="Arial" w:hAnsi="Arial"/>
        </w:rPr>
        <w:t>auzo</w:t>
      </w:r>
      <w:proofErr w:type="spellEnd"/>
      <w:r>
        <w:rPr>
          <w:rFonts w:ascii="Arial" w:hAnsi="Arial"/>
        </w:rPr>
        <w:t xml:space="preserve"> horretan dauden bizikidetasuneko arazoak eta zailtasunak analizatuz. </w:t>
      </w:r>
    </w:p>
    <w:p w:rsidR="00A0636B" w:rsidRPr="00A0636B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Auzoko egoera sozial eta bizitegikoaren diagnostikoa egitean eta bizilagunen arteko bizikidetasuna hobetuko duten proposamen eta gomendioen diseinuan oinarritu da, eta, aldi berean, auzoan bizi direnen  </w:t>
      </w:r>
      <w:proofErr w:type="spellStart"/>
      <w:r>
        <w:rPr>
          <w:rFonts w:ascii="Arial" w:hAnsi="Arial"/>
        </w:rPr>
        <w:t>—bai</w:t>
      </w:r>
      <w:proofErr w:type="spellEnd"/>
      <w:r>
        <w:rPr>
          <w:rFonts w:ascii="Arial" w:hAnsi="Arial"/>
        </w:rPr>
        <w:t xml:space="preserve"> bertakoen, bai atzerritarren edo atzerriko jatorria </w:t>
      </w:r>
      <w:proofErr w:type="spellStart"/>
      <w:r>
        <w:rPr>
          <w:rFonts w:ascii="Arial" w:hAnsi="Arial"/>
        </w:rPr>
        <w:t>dutenen—</w:t>
      </w:r>
      <w:proofErr w:type="spellEnd"/>
      <w:r>
        <w:rPr>
          <w:rFonts w:ascii="Arial" w:hAnsi="Arial"/>
        </w:rPr>
        <w:t xml:space="preserve"> arteko komunikazioa eta harreman positiboa erraztu da. </w:t>
      </w:r>
    </w:p>
    <w:p w:rsidR="00A0636B" w:rsidRPr="00A0636B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Lourdes auzoko beharrizanak, gabeziak eta izaera sozial eta bizitegikoa duten arazoak identifikatzeak aukera ematen du bizitegi izaerako segregazio- </w:t>
      </w:r>
      <w:proofErr w:type="spellStart"/>
      <w:r>
        <w:rPr>
          <w:rFonts w:ascii="Arial" w:hAnsi="Arial"/>
        </w:rPr>
        <w:t>edo/eta</w:t>
      </w:r>
      <w:proofErr w:type="spellEnd"/>
      <w:r>
        <w:rPr>
          <w:rFonts w:ascii="Arial" w:hAnsi="Arial"/>
        </w:rPr>
        <w:t xml:space="preserve"> bazterketa-prozesu jakin batzuk gerarazi eta arintzeko, eta gehiengoarekiko dibertsitate etniko eta kultural nabarmena duten bizilagunekiko areriotasuneko eta errefuseko egoerak prebenitzeko.</w:t>
      </w:r>
    </w:p>
    <w:p w:rsidR="00B21437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/>
        </w:rPr>
        <w:t>Horren guztiaren helburua da bizilagunen arteko bizikidetasuna eta kohesio soziala erraztea, kulturen arteko testuinguru batean, Tuterako Lourdes auzoan bizi diren pertsonen jatorri etniko eta kulturalaz harago.</w:t>
      </w:r>
    </w:p>
    <w:p w:rsidR="00A0636B" w:rsidRPr="00A0636B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Bizikidetasun plana: Murchanteko diagnostiko sozial eta bizitegikoa eta esku hartzeko proposamena. </w:t>
      </w:r>
    </w:p>
    <w:p w:rsidR="00B21437" w:rsidRDefault="00A0636B" w:rsidP="00A0636B">
      <w:p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Diagnostiko sozial eta bizitegikoa egitea, bai eta jarduketa planaren garapena ere, kulturen arteko bizikidetasunaren balizko zailtasunak detektatu eta analizatzeko eta gizarteratzea lortzeko ekintzak garatzeko.</w:t>
      </w:r>
    </w:p>
    <w:p w:rsidR="00A0636B" w:rsidRPr="00A0636B" w:rsidRDefault="00A0636B" w:rsidP="00A0636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2.- </w:t>
      </w:r>
      <w:r>
        <w:rPr>
          <w:rFonts w:ascii="Arial" w:hAnsi="Arial"/>
        </w:rPr>
        <w:t>Erkidegoaren mailan garatutako beste ekintza batzuk, Erriberan eragina dutenak:</w:t>
      </w:r>
    </w:p>
    <w:p w:rsidR="00A0636B" w:rsidRPr="00A0636B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 xml:space="preserve">Kulturen arteko bitartekaritza zerbitzua, gatazken prebentziorako eta haiek ebazteko, lurraldeen arteko esku-hartze komunitarioak lehenetsiz. 4,5 profesional gehiago jartzea: 2017tik 2018ko irailera bitarteko aldian, 2.921 onuradun egon dira. Berariaz Erriberan aurrera eramandako jarduketei dagokienez, 2017. urtean guztira 3.487 bitartekaritza eta 27 jarduketa komunitario egin ziren. </w:t>
      </w:r>
    </w:p>
    <w:p w:rsidR="00A0636B" w:rsidRPr="00A0636B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Nafarroan errefuxiatuei harrera egiteko protokolo integrala onestea eta gartzea, eta harrera-prozesuak hobetzeko lantalde bat sortzea. Arretarako dispositibo bat abian jartzea: Nafarroan 633 pertsonari egin zaie harrera 2015eko azaroa – 2018ko iraila aldian.</w:t>
      </w:r>
    </w:p>
    <w:p w:rsidR="00B21437" w:rsidRDefault="00A0636B" w:rsidP="00A0636B">
      <w:p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Aholkularitza juridikoko zerbitzu berri bat sortzea atzerritartasunaren arloan, gizarteratzerako gakoa izanen den mekanismo moduan (2.396 pertsona artatu dira Nafarroan).</w:t>
      </w:r>
    </w:p>
    <w:p w:rsidR="00B21437" w:rsidRDefault="00A0636B" w:rsidP="00A0636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Bestalde, Eskubide Sozialetako Departamentuak parte hartu izan du beste departamentu batzuen lidergoaren pean aurrera eraman diren dibertsitate-politiken garapenarekin lotutako beste ekintza batzuetan, ekintza koordinatu eta bateratu batez; esate baterako, Nafarroako komunitate islamikoekin lan egiteko departamentuen arteko Mahaian, Herritarrekiko eta Erakundeekiko Harremanetako Departamentuak sustatutakoan. </w:t>
      </w:r>
    </w:p>
    <w:p w:rsidR="00B21437" w:rsidRDefault="0006150C" w:rsidP="00CA544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Hori guztia jakinarazten dizut Nafarroako Parlamentuko Erregelamenduaren 194. artikulua betez.</w:t>
      </w:r>
    </w:p>
    <w:p w:rsidR="00B21437" w:rsidRDefault="0006150C" w:rsidP="00CA544A">
      <w:pPr>
        <w:spacing w:after="120" w:line="36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/>
        </w:rPr>
        <w:t>Iruñean, 2018ko abenduaren 11n</w:t>
      </w:r>
    </w:p>
    <w:p w:rsidR="00B21437" w:rsidRPr="00B21437" w:rsidRDefault="00D45F8B" w:rsidP="00B21437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/>
        </w:rPr>
        <w:t>Eskubide Sozialetako kontseilaria: Miguel Laparra Navarro</w:t>
      </w:r>
    </w:p>
    <w:sectPr w:rsidR="00B21437" w:rsidRPr="00B21437" w:rsidSect="003860DD">
      <w:headerReference w:type="default" r:id="rId9"/>
      <w:pgSz w:w="11906" w:h="16838" w:code="9"/>
      <w:pgMar w:top="1588" w:right="1701" w:bottom="1079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62" w:rsidRDefault="00E77E62">
      <w:r>
        <w:separator/>
      </w:r>
    </w:p>
  </w:endnote>
  <w:endnote w:type="continuationSeparator" w:id="0">
    <w:p w:rsidR="00E77E62" w:rsidRDefault="00E7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62" w:rsidRDefault="00E77E62">
      <w:r>
        <w:separator/>
      </w:r>
    </w:p>
  </w:footnote>
  <w:footnote w:type="continuationSeparator" w:id="0">
    <w:p w:rsidR="00E77E62" w:rsidRDefault="00E77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6150C"/>
    <w:rsid w:val="00065565"/>
    <w:rsid w:val="000916D4"/>
    <w:rsid w:val="001207D5"/>
    <w:rsid w:val="0015056C"/>
    <w:rsid w:val="0019679B"/>
    <w:rsid w:val="001D2F3E"/>
    <w:rsid w:val="00225C7D"/>
    <w:rsid w:val="00241092"/>
    <w:rsid w:val="00252442"/>
    <w:rsid w:val="00332E76"/>
    <w:rsid w:val="00360CD5"/>
    <w:rsid w:val="003770D5"/>
    <w:rsid w:val="003860DD"/>
    <w:rsid w:val="003926A4"/>
    <w:rsid w:val="00394EE0"/>
    <w:rsid w:val="003E7CAB"/>
    <w:rsid w:val="00462A9A"/>
    <w:rsid w:val="004D3ACF"/>
    <w:rsid w:val="00545D41"/>
    <w:rsid w:val="0055627E"/>
    <w:rsid w:val="0056046D"/>
    <w:rsid w:val="0058384E"/>
    <w:rsid w:val="005D4333"/>
    <w:rsid w:val="005E5A1A"/>
    <w:rsid w:val="00625CDC"/>
    <w:rsid w:val="006345F0"/>
    <w:rsid w:val="00641778"/>
    <w:rsid w:val="0064223B"/>
    <w:rsid w:val="00666A3F"/>
    <w:rsid w:val="007008C6"/>
    <w:rsid w:val="007130CC"/>
    <w:rsid w:val="0072343A"/>
    <w:rsid w:val="007477D1"/>
    <w:rsid w:val="007704FF"/>
    <w:rsid w:val="0077073F"/>
    <w:rsid w:val="007749E1"/>
    <w:rsid w:val="007A7B54"/>
    <w:rsid w:val="007E0158"/>
    <w:rsid w:val="0080339F"/>
    <w:rsid w:val="008230A2"/>
    <w:rsid w:val="00832DA8"/>
    <w:rsid w:val="008442C4"/>
    <w:rsid w:val="00865890"/>
    <w:rsid w:val="008A7332"/>
    <w:rsid w:val="008B287C"/>
    <w:rsid w:val="008F0A77"/>
    <w:rsid w:val="00970F18"/>
    <w:rsid w:val="00980A6E"/>
    <w:rsid w:val="009A245D"/>
    <w:rsid w:val="009C1765"/>
    <w:rsid w:val="009D7AC7"/>
    <w:rsid w:val="00A0636B"/>
    <w:rsid w:val="00A90748"/>
    <w:rsid w:val="00AA3582"/>
    <w:rsid w:val="00AB306A"/>
    <w:rsid w:val="00B123A0"/>
    <w:rsid w:val="00B21437"/>
    <w:rsid w:val="00B6563A"/>
    <w:rsid w:val="00B67C4B"/>
    <w:rsid w:val="00BF65B2"/>
    <w:rsid w:val="00C01B8F"/>
    <w:rsid w:val="00C517F4"/>
    <w:rsid w:val="00C703AD"/>
    <w:rsid w:val="00CA544A"/>
    <w:rsid w:val="00CB0E0F"/>
    <w:rsid w:val="00CB1CBC"/>
    <w:rsid w:val="00CC0679"/>
    <w:rsid w:val="00CC363D"/>
    <w:rsid w:val="00CD7DE9"/>
    <w:rsid w:val="00CE5F5F"/>
    <w:rsid w:val="00CE6C1F"/>
    <w:rsid w:val="00D16EAB"/>
    <w:rsid w:val="00D2483A"/>
    <w:rsid w:val="00D45F8B"/>
    <w:rsid w:val="00D94BDE"/>
    <w:rsid w:val="00DC2615"/>
    <w:rsid w:val="00DD3F5C"/>
    <w:rsid w:val="00E023C6"/>
    <w:rsid w:val="00E179F4"/>
    <w:rsid w:val="00E20828"/>
    <w:rsid w:val="00E26C41"/>
    <w:rsid w:val="00E4466D"/>
    <w:rsid w:val="00E56279"/>
    <w:rsid w:val="00E6542D"/>
    <w:rsid w:val="00E7291A"/>
    <w:rsid w:val="00E77E62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926A7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5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Textodeglobo">
    <w:name w:val="Balloon Text"/>
    <w:basedOn w:val="Normal"/>
    <w:link w:val="TextodegloboCar"/>
    <w:rsid w:val="00D94B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4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5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Textodeglobo">
    <w:name w:val="Balloon Text"/>
    <w:basedOn w:val="Normal"/>
    <w:link w:val="TextodegloboCar"/>
    <w:rsid w:val="00D94B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4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Iñaki De Santiago</cp:lastModifiedBy>
  <cp:revision>2</cp:revision>
  <cp:lastPrinted>2018-12-12T11:34:00Z</cp:lastPrinted>
  <dcterms:created xsi:type="dcterms:W3CDTF">2019-04-11T08:08:00Z</dcterms:created>
  <dcterms:modified xsi:type="dcterms:W3CDTF">2019-04-11T08:08:00Z</dcterms:modified>
</cp:coreProperties>
</file>