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EC7" w:rsidRDefault="00400EC7" w:rsidP="002F06DB">
      <w:pPr>
        <w:spacing w:after="0" w:line="360" w:lineRule="auto"/>
        <w:ind w:firstLine="709"/>
        <w:jc w:val="both"/>
        <w:rPr>
          <w:rFonts w:ascii="Arial" w:hAnsi="Arial" w:cs="Arial"/>
        </w:rPr>
      </w:pPr>
      <w:proofErr w:type="spellStart"/>
      <w:r>
        <w:rPr>
          <w:rFonts w:ascii="Arial" w:hAnsi="Arial"/>
        </w:rPr>
        <w:t>Unión</w:t>
      </w:r>
      <w:proofErr w:type="spellEnd"/>
      <w:r>
        <w:rPr>
          <w:rFonts w:ascii="Arial" w:hAnsi="Arial"/>
        </w:rPr>
        <w:t xml:space="preserve"> del </w:t>
      </w:r>
      <w:proofErr w:type="spellStart"/>
      <w:r>
        <w:rPr>
          <w:rFonts w:ascii="Arial" w:hAnsi="Arial"/>
        </w:rPr>
        <w:t>Pueblo</w:t>
      </w:r>
      <w:proofErr w:type="spellEnd"/>
      <w:r>
        <w:rPr>
          <w:rFonts w:ascii="Arial" w:hAnsi="Arial"/>
        </w:rPr>
        <w:t xml:space="preserve"> Navarro (UPN) talde parlamentarioari atxikitako foru parlamentari Alberto Catalán Higueras jaunak 9-18/PES-00264 idatzizko galdera aurkeztu du. Hauxe da Nafarroako Gobernuko Hezkuntzako kontseilariaren informazioa:</w:t>
      </w:r>
    </w:p>
    <w:p w:rsidR="00400EC7" w:rsidRDefault="002F06DB" w:rsidP="00DC0CF7">
      <w:pPr>
        <w:numPr>
          <w:ilvl w:val="0"/>
          <w:numId w:val="8"/>
        </w:numPr>
        <w:spacing w:after="0" w:line="360" w:lineRule="auto"/>
        <w:jc w:val="both"/>
        <w:rPr>
          <w:rFonts w:ascii="Arial" w:hAnsi="Arial" w:cs="Arial"/>
        </w:rPr>
      </w:pPr>
      <w:r>
        <w:rPr>
          <w:rFonts w:ascii="Arial" w:hAnsi="Arial"/>
        </w:rPr>
        <w:t xml:space="preserve">Gaur egun Cascanteko Santa Vicenta </w:t>
      </w:r>
      <w:proofErr w:type="spellStart"/>
      <w:r>
        <w:rPr>
          <w:rFonts w:ascii="Arial" w:hAnsi="Arial"/>
        </w:rPr>
        <w:t>María</w:t>
      </w:r>
      <w:proofErr w:type="spellEnd"/>
      <w:r>
        <w:rPr>
          <w:rFonts w:ascii="Arial" w:hAnsi="Arial"/>
        </w:rPr>
        <w:t xml:space="preserve"> ikastetxe publikoa hartzen duen erakina 2014an amaitu zen eraikitzen eta aukera ematen du bi linea oso (18 ikasgela) hartzeko. Egindako eraikina hasieratik guztiz bete zen 18 talderekin, eta ez zuen aukerarik ematen talde gehiago hartzeko, beste espazio osagarri batzuen kontura ez bazen. Azken urte hauetan, ikastetxeak liburutegia bezalako espazioak kendu ditu, ikasleak behar bezala eskolatu ahal izateko. Ikastetxerako aurreikusi den bilakaerak erakusten du taldeen guztizko kopurua ez dela handituko, eta, nolanahi ere, guztizko kopuruaren jaitsiera bat aurreikusten da epe ertain eta luzean. </w:t>
      </w:r>
    </w:p>
    <w:p w:rsidR="00400EC7" w:rsidRDefault="0035168A" w:rsidP="00DC0CF7">
      <w:pPr>
        <w:numPr>
          <w:ilvl w:val="0"/>
          <w:numId w:val="8"/>
        </w:numPr>
        <w:spacing w:after="0" w:line="360" w:lineRule="auto"/>
        <w:jc w:val="both"/>
        <w:rPr>
          <w:rFonts w:ascii="Arial" w:hAnsi="Arial" w:cs="Arial"/>
        </w:rPr>
      </w:pPr>
      <w:r>
        <w:rPr>
          <w:rFonts w:ascii="Arial" w:hAnsi="Arial"/>
        </w:rPr>
        <w:t xml:space="preserve">Azaldutakoa gorabehera, Hezkuntza Departamentuak ikastetxea handitzeko proiektu bat enkargatu du, lau ikasgela bitartekoa, eta handitze hori faseka egin ahal da. Handitze-proiektu horrek, zeina datozen asteetan entregatuko baita, aurreikusten du lehenengo solairuan bi ikasgela eta bigarren solairuan beste bi ikasgela egitea. </w:t>
      </w:r>
    </w:p>
    <w:p w:rsidR="00400EC7" w:rsidRDefault="0035168A" w:rsidP="00DC0CF7">
      <w:pPr>
        <w:numPr>
          <w:ilvl w:val="0"/>
          <w:numId w:val="8"/>
        </w:numPr>
        <w:spacing w:after="0" w:line="360" w:lineRule="auto"/>
        <w:jc w:val="both"/>
        <w:rPr>
          <w:rFonts w:ascii="Arial" w:hAnsi="Arial" w:cs="Arial"/>
        </w:rPr>
      </w:pPr>
      <w:r>
        <w:rPr>
          <w:rFonts w:ascii="Arial" w:hAnsi="Arial"/>
        </w:rPr>
        <w:t>Handitzeko lanen exekuzioa 2019ko aurre-matrikulako datuen araberakoa izanen da, bai eta aurrekontu-ekitaldi horretan dagoen diruaren araberakoa ere.</w:t>
      </w:r>
    </w:p>
    <w:p w:rsidR="00400EC7" w:rsidRDefault="00DC0CF7" w:rsidP="00DC0CF7">
      <w:pPr>
        <w:numPr>
          <w:ilvl w:val="0"/>
          <w:numId w:val="8"/>
        </w:numPr>
        <w:spacing w:after="0" w:line="360" w:lineRule="auto"/>
        <w:jc w:val="both"/>
        <w:rPr>
          <w:rFonts w:ascii="Arial" w:hAnsi="Arial" w:cs="Arial"/>
        </w:rPr>
      </w:pPr>
      <w:r>
        <w:rPr>
          <w:rFonts w:ascii="Arial" w:hAnsi="Arial"/>
        </w:rPr>
        <w:t xml:space="preserve">Cascanteko ikastetxe publikoko matrikulazio-datuei dagokienez (2. etapa </w:t>
      </w:r>
      <w:proofErr w:type="spellStart"/>
      <w:r>
        <w:rPr>
          <w:rFonts w:ascii="Arial" w:hAnsi="Arial"/>
        </w:rPr>
        <w:t>eta</w:t>
      </w:r>
      <w:proofErr w:type="spellEnd"/>
      <w:r>
        <w:rPr>
          <w:rFonts w:ascii="Arial" w:hAnsi="Arial"/>
        </w:rPr>
        <w:t xml:space="preserve"> lehen hezkuntza), honako datu hauek ageri dira:</w:t>
      </w:r>
    </w:p>
    <w:p w:rsidR="0035168A" w:rsidRPr="0035168A" w:rsidRDefault="0035168A" w:rsidP="0035168A">
      <w:pPr>
        <w:spacing w:after="0" w:line="360" w:lineRule="auto"/>
        <w:ind w:firstLine="709"/>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160"/>
        <w:gridCol w:w="2520"/>
      </w:tblGrid>
      <w:tr w:rsidR="0035168A" w:rsidRPr="00DF4747" w:rsidTr="00DF4747">
        <w:tc>
          <w:tcPr>
            <w:tcW w:w="4320" w:type="dxa"/>
            <w:tcBorders>
              <w:top w:val="nil"/>
              <w:left w:val="nil"/>
              <w:bottom w:val="single" w:sz="4" w:space="0" w:color="auto"/>
              <w:right w:val="single" w:sz="4" w:space="0" w:color="auto"/>
            </w:tcBorders>
            <w:shd w:val="clear" w:color="auto" w:fill="auto"/>
          </w:tcPr>
          <w:p w:rsidR="0035168A" w:rsidRPr="00DF4747" w:rsidRDefault="0035168A" w:rsidP="00BF55A7">
            <w:pPr>
              <w:spacing w:after="0" w:line="360" w:lineRule="auto"/>
              <w:ind w:firstLine="709"/>
              <w:jc w:val="both"/>
              <w:rPr>
                <w:rFonts w:asciiTheme="minorHAnsi" w:eastAsia="MS Mincho" w:hAnsiTheme="minorHAnsi" w:cs="Arial"/>
                <w:sz w:val="18"/>
                <w:szCs w:val="18"/>
              </w:rPr>
            </w:pPr>
          </w:p>
        </w:tc>
        <w:tc>
          <w:tcPr>
            <w:tcW w:w="2160" w:type="dxa"/>
            <w:tcBorders>
              <w:left w:val="single" w:sz="4" w:space="0" w:color="auto"/>
            </w:tcBorders>
            <w:shd w:val="clear" w:color="auto" w:fill="auto"/>
            <w:vAlign w:val="center"/>
          </w:tcPr>
          <w:p w:rsidR="0035168A" w:rsidRPr="00DF4747" w:rsidRDefault="0035168A" w:rsidP="00DF4747">
            <w:pPr>
              <w:spacing w:after="0" w:line="360" w:lineRule="auto"/>
              <w:jc w:val="center"/>
              <w:rPr>
                <w:rFonts w:asciiTheme="minorHAnsi" w:eastAsia="MS Mincho" w:hAnsiTheme="minorHAnsi" w:cs="Arial"/>
                <w:b/>
                <w:sz w:val="18"/>
                <w:szCs w:val="18"/>
              </w:rPr>
            </w:pPr>
            <w:r w:rsidRPr="00DF4747">
              <w:rPr>
                <w:rFonts w:asciiTheme="minorHAnsi" w:hAnsiTheme="minorHAnsi"/>
                <w:b/>
                <w:sz w:val="18"/>
                <w:szCs w:val="18"/>
              </w:rPr>
              <w:t>2014-15 ikasturtea</w:t>
            </w:r>
          </w:p>
        </w:tc>
        <w:tc>
          <w:tcPr>
            <w:tcW w:w="2520" w:type="dxa"/>
            <w:shd w:val="clear" w:color="auto" w:fill="auto"/>
            <w:vAlign w:val="center"/>
          </w:tcPr>
          <w:p w:rsidR="0035168A" w:rsidRPr="00DF4747" w:rsidRDefault="0035168A" w:rsidP="00DF4747">
            <w:pPr>
              <w:spacing w:after="0" w:line="360" w:lineRule="auto"/>
              <w:jc w:val="center"/>
              <w:rPr>
                <w:rFonts w:asciiTheme="minorHAnsi" w:eastAsia="MS Mincho" w:hAnsiTheme="minorHAnsi" w:cs="Arial"/>
                <w:b/>
                <w:sz w:val="18"/>
                <w:szCs w:val="18"/>
              </w:rPr>
            </w:pPr>
            <w:r w:rsidRPr="00DF4747">
              <w:rPr>
                <w:rFonts w:asciiTheme="minorHAnsi" w:hAnsiTheme="minorHAnsi"/>
                <w:b/>
                <w:sz w:val="18"/>
                <w:szCs w:val="18"/>
              </w:rPr>
              <w:t>2018-19 ikasturtea</w:t>
            </w:r>
          </w:p>
        </w:tc>
      </w:tr>
      <w:tr w:rsidR="0035168A" w:rsidRPr="00DF4747" w:rsidTr="00DF4747">
        <w:tc>
          <w:tcPr>
            <w:tcW w:w="4320" w:type="dxa"/>
            <w:tcBorders>
              <w:top w:val="single" w:sz="4" w:space="0" w:color="auto"/>
            </w:tcBorders>
            <w:shd w:val="clear" w:color="auto" w:fill="auto"/>
            <w:vAlign w:val="center"/>
          </w:tcPr>
          <w:p w:rsidR="0035168A" w:rsidRPr="00DF4747" w:rsidRDefault="0035168A" w:rsidP="00DF4747">
            <w:pPr>
              <w:spacing w:after="0" w:line="360" w:lineRule="auto"/>
              <w:rPr>
                <w:rFonts w:asciiTheme="minorHAnsi" w:eastAsia="MS Mincho" w:hAnsiTheme="minorHAnsi" w:cs="Arial"/>
                <w:sz w:val="18"/>
                <w:szCs w:val="18"/>
              </w:rPr>
            </w:pPr>
            <w:r w:rsidRPr="00DF4747">
              <w:rPr>
                <w:rFonts w:asciiTheme="minorHAnsi" w:hAnsiTheme="minorHAnsi"/>
                <w:sz w:val="18"/>
                <w:szCs w:val="18"/>
              </w:rPr>
              <w:t xml:space="preserve">Ikasleak </w:t>
            </w:r>
          </w:p>
        </w:tc>
        <w:tc>
          <w:tcPr>
            <w:tcW w:w="2160" w:type="dxa"/>
            <w:shd w:val="clear" w:color="auto" w:fill="auto"/>
            <w:vAlign w:val="center"/>
          </w:tcPr>
          <w:p w:rsidR="0035168A" w:rsidRPr="00DF4747" w:rsidRDefault="00DC0CF7" w:rsidP="00DF4747">
            <w:pPr>
              <w:spacing w:after="0" w:line="360" w:lineRule="auto"/>
              <w:ind w:firstLine="709"/>
              <w:jc w:val="center"/>
              <w:rPr>
                <w:rFonts w:asciiTheme="minorHAnsi" w:eastAsia="MS Mincho" w:hAnsiTheme="minorHAnsi" w:cs="Arial"/>
                <w:sz w:val="18"/>
                <w:szCs w:val="18"/>
              </w:rPr>
            </w:pPr>
            <w:r w:rsidRPr="00DF4747">
              <w:rPr>
                <w:rFonts w:asciiTheme="minorHAnsi" w:hAnsiTheme="minorHAnsi"/>
                <w:sz w:val="18"/>
                <w:szCs w:val="18"/>
              </w:rPr>
              <w:t>329</w:t>
            </w:r>
          </w:p>
        </w:tc>
        <w:tc>
          <w:tcPr>
            <w:tcW w:w="2520" w:type="dxa"/>
            <w:shd w:val="clear" w:color="auto" w:fill="auto"/>
            <w:vAlign w:val="center"/>
          </w:tcPr>
          <w:p w:rsidR="0035168A" w:rsidRPr="00DF4747" w:rsidRDefault="00DC0CF7" w:rsidP="00DF4747">
            <w:pPr>
              <w:spacing w:after="0" w:line="360" w:lineRule="auto"/>
              <w:ind w:firstLine="709"/>
              <w:jc w:val="center"/>
              <w:rPr>
                <w:rFonts w:asciiTheme="minorHAnsi" w:eastAsia="MS Mincho" w:hAnsiTheme="minorHAnsi" w:cs="Arial"/>
                <w:sz w:val="18"/>
                <w:szCs w:val="18"/>
              </w:rPr>
            </w:pPr>
            <w:r w:rsidRPr="00DF4747">
              <w:rPr>
                <w:rFonts w:asciiTheme="minorHAnsi" w:hAnsiTheme="minorHAnsi"/>
                <w:sz w:val="18"/>
                <w:szCs w:val="18"/>
              </w:rPr>
              <w:t>394</w:t>
            </w:r>
          </w:p>
        </w:tc>
      </w:tr>
    </w:tbl>
    <w:p w:rsidR="0035168A" w:rsidRPr="0035168A" w:rsidRDefault="0035168A" w:rsidP="0035168A">
      <w:pPr>
        <w:spacing w:after="0" w:line="360" w:lineRule="auto"/>
        <w:ind w:firstLine="709"/>
        <w:jc w:val="both"/>
        <w:rPr>
          <w:rFonts w:ascii="Arial" w:hAnsi="Arial" w:cs="Arial"/>
        </w:rPr>
      </w:pPr>
    </w:p>
    <w:p w:rsidR="00400EC7" w:rsidRDefault="0035168A" w:rsidP="00DC0CF7">
      <w:pPr>
        <w:numPr>
          <w:ilvl w:val="0"/>
          <w:numId w:val="8"/>
        </w:numPr>
        <w:spacing w:after="0" w:line="360" w:lineRule="auto"/>
        <w:jc w:val="both"/>
        <w:rPr>
          <w:rFonts w:ascii="Arial" w:hAnsi="Arial" w:cs="Arial"/>
        </w:rPr>
      </w:pPr>
      <w:r>
        <w:rPr>
          <w:rFonts w:ascii="Arial" w:hAnsi="Arial"/>
        </w:rPr>
        <w:t xml:space="preserve">Herri horren kasuan, ikasleen kopuruaren handitzea, funtsean, Espainiako jatorriko ikasleei dagokie. Atzerriko ikasleek ikasleen guztizkoan egiten </w:t>
      </w:r>
      <w:r>
        <w:rPr>
          <w:rFonts w:ascii="Arial" w:hAnsi="Arial"/>
        </w:rPr>
        <w:lastRenderedPageBreak/>
        <w:t>duen portzentajea, berriz, 2014-15 ikasturtean zegoena baino are txikiagoa da.</w:t>
      </w:r>
    </w:p>
    <w:p w:rsidR="0035168A" w:rsidRPr="00DC0CF7" w:rsidRDefault="00DC0CF7" w:rsidP="00DC0CF7">
      <w:pPr>
        <w:numPr>
          <w:ilvl w:val="0"/>
          <w:numId w:val="8"/>
        </w:numPr>
        <w:spacing w:after="0" w:line="360" w:lineRule="auto"/>
        <w:jc w:val="both"/>
        <w:rPr>
          <w:rFonts w:ascii="Arial" w:hAnsi="Arial" w:cs="Arial"/>
        </w:rPr>
      </w:pPr>
      <w:r>
        <w:rPr>
          <w:rFonts w:ascii="Arial" w:hAnsi="Arial"/>
        </w:rPr>
        <w:t>Ikastetxean, atzerriko jatorria duten ikasleen bilakaera honako hau izan da azken bost urteetan:</w:t>
      </w:r>
    </w:p>
    <w:p w:rsidR="0035168A" w:rsidRPr="0035168A" w:rsidRDefault="0035168A" w:rsidP="0035168A">
      <w:pPr>
        <w:spacing w:after="0" w:line="360" w:lineRule="auto"/>
        <w:ind w:firstLine="709"/>
        <w:jc w:val="both"/>
        <w:rPr>
          <w:rFonts w:ascii="Arial" w:hAnsi="Arial" w:cs="Arial"/>
        </w:rPr>
      </w:pPr>
    </w:p>
    <w:tbl>
      <w:tblPr>
        <w:tblW w:w="73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5"/>
        <w:gridCol w:w="765"/>
        <w:gridCol w:w="1008"/>
        <w:gridCol w:w="1008"/>
        <w:gridCol w:w="1008"/>
        <w:gridCol w:w="1008"/>
      </w:tblGrid>
      <w:tr w:rsidR="0035168A" w:rsidRPr="00DF4747" w:rsidTr="00DF4747">
        <w:trPr>
          <w:trHeight w:val="20"/>
        </w:trPr>
        <w:tc>
          <w:tcPr>
            <w:tcW w:w="3205" w:type="dxa"/>
            <w:tcBorders>
              <w:top w:val="nil"/>
              <w:left w:val="nil"/>
            </w:tcBorders>
            <w:shd w:val="clear" w:color="auto" w:fill="auto"/>
            <w:noWrap/>
            <w:vAlign w:val="bottom"/>
          </w:tcPr>
          <w:p w:rsidR="0035168A" w:rsidRPr="00DF4747" w:rsidRDefault="0035168A" w:rsidP="0035168A">
            <w:pPr>
              <w:spacing w:after="0" w:line="360" w:lineRule="auto"/>
              <w:ind w:firstLine="709"/>
              <w:jc w:val="both"/>
              <w:rPr>
                <w:rFonts w:asciiTheme="minorHAnsi" w:hAnsiTheme="minorHAnsi" w:cs="Arial"/>
                <w:sz w:val="18"/>
                <w:szCs w:val="18"/>
              </w:rPr>
            </w:pPr>
            <w:bookmarkStart w:id="0" w:name="_GoBack"/>
          </w:p>
        </w:tc>
        <w:tc>
          <w:tcPr>
            <w:tcW w:w="160" w:type="dxa"/>
            <w:shd w:val="clear" w:color="auto" w:fill="auto"/>
            <w:noWrap/>
            <w:vAlign w:val="center"/>
          </w:tcPr>
          <w:p w:rsidR="0035168A" w:rsidRPr="00DF4747" w:rsidRDefault="0035168A" w:rsidP="00DF4747">
            <w:pPr>
              <w:spacing w:after="0" w:line="360" w:lineRule="auto"/>
              <w:jc w:val="center"/>
              <w:rPr>
                <w:rFonts w:asciiTheme="minorHAnsi" w:hAnsiTheme="minorHAnsi" w:cs="Arial"/>
                <w:b/>
                <w:sz w:val="18"/>
                <w:szCs w:val="18"/>
              </w:rPr>
            </w:pPr>
            <w:r w:rsidRPr="00DF4747">
              <w:rPr>
                <w:rFonts w:asciiTheme="minorHAnsi" w:hAnsiTheme="minorHAnsi"/>
                <w:b/>
                <w:sz w:val="18"/>
                <w:szCs w:val="18"/>
              </w:rPr>
              <w:t>2014/15</w:t>
            </w:r>
          </w:p>
        </w:tc>
        <w:tc>
          <w:tcPr>
            <w:tcW w:w="1008" w:type="dxa"/>
            <w:shd w:val="clear" w:color="auto" w:fill="auto"/>
            <w:noWrap/>
            <w:vAlign w:val="center"/>
          </w:tcPr>
          <w:p w:rsidR="0035168A" w:rsidRPr="00DF4747" w:rsidRDefault="0035168A" w:rsidP="00DF4747">
            <w:pPr>
              <w:spacing w:after="0" w:line="360" w:lineRule="auto"/>
              <w:jc w:val="center"/>
              <w:rPr>
                <w:rFonts w:asciiTheme="minorHAnsi" w:hAnsiTheme="minorHAnsi" w:cs="Arial"/>
                <w:b/>
                <w:sz w:val="18"/>
                <w:szCs w:val="18"/>
              </w:rPr>
            </w:pPr>
            <w:r w:rsidRPr="00DF4747">
              <w:rPr>
                <w:rFonts w:asciiTheme="minorHAnsi" w:hAnsiTheme="minorHAnsi"/>
                <w:b/>
                <w:sz w:val="18"/>
                <w:szCs w:val="18"/>
              </w:rPr>
              <w:t>2015/16</w:t>
            </w:r>
          </w:p>
        </w:tc>
        <w:tc>
          <w:tcPr>
            <w:tcW w:w="1008" w:type="dxa"/>
            <w:shd w:val="clear" w:color="auto" w:fill="auto"/>
            <w:noWrap/>
            <w:vAlign w:val="center"/>
          </w:tcPr>
          <w:p w:rsidR="0035168A" w:rsidRPr="00DF4747" w:rsidRDefault="0035168A" w:rsidP="00DF4747">
            <w:pPr>
              <w:spacing w:after="0" w:line="360" w:lineRule="auto"/>
              <w:jc w:val="center"/>
              <w:rPr>
                <w:rFonts w:asciiTheme="minorHAnsi" w:hAnsiTheme="minorHAnsi" w:cs="Arial"/>
                <w:b/>
                <w:sz w:val="18"/>
                <w:szCs w:val="18"/>
              </w:rPr>
            </w:pPr>
            <w:r w:rsidRPr="00DF4747">
              <w:rPr>
                <w:rFonts w:asciiTheme="minorHAnsi" w:hAnsiTheme="minorHAnsi"/>
                <w:b/>
                <w:sz w:val="18"/>
                <w:szCs w:val="18"/>
              </w:rPr>
              <w:t>2016/17</w:t>
            </w:r>
          </w:p>
        </w:tc>
        <w:tc>
          <w:tcPr>
            <w:tcW w:w="1008" w:type="dxa"/>
            <w:shd w:val="clear" w:color="auto" w:fill="auto"/>
            <w:noWrap/>
            <w:vAlign w:val="center"/>
          </w:tcPr>
          <w:p w:rsidR="0035168A" w:rsidRPr="00DF4747" w:rsidRDefault="0035168A" w:rsidP="00DF4747">
            <w:pPr>
              <w:spacing w:after="0" w:line="360" w:lineRule="auto"/>
              <w:jc w:val="center"/>
              <w:rPr>
                <w:rFonts w:asciiTheme="minorHAnsi" w:hAnsiTheme="minorHAnsi" w:cs="Arial"/>
                <w:b/>
                <w:sz w:val="18"/>
                <w:szCs w:val="18"/>
              </w:rPr>
            </w:pPr>
            <w:r w:rsidRPr="00DF4747">
              <w:rPr>
                <w:rFonts w:asciiTheme="minorHAnsi" w:hAnsiTheme="minorHAnsi"/>
                <w:b/>
                <w:sz w:val="18"/>
                <w:szCs w:val="18"/>
              </w:rPr>
              <w:t>2017/18</w:t>
            </w:r>
          </w:p>
        </w:tc>
        <w:tc>
          <w:tcPr>
            <w:tcW w:w="1008" w:type="dxa"/>
            <w:shd w:val="clear" w:color="auto" w:fill="auto"/>
            <w:noWrap/>
            <w:vAlign w:val="center"/>
          </w:tcPr>
          <w:p w:rsidR="0035168A" w:rsidRPr="00DF4747" w:rsidRDefault="0035168A" w:rsidP="00DF4747">
            <w:pPr>
              <w:spacing w:after="0" w:line="360" w:lineRule="auto"/>
              <w:jc w:val="center"/>
              <w:rPr>
                <w:rFonts w:asciiTheme="minorHAnsi" w:hAnsiTheme="minorHAnsi" w:cs="Arial"/>
                <w:b/>
                <w:sz w:val="18"/>
                <w:szCs w:val="18"/>
              </w:rPr>
            </w:pPr>
            <w:r w:rsidRPr="00DF4747">
              <w:rPr>
                <w:rFonts w:asciiTheme="minorHAnsi" w:hAnsiTheme="minorHAnsi"/>
                <w:b/>
                <w:sz w:val="18"/>
                <w:szCs w:val="18"/>
              </w:rPr>
              <w:t>2018/19</w:t>
            </w:r>
          </w:p>
        </w:tc>
      </w:tr>
      <w:tr w:rsidR="0035168A" w:rsidRPr="00DF4747" w:rsidTr="00DF4747">
        <w:trPr>
          <w:trHeight w:val="20"/>
        </w:trPr>
        <w:tc>
          <w:tcPr>
            <w:tcW w:w="3205" w:type="dxa"/>
            <w:shd w:val="clear" w:color="auto" w:fill="auto"/>
            <w:noWrap/>
            <w:vAlign w:val="center"/>
          </w:tcPr>
          <w:p w:rsidR="0035168A" w:rsidRPr="00DF4747" w:rsidRDefault="0035168A" w:rsidP="00DF4747">
            <w:pPr>
              <w:spacing w:after="0" w:line="360" w:lineRule="auto"/>
              <w:rPr>
                <w:rFonts w:asciiTheme="minorHAnsi" w:hAnsiTheme="minorHAnsi" w:cs="Arial"/>
                <w:sz w:val="18"/>
                <w:szCs w:val="18"/>
              </w:rPr>
            </w:pPr>
            <w:r w:rsidRPr="00DF4747">
              <w:rPr>
                <w:rFonts w:asciiTheme="minorHAnsi" w:hAnsiTheme="minorHAnsi"/>
                <w:sz w:val="18"/>
                <w:szCs w:val="18"/>
              </w:rPr>
              <w:t>Atzerrian jaiotakoak (%)</w:t>
            </w:r>
          </w:p>
        </w:tc>
        <w:tc>
          <w:tcPr>
            <w:tcW w:w="160" w:type="dxa"/>
            <w:shd w:val="clear" w:color="auto" w:fill="auto"/>
            <w:noWrap/>
            <w:vAlign w:val="center"/>
          </w:tcPr>
          <w:p w:rsidR="0035168A" w:rsidRPr="00DF4747" w:rsidRDefault="0035168A" w:rsidP="00DF4747">
            <w:pPr>
              <w:spacing w:after="0" w:line="360" w:lineRule="auto"/>
              <w:jc w:val="center"/>
              <w:rPr>
                <w:rFonts w:asciiTheme="minorHAnsi" w:hAnsiTheme="minorHAnsi" w:cs="Arial"/>
                <w:sz w:val="18"/>
                <w:szCs w:val="18"/>
              </w:rPr>
            </w:pPr>
            <w:r w:rsidRPr="00DF4747">
              <w:rPr>
                <w:rFonts w:asciiTheme="minorHAnsi" w:hAnsiTheme="minorHAnsi"/>
                <w:sz w:val="18"/>
                <w:szCs w:val="18"/>
              </w:rPr>
              <w:t>% 6,1</w:t>
            </w:r>
          </w:p>
        </w:tc>
        <w:tc>
          <w:tcPr>
            <w:tcW w:w="1008" w:type="dxa"/>
            <w:shd w:val="clear" w:color="auto" w:fill="auto"/>
            <w:noWrap/>
            <w:vAlign w:val="center"/>
          </w:tcPr>
          <w:p w:rsidR="0035168A" w:rsidRPr="00DF4747" w:rsidRDefault="0035168A" w:rsidP="00DF4747">
            <w:pPr>
              <w:spacing w:after="0" w:line="360" w:lineRule="auto"/>
              <w:jc w:val="center"/>
              <w:rPr>
                <w:rFonts w:asciiTheme="minorHAnsi" w:hAnsiTheme="minorHAnsi" w:cs="Arial"/>
                <w:sz w:val="18"/>
                <w:szCs w:val="18"/>
              </w:rPr>
            </w:pPr>
            <w:r w:rsidRPr="00DF4747">
              <w:rPr>
                <w:rFonts w:asciiTheme="minorHAnsi" w:hAnsiTheme="minorHAnsi"/>
                <w:sz w:val="18"/>
                <w:szCs w:val="18"/>
              </w:rPr>
              <w:t>% 3,8</w:t>
            </w:r>
          </w:p>
        </w:tc>
        <w:tc>
          <w:tcPr>
            <w:tcW w:w="1008" w:type="dxa"/>
            <w:shd w:val="clear" w:color="auto" w:fill="auto"/>
            <w:noWrap/>
            <w:vAlign w:val="center"/>
          </w:tcPr>
          <w:p w:rsidR="0035168A" w:rsidRPr="00DF4747" w:rsidRDefault="0035168A" w:rsidP="00DF4747">
            <w:pPr>
              <w:spacing w:after="0" w:line="360" w:lineRule="auto"/>
              <w:jc w:val="center"/>
              <w:rPr>
                <w:rFonts w:asciiTheme="minorHAnsi" w:hAnsiTheme="minorHAnsi" w:cs="Arial"/>
                <w:sz w:val="18"/>
                <w:szCs w:val="18"/>
              </w:rPr>
            </w:pPr>
            <w:r w:rsidRPr="00DF4747">
              <w:rPr>
                <w:rFonts w:asciiTheme="minorHAnsi" w:hAnsiTheme="minorHAnsi"/>
                <w:sz w:val="18"/>
                <w:szCs w:val="18"/>
              </w:rPr>
              <w:t>% 4,5</w:t>
            </w:r>
          </w:p>
        </w:tc>
        <w:tc>
          <w:tcPr>
            <w:tcW w:w="1008" w:type="dxa"/>
            <w:shd w:val="clear" w:color="auto" w:fill="auto"/>
            <w:noWrap/>
            <w:vAlign w:val="center"/>
          </w:tcPr>
          <w:p w:rsidR="0035168A" w:rsidRPr="00DF4747" w:rsidRDefault="0035168A" w:rsidP="00DF4747">
            <w:pPr>
              <w:spacing w:after="0" w:line="360" w:lineRule="auto"/>
              <w:jc w:val="center"/>
              <w:rPr>
                <w:rFonts w:asciiTheme="minorHAnsi" w:hAnsiTheme="minorHAnsi" w:cs="Arial"/>
                <w:sz w:val="18"/>
                <w:szCs w:val="18"/>
              </w:rPr>
            </w:pPr>
            <w:r w:rsidRPr="00DF4747">
              <w:rPr>
                <w:rFonts w:asciiTheme="minorHAnsi" w:hAnsiTheme="minorHAnsi"/>
                <w:sz w:val="18"/>
                <w:szCs w:val="18"/>
              </w:rPr>
              <w:t>% 6,4</w:t>
            </w:r>
          </w:p>
        </w:tc>
        <w:tc>
          <w:tcPr>
            <w:tcW w:w="1008" w:type="dxa"/>
            <w:shd w:val="clear" w:color="auto" w:fill="auto"/>
            <w:noWrap/>
            <w:vAlign w:val="center"/>
          </w:tcPr>
          <w:p w:rsidR="0035168A" w:rsidRPr="00DF4747" w:rsidRDefault="0035168A" w:rsidP="00DF4747">
            <w:pPr>
              <w:spacing w:after="0" w:line="360" w:lineRule="auto"/>
              <w:jc w:val="center"/>
              <w:rPr>
                <w:rFonts w:asciiTheme="minorHAnsi" w:hAnsiTheme="minorHAnsi" w:cs="Arial"/>
                <w:sz w:val="18"/>
                <w:szCs w:val="18"/>
              </w:rPr>
            </w:pPr>
            <w:r w:rsidRPr="00DF4747">
              <w:rPr>
                <w:rFonts w:asciiTheme="minorHAnsi" w:hAnsiTheme="minorHAnsi"/>
                <w:sz w:val="18"/>
                <w:szCs w:val="18"/>
              </w:rPr>
              <w:t>% 5,4</w:t>
            </w:r>
          </w:p>
        </w:tc>
      </w:tr>
      <w:bookmarkEnd w:id="0"/>
    </w:tbl>
    <w:p w:rsidR="00400EC7" w:rsidRDefault="00400EC7" w:rsidP="0035168A">
      <w:pPr>
        <w:spacing w:after="0" w:line="360" w:lineRule="auto"/>
        <w:ind w:firstLine="709"/>
        <w:jc w:val="both"/>
        <w:rPr>
          <w:rFonts w:ascii="Arial" w:hAnsi="Arial" w:cs="Arial"/>
        </w:rPr>
      </w:pPr>
    </w:p>
    <w:p w:rsidR="00400EC7" w:rsidRDefault="0035168A" w:rsidP="00DC0CF7">
      <w:pPr>
        <w:numPr>
          <w:ilvl w:val="0"/>
          <w:numId w:val="8"/>
        </w:numPr>
        <w:spacing w:after="0" w:line="360" w:lineRule="auto"/>
        <w:jc w:val="both"/>
        <w:rPr>
          <w:rFonts w:ascii="Arial" w:hAnsi="Arial" w:cs="Arial"/>
        </w:rPr>
      </w:pPr>
      <w:r>
        <w:rPr>
          <w:rFonts w:ascii="Arial" w:hAnsi="Arial"/>
        </w:rPr>
        <w:t>Departamentuak ikastetxeetarako laguntzako neurri arruntak eta dibertsitateari arreta ematekoak aplikatzen ditu: Lehen hezkuntzako laguntza-programak eta eskolaz kanpoko lagun egitea, egoera ekonomiko ahulean dauden ikasleentzako laguntza ekonomikoaren deialdia, eta abar.</w:t>
      </w:r>
    </w:p>
    <w:p w:rsidR="00400EC7" w:rsidRDefault="00FB40D6" w:rsidP="00FB40D6">
      <w:pPr>
        <w:spacing w:after="0" w:line="312" w:lineRule="auto"/>
        <w:ind w:firstLine="709"/>
        <w:jc w:val="center"/>
        <w:rPr>
          <w:rFonts w:ascii="Arial" w:hAnsi="Arial" w:cs="Arial"/>
        </w:rPr>
      </w:pPr>
      <w:r>
        <w:rPr>
          <w:rFonts w:ascii="Arial" w:hAnsi="Arial"/>
        </w:rPr>
        <w:t>Iruñean, 2018ko abenduaren 27an</w:t>
      </w:r>
    </w:p>
    <w:p w:rsidR="00400EC7" w:rsidRDefault="00E23FEE" w:rsidP="00E23FEE">
      <w:pPr>
        <w:spacing w:after="0" w:line="360" w:lineRule="auto"/>
        <w:ind w:firstLine="709"/>
        <w:jc w:val="center"/>
        <w:rPr>
          <w:rFonts w:ascii="Arial" w:hAnsi="Arial" w:cs="Arial"/>
        </w:rPr>
      </w:pPr>
      <w:r>
        <w:rPr>
          <w:rFonts w:ascii="Arial" w:hAnsi="Arial"/>
        </w:rPr>
        <w:t xml:space="preserve">Hezkuntzako kontseilaria eta Gobernuko eleduna: </w:t>
      </w:r>
      <w:proofErr w:type="spellStart"/>
      <w:r>
        <w:rPr>
          <w:rFonts w:ascii="Arial" w:hAnsi="Arial"/>
        </w:rPr>
        <w:t>María</w:t>
      </w:r>
      <w:proofErr w:type="spellEnd"/>
      <w:r>
        <w:rPr>
          <w:rFonts w:ascii="Arial" w:hAnsi="Arial"/>
        </w:rPr>
        <w:t xml:space="preserve"> Solana Arana</w:t>
      </w:r>
    </w:p>
    <w:p w:rsidR="003B53BA" w:rsidRDefault="003B53BA" w:rsidP="00E23FEE">
      <w:pPr>
        <w:spacing w:after="0" w:line="312" w:lineRule="auto"/>
        <w:ind w:firstLine="709"/>
        <w:jc w:val="center"/>
        <w:rPr>
          <w:rFonts w:ascii="Arial" w:hAnsi="Arial" w:cs="Arial"/>
          <w:lang w:val="fr-FR"/>
        </w:rPr>
      </w:pPr>
    </w:p>
    <w:sectPr w:rsidR="003B53BA" w:rsidSect="00C05B12">
      <w:pgSz w:w="11900" w:h="16840"/>
      <w:pgMar w:top="255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5A7" w:rsidRDefault="00BF55A7">
      <w:r>
        <w:separator/>
      </w:r>
    </w:p>
  </w:endnote>
  <w:endnote w:type="continuationSeparator" w:id="0">
    <w:p w:rsidR="00BF55A7" w:rsidRDefault="00BF5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5A7" w:rsidRDefault="00BF55A7">
      <w:r>
        <w:separator/>
      </w:r>
    </w:p>
  </w:footnote>
  <w:footnote w:type="continuationSeparator" w:id="0">
    <w:p w:rsidR="00BF55A7" w:rsidRDefault="00BF55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2EA"/>
    <w:multiLevelType w:val="hybridMultilevel"/>
    <w:tmpl w:val="D5C8F03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
    <w:nsid w:val="139279BD"/>
    <w:multiLevelType w:val="hybridMultilevel"/>
    <w:tmpl w:val="416C28E4"/>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nsid w:val="4BAB2E55"/>
    <w:multiLevelType w:val="hybridMultilevel"/>
    <w:tmpl w:val="EC6A4276"/>
    <w:lvl w:ilvl="0" w:tplc="96861F96">
      <w:start w:val="1"/>
      <w:numFmt w:val="bullet"/>
      <w:lvlText w:val=""/>
      <w:lvlJc w:val="left"/>
      <w:pPr>
        <w:tabs>
          <w:tab w:val="num" w:pos="1755"/>
        </w:tabs>
        <w:ind w:left="360" w:hanging="360"/>
      </w:pPr>
      <w:rPr>
        <w:rFonts w:ascii="Symbol" w:hAnsi="Symbol"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3">
    <w:nsid w:val="4D8D581F"/>
    <w:multiLevelType w:val="hybridMultilevel"/>
    <w:tmpl w:val="A9E073CE"/>
    <w:lvl w:ilvl="0" w:tplc="1A5A547A">
      <w:start w:val="1"/>
      <w:numFmt w:val="bullet"/>
      <w:lvlText w:val=""/>
      <w:lvlJc w:val="left"/>
      <w:pPr>
        <w:tabs>
          <w:tab w:val="num" w:pos="1429"/>
        </w:tabs>
        <w:ind w:left="1429" w:hanging="360"/>
      </w:pPr>
      <w:rPr>
        <w:rFonts w:ascii="Symbol" w:hAnsi="Symbol" w:hint="default"/>
        <w:color w:val="auto"/>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nsid w:val="575A6B80"/>
    <w:multiLevelType w:val="hybridMultilevel"/>
    <w:tmpl w:val="E354A0B2"/>
    <w:lvl w:ilvl="0" w:tplc="AD94A9CE">
      <w:start w:val="1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5FB30E6F"/>
    <w:multiLevelType w:val="hybridMultilevel"/>
    <w:tmpl w:val="F294B1C4"/>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6">
    <w:nsid w:val="79D94C60"/>
    <w:multiLevelType w:val="hybridMultilevel"/>
    <w:tmpl w:val="772A25EE"/>
    <w:lvl w:ilvl="0" w:tplc="3E7ECDD8">
      <w:numFmt w:val="bullet"/>
      <w:lvlText w:val="-"/>
      <w:lvlJc w:val="left"/>
      <w:pPr>
        <w:ind w:left="1069" w:hanging="360"/>
      </w:pPr>
      <w:rPr>
        <w:rFonts w:ascii="Arial" w:eastAsia="Cambria" w:hAnsi="Arial" w:cs="Arial" w:hint="default"/>
      </w:rPr>
    </w:lvl>
    <w:lvl w:ilvl="1" w:tplc="042D0003" w:tentative="1">
      <w:start w:val="1"/>
      <w:numFmt w:val="bullet"/>
      <w:lvlText w:val="o"/>
      <w:lvlJc w:val="left"/>
      <w:pPr>
        <w:ind w:left="1789" w:hanging="360"/>
      </w:pPr>
      <w:rPr>
        <w:rFonts w:ascii="Courier New" w:hAnsi="Courier New" w:cs="Courier New" w:hint="default"/>
      </w:rPr>
    </w:lvl>
    <w:lvl w:ilvl="2" w:tplc="042D0005" w:tentative="1">
      <w:start w:val="1"/>
      <w:numFmt w:val="bullet"/>
      <w:lvlText w:val=""/>
      <w:lvlJc w:val="left"/>
      <w:pPr>
        <w:ind w:left="2509" w:hanging="360"/>
      </w:pPr>
      <w:rPr>
        <w:rFonts w:ascii="Wingdings" w:hAnsi="Wingdings" w:hint="default"/>
      </w:rPr>
    </w:lvl>
    <w:lvl w:ilvl="3" w:tplc="042D0001" w:tentative="1">
      <w:start w:val="1"/>
      <w:numFmt w:val="bullet"/>
      <w:lvlText w:val=""/>
      <w:lvlJc w:val="left"/>
      <w:pPr>
        <w:ind w:left="3229" w:hanging="360"/>
      </w:pPr>
      <w:rPr>
        <w:rFonts w:ascii="Symbol" w:hAnsi="Symbol" w:hint="default"/>
      </w:rPr>
    </w:lvl>
    <w:lvl w:ilvl="4" w:tplc="042D0003" w:tentative="1">
      <w:start w:val="1"/>
      <w:numFmt w:val="bullet"/>
      <w:lvlText w:val="o"/>
      <w:lvlJc w:val="left"/>
      <w:pPr>
        <w:ind w:left="3949" w:hanging="360"/>
      </w:pPr>
      <w:rPr>
        <w:rFonts w:ascii="Courier New" w:hAnsi="Courier New" w:cs="Courier New" w:hint="default"/>
      </w:rPr>
    </w:lvl>
    <w:lvl w:ilvl="5" w:tplc="042D0005" w:tentative="1">
      <w:start w:val="1"/>
      <w:numFmt w:val="bullet"/>
      <w:lvlText w:val=""/>
      <w:lvlJc w:val="left"/>
      <w:pPr>
        <w:ind w:left="4669" w:hanging="360"/>
      </w:pPr>
      <w:rPr>
        <w:rFonts w:ascii="Wingdings" w:hAnsi="Wingdings" w:hint="default"/>
      </w:rPr>
    </w:lvl>
    <w:lvl w:ilvl="6" w:tplc="042D0001" w:tentative="1">
      <w:start w:val="1"/>
      <w:numFmt w:val="bullet"/>
      <w:lvlText w:val=""/>
      <w:lvlJc w:val="left"/>
      <w:pPr>
        <w:ind w:left="5389" w:hanging="360"/>
      </w:pPr>
      <w:rPr>
        <w:rFonts w:ascii="Symbol" w:hAnsi="Symbol" w:hint="default"/>
      </w:rPr>
    </w:lvl>
    <w:lvl w:ilvl="7" w:tplc="042D0003" w:tentative="1">
      <w:start w:val="1"/>
      <w:numFmt w:val="bullet"/>
      <w:lvlText w:val="o"/>
      <w:lvlJc w:val="left"/>
      <w:pPr>
        <w:ind w:left="6109" w:hanging="360"/>
      </w:pPr>
      <w:rPr>
        <w:rFonts w:ascii="Courier New" w:hAnsi="Courier New" w:cs="Courier New" w:hint="default"/>
      </w:rPr>
    </w:lvl>
    <w:lvl w:ilvl="8" w:tplc="042D0005" w:tentative="1">
      <w:start w:val="1"/>
      <w:numFmt w:val="bullet"/>
      <w:lvlText w:val=""/>
      <w:lvlJc w:val="left"/>
      <w:pPr>
        <w:ind w:left="6829" w:hanging="360"/>
      </w:pPr>
      <w:rPr>
        <w:rFonts w:ascii="Wingdings" w:hAnsi="Wingdings" w:hint="default"/>
      </w:rPr>
    </w:lvl>
  </w:abstractNum>
  <w:abstractNum w:abstractNumId="7">
    <w:nsid w:val="7BC4647A"/>
    <w:multiLevelType w:val="hybridMultilevel"/>
    <w:tmpl w:val="DE2E370C"/>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BED"/>
    <w:rsid w:val="00052F26"/>
    <w:rsid w:val="00076CCD"/>
    <w:rsid w:val="00094A5A"/>
    <w:rsid w:val="000A75EE"/>
    <w:rsid w:val="000B7999"/>
    <w:rsid w:val="000C68C2"/>
    <w:rsid w:val="000F679C"/>
    <w:rsid w:val="00111792"/>
    <w:rsid w:val="00146E30"/>
    <w:rsid w:val="00147B6B"/>
    <w:rsid w:val="00157F84"/>
    <w:rsid w:val="001C0073"/>
    <w:rsid w:val="001C2BED"/>
    <w:rsid w:val="001C603A"/>
    <w:rsid w:val="001E0CD7"/>
    <w:rsid w:val="001E6308"/>
    <w:rsid w:val="001F7E68"/>
    <w:rsid w:val="00224E9C"/>
    <w:rsid w:val="00265315"/>
    <w:rsid w:val="00267CE6"/>
    <w:rsid w:val="002B556A"/>
    <w:rsid w:val="002F06DB"/>
    <w:rsid w:val="00326628"/>
    <w:rsid w:val="0035168A"/>
    <w:rsid w:val="00363FB7"/>
    <w:rsid w:val="003733E7"/>
    <w:rsid w:val="0037668D"/>
    <w:rsid w:val="003B53BA"/>
    <w:rsid w:val="003D5F75"/>
    <w:rsid w:val="00400EC7"/>
    <w:rsid w:val="004114E4"/>
    <w:rsid w:val="00434226"/>
    <w:rsid w:val="00444BD9"/>
    <w:rsid w:val="0044750A"/>
    <w:rsid w:val="004528D1"/>
    <w:rsid w:val="004842CC"/>
    <w:rsid w:val="004C1445"/>
    <w:rsid w:val="004C6342"/>
    <w:rsid w:val="004D589D"/>
    <w:rsid w:val="004F0751"/>
    <w:rsid w:val="004F2FE1"/>
    <w:rsid w:val="004F721C"/>
    <w:rsid w:val="005010F2"/>
    <w:rsid w:val="005551BA"/>
    <w:rsid w:val="005623E5"/>
    <w:rsid w:val="00563FA1"/>
    <w:rsid w:val="00583575"/>
    <w:rsid w:val="005D5D04"/>
    <w:rsid w:val="0060083F"/>
    <w:rsid w:val="006333FC"/>
    <w:rsid w:val="00644C1D"/>
    <w:rsid w:val="006D4528"/>
    <w:rsid w:val="007106BC"/>
    <w:rsid w:val="0075349F"/>
    <w:rsid w:val="00755FE6"/>
    <w:rsid w:val="0077762A"/>
    <w:rsid w:val="007965F4"/>
    <w:rsid w:val="007C16E4"/>
    <w:rsid w:val="007E0447"/>
    <w:rsid w:val="007F2F29"/>
    <w:rsid w:val="007F4264"/>
    <w:rsid w:val="00883A22"/>
    <w:rsid w:val="008B141D"/>
    <w:rsid w:val="008B2BF2"/>
    <w:rsid w:val="008C23D3"/>
    <w:rsid w:val="008D6EA0"/>
    <w:rsid w:val="0090698A"/>
    <w:rsid w:val="0094063C"/>
    <w:rsid w:val="00944072"/>
    <w:rsid w:val="009C61CF"/>
    <w:rsid w:val="009D18FC"/>
    <w:rsid w:val="009F715F"/>
    <w:rsid w:val="00A15192"/>
    <w:rsid w:val="00A6685F"/>
    <w:rsid w:val="00AA6032"/>
    <w:rsid w:val="00AC03C5"/>
    <w:rsid w:val="00AC7B2D"/>
    <w:rsid w:val="00AD3A61"/>
    <w:rsid w:val="00B470D0"/>
    <w:rsid w:val="00B511D0"/>
    <w:rsid w:val="00BA7F1A"/>
    <w:rsid w:val="00BE50BE"/>
    <w:rsid w:val="00BF55A7"/>
    <w:rsid w:val="00C05B12"/>
    <w:rsid w:val="00C14EFC"/>
    <w:rsid w:val="00C21CC7"/>
    <w:rsid w:val="00C30871"/>
    <w:rsid w:val="00C40A1A"/>
    <w:rsid w:val="00CA4615"/>
    <w:rsid w:val="00CA53FB"/>
    <w:rsid w:val="00D05420"/>
    <w:rsid w:val="00D124B5"/>
    <w:rsid w:val="00DC0CF7"/>
    <w:rsid w:val="00DD6715"/>
    <w:rsid w:val="00DF4747"/>
    <w:rsid w:val="00E23FEE"/>
    <w:rsid w:val="00E240DE"/>
    <w:rsid w:val="00E371AE"/>
    <w:rsid w:val="00E41326"/>
    <w:rsid w:val="00E459E1"/>
    <w:rsid w:val="00E663CC"/>
    <w:rsid w:val="00E85DB1"/>
    <w:rsid w:val="00E94A38"/>
    <w:rsid w:val="00E9771C"/>
    <w:rsid w:val="00EA6EEE"/>
    <w:rsid w:val="00EF2DC9"/>
    <w:rsid w:val="00F15258"/>
    <w:rsid w:val="00F3344A"/>
    <w:rsid w:val="00F53106"/>
    <w:rsid w:val="00F64AF6"/>
    <w:rsid w:val="00F7202D"/>
    <w:rsid w:val="00FB40D6"/>
    <w:rsid w:val="00FB625A"/>
    <w:rsid w:val="00FC57FC"/>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styleId="Textoindependiente">
    <w:name w:val="Body Text"/>
    <w:basedOn w:val="Normal"/>
    <w:rsid w:val="00E9771C"/>
    <w:pPr>
      <w:spacing w:after="120"/>
    </w:pPr>
    <w:rPr>
      <w:rFonts w:ascii="Times New Roman" w:eastAsia="Times New Roman" w:hAnsi="Times New Roman"/>
      <w:sz w:val="20"/>
      <w:szCs w:val="20"/>
      <w:lang w:eastAsia="es-ES"/>
    </w:rPr>
  </w:style>
  <w:style w:type="table" w:styleId="Tablaconcuadrcula">
    <w:name w:val="Table Grid"/>
    <w:basedOn w:val="Tablanormal"/>
    <w:rsid w:val="0035168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rsid w:val="001C2BED"/>
  </w:style>
  <w:style w:type="paragraph" w:styleId="Piedepgina">
    <w:name w:val="footer"/>
    <w:basedOn w:val="Normal"/>
    <w:link w:val="PiedepginaCar"/>
    <w:uiPriority w:val="99"/>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rsid w:val="001C2BED"/>
  </w:style>
  <w:style w:type="paragraph" w:styleId="Textoindependiente">
    <w:name w:val="Body Text"/>
    <w:basedOn w:val="Normal"/>
    <w:rsid w:val="00E9771C"/>
    <w:pPr>
      <w:spacing w:after="120"/>
    </w:pPr>
    <w:rPr>
      <w:rFonts w:ascii="Times New Roman" w:eastAsia="Times New Roman" w:hAnsi="Times New Roman"/>
      <w:sz w:val="20"/>
      <w:szCs w:val="20"/>
      <w:lang w:eastAsia="es-ES"/>
    </w:rPr>
  </w:style>
  <w:style w:type="table" w:styleId="Tablaconcuadrcula">
    <w:name w:val="Table Grid"/>
    <w:basedOn w:val="Tablanormal"/>
    <w:rsid w:val="0035168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4448">
      <w:bodyDiv w:val="1"/>
      <w:marLeft w:val="0"/>
      <w:marRight w:val="0"/>
      <w:marTop w:val="0"/>
      <w:marBottom w:val="0"/>
      <w:divBdr>
        <w:top w:val="none" w:sz="0" w:space="0" w:color="auto"/>
        <w:left w:val="none" w:sz="0" w:space="0" w:color="auto"/>
        <w:bottom w:val="none" w:sz="0" w:space="0" w:color="auto"/>
        <w:right w:val="none" w:sz="0" w:space="0" w:color="auto"/>
      </w:divBdr>
      <w:divsChild>
        <w:div w:id="1265260823">
          <w:marLeft w:val="0"/>
          <w:marRight w:val="0"/>
          <w:marTop w:val="0"/>
          <w:marBottom w:val="0"/>
          <w:divBdr>
            <w:top w:val="none" w:sz="0" w:space="0" w:color="auto"/>
            <w:left w:val="none" w:sz="0" w:space="0" w:color="auto"/>
            <w:bottom w:val="none" w:sz="0" w:space="0" w:color="auto"/>
            <w:right w:val="none" w:sz="0" w:space="0" w:color="auto"/>
          </w:divBdr>
        </w:div>
        <w:div w:id="1325016102">
          <w:marLeft w:val="0"/>
          <w:marRight w:val="0"/>
          <w:marTop w:val="0"/>
          <w:marBottom w:val="0"/>
          <w:divBdr>
            <w:top w:val="none" w:sz="0" w:space="0" w:color="auto"/>
            <w:left w:val="none" w:sz="0" w:space="0" w:color="auto"/>
            <w:bottom w:val="none" w:sz="0" w:space="0" w:color="auto"/>
            <w:right w:val="none" w:sz="0" w:space="0" w:color="auto"/>
          </w:divBdr>
        </w:div>
        <w:div w:id="1613970937">
          <w:marLeft w:val="0"/>
          <w:marRight w:val="0"/>
          <w:marTop w:val="0"/>
          <w:marBottom w:val="0"/>
          <w:divBdr>
            <w:top w:val="none" w:sz="0" w:space="0" w:color="auto"/>
            <w:left w:val="none" w:sz="0" w:space="0" w:color="auto"/>
            <w:bottom w:val="none" w:sz="0" w:space="0" w:color="auto"/>
            <w:right w:val="none" w:sz="0" w:space="0" w:color="auto"/>
          </w:divBdr>
        </w:div>
      </w:divsChild>
    </w:div>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 w:id="2100709371">
      <w:bodyDiv w:val="1"/>
      <w:marLeft w:val="0"/>
      <w:marRight w:val="0"/>
      <w:marTop w:val="0"/>
      <w:marBottom w:val="0"/>
      <w:divBdr>
        <w:top w:val="none" w:sz="0" w:space="0" w:color="auto"/>
        <w:left w:val="none" w:sz="0" w:space="0" w:color="auto"/>
        <w:bottom w:val="none" w:sz="0" w:space="0" w:color="auto"/>
        <w:right w:val="none" w:sz="0" w:space="0" w:color="auto"/>
      </w:divBdr>
      <w:divsChild>
        <w:div w:id="227156715">
          <w:marLeft w:val="0"/>
          <w:marRight w:val="0"/>
          <w:marTop w:val="0"/>
          <w:marBottom w:val="0"/>
          <w:divBdr>
            <w:top w:val="none" w:sz="0" w:space="0" w:color="auto"/>
            <w:left w:val="none" w:sz="0" w:space="0" w:color="auto"/>
            <w:bottom w:val="none" w:sz="0" w:space="0" w:color="auto"/>
            <w:right w:val="none" w:sz="0" w:space="0" w:color="auto"/>
          </w:divBdr>
        </w:div>
        <w:div w:id="227350553">
          <w:marLeft w:val="0"/>
          <w:marRight w:val="0"/>
          <w:marTop w:val="0"/>
          <w:marBottom w:val="0"/>
          <w:divBdr>
            <w:top w:val="none" w:sz="0" w:space="0" w:color="auto"/>
            <w:left w:val="none" w:sz="0" w:space="0" w:color="auto"/>
            <w:bottom w:val="none" w:sz="0" w:space="0" w:color="auto"/>
            <w:right w:val="none" w:sz="0" w:space="0" w:color="auto"/>
          </w:divBdr>
        </w:div>
        <w:div w:id="328408715">
          <w:marLeft w:val="0"/>
          <w:marRight w:val="0"/>
          <w:marTop w:val="0"/>
          <w:marBottom w:val="0"/>
          <w:divBdr>
            <w:top w:val="none" w:sz="0" w:space="0" w:color="auto"/>
            <w:left w:val="none" w:sz="0" w:space="0" w:color="auto"/>
            <w:bottom w:val="none" w:sz="0" w:space="0" w:color="auto"/>
            <w:right w:val="none" w:sz="0" w:space="0" w:color="auto"/>
          </w:divBdr>
        </w:div>
        <w:div w:id="524292635">
          <w:marLeft w:val="0"/>
          <w:marRight w:val="0"/>
          <w:marTop w:val="0"/>
          <w:marBottom w:val="0"/>
          <w:divBdr>
            <w:top w:val="none" w:sz="0" w:space="0" w:color="auto"/>
            <w:left w:val="none" w:sz="0" w:space="0" w:color="auto"/>
            <w:bottom w:val="none" w:sz="0" w:space="0" w:color="auto"/>
            <w:right w:val="none" w:sz="0" w:space="0" w:color="auto"/>
          </w:divBdr>
        </w:div>
        <w:div w:id="551187148">
          <w:marLeft w:val="0"/>
          <w:marRight w:val="0"/>
          <w:marTop w:val="0"/>
          <w:marBottom w:val="0"/>
          <w:divBdr>
            <w:top w:val="none" w:sz="0" w:space="0" w:color="auto"/>
            <w:left w:val="none" w:sz="0" w:space="0" w:color="auto"/>
            <w:bottom w:val="none" w:sz="0" w:space="0" w:color="auto"/>
            <w:right w:val="none" w:sz="0" w:space="0" w:color="auto"/>
          </w:divBdr>
        </w:div>
        <w:div w:id="684091312">
          <w:marLeft w:val="0"/>
          <w:marRight w:val="0"/>
          <w:marTop w:val="0"/>
          <w:marBottom w:val="0"/>
          <w:divBdr>
            <w:top w:val="none" w:sz="0" w:space="0" w:color="auto"/>
            <w:left w:val="none" w:sz="0" w:space="0" w:color="auto"/>
            <w:bottom w:val="none" w:sz="0" w:space="0" w:color="auto"/>
            <w:right w:val="none" w:sz="0" w:space="0" w:color="auto"/>
          </w:divBdr>
        </w:div>
        <w:div w:id="839584386">
          <w:marLeft w:val="0"/>
          <w:marRight w:val="0"/>
          <w:marTop w:val="0"/>
          <w:marBottom w:val="0"/>
          <w:divBdr>
            <w:top w:val="none" w:sz="0" w:space="0" w:color="auto"/>
            <w:left w:val="none" w:sz="0" w:space="0" w:color="auto"/>
            <w:bottom w:val="none" w:sz="0" w:space="0" w:color="auto"/>
            <w:right w:val="none" w:sz="0" w:space="0" w:color="auto"/>
          </w:divBdr>
        </w:div>
        <w:div w:id="906454480">
          <w:marLeft w:val="0"/>
          <w:marRight w:val="0"/>
          <w:marTop w:val="0"/>
          <w:marBottom w:val="0"/>
          <w:divBdr>
            <w:top w:val="none" w:sz="0" w:space="0" w:color="auto"/>
            <w:left w:val="none" w:sz="0" w:space="0" w:color="auto"/>
            <w:bottom w:val="none" w:sz="0" w:space="0" w:color="auto"/>
            <w:right w:val="none" w:sz="0" w:space="0" w:color="auto"/>
          </w:divBdr>
        </w:div>
        <w:div w:id="1207906995">
          <w:marLeft w:val="0"/>
          <w:marRight w:val="0"/>
          <w:marTop w:val="0"/>
          <w:marBottom w:val="0"/>
          <w:divBdr>
            <w:top w:val="none" w:sz="0" w:space="0" w:color="auto"/>
            <w:left w:val="none" w:sz="0" w:space="0" w:color="auto"/>
            <w:bottom w:val="none" w:sz="0" w:space="0" w:color="auto"/>
            <w:right w:val="none" w:sz="0" w:space="0" w:color="auto"/>
          </w:divBdr>
        </w:div>
        <w:div w:id="1209685495">
          <w:marLeft w:val="0"/>
          <w:marRight w:val="0"/>
          <w:marTop w:val="0"/>
          <w:marBottom w:val="0"/>
          <w:divBdr>
            <w:top w:val="none" w:sz="0" w:space="0" w:color="auto"/>
            <w:left w:val="none" w:sz="0" w:space="0" w:color="auto"/>
            <w:bottom w:val="none" w:sz="0" w:space="0" w:color="auto"/>
            <w:right w:val="none" w:sz="0" w:space="0" w:color="auto"/>
          </w:divBdr>
        </w:div>
        <w:div w:id="1728841216">
          <w:marLeft w:val="0"/>
          <w:marRight w:val="0"/>
          <w:marTop w:val="0"/>
          <w:marBottom w:val="0"/>
          <w:divBdr>
            <w:top w:val="none" w:sz="0" w:space="0" w:color="auto"/>
            <w:left w:val="none" w:sz="0" w:space="0" w:color="auto"/>
            <w:bottom w:val="none" w:sz="0" w:space="0" w:color="auto"/>
            <w:right w:val="none" w:sz="0" w:space="0" w:color="auto"/>
          </w:divBdr>
        </w:div>
        <w:div w:id="1776443888">
          <w:marLeft w:val="0"/>
          <w:marRight w:val="0"/>
          <w:marTop w:val="0"/>
          <w:marBottom w:val="0"/>
          <w:divBdr>
            <w:top w:val="none" w:sz="0" w:space="0" w:color="auto"/>
            <w:left w:val="none" w:sz="0" w:space="0" w:color="auto"/>
            <w:bottom w:val="none" w:sz="0" w:space="0" w:color="auto"/>
            <w:right w:val="none" w:sz="0" w:space="0" w:color="auto"/>
          </w:divBdr>
        </w:div>
        <w:div w:id="2049067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298</Words>
  <Characters>2033</Characters>
  <Application>Microsoft Office Word</Application>
  <DocSecurity>0</DocSecurity>
  <Lines>16</Lines>
  <Paragraphs>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x044937</dc:creator>
  <cp:lastModifiedBy>Iñaki De Santiago</cp:lastModifiedBy>
  <cp:revision>3</cp:revision>
  <cp:lastPrinted>2018-11-08T12:25:00Z</cp:lastPrinted>
  <dcterms:created xsi:type="dcterms:W3CDTF">2019-04-11T08:12:00Z</dcterms:created>
  <dcterms:modified xsi:type="dcterms:W3CDTF">2019-04-11T09:58:00Z</dcterms:modified>
</cp:coreProperties>
</file>