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166DD8">
      <w:pPr>
        <w:pStyle w:val="EstiloPortada"/>
        <w:ind w:left="3828" w:right="0"/>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F4B47" w:rsidRPr="003A7956" w:rsidRDefault="00FF4B47" w:rsidP="004C3423">
                            <w:pPr>
                              <w:spacing w:after="0"/>
                              <w:ind w:firstLine="0"/>
                              <w:jc w:val="center"/>
                              <w:rPr>
                                <w:sz w:val="18"/>
                                <w:szCs w:val="18"/>
                                <w:lang w:val="es-ES"/>
                              </w:rPr>
                            </w:pPr>
                            <w:r w:rsidRPr="003A7956">
                              <w:rPr>
                                <w:sz w:val="18"/>
                                <w:szCs w:val="18"/>
                                <w:lang w:val="es-ES"/>
                              </w:rPr>
                              <w:t>CAMARA DE</w:t>
                            </w:r>
                          </w:p>
                          <w:p w:rsidR="00FF4B47" w:rsidRPr="003A7956" w:rsidRDefault="00FF4B47" w:rsidP="004C3423">
                            <w:pPr>
                              <w:spacing w:after="0"/>
                              <w:ind w:firstLine="0"/>
                              <w:jc w:val="center"/>
                              <w:rPr>
                                <w:sz w:val="18"/>
                                <w:szCs w:val="18"/>
                                <w:lang w:val="es-ES"/>
                              </w:rPr>
                            </w:pPr>
                            <w:r w:rsidRPr="003A7956">
                              <w:rPr>
                                <w:sz w:val="18"/>
                                <w:szCs w:val="18"/>
                                <w:lang w:val="es-ES"/>
                              </w:rPr>
                              <w:t>COMPTOS</w:t>
                            </w:r>
                          </w:p>
                          <w:p w:rsidR="00FF4B47" w:rsidRPr="003A7956" w:rsidRDefault="00FF4B47" w:rsidP="004C3423">
                            <w:pPr>
                              <w:spacing w:after="0"/>
                              <w:ind w:firstLine="0"/>
                              <w:jc w:val="center"/>
                              <w:rPr>
                                <w:sz w:val="18"/>
                                <w:szCs w:val="18"/>
                                <w:lang w:val="es-ES"/>
                              </w:rPr>
                            </w:pPr>
                            <w:r w:rsidRPr="003A7956">
                              <w:rPr>
                                <w:sz w:val="18"/>
                                <w:szCs w:val="18"/>
                                <w:lang w:val="es-ES"/>
                              </w:rPr>
                              <w:t>DE NAVARRA</w:t>
                            </w:r>
                          </w:p>
                          <w:p w:rsidR="00FF4B47" w:rsidRPr="003A7956" w:rsidRDefault="00FF4B47" w:rsidP="004C3423">
                            <w:pPr>
                              <w:spacing w:after="0"/>
                              <w:ind w:firstLine="0"/>
                              <w:jc w:val="center"/>
                              <w:rPr>
                                <w:color w:val="808080"/>
                                <w:sz w:val="18"/>
                                <w:szCs w:val="18"/>
                                <w:lang w:val="es-ES"/>
                              </w:rPr>
                            </w:pPr>
                            <w:r w:rsidRPr="003A7956">
                              <w:rPr>
                                <w:color w:val="808080"/>
                                <w:sz w:val="18"/>
                                <w:szCs w:val="18"/>
                                <w:lang w:val="es-ES"/>
                              </w:rPr>
                              <w:t>NAFARROAKO</w:t>
                            </w:r>
                          </w:p>
                          <w:p w:rsidR="00FF4B47" w:rsidRPr="003A7956" w:rsidRDefault="00FF4B47" w:rsidP="004C3423">
                            <w:pPr>
                              <w:spacing w:after="0"/>
                              <w:ind w:firstLine="0"/>
                              <w:jc w:val="center"/>
                              <w:rPr>
                                <w:color w:val="808080"/>
                                <w:sz w:val="18"/>
                                <w:szCs w:val="18"/>
                                <w:lang w:val="es-ES"/>
                              </w:rPr>
                            </w:pPr>
                            <w:r w:rsidRPr="003A7956">
                              <w:rPr>
                                <w:color w:val="808080"/>
                                <w:sz w:val="18"/>
                                <w:szCs w:val="18"/>
                                <w:lang w:val="es-ES"/>
                              </w:rPr>
                              <w:t>KONTUEN</w:t>
                            </w:r>
                          </w:p>
                          <w:p w:rsidR="00FF4B47" w:rsidRPr="003A7956" w:rsidRDefault="00FF4B47" w:rsidP="004C3423">
                            <w:pPr>
                              <w:spacing w:after="0"/>
                              <w:ind w:firstLine="0"/>
                              <w:jc w:val="center"/>
                              <w:rPr>
                                <w:color w:val="808080"/>
                                <w:sz w:val="18"/>
                                <w:szCs w:val="18"/>
                                <w:lang w:val="es-ES"/>
                              </w:rPr>
                            </w:pPr>
                            <w:r w:rsidRPr="003A7956">
                              <w:rPr>
                                <w:color w:val="808080"/>
                                <w:sz w:val="18"/>
                                <w:szCs w:val="18"/>
                                <w:lang w:val="es-ES"/>
                              </w:rPr>
                              <w:t>GANBERA</w:t>
                            </w:r>
                          </w:p>
                          <w:p w:rsidR="00FF4B47" w:rsidRPr="002C7026" w:rsidRDefault="00FF4B4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FF4B47" w:rsidRPr="003A7956" w:rsidRDefault="00FF4B47" w:rsidP="004C3423">
                      <w:pPr>
                        <w:spacing w:after="0"/>
                        <w:ind w:firstLine="0"/>
                        <w:jc w:val="center"/>
                        <w:rPr>
                          <w:sz w:val="18"/>
                          <w:szCs w:val="18"/>
                          <w:lang w:val="es-ES"/>
                        </w:rPr>
                      </w:pPr>
                      <w:r w:rsidRPr="003A7956">
                        <w:rPr>
                          <w:sz w:val="18"/>
                          <w:szCs w:val="18"/>
                          <w:lang w:val="es-ES"/>
                        </w:rPr>
                        <w:t>CAMARA DE</w:t>
                      </w:r>
                    </w:p>
                    <w:p w:rsidR="00FF4B47" w:rsidRPr="003A7956" w:rsidRDefault="00FF4B47" w:rsidP="004C3423">
                      <w:pPr>
                        <w:spacing w:after="0"/>
                        <w:ind w:firstLine="0"/>
                        <w:jc w:val="center"/>
                        <w:rPr>
                          <w:sz w:val="18"/>
                          <w:szCs w:val="18"/>
                          <w:lang w:val="es-ES"/>
                        </w:rPr>
                      </w:pPr>
                      <w:r w:rsidRPr="003A7956">
                        <w:rPr>
                          <w:sz w:val="18"/>
                          <w:szCs w:val="18"/>
                          <w:lang w:val="es-ES"/>
                        </w:rPr>
                        <w:t>COMPTOS</w:t>
                      </w:r>
                    </w:p>
                    <w:p w:rsidR="00FF4B47" w:rsidRPr="003A7956" w:rsidRDefault="00FF4B47" w:rsidP="004C3423">
                      <w:pPr>
                        <w:spacing w:after="0"/>
                        <w:ind w:firstLine="0"/>
                        <w:jc w:val="center"/>
                        <w:rPr>
                          <w:sz w:val="18"/>
                          <w:szCs w:val="18"/>
                          <w:lang w:val="es-ES"/>
                        </w:rPr>
                      </w:pPr>
                      <w:r w:rsidRPr="003A7956">
                        <w:rPr>
                          <w:sz w:val="18"/>
                          <w:szCs w:val="18"/>
                          <w:lang w:val="es-ES"/>
                        </w:rPr>
                        <w:t>DE NAVARRA</w:t>
                      </w:r>
                    </w:p>
                    <w:p w:rsidR="00FF4B47" w:rsidRPr="003A7956" w:rsidRDefault="00FF4B47" w:rsidP="004C3423">
                      <w:pPr>
                        <w:spacing w:after="0"/>
                        <w:ind w:firstLine="0"/>
                        <w:jc w:val="center"/>
                        <w:rPr>
                          <w:color w:val="808080"/>
                          <w:sz w:val="18"/>
                          <w:szCs w:val="18"/>
                          <w:lang w:val="es-ES"/>
                        </w:rPr>
                      </w:pPr>
                      <w:r w:rsidRPr="003A7956">
                        <w:rPr>
                          <w:color w:val="808080"/>
                          <w:sz w:val="18"/>
                          <w:szCs w:val="18"/>
                          <w:lang w:val="es-ES"/>
                        </w:rPr>
                        <w:t>NAFARROAKO</w:t>
                      </w:r>
                    </w:p>
                    <w:p w:rsidR="00FF4B47" w:rsidRPr="003A7956" w:rsidRDefault="00FF4B47" w:rsidP="004C3423">
                      <w:pPr>
                        <w:spacing w:after="0"/>
                        <w:ind w:firstLine="0"/>
                        <w:jc w:val="center"/>
                        <w:rPr>
                          <w:color w:val="808080"/>
                          <w:sz w:val="18"/>
                          <w:szCs w:val="18"/>
                          <w:lang w:val="es-ES"/>
                        </w:rPr>
                      </w:pPr>
                      <w:r w:rsidRPr="003A7956">
                        <w:rPr>
                          <w:color w:val="808080"/>
                          <w:sz w:val="18"/>
                          <w:szCs w:val="18"/>
                          <w:lang w:val="es-ES"/>
                        </w:rPr>
                        <w:t>KONTUEN</w:t>
                      </w:r>
                    </w:p>
                    <w:p w:rsidR="00FF4B47" w:rsidRPr="003A7956" w:rsidRDefault="00FF4B47" w:rsidP="004C3423">
                      <w:pPr>
                        <w:spacing w:after="0"/>
                        <w:ind w:firstLine="0"/>
                        <w:jc w:val="center"/>
                        <w:rPr>
                          <w:color w:val="808080"/>
                          <w:sz w:val="18"/>
                          <w:szCs w:val="18"/>
                          <w:lang w:val="es-ES"/>
                        </w:rPr>
                      </w:pPr>
                      <w:r w:rsidRPr="003A7956">
                        <w:rPr>
                          <w:color w:val="808080"/>
                          <w:sz w:val="18"/>
                          <w:szCs w:val="18"/>
                          <w:lang w:val="es-ES"/>
                        </w:rPr>
                        <w:t>GANBERA</w:t>
                      </w:r>
                    </w:p>
                    <w:p w:rsidR="00FF4B47" w:rsidRPr="002C7026" w:rsidRDefault="00FF4B47" w:rsidP="002C7026">
                      <w:pPr>
                        <w:spacing w:after="0"/>
                        <w:ind w:firstLine="0"/>
                        <w:jc w:val="center"/>
                        <w:rPr>
                          <w:rFonts w:ascii="Trajan" w:hAnsi="Trajan"/>
                          <w:color w:val="808080"/>
                          <w:sz w:val="18"/>
                          <w:szCs w:val="18"/>
                          <w:lang w:val="es-ES"/>
                        </w:rPr>
                      </w:pPr>
                    </w:p>
                  </w:txbxContent>
                </v:textbox>
              </v:shape>
            </w:pict>
          </mc:Fallback>
        </mc:AlternateContent>
      </w:r>
    </w:p>
    <w:p w:rsidR="00166DD8" w:rsidRDefault="00C57E33" w:rsidP="00166DD8">
      <w:pPr>
        <w:pStyle w:val="texto"/>
        <w:tabs>
          <w:tab w:val="clear" w:pos="2835"/>
        </w:tabs>
        <w:spacing w:after="0"/>
        <w:ind w:left="3828" w:firstLine="0"/>
        <w:rPr>
          <w:b/>
          <w:sz w:val="40"/>
          <w:szCs w:val="40"/>
        </w:rPr>
      </w:pPr>
      <w:r>
        <w:rPr>
          <w:b/>
          <w:sz w:val="40"/>
          <w:szCs w:val="40"/>
        </w:rPr>
        <w:t>F</w:t>
      </w:r>
      <w:r w:rsidR="00BE1465" w:rsidRPr="00BE1465">
        <w:rPr>
          <w:b/>
          <w:sz w:val="40"/>
          <w:szCs w:val="40"/>
        </w:rPr>
        <w:t xml:space="preserve">ondo de participación </w:t>
      </w:r>
    </w:p>
    <w:p w:rsidR="00166DD8" w:rsidRDefault="00BE1465" w:rsidP="00166DD8">
      <w:pPr>
        <w:pStyle w:val="texto"/>
        <w:tabs>
          <w:tab w:val="clear" w:pos="2835"/>
        </w:tabs>
        <w:spacing w:after="0"/>
        <w:ind w:left="3828" w:firstLine="0"/>
        <w:rPr>
          <w:b/>
          <w:sz w:val="40"/>
          <w:szCs w:val="40"/>
        </w:rPr>
      </w:pPr>
      <w:r w:rsidRPr="00BE1465">
        <w:rPr>
          <w:b/>
          <w:sz w:val="40"/>
          <w:szCs w:val="40"/>
        </w:rPr>
        <w:t xml:space="preserve">de las haciendas locales </w:t>
      </w:r>
    </w:p>
    <w:p w:rsidR="00BE1465" w:rsidRPr="00BE1465" w:rsidRDefault="00BE1465" w:rsidP="00166DD8">
      <w:pPr>
        <w:pStyle w:val="texto"/>
        <w:tabs>
          <w:tab w:val="clear" w:pos="2835"/>
        </w:tabs>
        <w:spacing w:after="0"/>
        <w:ind w:left="3828" w:firstLine="0"/>
        <w:rPr>
          <w:b/>
          <w:sz w:val="40"/>
          <w:szCs w:val="40"/>
        </w:rPr>
      </w:pPr>
      <w:r w:rsidRPr="00BE1465">
        <w:rPr>
          <w:b/>
          <w:sz w:val="40"/>
          <w:szCs w:val="40"/>
        </w:rPr>
        <w:t>en los tributos de Navarra</w:t>
      </w:r>
      <w:r w:rsidR="00166DD8">
        <w:rPr>
          <w:b/>
          <w:sz w:val="40"/>
          <w:szCs w:val="40"/>
        </w:rPr>
        <w:t>,</w:t>
      </w:r>
      <w:r w:rsidR="00C57E33">
        <w:rPr>
          <w:b/>
          <w:sz w:val="40"/>
          <w:szCs w:val="40"/>
        </w:rPr>
        <w:t xml:space="preserve"> 2009-2018</w:t>
      </w:r>
    </w:p>
    <w:p w:rsidR="001C3A32" w:rsidRPr="00204979" w:rsidRDefault="001C3A32" w:rsidP="00166DD8">
      <w:pPr>
        <w:pStyle w:val="texto"/>
        <w:ind w:left="3828"/>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BE1465" w:rsidP="009936FC">
      <w:pPr>
        <w:pStyle w:val="Fechaportada"/>
      </w:pPr>
      <w:r>
        <w:t>Marzo de 2019</w:t>
      </w:r>
    </w:p>
    <w:p w:rsidR="008E3FFE" w:rsidRPr="001D4F09" w:rsidRDefault="008E3FFE" w:rsidP="00891D73">
      <w:pPr>
        <w:pStyle w:val="ndice"/>
        <w:rPr>
          <w:rFonts w:ascii="Times New Roman" w:hAnsi="Times New Roman"/>
        </w:rPr>
        <w:sectPr w:rsidR="008E3FFE" w:rsidRPr="001D4F09" w:rsidSect="00C27D23">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BE1465" w:rsidRDefault="00BE1465" w:rsidP="00891D73">
      <w:pPr>
        <w:pStyle w:val="ndice"/>
      </w:pPr>
    </w:p>
    <w:p w:rsidR="00BE1465" w:rsidRDefault="00BE1465" w:rsidP="00891D73">
      <w:pPr>
        <w:pStyle w:val="ndice"/>
      </w:pPr>
    </w:p>
    <w:p w:rsidR="00BE1465" w:rsidRDefault="00BE1465" w:rsidP="00BE1465">
      <w:pPr>
        <w:pStyle w:val="ndice"/>
      </w:pPr>
      <w:r w:rsidRPr="00891D73">
        <w:t>Índice</w:t>
      </w:r>
    </w:p>
    <w:p w:rsidR="00BE1465" w:rsidRPr="004740FB" w:rsidRDefault="00BE1465" w:rsidP="00BE1465">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8D4F10"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86936" w:history="1">
        <w:r w:rsidR="008D4F10" w:rsidRPr="00AE7DA8">
          <w:rPr>
            <w:rStyle w:val="Hipervnculo"/>
            <w:noProof/>
          </w:rPr>
          <w:t>I. Introducción</w:t>
        </w:r>
        <w:r w:rsidR="008D4F10">
          <w:rPr>
            <w:noProof/>
            <w:webHidden/>
          </w:rPr>
          <w:tab/>
        </w:r>
        <w:r w:rsidR="008D4F10">
          <w:rPr>
            <w:noProof/>
            <w:webHidden/>
          </w:rPr>
          <w:fldChar w:fldCharType="begin"/>
        </w:r>
        <w:r w:rsidR="008D4F10">
          <w:rPr>
            <w:noProof/>
            <w:webHidden/>
          </w:rPr>
          <w:instrText xml:space="preserve"> PAGEREF _Toc4486936 \h </w:instrText>
        </w:r>
        <w:r w:rsidR="008D4F10">
          <w:rPr>
            <w:noProof/>
            <w:webHidden/>
          </w:rPr>
        </w:r>
        <w:r w:rsidR="008D4F10">
          <w:rPr>
            <w:noProof/>
            <w:webHidden/>
          </w:rPr>
          <w:fldChar w:fldCharType="separate"/>
        </w:r>
        <w:r w:rsidR="0036737A">
          <w:rPr>
            <w:noProof/>
            <w:webHidden/>
          </w:rPr>
          <w:t>3</w:t>
        </w:r>
        <w:r w:rsidR="008D4F10">
          <w:rPr>
            <w:noProof/>
            <w:webHidden/>
          </w:rPr>
          <w:fldChar w:fldCharType="end"/>
        </w:r>
      </w:hyperlink>
    </w:p>
    <w:p w:rsidR="008D4F10" w:rsidRDefault="00871C70">
      <w:pPr>
        <w:pStyle w:val="TDC1"/>
        <w:rPr>
          <w:rFonts w:asciiTheme="minorHAnsi" w:eastAsiaTheme="minorEastAsia" w:hAnsiTheme="minorHAnsi" w:cstheme="minorBidi"/>
          <w:smallCaps w:val="0"/>
          <w:noProof/>
          <w:szCs w:val="22"/>
          <w:lang w:val="es-ES" w:eastAsia="es-ES"/>
        </w:rPr>
      </w:pPr>
      <w:hyperlink w:anchor="_Toc4486937" w:history="1">
        <w:r w:rsidR="008D4F10" w:rsidRPr="00AE7DA8">
          <w:rPr>
            <w:rStyle w:val="Hipervnculo"/>
            <w:noProof/>
          </w:rPr>
          <w:t>II. El fondo de participación de las haciendas locales en los tributos de Navarra</w:t>
        </w:r>
        <w:r w:rsidR="008D4F10">
          <w:rPr>
            <w:noProof/>
            <w:webHidden/>
          </w:rPr>
          <w:tab/>
        </w:r>
        <w:r w:rsidR="008D4F10">
          <w:rPr>
            <w:noProof/>
            <w:webHidden/>
          </w:rPr>
          <w:fldChar w:fldCharType="begin"/>
        </w:r>
        <w:r w:rsidR="008D4F10">
          <w:rPr>
            <w:noProof/>
            <w:webHidden/>
          </w:rPr>
          <w:instrText xml:space="preserve"> PAGEREF _Toc4486937 \h </w:instrText>
        </w:r>
        <w:r w:rsidR="008D4F10">
          <w:rPr>
            <w:noProof/>
            <w:webHidden/>
          </w:rPr>
        </w:r>
        <w:r w:rsidR="008D4F10">
          <w:rPr>
            <w:noProof/>
            <w:webHidden/>
          </w:rPr>
          <w:fldChar w:fldCharType="separate"/>
        </w:r>
        <w:r w:rsidR="0036737A">
          <w:rPr>
            <w:noProof/>
            <w:webHidden/>
          </w:rPr>
          <w:t>4</w:t>
        </w:r>
        <w:r w:rsidR="008D4F10">
          <w:rPr>
            <w:noProof/>
            <w:webHidden/>
          </w:rPr>
          <w:fldChar w:fldCharType="end"/>
        </w:r>
      </w:hyperlink>
    </w:p>
    <w:p w:rsidR="008D4F10" w:rsidRDefault="00871C70">
      <w:pPr>
        <w:pStyle w:val="TDC1"/>
        <w:rPr>
          <w:rFonts w:asciiTheme="minorHAnsi" w:eastAsiaTheme="minorEastAsia" w:hAnsiTheme="minorHAnsi" w:cstheme="minorBidi"/>
          <w:smallCaps w:val="0"/>
          <w:noProof/>
          <w:szCs w:val="22"/>
          <w:lang w:val="es-ES" w:eastAsia="es-ES"/>
        </w:rPr>
      </w:pPr>
      <w:hyperlink w:anchor="_Toc4486938" w:history="1">
        <w:r w:rsidR="008D4F10" w:rsidRPr="00AE7DA8">
          <w:rPr>
            <w:rStyle w:val="Hipervnculo"/>
            <w:noProof/>
          </w:rPr>
          <w:t>III. Objetivos y alcance</w:t>
        </w:r>
        <w:r w:rsidR="008D4F10">
          <w:rPr>
            <w:noProof/>
            <w:webHidden/>
          </w:rPr>
          <w:tab/>
        </w:r>
        <w:r w:rsidR="008D4F10">
          <w:rPr>
            <w:noProof/>
            <w:webHidden/>
          </w:rPr>
          <w:fldChar w:fldCharType="begin"/>
        </w:r>
        <w:r w:rsidR="008D4F10">
          <w:rPr>
            <w:noProof/>
            <w:webHidden/>
          </w:rPr>
          <w:instrText xml:space="preserve"> PAGEREF _Toc4486938 \h </w:instrText>
        </w:r>
        <w:r w:rsidR="008D4F10">
          <w:rPr>
            <w:noProof/>
            <w:webHidden/>
          </w:rPr>
        </w:r>
        <w:r w:rsidR="008D4F10">
          <w:rPr>
            <w:noProof/>
            <w:webHidden/>
          </w:rPr>
          <w:fldChar w:fldCharType="separate"/>
        </w:r>
        <w:r w:rsidR="0036737A">
          <w:rPr>
            <w:noProof/>
            <w:webHidden/>
          </w:rPr>
          <w:t>10</w:t>
        </w:r>
        <w:r w:rsidR="008D4F10">
          <w:rPr>
            <w:noProof/>
            <w:webHidden/>
          </w:rPr>
          <w:fldChar w:fldCharType="end"/>
        </w:r>
      </w:hyperlink>
    </w:p>
    <w:p w:rsidR="008D4F10" w:rsidRDefault="00871C70">
      <w:pPr>
        <w:pStyle w:val="TDC1"/>
        <w:rPr>
          <w:rFonts w:asciiTheme="minorHAnsi" w:eastAsiaTheme="minorEastAsia" w:hAnsiTheme="minorHAnsi" w:cstheme="minorBidi"/>
          <w:smallCaps w:val="0"/>
          <w:noProof/>
          <w:szCs w:val="22"/>
          <w:lang w:val="es-ES" w:eastAsia="es-ES"/>
        </w:rPr>
      </w:pPr>
      <w:hyperlink w:anchor="_Toc4486939" w:history="1">
        <w:r w:rsidR="008D4F10" w:rsidRPr="00AE7DA8">
          <w:rPr>
            <w:rStyle w:val="Hipervnculo"/>
            <w:noProof/>
          </w:rPr>
          <w:t>IV. Conclusiones y recomendaciones</w:t>
        </w:r>
        <w:r w:rsidR="008D4F10">
          <w:rPr>
            <w:noProof/>
            <w:webHidden/>
          </w:rPr>
          <w:tab/>
        </w:r>
        <w:r w:rsidR="008D4F10">
          <w:rPr>
            <w:noProof/>
            <w:webHidden/>
          </w:rPr>
          <w:fldChar w:fldCharType="begin"/>
        </w:r>
        <w:r w:rsidR="008D4F10">
          <w:rPr>
            <w:noProof/>
            <w:webHidden/>
          </w:rPr>
          <w:instrText xml:space="preserve"> PAGEREF _Toc4486939 \h </w:instrText>
        </w:r>
        <w:r w:rsidR="008D4F10">
          <w:rPr>
            <w:noProof/>
            <w:webHidden/>
          </w:rPr>
        </w:r>
        <w:r w:rsidR="008D4F10">
          <w:rPr>
            <w:noProof/>
            <w:webHidden/>
          </w:rPr>
          <w:fldChar w:fldCharType="separate"/>
        </w:r>
        <w:r w:rsidR="0036737A">
          <w:rPr>
            <w:noProof/>
            <w:webHidden/>
          </w:rPr>
          <w:t>11</w:t>
        </w:r>
        <w:r w:rsidR="008D4F10">
          <w:rPr>
            <w:noProof/>
            <w:webHidden/>
          </w:rPr>
          <w:fldChar w:fldCharType="end"/>
        </w:r>
      </w:hyperlink>
    </w:p>
    <w:p w:rsidR="008D4F10" w:rsidRDefault="00871C70">
      <w:pPr>
        <w:pStyle w:val="TDC2"/>
        <w:rPr>
          <w:rFonts w:asciiTheme="minorHAnsi" w:eastAsiaTheme="minorEastAsia" w:hAnsiTheme="minorHAnsi" w:cstheme="minorBidi"/>
          <w:noProof/>
          <w:szCs w:val="22"/>
          <w:lang w:val="es-ES" w:eastAsia="es-ES"/>
        </w:rPr>
      </w:pPr>
      <w:hyperlink w:anchor="_Toc4486940" w:history="1">
        <w:r w:rsidR="008D4F10" w:rsidRPr="00AE7DA8">
          <w:rPr>
            <w:rStyle w:val="Hipervnculo"/>
            <w:noProof/>
          </w:rPr>
          <w:t>IV.1. Opinión</w:t>
        </w:r>
        <w:r w:rsidR="008D4F10">
          <w:rPr>
            <w:noProof/>
            <w:webHidden/>
          </w:rPr>
          <w:tab/>
        </w:r>
        <w:r w:rsidR="008D4F10">
          <w:rPr>
            <w:noProof/>
            <w:webHidden/>
          </w:rPr>
          <w:fldChar w:fldCharType="begin"/>
        </w:r>
        <w:r w:rsidR="008D4F10">
          <w:rPr>
            <w:noProof/>
            <w:webHidden/>
          </w:rPr>
          <w:instrText xml:space="preserve"> PAGEREF _Toc4486940 \h </w:instrText>
        </w:r>
        <w:r w:rsidR="008D4F10">
          <w:rPr>
            <w:noProof/>
            <w:webHidden/>
          </w:rPr>
        </w:r>
        <w:r w:rsidR="008D4F10">
          <w:rPr>
            <w:noProof/>
            <w:webHidden/>
          </w:rPr>
          <w:fldChar w:fldCharType="separate"/>
        </w:r>
        <w:r w:rsidR="0036737A">
          <w:rPr>
            <w:noProof/>
            <w:webHidden/>
          </w:rPr>
          <w:t>11</w:t>
        </w:r>
        <w:r w:rsidR="008D4F10">
          <w:rPr>
            <w:noProof/>
            <w:webHidden/>
          </w:rPr>
          <w:fldChar w:fldCharType="end"/>
        </w:r>
      </w:hyperlink>
    </w:p>
    <w:p w:rsidR="008D4F10" w:rsidRDefault="00871C70">
      <w:pPr>
        <w:pStyle w:val="TDC2"/>
        <w:rPr>
          <w:rFonts w:asciiTheme="minorHAnsi" w:eastAsiaTheme="minorEastAsia" w:hAnsiTheme="minorHAnsi" w:cstheme="minorBidi"/>
          <w:noProof/>
          <w:szCs w:val="22"/>
          <w:lang w:val="es-ES" w:eastAsia="es-ES"/>
        </w:rPr>
      </w:pPr>
      <w:hyperlink w:anchor="_Toc4486941" w:history="1">
        <w:r w:rsidR="008D4F10" w:rsidRPr="00AE7DA8">
          <w:rPr>
            <w:rStyle w:val="Hipervnculo"/>
            <w:noProof/>
          </w:rPr>
          <w:t>IV.2. Análisis de la evolución del fondo por transferencias corrientes y de algunos indicadores para una muestra de municipios (2009-2017)</w:t>
        </w:r>
        <w:r w:rsidR="008D4F10">
          <w:rPr>
            <w:noProof/>
            <w:webHidden/>
          </w:rPr>
          <w:tab/>
        </w:r>
        <w:r w:rsidR="008D4F10">
          <w:rPr>
            <w:noProof/>
            <w:webHidden/>
          </w:rPr>
          <w:fldChar w:fldCharType="begin"/>
        </w:r>
        <w:r w:rsidR="008D4F10">
          <w:rPr>
            <w:noProof/>
            <w:webHidden/>
          </w:rPr>
          <w:instrText xml:space="preserve"> PAGEREF _Toc4486941 \h </w:instrText>
        </w:r>
        <w:r w:rsidR="008D4F10">
          <w:rPr>
            <w:noProof/>
            <w:webHidden/>
          </w:rPr>
        </w:r>
        <w:r w:rsidR="008D4F10">
          <w:rPr>
            <w:noProof/>
            <w:webHidden/>
          </w:rPr>
          <w:fldChar w:fldCharType="separate"/>
        </w:r>
        <w:r w:rsidR="0036737A">
          <w:rPr>
            <w:noProof/>
            <w:webHidden/>
          </w:rPr>
          <w:t>12</w:t>
        </w:r>
        <w:r w:rsidR="008D4F10">
          <w:rPr>
            <w:noProof/>
            <w:webHidden/>
          </w:rPr>
          <w:fldChar w:fldCharType="end"/>
        </w:r>
      </w:hyperlink>
    </w:p>
    <w:p w:rsidR="008D4F10" w:rsidRDefault="00871C70">
      <w:pPr>
        <w:pStyle w:val="TDC2"/>
        <w:rPr>
          <w:rFonts w:asciiTheme="minorHAnsi" w:eastAsiaTheme="minorEastAsia" w:hAnsiTheme="minorHAnsi" w:cstheme="minorBidi"/>
          <w:noProof/>
          <w:szCs w:val="22"/>
          <w:lang w:val="es-ES" w:eastAsia="es-ES"/>
        </w:rPr>
      </w:pPr>
      <w:hyperlink w:anchor="_Toc4486942" w:history="1">
        <w:r w:rsidR="008D4F10" w:rsidRPr="00AE7DA8">
          <w:rPr>
            <w:rStyle w:val="Hipervnculo"/>
            <w:noProof/>
          </w:rPr>
          <w:t>IV.3. Análisis comparativo de la gestión del fondo entre Navarra y la Comunidad Autónoma del País Vasco</w:t>
        </w:r>
        <w:r w:rsidR="008D4F10">
          <w:rPr>
            <w:noProof/>
            <w:webHidden/>
          </w:rPr>
          <w:tab/>
        </w:r>
        <w:r w:rsidR="008D4F10">
          <w:rPr>
            <w:noProof/>
            <w:webHidden/>
          </w:rPr>
          <w:fldChar w:fldCharType="begin"/>
        </w:r>
        <w:r w:rsidR="008D4F10">
          <w:rPr>
            <w:noProof/>
            <w:webHidden/>
          </w:rPr>
          <w:instrText xml:space="preserve"> PAGEREF _Toc4486942 \h </w:instrText>
        </w:r>
        <w:r w:rsidR="008D4F10">
          <w:rPr>
            <w:noProof/>
            <w:webHidden/>
          </w:rPr>
        </w:r>
        <w:r w:rsidR="008D4F10">
          <w:rPr>
            <w:noProof/>
            <w:webHidden/>
          </w:rPr>
          <w:fldChar w:fldCharType="separate"/>
        </w:r>
        <w:r w:rsidR="0036737A">
          <w:rPr>
            <w:noProof/>
            <w:webHidden/>
          </w:rPr>
          <w:t>16</w:t>
        </w:r>
        <w:r w:rsidR="008D4F10">
          <w:rPr>
            <w:noProof/>
            <w:webHidden/>
          </w:rPr>
          <w:fldChar w:fldCharType="end"/>
        </w:r>
      </w:hyperlink>
    </w:p>
    <w:p w:rsidR="008D4F10" w:rsidRDefault="00871C70">
      <w:pPr>
        <w:pStyle w:val="TDC2"/>
        <w:rPr>
          <w:rFonts w:asciiTheme="minorHAnsi" w:eastAsiaTheme="minorEastAsia" w:hAnsiTheme="minorHAnsi" w:cstheme="minorBidi"/>
          <w:noProof/>
          <w:szCs w:val="22"/>
          <w:lang w:val="es-ES" w:eastAsia="es-ES"/>
        </w:rPr>
      </w:pPr>
      <w:hyperlink w:anchor="_Toc4486943" w:history="1">
        <w:r w:rsidR="008D4F10" w:rsidRPr="00AE7DA8">
          <w:rPr>
            <w:rStyle w:val="Hipervnculo"/>
            <w:noProof/>
          </w:rPr>
          <w:t>IV.4. Conclusión final y recomendaciones</w:t>
        </w:r>
        <w:r w:rsidR="008D4F10">
          <w:rPr>
            <w:noProof/>
            <w:webHidden/>
          </w:rPr>
          <w:tab/>
        </w:r>
        <w:r w:rsidR="008D4F10">
          <w:rPr>
            <w:noProof/>
            <w:webHidden/>
          </w:rPr>
          <w:fldChar w:fldCharType="begin"/>
        </w:r>
        <w:r w:rsidR="008D4F10">
          <w:rPr>
            <w:noProof/>
            <w:webHidden/>
          </w:rPr>
          <w:instrText xml:space="preserve"> PAGEREF _Toc4486943 \h </w:instrText>
        </w:r>
        <w:r w:rsidR="008D4F10">
          <w:rPr>
            <w:noProof/>
            <w:webHidden/>
          </w:rPr>
        </w:r>
        <w:r w:rsidR="008D4F10">
          <w:rPr>
            <w:noProof/>
            <w:webHidden/>
          </w:rPr>
          <w:fldChar w:fldCharType="separate"/>
        </w:r>
        <w:r w:rsidR="0036737A">
          <w:rPr>
            <w:noProof/>
            <w:webHidden/>
          </w:rPr>
          <w:t>21</w:t>
        </w:r>
        <w:r w:rsidR="008D4F10">
          <w:rPr>
            <w:noProof/>
            <w:webHidden/>
          </w:rPr>
          <w:fldChar w:fldCharType="end"/>
        </w:r>
      </w:hyperlink>
    </w:p>
    <w:p w:rsidR="008D4F10" w:rsidRDefault="00871C70">
      <w:pPr>
        <w:pStyle w:val="TDC1"/>
        <w:rPr>
          <w:rFonts w:asciiTheme="minorHAnsi" w:eastAsiaTheme="minorEastAsia" w:hAnsiTheme="minorHAnsi" w:cstheme="minorBidi"/>
          <w:smallCaps w:val="0"/>
          <w:noProof/>
          <w:szCs w:val="22"/>
          <w:lang w:val="es-ES" w:eastAsia="es-ES"/>
        </w:rPr>
      </w:pPr>
      <w:hyperlink w:anchor="_Toc4486944" w:history="1">
        <w:r w:rsidR="008D4F10" w:rsidRPr="00AE7DA8">
          <w:rPr>
            <w:rStyle w:val="Hipervnculo"/>
            <w:rFonts w:eastAsiaTheme="minorHAnsi"/>
            <w:noProof/>
          </w:rPr>
          <w:t>Anexos</w:t>
        </w:r>
        <w:r w:rsidR="008D4F10">
          <w:rPr>
            <w:noProof/>
            <w:webHidden/>
          </w:rPr>
          <w:tab/>
        </w:r>
        <w:r w:rsidR="008D4F10">
          <w:rPr>
            <w:noProof/>
            <w:webHidden/>
          </w:rPr>
          <w:fldChar w:fldCharType="begin"/>
        </w:r>
        <w:r w:rsidR="008D4F10">
          <w:rPr>
            <w:noProof/>
            <w:webHidden/>
          </w:rPr>
          <w:instrText xml:space="preserve"> PAGEREF _Toc4486944 \h </w:instrText>
        </w:r>
        <w:r w:rsidR="008D4F10">
          <w:rPr>
            <w:noProof/>
            <w:webHidden/>
          </w:rPr>
        </w:r>
        <w:r w:rsidR="008D4F10">
          <w:rPr>
            <w:noProof/>
            <w:webHidden/>
          </w:rPr>
          <w:fldChar w:fldCharType="separate"/>
        </w:r>
        <w:r w:rsidR="0036737A">
          <w:rPr>
            <w:noProof/>
            <w:webHidden/>
          </w:rPr>
          <w:t>23</w:t>
        </w:r>
        <w:r w:rsidR="008D4F10">
          <w:rPr>
            <w:noProof/>
            <w:webHidden/>
          </w:rPr>
          <w:fldChar w:fldCharType="end"/>
        </w:r>
      </w:hyperlink>
    </w:p>
    <w:p w:rsidR="008D4F10" w:rsidRDefault="00871C70">
      <w:pPr>
        <w:pStyle w:val="TDC2"/>
        <w:rPr>
          <w:rFonts w:asciiTheme="minorHAnsi" w:eastAsiaTheme="minorEastAsia" w:hAnsiTheme="minorHAnsi" w:cstheme="minorBidi"/>
          <w:noProof/>
          <w:szCs w:val="22"/>
          <w:lang w:val="es-ES" w:eastAsia="es-ES"/>
        </w:rPr>
      </w:pPr>
      <w:hyperlink w:anchor="_Toc4486945" w:history="1">
        <w:r w:rsidR="008D4F10" w:rsidRPr="00AE7DA8">
          <w:rPr>
            <w:rStyle w:val="Hipervnculo"/>
            <w:noProof/>
          </w:rPr>
          <w:t>Anexo 1. Normativa básica aplicable a la gestión del fondo 2009-2019</w:t>
        </w:r>
        <w:r w:rsidR="008D4F10">
          <w:rPr>
            <w:noProof/>
            <w:webHidden/>
          </w:rPr>
          <w:tab/>
        </w:r>
        <w:r w:rsidR="008D4F10">
          <w:rPr>
            <w:noProof/>
            <w:webHidden/>
          </w:rPr>
          <w:fldChar w:fldCharType="begin"/>
        </w:r>
        <w:r w:rsidR="008D4F10">
          <w:rPr>
            <w:noProof/>
            <w:webHidden/>
          </w:rPr>
          <w:instrText xml:space="preserve"> PAGEREF _Toc4486945 \h </w:instrText>
        </w:r>
        <w:r w:rsidR="008D4F10">
          <w:rPr>
            <w:noProof/>
            <w:webHidden/>
          </w:rPr>
        </w:r>
        <w:r w:rsidR="008D4F10">
          <w:rPr>
            <w:noProof/>
            <w:webHidden/>
          </w:rPr>
          <w:fldChar w:fldCharType="separate"/>
        </w:r>
        <w:r w:rsidR="0036737A">
          <w:rPr>
            <w:noProof/>
            <w:webHidden/>
          </w:rPr>
          <w:t>25</w:t>
        </w:r>
        <w:r w:rsidR="008D4F10">
          <w:rPr>
            <w:noProof/>
            <w:webHidden/>
          </w:rPr>
          <w:fldChar w:fldCharType="end"/>
        </w:r>
      </w:hyperlink>
    </w:p>
    <w:p w:rsidR="008D4F10" w:rsidRDefault="00871C70">
      <w:pPr>
        <w:pStyle w:val="TDC2"/>
        <w:rPr>
          <w:rFonts w:asciiTheme="minorHAnsi" w:eastAsiaTheme="minorEastAsia" w:hAnsiTheme="minorHAnsi" w:cstheme="minorBidi"/>
          <w:noProof/>
          <w:szCs w:val="22"/>
          <w:lang w:val="es-ES" w:eastAsia="es-ES"/>
        </w:rPr>
      </w:pPr>
      <w:hyperlink w:anchor="_Toc4486946" w:history="1">
        <w:r w:rsidR="008D4F10" w:rsidRPr="00AE7DA8">
          <w:rPr>
            <w:rStyle w:val="Hipervnculo"/>
            <w:noProof/>
          </w:rPr>
          <w:t>Anexo 2. Leyenda de los componentes de la fórmula de reparto del fondo de participación de las haciendas locales en los tributos de Navarra</w:t>
        </w:r>
        <w:r w:rsidR="008D4F10">
          <w:rPr>
            <w:noProof/>
            <w:webHidden/>
          </w:rPr>
          <w:tab/>
        </w:r>
        <w:r w:rsidR="008D4F10">
          <w:rPr>
            <w:noProof/>
            <w:webHidden/>
          </w:rPr>
          <w:fldChar w:fldCharType="begin"/>
        </w:r>
        <w:r w:rsidR="008D4F10">
          <w:rPr>
            <w:noProof/>
            <w:webHidden/>
          </w:rPr>
          <w:instrText xml:space="preserve"> PAGEREF _Toc4486946 \h </w:instrText>
        </w:r>
        <w:r w:rsidR="008D4F10">
          <w:rPr>
            <w:noProof/>
            <w:webHidden/>
          </w:rPr>
        </w:r>
        <w:r w:rsidR="008D4F10">
          <w:rPr>
            <w:noProof/>
            <w:webHidden/>
          </w:rPr>
          <w:fldChar w:fldCharType="separate"/>
        </w:r>
        <w:r w:rsidR="0036737A">
          <w:rPr>
            <w:noProof/>
            <w:webHidden/>
          </w:rPr>
          <w:t>27</w:t>
        </w:r>
        <w:r w:rsidR="008D4F10">
          <w:rPr>
            <w:noProof/>
            <w:webHidden/>
          </w:rPr>
          <w:fldChar w:fldCharType="end"/>
        </w:r>
      </w:hyperlink>
    </w:p>
    <w:p w:rsidR="008D4F10" w:rsidRDefault="00871C70">
      <w:pPr>
        <w:pStyle w:val="TDC2"/>
        <w:rPr>
          <w:rFonts w:asciiTheme="minorHAnsi" w:eastAsiaTheme="minorEastAsia" w:hAnsiTheme="minorHAnsi" w:cstheme="minorBidi"/>
          <w:noProof/>
          <w:szCs w:val="22"/>
          <w:lang w:val="es-ES" w:eastAsia="es-ES"/>
        </w:rPr>
      </w:pPr>
      <w:hyperlink w:anchor="_Toc4486947" w:history="1">
        <w:r w:rsidR="008D4F10" w:rsidRPr="00AE7DA8">
          <w:rPr>
            <w:rStyle w:val="Hipervnculo"/>
            <w:noProof/>
          </w:rPr>
          <w:t>Anexo 3. Evolución indicadores por municipio 2009-2017</w:t>
        </w:r>
        <w:r w:rsidR="008D4F10">
          <w:rPr>
            <w:noProof/>
            <w:webHidden/>
          </w:rPr>
          <w:tab/>
        </w:r>
        <w:r w:rsidR="008D4F10">
          <w:rPr>
            <w:noProof/>
            <w:webHidden/>
          </w:rPr>
          <w:fldChar w:fldCharType="begin"/>
        </w:r>
        <w:r w:rsidR="008D4F10">
          <w:rPr>
            <w:noProof/>
            <w:webHidden/>
          </w:rPr>
          <w:instrText xml:space="preserve"> PAGEREF _Toc4486947 \h </w:instrText>
        </w:r>
        <w:r w:rsidR="008D4F10">
          <w:rPr>
            <w:noProof/>
            <w:webHidden/>
          </w:rPr>
        </w:r>
        <w:r w:rsidR="008D4F10">
          <w:rPr>
            <w:noProof/>
            <w:webHidden/>
          </w:rPr>
          <w:fldChar w:fldCharType="separate"/>
        </w:r>
        <w:r w:rsidR="0036737A">
          <w:rPr>
            <w:noProof/>
            <w:webHidden/>
          </w:rPr>
          <w:t>29</w:t>
        </w:r>
        <w:r w:rsidR="008D4F10">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4D39F0">
      <w:pPr>
        <w:pStyle w:val="texto"/>
        <w:ind w:left="2835" w:hanging="2551"/>
        <w:sectPr w:rsidR="008E3FFE" w:rsidSect="00C27D23">
          <w:type w:val="oddPage"/>
          <w:pgSz w:w="11907" w:h="16840" w:code="9"/>
          <w:pgMar w:top="2109" w:right="1559" w:bottom="1644" w:left="1559" w:header="369" w:footer="402" w:gutter="0"/>
          <w:pgNumType w:start="3"/>
          <w:cols w:space="720"/>
          <w:docGrid w:linePitch="360"/>
        </w:sectPr>
      </w:pPr>
    </w:p>
    <w:p w:rsidR="00BE1465" w:rsidRPr="003A493B" w:rsidRDefault="00BE1465" w:rsidP="00BE1465">
      <w:pPr>
        <w:pStyle w:val="atitulo1"/>
        <w:spacing w:before="240"/>
      </w:pPr>
      <w:bookmarkStart w:id="0" w:name="_Toc2849153"/>
      <w:bookmarkStart w:id="1" w:name="_Toc4486936"/>
      <w:r w:rsidRPr="003A493B">
        <w:lastRenderedPageBreak/>
        <w:t>I. Introducción</w:t>
      </w:r>
      <w:bookmarkEnd w:id="0"/>
      <w:bookmarkEnd w:id="1"/>
    </w:p>
    <w:p w:rsidR="00BE1465" w:rsidRDefault="00BE1465" w:rsidP="00BE1465">
      <w:pPr>
        <w:pStyle w:val="texto"/>
      </w:pPr>
      <w:r>
        <w:t>L</w:t>
      </w:r>
      <w:r w:rsidRPr="00496A93">
        <w:t>a Cámara de Comptos</w:t>
      </w:r>
      <w:r>
        <w:t xml:space="preserve"> incluyó en su programa anual de fiscalización del año 2018 la realización de un </w:t>
      </w:r>
      <w:r w:rsidRPr="00FE18A4">
        <w:t xml:space="preserve">informe sobre </w:t>
      </w:r>
      <w:r>
        <w:rPr>
          <w:szCs w:val="26"/>
        </w:rPr>
        <w:t>el reparto del fondo de particip</w:t>
      </w:r>
      <w:r>
        <w:rPr>
          <w:szCs w:val="26"/>
        </w:rPr>
        <w:t>a</w:t>
      </w:r>
      <w:r>
        <w:rPr>
          <w:szCs w:val="26"/>
        </w:rPr>
        <w:t>ción de las haciendas locales en los tributos de Navarra.</w:t>
      </w:r>
    </w:p>
    <w:p w:rsidR="00BE1465" w:rsidRPr="00FE18A4" w:rsidRDefault="00BE1465" w:rsidP="00BE1465">
      <w:pPr>
        <w:pStyle w:val="texto"/>
      </w:pPr>
      <w:r>
        <w:t>El trabajo lo realizó entre enero y febrero de 2019 un equipo integrado por dos técnicos de auditoría y una auditora, con la colaboración de los servicios jurídicos, informáticos y administrativos de la Cámara de Comptos.</w:t>
      </w:r>
    </w:p>
    <w:p w:rsidR="00613703" w:rsidRDefault="00BE1465" w:rsidP="00BE1465">
      <w:pPr>
        <w:pStyle w:val="texto"/>
      </w:pPr>
      <w:r w:rsidRPr="00496A93">
        <w:t xml:space="preserve">El informe se estructura en </w:t>
      </w:r>
      <w:r>
        <w:t>cuatro</w:t>
      </w:r>
      <w:r w:rsidRPr="00496A93">
        <w:t xml:space="preserve"> epígrafes incluida esta introducción; en el segundo se describen </w:t>
      </w:r>
      <w:r>
        <w:t xml:space="preserve">aspectos generales relacionados con el fondo y </w:t>
      </w:r>
      <w:r w:rsidRPr="00496A93">
        <w:t xml:space="preserve">el tercero </w:t>
      </w:r>
      <w:r>
        <w:t>describe los objetivos y el alcance del trabajo; el cuarto, y último, contiene la opinión de legalidad sobre la gestión del fondo, las conclusiones sobre la fó</w:t>
      </w:r>
      <w:r>
        <w:t>r</w:t>
      </w:r>
      <w:r>
        <w:t xml:space="preserve">mula utilizada para </w:t>
      </w:r>
      <w:r w:rsidR="00613703">
        <w:t>su</w:t>
      </w:r>
      <w:r>
        <w:t xml:space="preserve"> reparto desde el punto de vista de la financiación, el an</w:t>
      </w:r>
      <w:r>
        <w:t>á</w:t>
      </w:r>
      <w:r>
        <w:t xml:space="preserve">lisis comparativo de </w:t>
      </w:r>
      <w:r w:rsidR="00613703">
        <w:t>su</w:t>
      </w:r>
      <w:r>
        <w:t xml:space="preserve"> gestión en Navarra y la Comunidad Autónoma del País Vasco (CAPV en adelante), </w:t>
      </w:r>
      <w:r w:rsidRPr="00496A93">
        <w:t>y</w:t>
      </w:r>
      <w:r>
        <w:t xml:space="preserve"> las</w:t>
      </w:r>
      <w:r w:rsidRPr="00496A93">
        <w:t xml:space="preserve"> recomendaciones </w:t>
      </w:r>
      <w:r>
        <w:t xml:space="preserve">emitidas. </w:t>
      </w:r>
    </w:p>
    <w:p w:rsidR="00BE1465" w:rsidRDefault="00613703" w:rsidP="00BE1465">
      <w:pPr>
        <w:pStyle w:val="texto"/>
      </w:pPr>
      <w:r>
        <w:t>Nuestro informe i</w:t>
      </w:r>
      <w:r w:rsidR="00BE1465">
        <w:t>ncluye</w:t>
      </w:r>
      <w:r w:rsidR="00014EB5">
        <w:t>,</w:t>
      </w:r>
      <w:r w:rsidR="00BE1465">
        <w:t xml:space="preserve"> además</w:t>
      </w:r>
      <w:r w:rsidR="00014EB5">
        <w:t>,</w:t>
      </w:r>
      <w:r w:rsidR="00BE1465">
        <w:t xml:space="preserve"> tres anexos con la normativa básica apl</w:t>
      </w:r>
      <w:r w:rsidR="00BE1465">
        <w:t>i</w:t>
      </w:r>
      <w:r w:rsidR="00BE1465">
        <w:t>cable a la gestión del fondo en el periodo 2009-2019</w:t>
      </w:r>
      <w:r w:rsidR="00014EB5">
        <w:t>;</w:t>
      </w:r>
      <w:r w:rsidR="00BE1465">
        <w:t xml:space="preserve"> la descripción de los componentes de la fórmula de reparto del fondo</w:t>
      </w:r>
      <w:r w:rsidR="00014EB5">
        <w:t>;</w:t>
      </w:r>
      <w:r w:rsidR="00BE1465">
        <w:t xml:space="preserve"> y la evolución de determin</w:t>
      </w:r>
      <w:r w:rsidR="00BE1465">
        <w:t>a</w:t>
      </w:r>
      <w:r w:rsidR="00BE1465">
        <w:t>dos indicadores en el periodo 2009-2017 para una muestra de municipios.</w:t>
      </w:r>
    </w:p>
    <w:p w:rsidR="00EC4B5B" w:rsidRDefault="00BE1465" w:rsidP="00BE1465">
      <w:pPr>
        <w:pStyle w:val="texto"/>
      </w:pPr>
      <w:r>
        <w:t>Agradecemos al personal del Servicio de Gestión y Cooperación Económica del Departamento de Desarrollo Rural, Medio Ambiente y Administración L</w:t>
      </w:r>
      <w:r>
        <w:t>o</w:t>
      </w:r>
      <w:r>
        <w:t xml:space="preserve">cal, </w:t>
      </w:r>
      <w:r w:rsidR="00C57E33">
        <w:t xml:space="preserve">del Departamento de Hacienda y Política Financiera, </w:t>
      </w:r>
      <w:r>
        <w:t>de la Federación N</w:t>
      </w:r>
      <w:r>
        <w:t>a</w:t>
      </w:r>
      <w:r>
        <w:t>varra de Municipios y Concejos,</w:t>
      </w:r>
      <w:r w:rsidR="00C57E33">
        <w:t xml:space="preserve"> </w:t>
      </w:r>
      <w:r>
        <w:t>del Tribunal Vasco de Cuentas Públicas, del Servicio de Estudios Municipales y Asistencia Económica de entidades loc</w:t>
      </w:r>
      <w:r w:rsidR="00C57E33">
        <w:t>ales de la Diputación Foral de Bizkai</w:t>
      </w:r>
      <w:r>
        <w:t xml:space="preserve">a, del Servicio de Compromisos Institucionales de la Diputación Foral de </w:t>
      </w:r>
      <w:r w:rsidR="00C57E33">
        <w:t>Gipuzkoa</w:t>
      </w:r>
      <w:r>
        <w:t>, del Servicio de Financiación Local y Ge</w:t>
      </w:r>
      <w:r>
        <w:t>s</w:t>
      </w:r>
      <w:r>
        <w:t xml:space="preserve">tión Administrativa de la Diputación Foral de </w:t>
      </w:r>
      <w:r w:rsidR="00C57E33">
        <w:t>Araba/</w:t>
      </w:r>
      <w:r>
        <w:t xml:space="preserve">Álava y de la Asociación de Municipios Vascos (EUDEL) la colaboración prestada en la realización del presente trabajo. </w:t>
      </w:r>
    </w:p>
    <w:p w:rsidR="00014EB5" w:rsidRPr="005D5DE6" w:rsidRDefault="00014EB5" w:rsidP="005D5DE6">
      <w:pPr>
        <w:pStyle w:val="texto"/>
      </w:pPr>
      <w:r w:rsidRPr="005D5DE6">
        <w:t>De conformidad con lo previsto en el artículo 11 de la Ley Foral 19/1984, reguladora de la Cámara de Comptos de Navarra, los resultados de este trabajo se pusieron de manifiesto, con el fin de que la Consejera del Departamento de Desarrollo Rural, Medio Ambiente y Administración Local del Gobierno de Navarra formulara alegaciones.</w:t>
      </w:r>
      <w:r w:rsidR="005D5DE6" w:rsidRPr="005D5DE6">
        <w:t xml:space="preserve"> Pasado el plazo para presentarlas, no ha</w:t>
      </w:r>
      <w:r w:rsidR="005D5DE6">
        <w:t xml:space="preserve"> </w:t>
      </w:r>
      <w:r w:rsidR="005D5DE6" w:rsidRPr="005D5DE6">
        <w:t>prese</w:t>
      </w:r>
      <w:r w:rsidR="005D5DE6" w:rsidRPr="005D5DE6">
        <w:t>n</w:t>
      </w:r>
      <w:r w:rsidR="005D5DE6" w:rsidRPr="005D5DE6">
        <w:t>tado alegación alguna.</w:t>
      </w:r>
    </w:p>
    <w:p w:rsidR="00EC4B5B" w:rsidRPr="00EC4B5B" w:rsidRDefault="00EC4B5B" w:rsidP="00BE1465">
      <w:pPr>
        <w:pStyle w:val="texto"/>
        <w:rPr>
          <w:color w:val="FF0000"/>
        </w:rPr>
      </w:pPr>
    </w:p>
    <w:p w:rsidR="00BE1465" w:rsidRDefault="00BE1465" w:rsidP="00BE1465">
      <w:pPr>
        <w:pStyle w:val="texto"/>
      </w:pPr>
      <w:r>
        <w:br w:type="page"/>
      </w:r>
    </w:p>
    <w:p w:rsidR="00BE1465" w:rsidRPr="0069386E" w:rsidRDefault="00BE1465" w:rsidP="00BE1465">
      <w:pPr>
        <w:pStyle w:val="atitulo1"/>
        <w:spacing w:before="240"/>
      </w:pPr>
      <w:bookmarkStart w:id="2" w:name="_Toc255525"/>
      <w:bookmarkStart w:id="3" w:name="_Toc2849154"/>
      <w:bookmarkStart w:id="4" w:name="_Toc4486937"/>
      <w:r>
        <w:lastRenderedPageBreak/>
        <w:t>II. El fondo de participación de las haciendas locales en los tributos de Navarra</w:t>
      </w:r>
      <w:bookmarkEnd w:id="2"/>
      <w:bookmarkEnd w:id="3"/>
      <w:bookmarkEnd w:id="4"/>
    </w:p>
    <w:p w:rsidR="00BE1465" w:rsidRPr="00BE1C34" w:rsidRDefault="00BE1465" w:rsidP="00BE1465">
      <w:pPr>
        <w:pStyle w:val="texto"/>
        <w:tabs>
          <w:tab w:val="clear" w:pos="2835"/>
          <w:tab w:val="clear" w:pos="3969"/>
          <w:tab w:val="clear" w:pos="5103"/>
          <w:tab w:val="clear" w:pos="6237"/>
          <w:tab w:val="clear" w:pos="7371"/>
        </w:tabs>
        <w:ind w:firstLine="0"/>
        <w:jc w:val="left"/>
        <w:rPr>
          <w:rFonts w:ascii="Arial" w:hAnsi="Arial" w:cs="Arial"/>
          <w:i/>
          <w:szCs w:val="26"/>
        </w:rPr>
      </w:pPr>
      <w:r w:rsidRPr="00BE1C34">
        <w:rPr>
          <w:rFonts w:ascii="Arial" w:hAnsi="Arial" w:cs="Arial"/>
          <w:i/>
          <w:szCs w:val="26"/>
        </w:rPr>
        <w:t xml:space="preserve">Determinación de la cuantía del fondo </w:t>
      </w:r>
    </w:p>
    <w:p w:rsidR="00166DD8" w:rsidRDefault="00BE1465" w:rsidP="00BE1465">
      <w:pPr>
        <w:pStyle w:val="texto"/>
        <w:tabs>
          <w:tab w:val="clear" w:pos="2835"/>
          <w:tab w:val="clear" w:pos="3969"/>
          <w:tab w:val="clear" w:pos="5103"/>
          <w:tab w:val="clear" w:pos="6237"/>
          <w:tab w:val="clear" w:pos="7371"/>
        </w:tabs>
        <w:rPr>
          <w:sz w:val="20"/>
          <w:szCs w:val="20"/>
        </w:rPr>
      </w:pPr>
      <w:r>
        <w:rPr>
          <w:szCs w:val="26"/>
        </w:rPr>
        <w:t>El artículo 140 de la Constitución garantiza la autonomía de los municipios, y el 142 establece que</w:t>
      </w:r>
      <w:r w:rsidR="00166DD8" w:rsidRPr="00166DD8">
        <w:rPr>
          <w:sz w:val="20"/>
          <w:szCs w:val="20"/>
        </w:rPr>
        <w:t>:</w:t>
      </w:r>
    </w:p>
    <w:p w:rsidR="00BE1465" w:rsidRPr="00166DD8" w:rsidRDefault="00BE1465" w:rsidP="00BE1465">
      <w:pPr>
        <w:pStyle w:val="texto"/>
        <w:tabs>
          <w:tab w:val="clear" w:pos="2835"/>
          <w:tab w:val="clear" w:pos="3969"/>
          <w:tab w:val="clear" w:pos="5103"/>
          <w:tab w:val="clear" w:pos="6237"/>
          <w:tab w:val="clear" w:pos="7371"/>
        </w:tabs>
        <w:rPr>
          <w:sz w:val="22"/>
          <w:szCs w:val="22"/>
        </w:rPr>
      </w:pPr>
      <w:r w:rsidRPr="00166DD8">
        <w:rPr>
          <w:i/>
          <w:sz w:val="22"/>
          <w:szCs w:val="22"/>
        </w:rPr>
        <w:t>“las Haciendas Locales deberán disponer de los medios suficientes para el desempeño de las funciones que la ley atribuye a las corporaciones respectivas y se nutrirán fundamenta</w:t>
      </w:r>
      <w:r w:rsidRPr="00166DD8">
        <w:rPr>
          <w:i/>
          <w:sz w:val="22"/>
          <w:szCs w:val="22"/>
        </w:rPr>
        <w:t>l</w:t>
      </w:r>
      <w:r w:rsidRPr="00166DD8">
        <w:rPr>
          <w:i/>
          <w:sz w:val="22"/>
          <w:szCs w:val="22"/>
        </w:rPr>
        <w:t>mente de tributos propios y de la participación en los del Estado y de las Comunidades A</w:t>
      </w:r>
      <w:r w:rsidRPr="00166DD8">
        <w:rPr>
          <w:i/>
          <w:sz w:val="22"/>
          <w:szCs w:val="22"/>
        </w:rPr>
        <w:t>u</w:t>
      </w:r>
      <w:r w:rsidRPr="00166DD8">
        <w:rPr>
          <w:i/>
          <w:sz w:val="22"/>
          <w:szCs w:val="22"/>
        </w:rPr>
        <w:t>tónomas”</w:t>
      </w:r>
      <w:r w:rsidRPr="00166DD8">
        <w:rPr>
          <w:sz w:val="22"/>
          <w:szCs w:val="22"/>
        </w:rPr>
        <w:t>.</w:t>
      </w:r>
    </w:p>
    <w:p w:rsidR="00BE1465" w:rsidRDefault="00BE1465" w:rsidP="00BE1465">
      <w:pPr>
        <w:pStyle w:val="texto"/>
        <w:tabs>
          <w:tab w:val="clear" w:pos="2835"/>
          <w:tab w:val="clear" w:pos="3969"/>
          <w:tab w:val="clear" w:pos="5103"/>
          <w:tab w:val="clear" w:pos="6237"/>
          <w:tab w:val="clear" w:pos="7371"/>
        </w:tabs>
        <w:rPr>
          <w:szCs w:val="26"/>
        </w:rPr>
      </w:pPr>
      <w:r>
        <w:rPr>
          <w:szCs w:val="26"/>
        </w:rPr>
        <w:t>El régimen foral aplicable a Navarra se caracteriza, entre otros aspectos, por su modelo de financiación singular regulado en el Convenio Económico, a dif</w:t>
      </w:r>
      <w:r>
        <w:rPr>
          <w:szCs w:val="26"/>
        </w:rPr>
        <w:t>e</w:t>
      </w:r>
      <w:r>
        <w:rPr>
          <w:szCs w:val="26"/>
        </w:rPr>
        <w:t>rencia del resto de comunidades autónomas donde el sistema es diferente, a e</w:t>
      </w:r>
      <w:r>
        <w:rPr>
          <w:szCs w:val="26"/>
        </w:rPr>
        <w:t>x</w:t>
      </w:r>
      <w:r>
        <w:rPr>
          <w:szCs w:val="26"/>
        </w:rPr>
        <w:t xml:space="preserve">cepción de la CAPV donde el Concierto Económico es el instrumento utilizado. </w:t>
      </w:r>
    </w:p>
    <w:p w:rsidR="00BE1465" w:rsidRDefault="00BE1465" w:rsidP="00BE1465">
      <w:pPr>
        <w:pStyle w:val="texto"/>
        <w:tabs>
          <w:tab w:val="clear" w:pos="2835"/>
          <w:tab w:val="clear" w:pos="3969"/>
          <w:tab w:val="clear" w:pos="5103"/>
          <w:tab w:val="clear" w:pos="6237"/>
          <w:tab w:val="clear" w:pos="7371"/>
        </w:tabs>
        <w:rPr>
          <w:szCs w:val="26"/>
        </w:rPr>
      </w:pPr>
      <w:r>
        <w:rPr>
          <w:szCs w:val="26"/>
        </w:rPr>
        <w:t xml:space="preserve">El artículo 50 del Convenio Económico establece que las entidades locales de Navarra participarán </w:t>
      </w:r>
      <w:r>
        <w:t>en los ingresos tributarios del Estado en la parte c</w:t>
      </w:r>
      <w:r>
        <w:t>o</w:t>
      </w:r>
      <w:r>
        <w:t xml:space="preserve">rrespondiente a aquellos tributos cuya exacción no corresponda a la Comunidad Foral; teniendo en cuenta que el Convenio le atribuye a </w:t>
      </w:r>
      <w:r>
        <w:rPr>
          <w:szCs w:val="26"/>
        </w:rPr>
        <w:t>Navarra la potestad p</w:t>
      </w:r>
      <w:r>
        <w:rPr>
          <w:szCs w:val="26"/>
        </w:rPr>
        <w:t>a</w:t>
      </w:r>
      <w:r>
        <w:rPr>
          <w:szCs w:val="26"/>
        </w:rPr>
        <w:t>ra establecer y gestionar la mayor parte de los tributos, la participación en los tributos que perciben las haciendas locales proviene fundamentalmente de N</w:t>
      </w:r>
      <w:r>
        <w:rPr>
          <w:szCs w:val="26"/>
        </w:rPr>
        <w:t>a</w:t>
      </w:r>
      <w:r>
        <w:rPr>
          <w:szCs w:val="26"/>
        </w:rPr>
        <w:t>varra y residualmente del Estado.</w:t>
      </w:r>
    </w:p>
    <w:p w:rsidR="00BE1465" w:rsidRDefault="00BE1465" w:rsidP="00BE1465">
      <w:pPr>
        <w:pStyle w:val="texto"/>
        <w:tabs>
          <w:tab w:val="clear" w:pos="2835"/>
          <w:tab w:val="clear" w:pos="3969"/>
          <w:tab w:val="clear" w:pos="5103"/>
          <w:tab w:val="clear" w:pos="6237"/>
          <w:tab w:val="clear" w:pos="7371"/>
        </w:tabs>
        <w:rPr>
          <w:szCs w:val="26"/>
        </w:rPr>
      </w:pPr>
      <w:r>
        <w:rPr>
          <w:szCs w:val="26"/>
        </w:rPr>
        <w:t xml:space="preserve">En 1981, la norma de reforma de las haciendas locales reguló por primera vez las haciendas locales de Navarra estableciendo que </w:t>
      </w:r>
      <w:r w:rsidR="00014EB5">
        <w:rPr>
          <w:szCs w:val="26"/>
        </w:rPr>
        <w:t>e</w:t>
      </w:r>
      <w:r>
        <w:rPr>
          <w:szCs w:val="26"/>
        </w:rPr>
        <w:t>stas percibirían un fondo anual formado por el 45 por ciento de los derechos reconocidos netos (DRN en adelante) de los impuestos directos y el diez por ciento de los DRN de los indirectos liquidados en cada ejercicio por la Comunidad Foral. Se establ</w:t>
      </w:r>
      <w:r>
        <w:rPr>
          <w:szCs w:val="26"/>
        </w:rPr>
        <w:t>e</w:t>
      </w:r>
      <w:r>
        <w:rPr>
          <w:szCs w:val="26"/>
        </w:rPr>
        <w:t>ció</w:t>
      </w:r>
      <w:r w:rsidR="00014EB5">
        <w:rPr>
          <w:szCs w:val="26"/>
        </w:rPr>
        <w:t>,</w:t>
      </w:r>
      <w:r>
        <w:rPr>
          <w:szCs w:val="26"/>
        </w:rPr>
        <w:t xml:space="preserve"> además, que el 70 por ciento de este fondo se destinaría a transferencias corrientes y el 30 por ciento restante a transferencias de capital.</w:t>
      </w:r>
    </w:p>
    <w:p w:rsidR="00BE1465" w:rsidRDefault="00BE1465" w:rsidP="00BE1465">
      <w:pPr>
        <w:pStyle w:val="texto"/>
        <w:tabs>
          <w:tab w:val="clear" w:pos="2835"/>
          <w:tab w:val="clear" w:pos="3969"/>
          <w:tab w:val="clear" w:pos="5103"/>
          <w:tab w:val="clear" w:pos="6237"/>
          <w:tab w:val="clear" w:pos="7371"/>
        </w:tabs>
        <w:rPr>
          <w:szCs w:val="26"/>
        </w:rPr>
      </w:pPr>
      <w:r>
        <w:rPr>
          <w:szCs w:val="26"/>
        </w:rPr>
        <w:t>Este criterio de cálculo del fondo se mantuvo dos años y</w:t>
      </w:r>
      <w:r w:rsidR="00014EB5">
        <w:rPr>
          <w:szCs w:val="26"/>
        </w:rPr>
        <w:t>,</w:t>
      </w:r>
      <w:r>
        <w:rPr>
          <w:szCs w:val="26"/>
        </w:rPr>
        <w:t xml:space="preserve"> posteriormente, se ajustó su cuantía pasando a ser, en 1984, el 30 y el 10 por ciento de los DRN de los impuestos directos e indirectos respectivamente. En este mismo año ta</w:t>
      </w:r>
      <w:r>
        <w:rPr>
          <w:szCs w:val="26"/>
        </w:rPr>
        <w:t>m</w:t>
      </w:r>
      <w:r>
        <w:rPr>
          <w:szCs w:val="26"/>
        </w:rPr>
        <w:t>bién se modificaron los porcentajes de reparto entre transferencias corrientes y de capital que pasaron a ser del 60 y 40 por ciento.</w:t>
      </w:r>
    </w:p>
    <w:p w:rsidR="00853B4A" w:rsidRDefault="00BE1465" w:rsidP="00BE1465">
      <w:pPr>
        <w:pStyle w:val="texto"/>
        <w:tabs>
          <w:tab w:val="clear" w:pos="2835"/>
          <w:tab w:val="clear" w:pos="3969"/>
          <w:tab w:val="clear" w:pos="5103"/>
          <w:tab w:val="clear" w:pos="6237"/>
          <w:tab w:val="clear" w:pos="7371"/>
        </w:tabs>
        <w:rPr>
          <w:szCs w:val="26"/>
        </w:rPr>
      </w:pPr>
      <w:r>
        <w:rPr>
          <w:szCs w:val="26"/>
        </w:rPr>
        <w:t>A partir de 1984, la dotación del fondo para transferencias corrientes</w:t>
      </w:r>
      <w:r w:rsidR="00D46114">
        <w:rPr>
          <w:szCs w:val="26"/>
        </w:rPr>
        <w:t xml:space="preserve"> (FTC en adelante)</w:t>
      </w:r>
      <w:r>
        <w:rPr>
          <w:szCs w:val="26"/>
        </w:rPr>
        <w:t xml:space="preserve"> se obtuvo aplicando el IPC a la cuantía del ejercicio anterior, sin tener en cuenta los DRN de los impuestos liquidados en Navarra; el fondo c</w:t>
      </w:r>
      <w:r>
        <w:rPr>
          <w:szCs w:val="26"/>
        </w:rPr>
        <w:t>o</w:t>
      </w:r>
      <w:r>
        <w:rPr>
          <w:szCs w:val="26"/>
        </w:rPr>
        <w:t>rrespondiente a las transferencias de capital se fue determinando en función de las disponibilidades presupuestarias.</w:t>
      </w:r>
    </w:p>
    <w:p w:rsidR="00853B4A" w:rsidRDefault="00853B4A">
      <w:pPr>
        <w:spacing w:after="0"/>
        <w:ind w:firstLine="0"/>
        <w:jc w:val="left"/>
        <w:rPr>
          <w:spacing w:val="6"/>
          <w:sz w:val="26"/>
          <w:szCs w:val="26"/>
        </w:rPr>
      </w:pPr>
      <w:r>
        <w:rPr>
          <w:szCs w:val="26"/>
        </w:rPr>
        <w:br w:type="page"/>
      </w:r>
    </w:p>
    <w:p w:rsidR="00613703" w:rsidRDefault="00853B4A" w:rsidP="00613703">
      <w:pPr>
        <w:spacing w:after="120"/>
        <w:ind w:firstLine="284"/>
        <w:rPr>
          <w:sz w:val="26"/>
          <w:szCs w:val="26"/>
          <w:lang w:eastAsia="es-ES"/>
        </w:rPr>
      </w:pPr>
      <w:bookmarkStart w:id="5" w:name="_GoBack"/>
      <w:bookmarkEnd w:id="5"/>
      <w:r>
        <w:rPr>
          <w:sz w:val="26"/>
          <w:szCs w:val="26"/>
          <w:lang w:eastAsia="es-ES"/>
        </w:rPr>
        <w:lastRenderedPageBreak/>
        <w:t>L</w:t>
      </w:r>
      <w:r w:rsidR="00613703">
        <w:rPr>
          <w:sz w:val="26"/>
          <w:szCs w:val="26"/>
          <w:lang w:eastAsia="es-ES"/>
        </w:rPr>
        <w:t>a Ley Foral 6/1990</w:t>
      </w:r>
      <w:r>
        <w:rPr>
          <w:sz w:val="26"/>
          <w:szCs w:val="26"/>
          <w:lang w:eastAsia="es-ES"/>
        </w:rPr>
        <w:t>, de 2 de julio,</w:t>
      </w:r>
      <w:r w:rsidR="00613703">
        <w:rPr>
          <w:sz w:val="26"/>
          <w:szCs w:val="26"/>
          <w:lang w:eastAsia="es-ES"/>
        </w:rPr>
        <w:t xml:space="preserve"> de la Administración Local de Navarra</w:t>
      </w:r>
      <w:r>
        <w:rPr>
          <w:sz w:val="26"/>
          <w:szCs w:val="26"/>
          <w:lang w:eastAsia="es-ES"/>
        </w:rPr>
        <w:t xml:space="preserve"> apr</w:t>
      </w:r>
      <w:r>
        <w:rPr>
          <w:sz w:val="26"/>
          <w:szCs w:val="26"/>
          <w:lang w:eastAsia="es-ES"/>
        </w:rPr>
        <w:t>o</w:t>
      </w:r>
      <w:r>
        <w:rPr>
          <w:sz w:val="26"/>
          <w:szCs w:val="26"/>
          <w:lang w:eastAsia="es-ES"/>
        </w:rPr>
        <w:t xml:space="preserve">bada </w:t>
      </w:r>
      <w:r w:rsidR="00613703">
        <w:rPr>
          <w:sz w:val="26"/>
          <w:szCs w:val="26"/>
          <w:lang w:eastAsia="es-ES"/>
        </w:rPr>
        <w:t xml:space="preserve">citaba </w:t>
      </w:r>
      <w:r>
        <w:rPr>
          <w:sz w:val="26"/>
          <w:szCs w:val="26"/>
          <w:lang w:eastAsia="es-ES"/>
        </w:rPr>
        <w:t xml:space="preserve">en su artículo 259 </w:t>
      </w:r>
      <w:r w:rsidR="00613703">
        <w:rPr>
          <w:sz w:val="26"/>
          <w:szCs w:val="26"/>
          <w:lang w:eastAsia="es-ES"/>
        </w:rPr>
        <w:t>lo siguiente:</w:t>
      </w:r>
    </w:p>
    <w:p w:rsidR="00613703" w:rsidRPr="00166DD8" w:rsidRDefault="00613703" w:rsidP="00613703">
      <w:pPr>
        <w:spacing w:after="120" w:line="300" w:lineRule="atLeast"/>
        <w:ind w:right="74" w:firstLine="301"/>
        <w:rPr>
          <w:i/>
          <w:spacing w:val="6"/>
          <w:sz w:val="22"/>
          <w:szCs w:val="22"/>
        </w:rPr>
      </w:pPr>
      <w:bookmarkStart w:id="6" w:name="Ar.259"/>
      <w:bookmarkEnd w:id="6"/>
      <w:r w:rsidRPr="00166DD8">
        <w:rPr>
          <w:i/>
          <w:spacing w:val="6"/>
          <w:sz w:val="22"/>
          <w:szCs w:val="22"/>
        </w:rPr>
        <w:t>“….Para el ejercicio de sus competencias y el cumplimiento de los fines que las entid</w:t>
      </w:r>
      <w:r w:rsidRPr="00166DD8">
        <w:rPr>
          <w:i/>
          <w:spacing w:val="6"/>
          <w:sz w:val="22"/>
          <w:szCs w:val="22"/>
        </w:rPr>
        <w:t>a</w:t>
      </w:r>
      <w:r w:rsidRPr="00166DD8">
        <w:rPr>
          <w:i/>
          <w:spacing w:val="6"/>
          <w:sz w:val="22"/>
          <w:szCs w:val="22"/>
        </w:rPr>
        <w:t>des locales de Navarra tienen confiados se dotará a las Haciendas Locales de recursos s</w:t>
      </w:r>
      <w:r w:rsidRPr="00166DD8">
        <w:rPr>
          <w:i/>
          <w:spacing w:val="6"/>
          <w:sz w:val="22"/>
          <w:szCs w:val="22"/>
        </w:rPr>
        <w:t>u</w:t>
      </w:r>
      <w:r w:rsidRPr="00166DD8">
        <w:rPr>
          <w:i/>
          <w:spacing w:val="6"/>
          <w:sz w:val="22"/>
          <w:szCs w:val="22"/>
        </w:rPr>
        <w:t>ficientes, que serán regulados en una Ley Foral de Haciendas Locales como materia propia del régimen local de Navarra previs</w:t>
      </w:r>
      <w:r w:rsidR="00853B4A" w:rsidRPr="00166DD8">
        <w:rPr>
          <w:i/>
          <w:spacing w:val="6"/>
          <w:sz w:val="22"/>
          <w:szCs w:val="22"/>
        </w:rPr>
        <w:t>to en el artí</w:t>
      </w:r>
      <w:r w:rsidRPr="00166DD8">
        <w:rPr>
          <w:i/>
          <w:spacing w:val="6"/>
          <w:sz w:val="22"/>
          <w:szCs w:val="22"/>
        </w:rPr>
        <w:t>culo 18.2 de la Ley Orgánica de Reintegr</w:t>
      </w:r>
      <w:r w:rsidRPr="00166DD8">
        <w:rPr>
          <w:i/>
          <w:spacing w:val="6"/>
          <w:sz w:val="22"/>
          <w:szCs w:val="22"/>
        </w:rPr>
        <w:t>a</w:t>
      </w:r>
      <w:r w:rsidRPr="00166DD8">
        <w:rPr>
          <w:i/>
          <w:spacing w:val="6"/>
          <w:sz w:val="22"/>
          <w:szCs w:val="22"/>
        </w:rPr>
        <w:t>ción y Amejoramiento del Régimen Foral de Navarra.</w:t>
      </w:r>
    </w:p>
    <w:p w:rsidR="00613703" w:rsidRPr="00166DD8" w:rsidRDefault="00613703" w:rsidP="00613703">
      <w:pPr>
        <w:spacing w:line="300" w:lineRule="atLeast"/>
        <w:ind w:right="75" w:firstLine="300"/>
        <w:rPr>
          <w:i/>
          <w:spacing w:val="6"/>
          <w:sz w:val="22"/>
          <w:szCs w:val="22"/>
        </w:rPr>
      </w:pPr>
      <w:r w:rsidRPr="00166DD8">
        <w:rPr>
          <w:i/>
          <w:spacing w:val="6"/>
          <w:sz w:val="22"/>
          <w:szCs w:val="22"/>
        </w:rPr>
        <w:t>La aprobación de la Ley Foral mencionada en el párrafo anterior requerirá la mayoría a</w:t>
      </w:r>
      <w:r w:rsidR="00853B4A" w:rsidRPr="00166DD8">
        <w:rPr>
          <w:i/>
          <w:spacing w:val="6"/>
          <w:sz w:val="22"/>
          <w:szCs w:val="22"/>
        </w:rPr>
        <w:t>bsoluta a que se refiere el artí</w:t>
      </w:r>
      <w:r w:rsidRPr="00166DD8">
        <w:rPr>
          <w:i/>
          <w:spacing w:val="6"/>
          <w:sz w:val="22"/>
          <w:szCs w:val="22"/>
        </w:rPr>
        <w:t>culo 20.2 de la Ley Orgánica de Reintegración y Amejor</w:t>
      </w:r>
      <w:r w:rsidRPr="00166DD8">
        <w:rPr>
          <w:i/>
          <w:spacing w:val="6"/>
          <w:sz w:val="22"/>
          <w:szCs w:val="22"/>
        </w:rPr>
        <w:t>a</w:t>
      </w:r>
      <w:r w:rsidRPr="00166DD8">
        <w:rPr>
          <w:i/>
          <w:spacing w:val="6"/>
          <w:sz w:val="22"/>
          <w:szCs w:val="22"/>
        </w:rPr>
        <w:t>miento del Régimen Foral de Navarra….”</w:t>
      </w:r>
    </w:p>
    <w:p w:rsidR="00BE1465" w:rsidRDefault="00853B4A" w:rsidP="00BE1465">
      <w:pPr>
        <w:pStyle w:val="texto"/>
        <w:rPr>
          <w:lang w:eastAsia="es-ES"/>
        </w:rPr>
      </w:pPr>
      <w:r>
        <w:rPr>
          <w:szCs w:val="26"/>
          <w:lang w:eastAsia="es-ES"/>
        </w:rPr>
        <w:t xml:space="preserve">Así, la normativa de 1981 </w:t>
      </w:r>
      <w:r w:rsidRPr="004A342F">
        <w:rPr>
          <w:szCs w:val="26"/>
          <w:lang w:eastAsia="es-ES"/>
        </w:rPr>
        <w:t xml:space="preserve">quedó derogada con la </w:t>
      </w:r>
      <w:r>
        <w:rPr>
          <w:szCs w:val="26"/>
          <w:lang w:eastAsia="es-ES"/>
        </w:rPr>
        <w:t>aprobación</w:t>
      </w:r>
      <w:r w:rsidRPr="004A342F">
        <w:rPr>
          <w:szCs w:val="26"/>
          <w:lang w:eastAsia="es-ES"/>
        </w:rPr>
        <w:t xml:space="preserve"> de la Ley</w:t>
      </w:r>
      <w:r>
        <w:rPr>
          <w:szCs w:val="26"/>
          <w:lang w:eastAsia="es-ES"/>
        </w:rPr>
        <w:t xml:space="preserve"> Foral 2/1995, de 10 de marzo,</w:t>
      </w:r>
      <w:r w:rsidRPr="004A342F">
        <w:rPr>
          <w:szCs w:val="26"/>
          <w:lang w:eastAsia="es-ES"/>
        </w:rPr>
        <w:t xml:space="preserve"> </w:t>
      </w:r>
      <w:r>
        <w:rPr>
          <w:szCs w:val="26"/>
          <w:lang w:eastAsia="es-ES"/>
        </w:rPr>
        <w:t xml:space="preserve">de Haciendas Locales de Navarra cuyo artículo </w:t>
      </w:r>
      <w:r w:rsidR="00BE1465">
        <w:rPr>
          <w:lang w:eastAsia="es-ES"/>
        </w:rPr>
        <w:t xml:space="preserve">123 </w:t>
      </w:r>
      <w:r w:rsidR="00BE1465" w:rsidRPr="004A342F">
        <w:rPr>
          <w:lang w:eastAsia="es-ES"/>
        </w:rPr>
        <w:t>regul</w:t>
      </w:r>
      <w:r w:rsidR="00BE1465">
        <w:rPr>
          <w:lang w:eastAsia="es-ES"/>
        </w:rPr>
        <w:t>ó</w:t>
      </w:r>
      <w:r w:rsidR="00BE1465" w:rsidRPr="004A342F">
        <w:rPr>
          <w:lang w:eastAsia="es-ES"/>
        </w:rPr>
        <w:t xml:space="preserve"> el alcance de la participación en los tributos de</w:t>
      </w:r>
      <w:r w:rsidR="00BE1465">
        <w:rPr>
          <w:lang w:eastAsia="es-ES"/>
        </w:rPr>
        <w:t xml:space="preserve"> la Hacienda Pública de Navarra; en concreto estableció </w:t>
      </w:r>
      <w:r w:rsidR="00BE1465" w:rsidRPr="004A342F">
        <w:rPr>
          <w:lang w:eastAsia="es-ES"/>
        </w:rPr>
        <w:t>que</w:t>
      </w:r>
      <w:r w:rsidR="00BE1465">
        <w:rPr>
          <w:lang w:eastAsia="es-ES"/>
        </w:rPr>
        <w:t>,</w:t>
      </w:r>
      <w:r w:rsidR="00BE1465" w:rsidRPr="004A342F">
        <w:rPr>
          <w:lang w:eastAsia="es-ES"/>
        </w:rPr>
        <w:t xml:space="preserve"> en el último trimestre del primer año de cada período de mandato municipal</w:t>
      </w:r>
      <w:r w:rsidR="00BE1465">
        <w:rPr>
          <w:lang w:eastAsia="es-ES"/>
        </w:rPr>
        <w:t>,</w:t>
      </w:r>
      <w:r w:rsidR="00BE1465" w:rsidRPr="004A342F">
        <w:rPr>
          <w:lang w:eastAsia="es-ES"/>
        </w:rPr>
        <w:t xml:space="preserve"> el Gobierno de Navarra, previo informe de la Comisión Foral de Régim</w:t>
      </w:r>
      <w:r w:rsidR="00BE1465">
        <w:rPr>
          <w:lang w:eastAsia="es-ES"/>
        </w:rPr>
        <w:t>en Local, elevaría al Parlamento</w:t>
      </w:r>
      <w:r w:rsidR="00BE1465" w:rsidRPr="004A342F">
        <w:rPr>
          <w:lang w:eastAsia="es-ES"/>
        </w:rPr>
        <w:t xml:space="preserve"> un proyecto no</w:t>
      </w:r>
      <w:r w:rsidR="00BE1465" w:rsidRPr="004A342F">
        <w:rPr>
          <w:lang w:eastAsia="es-ES"/>
        </w:rPr>
        <w:t>r</w:t>
      </w:r>
      <w:r w:rsidR="00BE1465" w:rsidRPr="004A342F">
        <w:rPr>
          <w:lang w:eastAsia="es-ES"/>
        </w:rPr>
        <w:t>mativo que fij</w:t>
      </w:r>
      <w:r w:rsidR="00BE1465">
        <w:rPr>
          <w:lang w:eastAsia="es-ES"/>
        </w:rPr>
        <w:t>ara</w:t>
      </w:r>
      <w:r w:rsidR="00BE1465" w:rsidRPr="004A342F">
        <w:rPr>
          <w:lang w:eastAsia="es-ES"/>
        </w:rPr>
        <w:t xml:space="preserve"> la cuantía del </w:t>
      </w:r>
      <w:r w:rsidR="00BE1465">
        <w:rPr>
          <w:lang w:eastAsia="es-ES"/>
        </w:rPr>
        <w:t>f</w:t>
      </w:r>
      <w:r w:rsidR="00BE1465" w:rsidRPr="004A342F">
        <w:rPr>
          <w:lang w:eastAsia="es-ES"/>
        </w:rPr>
        <w:t xml:space="preserve">ondo para los cuatro ejercicios presupuestarios siguientes, así como la fórmula de reparto del </w:t>
      </w:r>
      <w:r w:rsidR="00BE1465">
        <w:rPr>
          <w:lang w:eastAsia="es-ES"/>
        </w:rPr>
        <w:t>mismo</w:t>
      </w:r>
      <w:r w:rsidR="00BE1465" w:rsidRPr="004A342F">
        <w:rPr>
          <w:lang w:eastAsia="es-ES"/>
        </w:rPr>
        <w:t>, con atención a criterios de justicia y proporcionalidad.</w:t>
      </w:r>
    </w:p>
    <w:p w:rsidR="00853B4A" w:rsidRDefault="00BE1465" w:rsidP="00853B4A">
      <w:pPr>
        <w:pStyle w:val="texto"/>
        <w:rPr>
          <w:szCs w:val="26"/>
        </w:rPr>
      </w:pPr>
      <w:r w:rsidRPr="004A342F">
        <w:rPr>
          <w:lang w:eastAsia="es-ES"/>
        </w:rPr>
        <w:t>En este marco</w:t>
      </w:r>
      <w:r>
        <w:rPr>
          <w:lang w:eastAsia="es-ES"/>
        </w:rPr>
        <w:t xml:space="preserve">, se fueron aprobando sucesivas leyes donde se especificaba </w:t>
      </w:r>
      <w:r w:rsidRPr="004A342F">
        <w:rPr>
          <w:lang w:eastAsia="es-ES"/>
        </w:rPr>
        <w:t xml:space="preserve">la cuantía y fórmula de reparto del </w:t>
      </w:r>
      <w:r w:rsidR="00D46114">
        <w:rPr>
          <w:lang w:eastAsia="es-ES"/>
        </w:rPr>
        <w:t>FTC</w:t>
      </w:r>
      <w:r w:rsidRPr="004A342F">
        <w:rPr>
          <w:lang w:eastAsia="es-ES"/>
        </w:rPr>
        <w:t>.</w:t>
      </w:r>
      <w:r w:rsidR="00853B4A">
        <w:rPr>
          <w:lang w:eastAsia="es-ES"/>
        </w:rPr>
        <w:t xml:space="preserve"> En concreto, l</w:t>
      </w:r>
      <w:r>
        <w:rPr>
          <w:szCs w:val="26"/>
        </w:rPr>
        <w:t>a normativa aplicable a la gestión del fondo en el periodo 2009-201</w:t>
      </w:r>
      <w:r w:rsidR="00853B4A">
        <w:rPr>
          <w:szCs w:val="26"/>
        </w:rPr>
        <w:t>8</w:t>
      </w:r>
      <w:r>
        <w:rPr>
          <w:szCs w:val="26"/>
        </w:rPr>
        <w:t xml:space="preserve"> es la que consta en el Anexo 1 que acompaña a este informe. </w:t>
      </w:r>
    </w:p>
    <w:p w:rsidR="00BE1465" w:rsidRDefault="00BE1465" w:rsidP="00853B4A">
      <w:pPr>
        <w:pStyle w:val="texto"/>
        <w:rPr>
          <w:szCs w:val="26"/>
        </w:rPr>
      </w:pPr>
      <w:r w:rsidRPr="00BA10FD">
        <w:rPr>
          <w:szCs w:val="26"/>
        </w:rPr>
        <w:t>De esas normas destacamos la Ley Foral 4/2019</w:t>
      </w:r>
      <w:r w:rsidR="00853B4A">
        <w:rPr>
          <w:szCs w:val="26"/>
        </w:rPr>
        <w:t>, de 4 de febrero, de reforma de la Administración Local de Navarra</w:t>
      </w:r>
      <w:r>
        <w:rPr>
          <w:szCs w:val="26"/>
        </w:rPr>
        <w:t xml:space="preserve"> que</w:t>
      </w:r>
      <w:r w:rsidRPr="00BA10FD">
        <w:rPr>
          <w:szCs w:val="26"/>
        </w:rPr>
        <w:t xml:space="preserve"> modifica el criterio para calcular la cuantía del fondo </w:t>
      </w:r>
      <w:r>
        <w:rPr>
          <w:szCs w:val="26"/>
        </w:rPr>
        <w:t>volviendo a tener en cuenta un porcentaje sobre los DRN de los impuestos liquidados por Navarra en los siguientes términos</w:t>
      </w:r>
      <w:r w:rsidRPr="00BA10FD">
        <w:rPr>
          <w:szCs w:val="26"/>
        </w:rPr>
        <w:t xml:space="preserve">: </w:t>
      </w:r>
    </w:p>
    <w:p w:rsidR="00BE1465" w:rsidRPr="00166DD8" w:rsidRDefault="00BE1465" w:rsidP="00BE1465">
      <w:pPr>
        <w:pStyle w:val="texto"/>
        <w:tabs>
          <w:tab w:val="clear" w:pos="2835"/>
          <w:tab w:val="clear" w:pos="3969"/>
          <w:tab w:val="clear" w:pos="5103"/>
          <w:tab w:val="clear" w:pos="6237"/>
          <w:tab w:val="clear" w:pos="7371"/>
        </w:tabs>
        <w:spacing w:before="120" w:after="120"/>
        <w:rPr>
          <w:i/>
          <w:sz w:val="22"/>
          <w:szCs w:val="22"/>
        </w:rPr>
      </w:pPr>
      <w:r w:rsidRPr="00166DD8">
        <w:rPr>
          <w:i/>
          <w:sz w:val="22"/>
          <w:szCs w:val="22"/>
        </w:rPr>
        <w:t>“….Los municipios, concejos y comarcas de Navarra participarán en los ingresos trib</w:t>
      </w:r>
      <w:r w:rsidRPr="00166DD8">
        <w:rPr>
          <w:i/>
          <w:sz w:val="22"/>
          <w:szCs w:val="22"/>
        </w:rPr>
        <w:t>u</w:t>
      </w:r>
      <w:r w:rsidRPr="00166DD8">
        <w:rPr>
          <w:i/>
          <w:sz w:val="22"/>
          <w:szCs w:val="22"/>
        </w:rPr>
        <w:t>tarios de la Hacienda Pública de Navarra a razón de un porcentaje fijo anual del total de dichos ingresos, conforme a las siguientes determinaciones:</w:t>
      </w:r>
    </w:p>
    <w:p w:rsidR="00BE1465" w:rsidRPr="00166DD8" w:rsidRDefault="00BE1465" w:rsidP="00BE1465">
      <w:pPr>
        <w:pStyle w:val="xa2"/>
        <w:numPr>
          <w:ilvl w:val="0"/>
          <w:numId w:val="16"/>
        </w:numPr>
        <w:shd w:val="clear" w:color="auto" w:fill="FFFFFF"/>
        <w:spacing w:before="120" w:beforeAutospacing="0" w:after="120" w:afterAutospacing="0"/>
        <w:ind w:left="0" w:right="74" w:firstLine="284"/>
        <w:jc w:val="both"/>
        <w:rPr>
          <w:i/>
          <w:spacing w:val="6"/>
          <w:sz w:val="22"/>
          <w:szCs w:val="22"/>
          <w:lang w:val="es-ES_tradnl" w:eastAsia="en-US"/>
        </w:rPr>
      </w:pPr>
      <w:r w:rsidRPr="00166DD8">
        <w:rPr>
          <w:i/>
          <w:spacing w:val="6"/>
          <w:sz w:val="22"/>
          <w:szCs w:val="22"/>
          <w:lang w:val="es-ES_tradnl" w:eastAsia="en-US"/>
        </w:rPr>
        <w:t>Dicho porcentaje se fijará en la legislación foral reguladora de las Haciendas L</w:t>
      </w:r>
      <w:r w:rsidRPr="00166DD8">
        <w:rPr>
          <w:i/>
          <w:spacing w:val="6"/>
          <w:sz w:val="22"/>
          <w:szCs w:val="22"/>
          <w:lang w:val="es-ES_tradnl" w:eastAsia="en-US"/>
        </w:rPr>
        <w:t>o</w:t>
      </w:r>
      <w:r w:rsidRPr="00166DD8">
        <w:rPr>
          <w:i/>
          <w:spacing w:val="6"/>
          <w:sz w:val="22"/>
          <w:szCs w:val="22"/>
          <w:lang w:val="es-ES_tradnl" w:eastAsia="en-US"/>
        </w:rPr>
        <w:t>cales de Navarra y se calculará, una vez descontada la aportación económica de la Com</w:t>
      </w:r>
      <w:r w:rsidRPr="00166DD8">
        <w:rPr>
          <w:i/>
          <w:spacing w:val="6"/>
          <w:sz w:val="22"/>
          <w:szCs w:val="22"/>
          <w:lang w:val="es-ES_tradnl" w:eastAsia="en-US"/>
        </w:rPr>
        <w:t>u</w:t>
      </w:r>
      <w:r w:rsidRPr="00166DD8">
        <w:rPr>
          <w:i/>
          <w:spacing w:val="6"/>
          <w:sz w:val="22"/>
          <w:szCs w:val="22"/>
          <w:lang w:val="es-ES_tradnl" w:eastAsia="en-US"/>
        </w:rPr>
        <w:t>nidad Foral de Navarra al Estado, en función de la distribución competencial entre las e</w:t>
      </w:r>
      <w:r w:rsidRPr="00166DD8">
        <w:rPr>
          <w:i/>
          <w:spacing w:val="6"/>
          <w:sz w:val="22"/>
          <w:szCs w:val="22"/>
          <w:lang w:val="es-ES_tradnl" w:eastAsia="en-US"/>
        </w:rPr>
        <w:t>n</w:t>
      </w:r>
      <w:r w:rsidRPr="00166DD8">
        <w:rPr>
          <w:i/>
          <w:spacing w:val="6"/>
          <w:sz w:val="22"/>
          <w:szCs w:val="22"/>
          <w:lang w:val="es-ES_tradnl" w:eastAsia="en-US"/>
        </w:rPr>
        <w:t>tidades locales de Navarra y la Administración de la Comunidad Foral vigente en cada momento, de conformidad con lo establecido en la disposición transitoria octava de la Ley Foral de Reforma de la Administración Local de Navarra.</w:t>
      </w:r>
    </w:p>
    <w:p w:rsidR="00BE1465" w:rsidRPr="00166DD8" w:rsidRDefault="00BE1465" w:rsidP="00BE1465">
      <w:pPr>
        <w:pStyle w:val="xa2"/>
        <w:numPr>
          <w:ilvl w:val="0"/>
          <w:numId w:val="16"/>
        </w:numPr>
        <w:shd w:val="clear" w:color="auto" w:fill="FFFFFF"/>
        <w:spacing w:before="120" w:beforeAutospacing="0" w:after="120" w:afterAutospacing="0"/>
        <w:ind w:left="0" w:right="74" w:firstLine="284"/>
        <w:jc w:val="both"/>
        <w:rPr>
          <w:i/>
          <w:spacing w:val="6"/>
          <w:sz w:val="22"/>
          <w:szCs w:val="22"/>
          <w:lang w:val="es-ES_tradnl" w:eastAsia="en-US"/>
        </w:rPr>
      </w:pPr>
      <w:r w:rsidRPr="00166DD8">
        <w:rPr>
          <w:i/>
          <w:spacing w:val="6"/>
          <w:sz w:val="22"/>
          <w:szCs w:val="22"/>
          <w:lang w:val="es-ES_tradnl" w:eastAsia="en-US"/>
        </w:rPr>
        <w:t>La base a distribuir entre las entidades locales de Navarra se calculará tomando como referencia los ingresos tributarios del último ejercicio contable cerrado por la H</w:t>
      </w:r>
      <w:r w:rsidRPr="00166DD8">
        <w:rPr>
          <w:i/>
          <w:spacing w:val="6"/>
          <w:sz w:val="22"/>
          <w:szCs w:val="22"/>
          <w:lang w:val="es-ES_tradnl" w:eastAsia="en-US"/>
        </w:rPr>
        <w:t>a</w:t>
      </w:r>
      <w:r w:rsidRPr="00166DD8">
        <w:rPr>
          <w:i/>
          <w:spacing w:val="6"/>
          <w:sz w:val="22"/>
          <w:szCs w:val="22"/>
          <w:lang w:val="es-ES_tradnl" w:eastAsia="en-US"/>
        </w:rPr>
        <w:t>cienda Pública antes de la aprobación del presupuesto de que se trate…”.</w:t>
      </w:r>
    </w:p>
    <w:p w:rsidR="00853B4A" w:rsidRDefault="00853B4A">
      <w:pPr>
        <w:spacing w:after="0"/>
        <w:ind w:firstLine="0"/>
        <w:jc w:val="left"/>
        <w:rPr>
          <w:rFonts w:ascii="Arial" w:hAnsi="Arial" w:cs="Arial"/>
          <w:i/>
          <w:spacing w:val="6"/>
          <w:sz w:val="26"/>
          <w:szCs w:val="26"/>
        </w:rPr>
      </w:pPr>
      <w:r>
        <w:rPr>
          <w:rFonts w:ascii="Arial" w:hAnsi="Arial" w:cs="Arial"/>
          <w:i/>
          <w:szCs w:val="26"/>
        </w:rPr>
        <w:br w:type="page"/>
      </w:r>
    </w:p>
    <w:p w:rsidR="00BE1465" w:rsidRPr="00BE1C34" w:rsidRDefault="00BE1465" w:rsidP="00BE1465">
      <w:pPr>
        <w:pStyle w:val="texto"/>
        <w:tabs>
          <w:tab w:val="clear" w:pos="2835"/>
          <w:tab w:val="clear" w:pos="3969"/>
          <w:tab w:val="clear" w:pos="5103"/>
          <w:tab w:val="clear" w:pos="6237"/>
          <w:tab w:val="clear" w:pos="7371"/>
        </w:tabs>
        <w:spacing w:before="240"/>
        <w:ind w:firstLine="0"/>
        <w:jc w:val="left"/>
        <w:rPr>
          <w:rFonts w:ascii="Arial" w:hAnsi="Arial" w:cs="Arial"/>
          <w:i/>
          <w:szCs w:val="26"/>
        </w:rPr>
      </w:pPr>
      <w:r>
        <w:rPr>
          <w:rFonts w:ascii="Arial" w:hAnsi="Arial" w:cs="Arial"/>
          <w:i/>
          <w:szCs w:val="26"/>
        </w:rPr>
        <w:lastRenderedPageBreak/>
        <w:t xml:space="preserve">Distribución del </w:t>
      </w:r>
      <w:r w:rsidR="00853B4A">
        <w:rPr>
          <w:rFonts w:ascii="Arial" w:hAnsi="Arial" w:cs="Arial"/>
          <w:i/>
          <w:szCs w:val="26"/>
        </w:rPr>
        <w:t>FTC</w:t>
      </w:r>
    </w:p>
    <w:p w:rsidR="00BE1465" w:rsidRDefault="00BE1465" w:rsidP="00BE1465">
      <w:pPr>
        <w:pStyle w:val="texto"/>
        <w:tabs>
          <w:tab w:val="clear" w:pos="2835"/>
          <w:tab w:val="clear" w:pos="3969"/>
          <w:tab w:val="clear" w:pos="5103"/>
          <w:tab w:val="clear" w:pos="6237"/>
          <w:tab w:val="clear" w:pos="7371"/>
        </w:tabs>
        <w:spacing w:after="120"/>
        <w:rPr>
          <w:szCs w:val="26"/>
        </w:rPr>
      </w:pPr>
      <w:r>
        <w:rPr>
          <w:szCs w:val="26"/>
        </w:rPr>
        <w:t>Las haciendas locales recib</w:t>
      </w:r>
      <w:r w:rsidR="00753A65">
        <w:rPr>
          <w:szCs w:val="26"/>
        </w:rPr>
        <w:t>ieron</w:t>
      </w:r>
      <w:r>
        <w:rPr>
          <w:szCs w:val="26"/>
        </w:rPr>
        <w:t xml:space="preserve"> </w:t>
      </w:r>
      <w:r w:rsidR="006213FA">
        <w:rPr>
          <w:szCs w:val="26"/>
        </w:rPr>
        <w:t>el FTC</w:t>
      </w:r>
      <w:r>
        <w:rPr>
          <w:szCs w:val="26"/>
        </w:rPr>
        <w:t xml:space="preserve"> trimestralmente por cantidades o</w:t>
      </w:r>
      <w:r>
        <w:rPr>
          <w:szCs w:val="26"/>
        </w:rPr>
        <w:t>b</w:t>
      </w:r>
      <w:r>
        <w:rPr>
          <w:szCs w:val="26"/>
        </w:rPr>
        <w:t>tenidas mediante una fórmula redistributiva</w:t>
      </w:r>
      <w:r w:rsidR="00753A65">
        <w:rPr>
          <w:szCs w:val="26"/>
        </w:rPr>
        <w:t xml:space="preserve"> hasta 2017; a partir de 2018 esta recepción se hizo de forma semestral</w:t>
      </w:r>
      <w:r>
        <w:rPr>
          <w:szCs w:val="26"/>
        </w:rPr>
        <w:t xml:space="preserve">. </w:t>
      </w:r>
    </w:p>
    <w:p w:rsidR="00BE1465" w:rsidRDefault="00BE1465" w:rsidP="00C57E33">
      <w:pPr>
        <w:pStyle w:val="texto"/>
        <w:tabs>
          <w:tab w:val="clear" w:pos="2835"/>
          <w:tab w:val="clear" w:pos="3969"/>
          <w:tab w:val="clear" w:pos="5103"/>
          <w:tab w:val="clear" w:pos="6237"/>
          <w:tab w:val="clear" w:pos="7371"/>
        </w:tabs>
        <w:spacing w:after="240"/>
        <w:rPr>
          <w:szCs w:val="26"/>
        </w:rPr>
      </w:pPr>
      <w:r>
        <w:rPr>
          <w:szCs w:val="26"/>
        </w:rPr>
        <w:t xml:space="preserve">Las variables consideradas para distribuir </w:t>
      </w:r>
      <w:r w:rsidR="006213FA">
        <w:rPr>
          <w:szCs w:val="26"/>
        </w:rPr>
        <w:t>el FTC</w:t>
      </w:r>
      <w:r>
        <w:rPr>
          <w:szCs w:val="26"/>
        </w:rPr>
        <w:t xml:space="preserve"> entre las haciendas locales y sus ponderaciones, desde el establecimient</w:t>
      </w:r>
      <w:r w:rsidR="00C57E33">
        <w:rPr>
          <w:szCs w:val="26"/>
        </w:rPr>
        <w:t xml:space="preserve">o del reparto del </w:t>
      </w:r>
      <w:r w:rsidR="006213FA">
        <w:rPr>
          <w:szCs w:val="26"/>
        </w:rPr>
        <w:t>mismo</w:t>
      </w:r>
      <w:r w:rsidR="00C57E33">
        <w:rPr>
          <w:szCs w:val="26"/>
        </w:rPr>
        <w:t xml:space="preserve"> hasta el </w:t>
      </w:r>
      <w:r>
        <w:rPr>
          <w:szCs w:val="26"/>
        </w:rPr>
        <w:t>año 2000, fueron las siguientes:</w:t>
      </w:r>
    </w:p>
    <w:tbl>
      <w:tblPr>
        <w:tblW w:w="8931" w:type="dxa"/>
        <w:jc w:val="center"/>
        <w:tblInd w:w="33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5"/>
        <w:gridCol w:w="896"/>
        <w:gridCol w:w="871"/>
        <w:gridCol w:w="992"/>
        <w:gridCol w:w="892"/>
        <w:gridCol w:w="812"/>
        <w:gridCol w:w="981"/>
        <w:gridCol w:w="932"/>
        <w:gridCol w:w="917"/>
        <w:gridCol w:w="713"/>
      </w:tblGrid>
      <w:tr w:rsidR="00D03ACB" w:rsidRPr="00405763" w:rsidTr="00543947">
        <w:trPr>
          <w:trHeight w:val="255"/>
          <w:jc w:val="center"/>
        </w:trPr>
        <w:tc>
          <w:tcPr>
            <w:tcW w:w="925"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left"/>
              <w:rPr>
                <w:rFonts w:ascii="Arial" w:hAnsi="Arial" w:cs="Arial"/>
                <w:sz w:val="18"/>
                <w:szCs w:val="18"/>
              </w:rPr>
            </w:pPr>
            <w:r w:rsidRPr="00405763">
              <w:rPr>
                <w:rFonts w:ascii="Arial" w:hAnsi="Arial" w:cs="Arial"/>
                <w:sz w:val="18"/>
                <w:szCs w:val="18"/>
              </w:rPr>
              <w:t>Año</w:t>
            </w:r>
          </w:p>
        </w:tc>
        <w:tc>
          <w:tcPr>
            <w:tcW w:w="896" w:type="dxa"/>
            <w:tcBorders>
              <w:bottom w:val="single" w:sz="4" w:space="0" w:color="auto"/>
            </w:tcBorders>
            <w:shd w:val="clear" w:color="auto" w:fill="FABF8F" w:themeFill="accent6" w:themeFillTint="99"/>
            <w:vAlign w:val="center"/>
          </w:tcPr>
          <w:p w:rsidR="00BE1465" w:rsidRPr="00405763" w:rsidRDefault="00BE1465" w:rsidP="00D03ACB">
            <w:pPr>
              <w:spacing w:after="0"/>
              <w:ind w:left="-63" w:right="-45" w:firstLine="0"/>
              <w:jc w:val="right"/>
              <w:rPr>
                <w:rFonts w:ascii="Arial" w:hAnsi="Arial" w:cs="Arial"/>
                <w:sz w:val="18"/>
                <w:szCs w:val="18"/>
              </w:rPr>
            </w:pPr>
            <w:r w:rsidRPr="00405763">
              <w:rPr>
                <w:rFonts w:ascii="Arial" w:hAnsi="Arial" w:cs="Arial"/>
                <w:sz w:val="18"/>
                <w:szCs w:val="18"/>
              </w:rPr>
              <w:t>Población</w:t>
            </w:r>
          </w:p>
        </w:tc>
        <w:tc>
          <w:tcPr>
            <w:tcW w:w="871" w:type="dxa"/>
            <w:tcBorders>
              <w:bottom w:val="single" w:sz="4" w:space="0" w:color="auto"/>
            </w:tcBorders>
            <w:shd w:val="clear" w:color="auto" w:fill="FABF8F" w:themeFill="accent6" w:themeFillTint="99"/>
            <w:vAlign w:val="center"/>
          </w:tcPr>
          <w:p w:rsidR="00BE1465" w:rsidRPr="00405763" w:rsidRDefault="00BE1465" w:rsidP="00B850F7">
            <w:pPr>
              <w:spacing w:after="0"/>
              <w:ind w:left="-84" w:firstLine="0"/>
              <w:jc w:val="right"/>
              <w:rPr>
                <w:rFonts w:ascii="Arial" w:hAnsi="Arial" w:cs="Arial"/>
                <w:sz w:val="18"/>
                <w:szCs w:val="18"/>
              </w:rPr>
            </w:pPr>
            <w:r w:rsidRPr="00405763">
              <w:rPr>
                <w:rFonts w:ascii="Arial" w:hAnsi="Arial" w:cs="Arial"/>
                <w:sz w:val="18"/>
                <w:szCs w:val="18"/>
              </w:rPr>
              <w:t>N</w:t>
            </w:r>
            <w:r w:rsidR="00B850F7">
              <w:rPr>
                <w:rFonts w:ascii="Arial" w:hAnsi="Arial" w:cs="Arial"/>
                <w:sz w:val="18"/>
                <w:szCs w:val="18"/>
              </w:rPr>
              <w:t>úmero</w:t>
            </w:r>
          </w:p>
          <w:p w:rsidR="00BE1465" w:rsidRPr="00405763" w:rsidRDefault="00BE1465" w:rsidP="00B850F7">
            <w:pPr>
              <w:spacing w:after="0"/>
              <w:ind w:left="-84" w:firstLine="0"/>
              <w:jc w:val="right"/>
              <w:rPr>
                <w:rFonts w:ascii="Arial" w:hAnsi="Arial" w:cs="Arial"/>
                <w:sz w:val="18"/>
                <w:szCs w:val="18"/>
              </w:rPr>
            </w:pPr>
            <w:r w:rsidRPr="00405763">
              <w:rPr>
                <w:rFonts w:ascii="Arial" w:hAnsi="Arial" w:cs="Arial"/>
                <w:sz w:val="18"/>
                <w:szCs w:val="18"/>
              </w:rPr>
              <w:t>viviendas</w:t>
            </w:r>
          </w:p>
        </w:tc>
        <w:tc>
          <w:tcPr>
            <w:tcW w:w="992"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Gastos</w:t>
            </w:r>
          </w:p>
          <w:p w:rsidR="00BE1465" w:rsidRPr="00405763" w:rsidRDefault="00B850F7" w:rsidP="00D03ACB">
            <w:pPr>
              <w:spacing w:after="0"/>
              <w:ind w:firstLine="0"/>
              <w:jc w:val="right"/>
              <w:rPr>
                <w:rFonts w:ascii="Arial" w:hAnsi="Arial" w:cs="Arial"/>
                <w:sz w:val="18"/>
                <w:szCs w:val="18"/>
              </w:rPr>
            </w:pPr>
            <w:r>
              <w:rPr>
                <w:rFonts w:ascii="Arial" w:hAnsi="Arial" w:cs="Arial"/>
                <w:sz w:val="18"/>
                <w:szCs w:val="18"/>
              </w:rPr>
              <w:t>e</w:t>
            </w:r>
            <w:r w:rsidR="00BE1465" w:rsidRPr="00405763">
              <w:rPr>
                <w:rFonts w:ascii="Arial" w:hAnsi="Arial" w:cs="Arial"/>
                <w:sz w:val="18"/>
                <w:szCs w:val="18"/>
              </w:rPr>
              <w:t>ducación</w:t>
            </w:r>
          </w:p>
        </w:tc>
        <w:tc>
          <w:tcPr>
            <w:tcW w:w="892"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Montepío</w:t>
            </w:r>
          </w:p>
        </w:tc>
        <w:tc>
          <w:tcPr>
            <w:tcW w:w="812"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Presión</w:t>
            </w:r>
          </w:p>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fiscal</w:t>
            </w:r>
          </w:p>
        </w:tc>
        <w:tc>
          <w:tcPr>
            <w:tcW w:w="981"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Esfuerzo</w:t>
            </w:r>
          </w:p>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fiscal</w:t>
            </w:r>
          </w:p>
        </w:tc>
        <w:tc>
          <w:tcPr>
            <w:tcW w:w="932" w:type="dxa"/>
            <w:tcBorders>
              <w:bottom w:val="single" w:sz="4" w:space="0" w:color="auto"/>
            </w:tcBorders>
            <w:shd w:val="clear" w:color="auto" w:fill="FABF8F" w:themeFill="accent6" w:themeFillTint="99"/>
            <w:vAlign w:val="center"/>
          </w:tcPr>
          <w:p w:rsidR="00BE1465" w:rsidRPr="00405763" w:rsidRDefault="00405763" w:rsidP="00543947">
            <w:pPr>
              <w:spacing w:after="0"/>
              <w:ind w:left="-69" w:firstLine="0"/>
              <w:jc w:val="right"/>
              <w:rPr>
                <w:rFonts w:ascii="Arial" w:hAnsi="Arial" w:cs="Arial"/>
                <w:sz w:val="18"/>
                <w:szCs w:val="18"/>
              </w:rPr>
            </w:pPr>
            <w:r>
              <w:rPr>
                <w:rFonts w:ascii="Arial" w:hAnsi="Arial" w:cs="Arial"/>
                <w:sz w:val="18"/>
                <w:szCs w:val="18"/>
              </w:rPr>
              <w:t>Variable</w:t>
            </w:r>
          </w:p>
          <w:p w:rsidR="00BE1465" w:rsidRPr="00405763" w:rsidRDefault="00D03ACB" w:rsidP="00543947">
            <w:pPr>
              <w:spacing w:after="0"/>
              <w:ind w:left="-69" w:firstLine="0"/>
              <w:jc w:val="right"/>
              <w:rPr>
                <w:rFonts w:ascii="Arial" w:hAnsi="Arial" w:cs="Arial"/>
                <w:sz w:val="18"/>
                <w:szCs w:val="18"/>
              </w:rPr>
            </w:pPr>
            <w:r w:rsidRPr="00405763">
              <w:rPr>
                <w:rFonts w:ascii="Arial" w:hAnsi="Arial" w:cs="Arial"/>
                <w:sz w:val="18"/>
                <w:szCs w:val="18"/>
              </w:rPr>
              <w:t>e</w:t>
            </w:r>
            <w:r w:rsidR="00BE1465" w:rsidRPr="00405763">
              <w:rPr>
                <w:rFonts w:ascii="Arial" w:hAnsi="Arial" w:cs="Arial"/>
                <w:sz w:val="18"/>
                <w:szCs w:val="18"/>
              </w:rPr>
              <w:t>xplicativa</w:t>
            </w:r>
          </w:p>
          <w:p w:rsidR="00BE1465" w:rsidRPr="00405763" w:rsidRDefault="00BE1465" w:rsidP="00543947">
            <w:pPr>
              <w:spacing w:after="0"/>
              <w:ind w:left="-69" w:firstLine="0"/>
              <w:jc w:val="right"/>
              <w:rPr>
                <w:rFonts w:ascii="Arial" w:hAnsi="Arial" w:cs="Arial"/>
                <w:sz w:val="18"/>
                <w:szCs w:val="18"/>
              </w:rPr>
            </w:pPr>
            <w:r w:rsidRPr="00405763">
              <w:rPr>
                <w:rFonts w:ascii="Arial" w:hAnsi="Arial" w:cs="Arial"/>
                <w:sz w:val="18"/>
                <w:szCs w:val="18"/>
              </w:rPr>
              <w:t>del gasto</w:t>
            </w:r>
          </w:p>
        </w:tc>
        <w:tc>
          <w:tcPr>
            <w:tcW w:w="917"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Valor</w:t>
            </w:r>
          </w:p>
          <w:p w:rsidR="00BE1465" w:rsidRPr="00405763" w:rsidRDefault="00D03ACB" w:rsidP="00D03ACB">
            <w:pPr>
              <w:spacing w:after="0"/>
              <w:ind w:firstLine="0"/>
              <w:jc w:val="right"/>
              <w:rPr>
                <w:rFonts w:ascii="Arial" w:hAnsi="Arial" w:cs="Arial"/>
                <w:sz w:val="18"/>
                <w:szCs w:val="18"/>
              </w:rPr>
            </w:pPr>
            <w:r w:rsidRPr="00405763">
              <w:rPr>
                <w:rFonts w:ascii="Arial" w:hAnsi="Arial" w:cs="Arial"/>
                <w:sz w:val="18"/>
                <w:szCs w:val="18"/>
              </w:rPr>
              <w:t>c</w:t>
            </w:r>
            <w:r w:rsidR="00BE1465" w:rsidRPr="00405763">
              <w:rPr>
                <w:rFonts w:ascii="Arial" w:hAnsi="Arial" w:cs="Arial"/>
                <w:sz w:val="18"/>
                <w:szCs w:val="18"/>
              </w:rPr>
              <w:t xml:space="preserve">atastral </w:t>
            </w:r>
            <w:r w:rsidRPr="00405763">
              <w:rPr>
                <w:rFonts w:ascii="Arial" w:hAnsi="Arial" w:cs="Arial"/>
                <w:sz w:val="18"/>
                <w:szCs w:val="18"/>
              </w:rPr>
              <w:t>c</w:t>
            </w:r>
            <w:r w:rsidR="00BE1465" w:rsidRPr="00405763">
              <w:rPr>
                <w:rFonts w:ascii="Arial" w:hAnsi="Arial" w:cs="Arial"/>
                <w:sz w:val="18"/>
                <w:szCs w:val="18"/>
              </w:rPr>
              <w:t>omunal</w:t>
            </w:r>
          </w:p>
        </w:tc>
        <w:tc>
          <w:tcPr>
            <w:tcW w:w="713" w:type="dxa"/>
            <w:tcBorders>
              <w:bottom w:val="single" w:sz="4" w:space="0" w:color="auto"/>
            </w:tcBorders>
            <w:shd w:val="clear" w:color="auto" w:fill="FABF8F" w:themeFill="accent6" w:themeFillTint="99"/>
            <w:vAlign w:val="center"/>
          </w:tcPr>
          <w:p w:rsidR="00BE1465" w:rsidRPr="00405763" w:rsidRDefault="00BE1465" w:rsidP="00D03ACB">
            <w:pPr>
              <w:spacing w:after="0"/>
              <w:ind w:firstLine="0"/>
              <w:jc w:val="right"/>
              <w:rPr>
                <w:rFonts w:ascii="Arial" w:hAnsi="Arial" w:cs="Arial"/>
                <w:sz w:val="18"/>
                <w:szCs w:val="18"/>
              </w:rPr>
            </w:pPr>
            <w:r w:rsidRPr="00405763">
              <w:rPr>
                <w:rFonts w:ascii="Arial" w:hAnsi="Arial" w:cs="Arial"/>
                <w:sz w:val="18"/>
                <w:szCs w:val="18"/>
              </w:rPr>
              <w:t>Total</w:t>
            </w:r>
          </w:p>
        </w:tc>
      </w:tr>
      <w:tr w:rsidR="00BE1465" w:rsidRPr="00C57E33" w:rsidTr="00543947">
        <w:trPr>
          <w:trHeight w:val="255"/>
          <w:jc w:val="center"/>
        </w:trPr>
        <w:tc>
          <w:tcPr>
            <w:tcW w:w="925" w:type="dxa"/>
            <w:tcBorders>
              <w:bottom w:val="single" w:sz="2" w:space="0" w:color="auto"/>
            </w:tcBorders>
            <w:vAlign w:val="center"/>
          </w:tcPr>
          <w:p w:rsidR="00BE1465" w:rsidRPr="00C57E33" w:rsidRDefault="00BE1465" w:rsidP="00D03ACB">
            <w:pPr>
              <w:spacing w:after="0"/>
              <w:ind w:firstLine="0"/>
              <w:jc w:val="left"/>
              <w:rPr>
                <w:rFonts w:ascii="Arial Narrow" w:hAnsi="Arial Narrow"/>
              </w:rPr>
            </w:pPr>
            <w:r w:rsidRPr="00C57E33">
              <w:rPr>
                <w:rFonts w:ascii="Arial Narrow" w:hAnsi="Arial Narrow"/>
              </w:rPr>
              <w:t>1984</w:t>
            </w:r>
          </w:p>
        </w:tc>
        <w:tc>
          <w:tcPr>
            <w:tcW w:w="896" w:type="dxa"/>
            <w:tcBorders>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sidRPr="00C57E33">
              <w:rPr>
                <w:rFonts w:ascii="Arial Narrow" w:hAnsi="Arial Narrow"/>
              </w:rPr>
              <w:t xml:space="preserve">75% </w:t>
            </w:r>
          </w:p>
        </w:tc>
        <w:tc>
          <w:tcPr>
            <w:tcW w:w="871" w:type="dxa"/>
            <w:tcBorders>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25%</w:t>
            </w:r>
          </w:p>
        </w:tc>
        <w:tc>
          <w:tcPr>
            <w:tcW w:w="992" w:type="dxa"/>
            <w:tcBorders>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892" w:type="dxa"/>
            <w:tcBorders>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812" w:type="dxa"/>
            <w:tcBorders>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81" w:type="dxa"/>
            <w:tcBorders>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32" w:type="dxa"/>
            <w:tcBorders>
              <w:bottom w:val="single" w:sz="2" w:space="0" w:color="auto"/>
            </w:tcBorders>
            <w:vAlign w:val="center"/>
          </w:tcPr>
          <w:p w:rsidR="00BE1465" w:rsidRPr="00C57E33" w:rsidRDefault="00BE1465" w:rsidP="00543947">
            <w:pPr>
              <w:spacing w:after="0"/>
              <w:ind w:left="-69"/>
              <w:jc w:val="right"/>
              <w:rPr>
                <w:rFonts w:ascii="Arial Narrow" w:hAnsi="Arial Narrow"/>
              </w:rPr>
            </w:pPr>
            <w:r w:rsidRPr="00C57E33">
              <w:rPr>
                <w:rFonts w:ascii="Arial Narrow" w:hAnsi="Arial Narrow"/>
              </w:rPr>
              <w:t>-</w:t>
            </w:r>
          </w:p>
        </w:tc>
        <w:tc>
          <w:tcPr>
            <w:tcW w:w="917" w:type="dxa"/>
            <w:tcBorders>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713" w:type="dxa"/>
            <w:tcBorders>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sidRPr="00C57E33">
              <w:rPr>
                <w:rFonts w:ascii="Arial Narrow" w:hAnsi="Arial Narrow"/>
              </w:rPr>
              <w:t>1985</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sidRPr="00C57E33">
              <w:rPr>
                <w:rFonts w:ascii="Arial Narrow" w:hAnsi="Arial Narrow"/>
              </w:rPr>
              <w:t>65%</w:t>
            </w:r>
          </w:p>
        </w:tc>
        <w:tc>
          <w:tcPr>
            <w:tcW w:w="871"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w:t>
            </w:r>
          </w:p>
        </w:tc>
        <w:tc>
          <w:tcPr>
            <w:tcW w:w="99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7%</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18%</w:t>
            </w:r>
          </w:p>
        </w:tc>
        <w:tc>
          <w:tcPr>
            <w:tcW w:w="81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8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sidRPr="00C57E33">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sidRPr="00C57E33">
              <w:rPr>
                <w:rFonts w:ascii="Arial Narrow" w:hAnsi="Arial Narrow"/>
              </w:rPr>
              <w:t>1986</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sidRPr="00C57E33">
              <w:rPr>
                <w:rFonts w:ascii="Arial Narrow" w:hAnsi="Arial Narrow"/>
              </w:rPr>
              <w:t>65%</w:t>
            </w:r>
          </w:p>
        </w:tc>
        <w:tc>
          <w:tcPr>
            <w:tcW w:w="87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p>
        </w:tc>
        <w:tc>
          <w:tcPr>
            <w:tcW w:w="99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7%</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18%</w:t>
            </w:r>
          </w:p>
        </w:tc>
        <w:tc>
          <w:tcPr>
            <w:tcW w:w="81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w:t>
            </w:r>
          </w:p>
        </w:tc>
        <w:tc>
          <w:tcPr>
            <w:tcW w:w="98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sidRPr="00C57E33">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sidRPr="00C57E33">
              <w:rPr>
                <w:rFonts w:ascii="Arial Narrow" w:hAnsi="Arial Narrow"/>
              </w:rPr>
              <w:t>1987</w:t>
            </w:r>
          </w:p>
        </w:tc>
        <w:tc>
          <w:tcPr>
            <w:tcW w:w="2759" w:type="dxa"/>
            <w:gridSpan w:val="3"/>
            <w:tcBorders>
              <w:top w:val="single" w:sz="2" w:space="0" w:color="auto"/>
              <w:bottom w:val="single" w:sz="2" w:space="0" w:color="auto"/>
            </w:tcBorders>
            <w:vAlign w:val="center"/>
          </w:tcPr>
          <w:p w:rsidR="00BE1465" w:rsidRPr="00C57E33" w:rsidRDefault="00BE1465" w:rsidP="00D03ACB">
            <w:pPr>
              <w:spacing w:after="0"/>
              <w:ind w:left="-63" w:right="-45" w:firstLine="0"/>
              <w:jc w:val="center"/>
              <w:rPr>
                <w:rFonts w:ascii="Arial Narrow" w:hAnsi="Arial Narrow"/>
              </w:rPr>
            </w:pPr>
            <w:r w:rsidRPr="00C57E33">
              <w:rPr>
                <w:rFonts w:ascii="Arial Narrow" w:hAnsi="Arial Narrow"/>
              </w:rPr>
              <w:t>90% en función del reparto 1986</w:t>
            </w:r>
          </w:p>
        </w:tc>
        <w:tc>
          <w:tcPr>
            <w:tcW w:w="89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812"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81"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sidRPr="00C57E33">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sidRPr="00C57E33">
              <w:rPr>
                <w:rFonts w:ascii="Arial Narrow" w:hAnsi="Arial Narrow"/>
              </w:rPr>
              <w:t>1989-95</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sidRPr="00C57E33">
              <w:rPr>
                <w:rFonts w:ascii="Arial Narrow" w:hAnsi="Arial Narrow"/>
              </w:rPr>
              <w:t>63%</w:t>
            </w:r>
          </w:p>
        </w:tc>
        <w:tc>
          <w:tcPr>
            <w:tcW w:w="87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6'5%</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16'5%</w:t>
            </w:r>
          </w:p>
        </w:tc>
        <w:tc>
          <w:tcPr>
            <w:tcW w:w="81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14%</w:t>
            </w:r>
          </w:p>
        </w:tc>
        <w:tc>
          <w:tcPr>
            <w:tcW w:w="98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jc w:val="right"/>
              <w:rPr>
                <w:rFonts w:ascii="Arial Narrow" w:hAnsi="Arial Narrow"/>
              </w:rPr>
            </w:pPr>
            <w:r w:rsidRPr="00C57E33">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100%</w:t>
            </w:r>
          </w:p>
        </w:tc>
      </w:tr>
      <w:tr w:rsidR="00BE1465" w:rsidRPr="00C57E33" w:rsidTr="00543947">
        <w:trPr>
          <w:trHeight w:val="255"/>
          <w:jc w:val="center"/>
        </w:trPr>
        <w:tc>
          <w:tcPr>
            <w:tcW w:w="925" w:type="dxa"/>
            <w:tcBorders>
              <w:top w:val="single" w:sz="2" w:space="0" w:color="auto"/>
              <w:bottom w:val="single" w:sz="2" w:space="0" w:color="auto"/>
            </w:tcBorders>
            <w:vAlign w:val="center"/>
          </w:tcPr>
          <w:p w:rsidR="00BE1465" w:rsidRPr="00C57E33" w:rsidRDefault="00BE1465" w:rsidP="00D03ACB">
            <w:pPr>
              <w:spacing w:after="0"/>
              <w:ind w:firstLine="0"/>
              <w:jc w:val="left"/>
              <w:rPr>
                <w:rFonts w:ascii="Arial Narrow" w:hAnsi="Arial Narrow"/>
              </w:rPr>
            </w:pPr>
            <w:r w:rsidRPr="00C57E33">
              <w:rPr>
                <w:rFonts w:ascii="Arial Narrow" w:hAnsi="Arial Narrow"/>
              </w:rPr>
              <w:t>1996-97</w:t>
            </w:r>
          </w:p>
        </w:tc>
        <w:tc>
          <w:tcPr>
            <w:tcW w:w="896" w:type="dxa"/>
            <w:tcBorders>
              <w:top w:val="single" w:sz="2" w:space="0" w:color="auto"/>
              <w:bottom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sidRPr="00C57E33">
              <w:rPr>
                <w:rFonts w:ascii="Arial Narrow" w:hAnsi="Arial Narrow"/>
              </w:rPr>
              <w:t>63'5%</w:t>
            </w:r>
          </w:p>
        </w:tc>
        <w:tc>
          <w:tcPr>
            <w:tcW w:w="871"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9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6'2%</w:t>
            </w:r>
          </w:p>
        </w:tc>
        <w:tc>
          <w:tcPr>
            <w:tcW w:w="89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16'8%</w:t>
            </w:r>
          </w:p>
        </w:tc>
        <w:tc>
          <w:tcPr>
            <w:tcW w:w="812"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9'4%</w:t>
            </w:r>
          </w:p>
        </w:tc>
        <w:tc>
          <w:tcPr>
            <w:tcW w:w="981"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4'1%</w:t>
            </w:r>
          </w:p>
        </w:tc>
        <w:tc>
          <w:tcPr>
            <w:tcW w:w="932" w:type="dxa"/>
            <w:tcBorders>
              <w:top w:val="single" w:sz="2" w:space="0" w:color="auto"/>
              <w:bottom w:val="single" w:sz="2" w:space="0" w:color="auto"/>
            </w:tcBorders>
            <w:vAlign w:val="center"/>
          </w:tcPr>
          <w:p w:rsidR="00BE1465" w:rsidRPr="00C57E33" w:rsidRDefault="00BE1465" w:rsidP="00543947">
            <w:pPr>
              <w:spacing w:after="0"/>
              <w:ind w:left="-69" w:firstLine="0"/>
              <w:jc w:val="right"/>
              <w:rPr>
                <w:rFonts w:ascii="Arial Narrow" w:hAnsi="Arial Narrow"/>
              </w:rPr>
            </w:pPr>
            <w:r w:rsidRPr="00C57E33">
              <w:rPr>
                <w:rFonts w:ascii="Arial Narrow" w:hAnsi="Arial Narrow"/>
              </w:rPr>
              <w:t>-</w:t>
            </w:r>
          </w:p>
        </w:tc>
        <w:tc>
          <w:tcPr>
            <w:tcW w:w="917" w:type="dxa"/>
            <w:tcBorders>
              <w:top w:val="single" w:sz="2" w:space="0" w:color="auto"/>
              <w:bottom w:val="single" w:sz="2" w:space="0" w:color="auto"/>
            </w:tcBorders>
            <w:vAlign w:val="center"/>
          </w:tcPr>
          <w:p w:rsidR="00BE1465" w:rsidRPr="00C57E33" w:rsidRDefault="00BE1465" w:rsidP="00BE1465">
            <w:pPr>
              <w:spacing w:after="0"/>
              <w:jc w:val="right"/>
              <w:rPr>
                <w:rFonts w:ascii="Arial Narrow" w:hAnsi="Arial Narrow"/>
              </w:rPr>
            </w:pPr>
            <w:r w:rsidRPr="00C57E33">
              <w:rPr>
                <w:rFonts w:ascii="Arial Narrow" w:hAnsi="Arial Narrow"/>
              </w:rPr>
              <w:t>-</w:t>
            </w:r>
          </w:p>
        </w:tc>
        <w:tc>
          <w:tcPr>
            <w:tcW w:w="713" w:type="dxa"/>
            <w:tcBorders>
              <w:top w:val="single" w:sz="2" w:space="0" w:color="auto"/>
              <w:bottom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100%</w:t>
            </w:r>
          </w:p>
        </w:tc>
      </w:tr>
      <w:tr w:rsidR="00BE1465" w:rsidRPr="00C57E33" w:rsidTr="00543947">
        <w:trPr>
          <w:trHeight w:val="255"/>
          <w:jc w:val="center"/>
        </w:trPr>
        <w:tc>
          <w:tcPr>
            <w:tcW w:w="925" w:type="dxa"/>
            <w:tcBorders>
              <w:top w:val="single" w:sz="2" w:space="0" w:color="auto"/>
            </w:tcBorders>
            <w:vAlign w:val="center"/>
          </w:tcPr>
          <w:p w:rsidR="00BE1465" w:rsidRPr="00C57E33" w:rsidRDefault="00BE1465" w:rsidP="00D03ACB">
            <w:pPr>
              <w:spacing w:after="0"/>
              <w:ind w:firstLine="0"/>
              <w:jc w:val="left"/>
              <w:rPr>
                <w:rFonts w:ascii="Arial Narrow" w:hAnsi="Arial Narrow"/>
              </w:rPr>
            </w:pPr>
            <w:r w:rsidRPr="00C57E33">
              <w:rPr>
                <w:rFonts w:ascii="Arial Narrow" w:hAnsi="Arial Narrow"/>
              </w:rPr>
              <w:t>1998-2000</w:t>
            </w:r>
          </w:p>
        </w:tc>
        <w:tc>
          <w:tcPr>
            <w:tcW w:w="896" w:type="dxa"/>
            <w:tcBorders>
              <w:top w:val="single" w:sz="2" w:space="0" w:color="auto"/>
            </w:tcBorders>
            <w:vAlign w:val="center"/>
          </w:tcPr>
          <w:p w:rsidR="00BE1465" w:rsidRPr="00C57E33" w:rsidRDefault="00BE1465" w:rsidP="00D03ACB">
            <w:pPr>
              <w:spacing w:after="0"/>
              <w:ind w:left="-63" w:right="-45" w:firstLine="0"/>
              <w:jc w:val="right"/>
              <w:rPr>
                <w:rFonts w:ascii="Arial Narrow" w:hAnsi="Arial Narrow"/>
              </w:rPr>
            </w:pPr>
            <w:r w:rsidRPr="00C57E33">
              <w:rPr>
                <w:rFonts w:ascii="Arial Narrow" w:hAnsi="Arial Narrow"/>
              </w:rPr>
              <w:t>62%</w:t>
            </w:r>
          </w:p>
        </w:tc>
        <w:tc>
          <w:tcPr>
            <w:tcW w:w="871"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p>
        </w:tc>
        <w:tc>
          <w:tcPr>
            <w:tcW w:w="992"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p>
        </w:tc>
        <w:tc>
          <w:tcPr>
            <w:tcW w:w="892" w:type="dxa"/>
            <w:tcBorders>
              <w:top w:val="single" w:sz="2" w:space="0" w:color="auto"/>
            </w:tcBorders>
            <w:vAlign w:val="center"/>
          </w:tcPr>
          <w:p w:rsidR="00BE1465" w:rsidRPr="00C57E33" w:rsidRDefault="00BE1465" w:rsidP="00BE1465">
            <w:pPr>
              <w:spacing w:after="0"/>
              <w:jc w:val="right"/>
              <w:rPr>
                <w:rFonts w:ascii="Arial Narrow" w:hAnsi="Arial Narrow"/>
              </w:rPr>
            </w:pPr>
          </w:p>
        </w:tc>
        <w:tc>
          <w:tcPr>
            <w:tcW w:w="812" w:type="dxa"/>
            <w:tcBorders>
              <w:top w:val="single" w:sz="2" w:space="0" w:color="auto"/>
            </w:tcBorders>
            <w:vAlign w:val="center"/>
          </w:tcPr>
          <w:p w:rsidR="00BE1465" w:rsidRPr="00C57E33" w:rsidRDefault="00BE1465" w:rsidP="00BE1465">
            <w:pPr>
              <w:spacing w:after="0"/>
              <w:jc w:val="right"/>
              <w:rPr>
                <w:rFonts w:ascii="Arial Narrow" w:hAnsi="Arial Narrow"/>
              </w:rPr>
            </w:pPr>
          </w:p>
        </w:tc>
        <w:tc>
          <w:tcPr>
            <w:tcW w:w="981"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15%</w:t>
            </w:r>
          </w:p>
        </w:tc>
        <w:tc>
          <w:tcPr>
            <w:tcW w:w="932" w:type="dxa"/>
            <w:tcBorders>
              <w:top w:val="single" w:sz="2" w:space="0" w:color="auto"/>
            </w:tcBorders>
            <w:vAlign w:val="center"/>
          </w:tcPr>
          <w:p w:rsidR="00BE1465" w:rsidRPr="00C57E33" w:rsidRDefault="00BE1465" w:rsidP="00B850F7">
            <w:pPr>
              <w:spacing w:after="0"/>
              <w:ind w:left="-69" w:hanging="14"/>
              <w:jc w:val="right"/>
              <w:rPr>
                <w:rFonts w:ascii="Arial Narrow" w:hAnsi="Arial Narrow"/>
              </w:rPr>
            </w:pPr>
            <w:r w:rsidRPr="00C57E33">
              <w:rPr>
                <w:rFonts w:ascii="Arial Narrow" w:hAnsi="Arial Narrow"/>
              </w:rPr>
              <w:t>24%</w:t>
            </w:r>
          </w:p>
        </w:tc>
        <w:tc>
          <w:tcPr>
            <w:tcW w:w="917" w:type="dxa"/>
            <w:tcBorders>
              <w:top w:val="single" w:sz="2" w:space="0" w:color="auto"/>
            </w:tcBorders>
            <w:vAlign w:val="center"/>
          </w:tcPr>
          <w:p w:rsidR="00BE1465" w:rsidRPr="00C57E33" w:rsidRDefault="00753A65" w:rsidP="00BE1465">
            <w:pPr>
              <w:spacing w:after="0"/>
              <w:ind w:firstLine="0"/>
              <w:jc w:val="right"/>
              <w:rPr>
                <w:rFonts w:ascii="Arial Narrow" w:hAnsi="Arial Narrow"/>
              </w:rPr>
            </w:pPr>
            <w:r>
              <w:rPr>
                <w:rFonts w:ascii="Arial Narrow" w:hAnsi="Arial Narrow"/>
              </w:rPr>
              <w:t>-</w:t>
            </w:r>
            <w:r w:rsidR="00BE1465" w:rsidRPr="00C57E33">
              <w:rPr>
                <w:rFonts w:ascii="Arial Narrow" w:hAnsi="Arial Narrow"/>
              </w:rPr>
              <w:t>1%</w:t>
            </w:r>
          </w:p>
        </w:tc>
        <w:tc>
          <w:tcPr>
            <w:tcW w:w="713" w:type="dxa"/>
            <w:tcBorders>
              <w:top w:val="single" w:sz="2" w:space="0" w:color="auto"/>
            </w:tcBorders>
            <w:vAlign w:val="center"/>
          </w:tcPr>
          <w:p w:rsidR="00BE1465" w:rsidRPr="00C57E33" w:rsidRDefault="00BE1465" w:rsidP="00BE1465">
            <w:pPr>
              <w:spacing w:after="0"/>
              <w:ind w:firstLine="0"/>
              <w:jc w:val="right"/>
              <w:rPr>
                <w:rFonts w:ascii="Arial Narrow" w:hAnsi="Arial Narrow"/>
              </w:rPr>
            </w:pPr>
            <w:r w:rsidRPr="00C57E33">
              <w:rPr>
                <w:rFonts w:ascii="Arial Narrow" w:hAnsi="Arial Narrow"/>
              </w:rPr>
              <w:t>100%</w:t>
            </w:r>
          </w:p>
        </w:tc>
      </w:tr>
    </w:tbl>
    <w:p w:rsidR="00BE1465" w:rsidRDefault="00BE1465" w:rsidP="00BE1465">
      <w:pPr>
        <w:pStyle w:val="texto"/>
        <w:spacing w:before="240"/>
        <w:rPr>
          <w:lang w:eastAsia="es-ES"/>
        </w:rPr>
      </w:pPr>
      <w:r>
        <w:rPr>
          <w:lang w:eastAsia="es-ES"/>
        </w:rPr>
        <w:t xml:space="preserve">Como se observa, tanto las variables como sus porcentajes de participación fueron variando significativamente en </w:t>
      </w:r>
      <w:r w:rsidR="00853B4A">
        <w:rPr>
          <w:lang w:eastAsia="es-ES"/>
        </w:rPr>
        <w:t>este periodo</w:t>
      </w:r>
      <w:r>
        <w:rPr>
          <w:lang w:eastAsia="es-ES"/>
        </w:rPr>
        <w:t xml:space="preserve">. </w:t>
      </w:r>
    </w:p>
    <w:p w:rsidR="00853B4A" w:rsidRDefault="00BE1465" w:rsidP="00BE1465">
      <w:pPr>
        <w:pStyle w:val="texto"/>
        <w:rPr>
          <w:lang w:eastAsia="es-ES"/>
        </w:rPr>
      </w:pPr>
      <w:r>
        <w:rPr>
          <w:lang w:eastAsia="es-ES"/>
        </w:rPr>
        <w:t xml:space="preserve">En octubre del año 2000, previa firma de un convenio de colaboración, la Universidad Pública de Navarra </w:t>
      </w:r>
      <w:r w:rsidR="00C57E33">
        <w:rPr>
          <w:lang w:eastAsia="es-ES"/>
        </w:rPr>
        <w:t>elaboró</w:t>
      </w:r>
      <w:r>
        <w:rPr>
          <w:lang w:eastAsia="es-ES"/>
        </w:rPr>
        <w:t xml:space="preserve"> un informe</w:t>
      </w:r>
      <w:r w:rsidR="00C57E33">
        <w:rPr>
          <w:lang w:eastAsia="es-ES"/>
        </w:rPr>
        <w:t xml:space="preserve"> para el</w:t>
      </w:r>
      <w:r>
        <w:rPr>
          <w:lang w:eastAsia="es-ES"/>
        </w:rPr>
        <w:t xml:space="preserve"> Departamento de Administración Local</w:t>
      </w:r>
      <w:r w:rsidR="00C57E33">
        <w:rPr>
          <w:lang w:eastAsia="es-ES"/>
        </w:rPr>
        <w:t>,</w:t>
      </w:r>
      <w:r>
        <w:rPr>
          <w:lang w:eastAsia="es-ES"/>
        </w:rPr>
        <w:t xml:space="preserve"> en el que se proponía</w:t>
      </w:r>
      <w:r w:rsidRPr="00546DC8">
        <w:rPr>
          <w:lang w:eastAsia="es-ES"/>
        </w:rPr>
        <w:t xml:space="preserve"> una fórmula para </w:t>
      </w:r>
      <w:r>
        <w:rPr>
          <w:lang w:eastAsia="es-ES"/>
        </w:rPr>
        <w:t>distribuir e</w:t>
      </w:r>
      <w:r w:rsidRPr="00546DC8">
        <w:rPr>
          <w:lang w:eastAsia="es-ES"/>
        </w:rPr>
        <w:t xml:space="preserve">l </w:t>
      </w:r>
      <w:r w:rsidR="006213FA">
        <w:rPr>
          <w:lang w:eastAsia="es-ES"/>
        </w:rPr>
        <w:t>FTC</w:t>
      </w:r>
      <w:r w:rsidRPr="00546DC8">
        <w:rPr>
          <w:lang w:eastAsia="es-ES"/>
        </w:rPr>
        <w:t xml:space="preserve"> </w:t>
      </w:r>
      <w:r>
        <w:rPr>
          <w:lang w:eastAsia="es-ES"/>
        </w:rPr>
        <w:t>que</w:t>
      </w:r>
      <w:r w:rsidRPr="00546DC8">
        <w:rPr>
          <w:lang w:eastAsia="es-ES"/>
        </w:rPr>
        <w:t xml:space="preserve"> aplica</w:t>
      </w:r>
      <w:r>
        <w:rPr>
          <w:lang w:eastAsia="es-ES"/>
        </w:rPr>
        <w:t>ba</w:t>
      </w:r>
      <w:r w:rsidRPr="00546DC8">
        <w:rPr>
          <w:lang w:eastAsia="es-ES"/>
        </w:rPr>
        <w:t xml:space="preserve"> el principio de equidad hori</w:t>
      </w:r>
      <w:r>
        <w:rPr>
          <w:lang w:eastAsia="es-ES"/>
        </w:rPr>
        <w:t>zontal, lo que suponía repartir</w:t>
      </w:r>
      <w:r w:rsidR="006213FA">
        <w:rPr>
          <w:lang w:eastAsia="es-ES"/>
        </w:rPr>
        <w:t>lo</w:t>
      </w:r>
      <w:r>
        <w:rPr>
          <w:lang w:eastAsia="es-ES"/>
        </w:rPr>
        <w:t xml:space="preserve"> </w:t>
      </w:r>
      <w:r w:rsidRPr="00546DC8">
        <w:rPr>
          <w:lang w:eastAsia="es-ES"/>
        </w:rPr>
        <w:t>en r</w:t>
      </w:r>
      <w:r w:rsidRPr="00546DC8">
        <w:rPr>
          <w:lang w:eastAsia="es-ES"/>
        </w:rPr>
        <w:t>e</w:t>
      </w:r>
      <w:r w:rsidRPr="00546DC8">
        <w:rPr>
          <w:lang w:eastAsia="es-ES"/>
        </w:rPr>
        <w:t>lación directa a las necesidades de gasto de ca</w:t>
      </w:r>
      <w:r>
        <w:rPr>
          <w:lang w:eastAsia="es-ES"/>
        </w:rPr>
        <w:t>da entidad,</w:t>
      </w:r>
      <w:r w:rsidRPr="00546DC8">
        <w:rPr>
          <w:lang w:eastAsia="es-ES"/>
        </w:rPr>
        <w:t xml:space="preserve"> y de maner</w:t>
      </w:r>
      <w:r>
        <w:rPr>
          <w:lang w:eastAsia="es-ES"/>
        </w:rPr>
        <w:t xml:space="preserve">a inversa a su capacidad fiscal; </w:t>
      </w:r>
      <w:r w:rsidR="00853B4A">
        <w:rPr>
          <w:lang w:eastAsia="es-ES"/>
        </w:rPr>
        <w:t>esto</w:t>
      </w:r>
      <w:r>
        <w:rPr>
          <w:lang w:eastAsia="es-ES"/>
        </w:rPr>
        <w:t xml:space="preserve"> garantizaba que recibía</w:t>
      </w:r>
      <w:r w:rsidRPr="00546DC8">
        <w:rPr>
          <w:lang w:eastAsia="es-ES"/>
        </w:rPr>
        <w:t xml:space="preserve"> más quien t</w:t>
      </w:r>
      <w:r>
        <w:rPr>
          <w:lang w:eastAsia="es-ES"/>
        </w:rPr>
        <w:t>enía</w:t>
      </w:r>
      <w:r w:rsidRPr="00546DC8">
        <w:rPr>
          <w:lang w:eastAsia="es-ES"/>
        </w:rPr>
        <w:t xml:space="preserve"> más necesid</w:t>
      </w:r>
      <w:r w:rsidRPr="00546DC8">
        <w:rPr>
          <w:lang w:eastAsia="es-ES"/>
        </w:rPr>
        <w:t>a</w:t>
      </w:r>
      <w:r w:rsidRPr="00546DC8">
        <w:rPr>
          <w:lang w:eastAsia="es-ES"/>
        </w:rPr>
        <w:t>des de gasto</w:t>
      </w:r>
      <w:r>
        <w:rPr>
          <w:lang w:eastAsia="es-ES"/>
        </w:rPr>
        <w:t>,</w:t>
      </w:r>
      <w:r w:rsidRPr="00546DC8">
        <w:rPr>
          <w:lang w:eastAsia="es-ES"/>
        </w:rPr>
        <w:t xml:space="preserve"> y/o menos capacidad de obtención de recursos propios.</w:t>
      </w:r>
      <w:r w:rsidR="008E400A">
        <w:rPr>
          <w:lang w:eastAsia="es-ES"/>
        </w:rPr>
        <w:t xml:space="preserve"> </w:t>
      </w:r>
    </w:p>
    <w:p w:rsidR="00BE1465" w:rsidRDefault="008E400A" w:rsidP="00BE1465">
      <w:pPr>
        <w:pStyle w:val="texto"/>
        <w:rPr>
          <w:lang w:eastAsia="es-ES"/>
        </w:rPr>
      </w:pPr>
      <w:r>
        <w:rPr>
          <w:lang w:eastAsia="es-ES"/>
        </w:rPr>
        <w:t xml:space="preserve">Esta fórmula fue adoptada por el departamento y es la que se ha utilizado desde </w:t>
      </w:r>
      <w:r w:rsidR="00753A65">
        <w:rPr>
          <w:lang w:eastAsia="es-ES"/>
        </w:rPr>
        <w:t xml:space="preserve">2004 </w:t>
      </w:r>
      <w:r>
        <w:rPr>
          <w:lang w:eastAsia="es-ES"/>
        </w:rPr>
        <w:t>hasta la actualidad.</w:t>
      </w:r>
    </w:p>
    <w:p w:rsidR="00BE1465" w:rsidRDefault="00BE1465" w:rsidP="00BE1465">
      <w:pPr>
        <w:pStyle w:val="texto"/>
        <w:rPr>
          <w:lang w:eastAsia="es-ES"/>
        </w:rPr>
      </w:pPr>
      <w:r>
        <w:rPr>
          <w:lang w:eastAsia="es-ES"/>
        </w:rPr>
        <w:t>Posteriormente, tanto en 2004 como en 2008, se realizaron revisiones de los resultados de este estudio para</w:t>
      </w:r>
      <w:r w:rsidRPr="00877D72">
        <w:rPr>
          <w:lang w:eastAsia="es-ES"/>
        </w:rPr>
        <w:t xml:space="preserve"> confirmar la validez de las variables y actualizar el valor de </w:t>
      </w:r>
      <w:r>
        <w:rPr>
          <w:lang w:eastAsia="es-ES"/>
        </w:rPr>
        <w:t>sus ponderaciones utilizando</w:t>
      </w:r>
      <w:r w:rsidRPr="00877D72">
        <w:rPr>
          <w:lang w:eastAsia="es-ES"/>
        </w:rPr>
        <w:t xml:space="preserve"> información contable más actualizada de las enti</w:t>
      </w:r>
      <w:r>
        <w:rPr>
          <w:lang w:eastAsia="es-ES"/>
        </w:rPr>
        <w:t>dades locales, sin que consten actualizaciones o revisiones posteri</w:t>
      </w:r>
      <w:r>
        <w:rPr>
          <w:lang w:eastAsia="es-ES"/>
        </w:rPr>
        <w:t>o</w:t>
      </w:r>
      <w:r>
        <w:rPr>
          <w:lang w:eastAsia="es-ES"/>
        </w:rPr>
        <w:t>res.</w:t>
      </w:r>
    </w:p>
    <w:p w:rsidR="00BE1465" w:rsidRDefault="00BE1465" w:rsidP="00BE1465">
      <w:pPr>
        <w:pStyle w:val="texto"/>
      </w:pPr>
      <w:r>
        <w:rPr>
          <w:lang w:eastAsia="es-ES"/>
        </w:rPr>
        <w:t>En concreto, e</w:t>
      </w:r>
      <w:r>
        <w:t>l procedimiento de aplicación de la fórmula tras estas revisi</w:t>
      </w:r>
      <w:r>
        <w:t>o</w:t>
      </w:r>
      <w:r>
        <w:t xml:space="preserve">nes es el siguiente: </w:t>
      </w:r>
    </w:p>
    <w:p w:rsidR="00853B4A" w:rsidRDefault="00BE1465" w:rsidP="00853B4A">
      <w:pPr>
        <w:pStyle w:val="texto"/>
        <w:numPr>
          <w:ilvl w:val="0"/>
          <w:numId w:val="20"/>
        </w:numPr>
        <w:tabs>
          <w:tab w:val="clear" w:pos="2835"/>
          <w:tab w:val="clear" w:pos="3969"/>
          <w:tab w:val="clear" w:pos="5103"/>
          <w:tab w:val="clear" w:pos="6237"/>
          <w:tab w:val="clear" w:pos="7371"/>
        </w:tabs>
        <w:spacing w:after="240"/>
        <w:ind w:left="0" w:firstLine="284"/>
      </w:pPr>
      <w:r>
        <w:t xml:space="preserve">Obtención del índice de necesidades de gasto por combinación lineal de las seis variables que estadísticamente demostraron tener mayor incidencia en el gasto corriente local, ponderadas en función de su capacidad explicativa del </w:t>
      </w:r>
    </w:p>
    <w:p w:rsidR="00853B4A" w:rsidRDefault="00853B4A">
      <w:pPr>
        <w:spacing w:after="0"/>
        <w:ind w:firstLine="0"/>
        <w:jc w:val="left"/>
        <w:rPr>
          <w:spacing w:val="6"/>
          <w:sz w:val="26"/>
          <w:szCs w:val="24"/>
        </w:rPr>
      </w:pPr>
      <w:r>
        <w:br w:type="page"/>
      </w:r>
    </w:p>
    <w:p w:rsidR="00BE1465" w:rsidRPr="003F665D" w:rsidRDefault="00BE1465" w:rsidP="00853B4A">
      <w:pPr>
        <w:pStyle w:val="texto"/>
        <w:tabs>
          <w:tab w:val="clear" w:pos="2835"/>
          <w:tab w:val="clear" w:pos="3969"/>
          <w:tab w:val="clear" w:pos="5103"/>
          <w:tab w:val="clear" w:pos="6237"/>
          <w:tab w:val="clear" w:pos="7371"/>
        </w:tabs>
        <w:spacing w:after="240"/>
        <w:ind w:firstLine="0"/>
      </w:pPr>
      <w:r>
        <w:lastRenderedPageBreak/>
        <w:t xml:space="preserve">gasto. </w:t>
      </w:r>
      <w:r w:rsidRPr="003F665D">
        <w:t>Estas variables</w:t>
      </w:r>
      <w:r>
        <w:t xml:space="preserve"> y su ponderación</w:t>
      </w:r>
      <w:r w:rsidRPr="003F665D">
        <w:t xml:space="preserve"> son:</w:t>
      </w:r>
    </w:p>
    <w:tbl>
      <w:tblPr>
        <w:tblW w:w="881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804"/>
        <w:gridCol w:w="2015"/>
      </w:tblGrid>
      <w:tr w:rsidR="00BE1465" w:rsidRPr="007D67ED" w:rsidTr="00B46ADB">
        <w:trPr>
          <w:trHeight w:val="255"/>
        </w:trPr>
        <w:tc>
          <w:tcPr>
            <w:tcW w:w="6804" w:type="dxa"/>
            <w:tcBorders>
              <w:bottom w:val="single" w:sz="4" w:space="0" w:color="auto"/>
            </w:tcBorders>
            <w:shd w:val="clear" w:color="auto" w:fill="FABF8F" w:themeFill="accent6" w:themeFillTint="99"/>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7D67ED">
              <w:rPr>
                <w:rFonts w:ascii="Arial" w:hAnsi="Arial" w:cs="Arial"/>
                <w:sz w:val="18"/>
                <w:szCs w:val="18"/>
              </w:rPr>
              <w:t>Variable</w:t>
            </w:r>
            <w:r>
              <w:rPr>
                <w:rFonts w:ascii="Arial" w:hAnsi="Arial" w:cs="Arial"/>
                <w:sz w:val="18"/>
                <w:szCs w:val="18"/>
              </w:rPr>
              <w:t xml:space="preserve"> necesidades de gasto</w:t>
            </w:r>
          </w:p>
        </w:tc>
        <w:tc>
          <w:tcPr>
            <w:tcW w:w="2015" w:type="dxa"/>
            <w:tcBorders>
              <w:bottom w:val="single" w:sz="4" w:space="0" w:color="auto"/>
            </w:tcBorders>
            <w:shd w:val="clear" w:color="auto" w:fill="FABF8F" w:themeFill="accent6" w:themeFillTint="99"/>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7D67ED">
              <w:rPr>
                <w:rFonts w:ascii="Arial" w:hAnsi="Arial" w:cs="Arial"/>
                <w:sz w:val="18"/>
                <w:szCs w:val="18"/>
              </w:rPr>
              <w:t>Ponderación</w:t>
            </w:r>
          </w:p>
        </w:tc>
      </w:tr>
      <w:tr w:rsidR="00BE1465" w:rsidRPr="007D67ED" w:rsidTr="00374C3F">
        <w:trPr>
          <w:trHeight w:val="198"/>
        </w:trPr>
        <w:tc>
          <w:tcPr>
            <w:tcW w:w="6804" w:type="dxa"/>
            <w:tcBorders>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D67ED">
              <w:rPr>
                <w:rFonts w:ascii="Arial Narrow" w:hAnsi="Arial Narrow"/>
                <w:sz w:val="20"/>
              </w:rPr>
              <w:t>Población</w:t>
            </w:r>
          </w:p>
        </w:tc>
        <w:tc>
          <w:tcPr>
            <w:tcW w:w="2015" w:type="dxa"/>
            <w:tcBorders>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0,9231</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D67ED">
              <w:rPr>
                <w:rFonts w:ascii="Arial Narrow" w:hAnsi="Arial Narrow"/>
                <w:sz w:val="20"/>
              </w:rPr>
              <w:t>Suelo urbano neto</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0,3355</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D67ED">
              <w:rPr>
                <w:rFonts w:ascii="Arial Narrow" w:hAnsi="Arial Narrow"/>
                <w:sz w:val="20"/>
              </w:rPr>
              <w:t>Personas mayores 65 años</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0,1278</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D67ED">
              <w:rPr>
                <w:rFonts w:ascii="Arial Narrow" w:hAnsi="Arial Narrow"/>
                <w:sz w:val="20"/>
              </w:rPr>
              <w:t>Población inmigrante</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0,1341</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D67ED">
              <w:rPr>
                <w:rFonts w:ascii="Arial Narrow" w:hAnsi="Arial Narrow"/>
                <w:sz w:val="20"/>
              </w:rPr>
              <w:t>Inverso índice concentración municipal (dispersión)</w:t>
            </w:r>
          </w:p>
        </w:tc>
        <w:tc>
          <w:tcPr>
            <w:tcW w:w="2015"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0,0083</w:t>
            </w:r>
          </w:p>
        </w:tc>
      </w:tr>
      <w:tr w:rsidR="00BE1465" w:rsidRPr="007D67ED" w:rsidTr="00374C3F">
        <w:trPr>
          <w:trHeight w:val="198"/>
        </w:trPr>
        <w:tc>
          <w:tcPr>
            <w:tcW w:w="6804" w:type="dxa"/>
            <w:tcBorders>
              <w:top w:val="single" w:sz="2" w:space="0" w:color="auto"/>
            </w:tcBorders>
            <w:vAlign w:val="center"/>
          </w:tcPr>
          <w:p w:rsidR="00BE1465" w:rsidRPr="007D67ED" w:rsidRDefault="00D03AC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D67ED">
              <w:rPr>
                <w:rFonts w:ascii="Arial Narrow" w:hAnsi="Arial Narrow"/>
                <w:sz w:val="20"/>
              </w:rPr>
              <w:t>Superficie total</w:t>
            </w:r>
          </w:p>
        </w:tc>
        <w:tc>
          <w:tcPr>
            <w:tcW w:w="2015" w:type="dxa"/>
            <w:tcBorders>
              <w:top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0,0074</w:t>
            </w:r>
          </w:p>
        </w:tc>
      </w:tr>
    </w:tbl>
    <w:p w:rsidR="00BE1465" w:rsidRPr="00B30D9E" w:rsidRDefault="00BE1465" w:rsidP="00BE1465">
      <w:pPr>
        <w:pStyle w:val="texto"/>
        <w:numPr>
          <w:ilvl w:val="0"/>
          <w:numId w:val="20"/>
        </w:numPr>
        <w:tabs>
          <w:tab w:val="clear" w:pos="2835"/>
          <w:tab w:val="clear" w:pos="3969"/>
          <w:tab w:val="clear" w:pos="5103"/>
          <w:tab w:val="clear" w:pos="6237"/>
          <w:tab w:val="clear" w:pos="7371"/>
        </w:tabs>
        <w:spacing w:before="240" w:after="240"/>
        <w:ind w:left="0" w:firstLine="284"/>
        <w:rPr>
          <w:szCs w:val="26"/>
        </w:rPr>
      </w:pPr>
      <w:r w:rsidRPr="00B30D9E">
        <w:rPr>
          <w:szCs w:val="26"/>
        </w:rPr>
        <w:t xml:space="preserve">Obtención del índice de capacidad fiscal por combinación lineal de cinco variables ponderadas en función del peso de los </w:t>
      </w:r>
      <w:r>
        <w:rPr>
          <w:szCs w:val="26"/>
        </w:rPr>
        <w:t>DRN</w:t>
      </w:r>
      <w:r w:rsidR="00853B4A">
        <w:rPr>
          <w:szCs w:val="26"/>
        </w:rPr>
        <w:t xml:space="preserve"> de las entidades locales</w:t>
      </w:r>
      <w:r w:rsidRPr="00B30D9E">
        <w:rPr>
          <w:szCs w:val="26"/>
        </w:rPr>
        <w:t xml:space="preserve"> de cada variable sobre el total de los </w:t>
      </w:r>
      <w:r>
        <w:rPr>
          <w:szCs w:val="26"/>
        </w:rPr>
        <w:t>DRN</w:t>
      </w:r>
      <w:r w:rsidRPr="00B30D9E">
        <w:rPr>
          <w:szCs w:val="26"/>
        </w:rPr>
        <w:t xml:space="preserve"> de los cinco tipos de ingresos. Estas variables y su ponderación son:</w:t>
      </w:r>
    </w:p>
    <w:tbl>
      <w:tblPr>
        <w:tblW w:w="8847"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804"/>
        <w:gridCol w:w="2043"/>
      </w:tblGrid>
      <w:tr w:rsidR="00BE1465" w:rsidRPr="007D67ED" w:rsidTr="00B46ADB">
        <w:trPr>
          <w:trHeight w:val="255"/>
        </w:trPr>
        <w:tc>
          <w:tcPr>
            <w:tcW w:w="6804" w:type="dxa"/>
            <w:tcBorders>
              <w:bottom w:val="single" w:sz="4" w:space="0" w:color="auto"/>
            </w:tcBorders>
            <w:shd w:val="clear" w:color="auto" w:fill="FABF8F" w:themeFill="accent6" w:themeFillTint="99"/>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7D67ED">
              <w:rPr>
                <w:rFonts w:ascii="Arial" w:hAnsi="Arial" w:cs="Arial"/>
                <w:sz w:val="18"/>
                <w:szCs w:val="18"/>
              </w:rPr>
              <w:t>Variable</w:t>
            </w:r>
            <w:r>
              <w:rPr>
                <w:rFonts w:ascii="Arial" w:hAnsi="Arial" w:cs="Arial"/>
                <w:sz w:val="18"/>
                <w:szCs w:val="18"/>
              </w:rPr>
              <w:t xml:space="preserve"> capacidad fiscal (obtención ingresos)</w:t>
            </w:r>
          </w:p>
        </w:tc>
        <w:tc>
          <w:tcPr>
            <w:tcW w:w="2043" w:type="dxa"/>
            <w:tcBorders>
              <w:bottom w:val="single" w:sz="4" w:space="0" w:color="auto"/>
            </w:tcBorders>
            <w:shd w:val="clear" w:color="auto" w:fill="FABF8F" w:themeFill="accent6" w:themeFillTint="99"/>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7D67ED">
              <w:rPr>
                <w:rFonts w:ascii="Arial" w:hAnsi="Arial" w:cs="Arial"/>
                <w:sz w:val="18"/>
                <w:szCs w:val="18"/>
              </w:rPr>
              <w:t>Ponderación</w:t>
            </w:r>
          </w:p>
        </w:tc>
      </w:tr>
      <w:tr w:rsidR="00BE1465" w:rsidRPr="007D67ED" w:rsidTr="00374C3F">
        <w:trPr>
          <w:trHeight w:val="198"/>
        </w:trPr>
        <w:tc>
          <w:tcPr>
            <w:tcW w:w="6804" w:type="dxa"/>
            <w:tcBorders>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D67ED">
              <w:rPr>
                <w:rFonts w:ascii="Arial Narrow" w:hAnsi="Arial Narrow"/>
                <w:sz w:val="20"/>
              </w:rPr>
              <w:t>Base fiscal urbana</w:t>
            </w:r>
          </w:p>
        </w:tc>
        <w:tc>
          <w:tcPr>
            <w:tcW w:w="2043" w:type="dxa"/>
            <w:tcBorders>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-0,2490</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Base fiscal rústica</w:t>
            </w:r>
          </w:p>
        </w:tc>
        <w:tc>
          <w:tcPr>
            <w:tcW w:w="2043"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-0,0222</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Base fiscal impuesto circulación</w:t>
            </w:r>
          </w:p>
        </w:tc>
        <w:tc>
          <w:tcPr>
            <w:tcW w:w="2043"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-0,0995</w:t>
            </w:r>
          </w:p>
        </w:tc>
      </w:tr>
      <w:tr w:rsidR="00BE1465" w:rsidRPr="007D67ED" w:rsidTr="00374C3F">
        <w:trPr>
          <w:trHeight w:val="198"/>
        </w:trPr>
        <w:tc>
          <w:tcPr>
            <w:tcW w:w="6804" w:type="dxa"/>
            <w:tcBorders>
              <w:top w:val="single" w:sz="2" w:space="0" w:color="auto"/>
              <w:bottom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Base fiscal impuesto actividades económicas</w:t>
            </w:r>
          </w:p>
        </w:tc>
        <w:tc>
          <w:tcPr>
            <w:tcW w:w="2043" w:type="dxa"/>
            <w:tcBorders>
              <w:top w:val="single" w:sz="2" w:space="0" w:color="auto"/>
              <w:bottom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-0,0760</w:t>
            </w:r>
          </w:p>
        </w:tc>
      </w:tr>
      <w:tr w:rsidR="00BE1465" w:rsidRPr="007D67ED" w:rsidTr="00374C3F">
        <w:trPr>
          <w:trHeight w:val="198"/>
        </w:trPr>
        <w:tc>
          <w:tcPr>
            <w:tcW w:w="6804" w:type="dxa"/>
            <w:tcBorders>
              <w:top w:val="single" w:sz="2" w:space="0" w:color="auto"/>
            </w:tcBorders>
            <w:vAlign w:val="center"/>
          </w:tcPr>
          <w:p w:rsidR="00BE1465" w:rsidRPr="007D67ED" w:rsidRDefault="00B46ADB"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Valor catastral del comunal</w:t>
            </w:r>
          </w:p>
        </w:tc>
        <w:tc>
          <w:tcPr>
            <w:tcW w:w="2043" w:type="dxa"/>
            <w:tcBorders>
              <w:top w:val="single" w:sz="2" w:space="0" w:color="auto"/>
            </w:tcBorders>
            <w:vAlign w:val="center"/>
          </w:tcPr>
          <w:p w:rsidR="00BE1465" w:rsidRPr="007D67ED"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-0,0895</w:t>
            </w:r>
          </w:p>
        </w:tc>
      </w:tr>
    </w:tbl>
    <w:p w:rsidR="00BE1465" w:rsidRDefault="00BE1465" w:rsidP="00BE1465">
      <w:pPr>
        <w:pStyle w:val="texto"/>
        <w:numPr>
          <w:ilvl w:val="0"/>
          <w:numId w:val="20"/>
        </w:numPr>
        <w:tabs>
          <w:tab w:val="clear" w:pos="2835"/>
          <w:tab w:val="clear" w:pos="3969"/>
          <w:tab w:val="clear" w:pos="5103"/>
          <w:tab w:val="clear" w:pos="6237"/>
          <w:tab w:val="clear" w:pos="7371"/>
        </w:tabs>
        <w:spacing w:before="240" w:after="160"/>
        <w:ind w:left="0" w:firstLine="284"/>
        <w:rPr>
          <w:szCs w:val="26"/>
        </w:rPr>
      </w:pPr>
      <w:r>
        <w:rPr>
          <w:szCs w:val="26"/>
        </w:rPr>
        <w:t>Obtención de la siguiente fórmula que se aplica para calcular la cuantía que corresponde a cada municipio restando al índice de necesidades de gasto el de capacidad fiscal ponderado por el factor 0,3491:</w:t>
      </w:r>
    </w:p>
    <w:p w:rsidR="00BE1465" w:rsidRDefault="00BE1465" w:rsidP="00BE1465">
      <w:pPr>
        <w:pStyle w:val="xa2"/>
        <w:shd w:val="clear" w:color="auto" w:fill="FFFFFF"/>
        <w:spacing w:before="0" w:beforeAutospacing="0" w:after="120" w:afterAutospacing="0"/>
        <w:ind w:right="74"/>
        <w:jc w:val="both"/>
        <w:rPr>
          <w:rFonts w:eastAsia="Calibri"/>
          <w:sz w:val="26"/>
          <w:szCs w:val="26"/>
          <w:lang w:val="es-ES_tradnl"/>
        </w:rPr>
      </w:pPr>
      <w:r w:rsidRPr="00B30D9E">
        <w:rPr>
          <w:rFonts w:eastAsia="Calibri"/>
          <w:sz w:val="26"/>
          <w:szCs w:val="26"/>
          <w:lang w:val="es-ES_tradnl"/>
        </w:rPr>
        <w:t xml:space="preserve">FTC = 0,9231 x PPOB + 0,3355 x PURB </w:t>
      </w:r>
      <w:r>
        <w:rPr>
          <w:rFonts w:eastAsia="Calibri"/>
          <w:sz w:val="26"/>
          <w:szCs w:val="26"/>
          <w:lang w:val="es-ES_tradnl"/>
        </w:rPr>
        <w:t xml:space="preserve">+ </w:t>
      </w:r>
      <w:r w:rsidRPr="00B30D9E">
        <w:rPr>
          <w:rFonts w:eastAsia="Calibri"/>
          <w:sz w:val="26"/>
          <w:szCs w:val="26"/>
          <w:lang w:val="es-ES_tradnl"/>
        </w:rPr>
        <w:t>0,1278 x PMA65 +  0,1341 x PPINM + 0,0083</w:t>
      </w:r>
      <w:r w:rsidR="00C57E33">
        <w:rPr>
          <w:rFonts w:eastAsia="Calibri"/>
          <w:sz w:val="26"/>
          <w:szCs w:val="26"/>
          <w:lang w:val="es-ES_tradnl"/>
        </w:rPr>
        <w:t xml:space="preserve"> x</w:t>
      </w:r>
      <w:r w:rsidRPr="00B30D9E">
        <w:rPr>
          <w:rFonts w:eastAsia="Calibri"/>
          <w:sz w:val="26"/>
          <w:szCs w:val="26"/>
          <w:lang w:val="es-ES_tradnl"/>
        </w:rPr>
        <w:t xml:space="preserve"> PINVDISP + 0,0074</w:t>
      </w:r>
      <w:r w:rsidR="00C57E33">
        <w:rPr>
          <w:rFonts w:eastAsia="Calibri"/>
          <w:sz w:val="26"/>
          <w:szCs w:val="26"/>
          <w:lang w:val="es-ES_tradnl"/>
        </w:rPr>
        <w:t xml:space="preserve"> x</w:t>
      </w:r>
      <w:r w:rsidRPr="00B30D9E">
        <w:rPr>
          <w:rFonts w:eastAsia="Calibri"/>
          <w:sz w:val="26"/>
          <w:szCs w:val="26"/>
          <w:lang w:val="es-ES_tradnl"/>
        </w:rPr>
        <w:t xml:space="preserve"> PSUP - 0,2490 x PCTU - 0,0222 x PCTR -</w:t>
      </w:r>
      <w:r>
        <w:rPr>
          <w:rFonts w:eastAsia="Calibri"/>
          <w:sz w:val="26"/>
          <w:szCs w:val="26"/>
          <w:lang w:val="es-ES_tradnl"/>
        </w:rPr>
        <w:t xml:space="preserve"> </w:t>
      </w:r>
      <w:r w:rsidRPr="00B30D9E">
        <w:rPr>
          <w:rFonts w:eastAsia="Calibri"/>
          <w:sz w:val="26"/>
          <w:szCs w:val="26"/>
          <w:lang w:val="es-ES_tradnl"/>
        </w:rPr>
        <w:t>0,0995 x PIVTM</w:t>
      </w:r>
      <w:r>
        <w:rPr>
          <w:rFonts w:eastAsia="Calibri"/>
          <w:sz w:val="26"/>
          <w:szCs w:val="26"/>
          <w:lang w:val="es-ES_tradnl"/>
        </w:rPr>
        <w:t xml:space="preserve"> -</w:t>
      </w:r>
      <w:r w:rsidRPr="00B30D9E">
        <w:rPr>
          <w:rFonts w:eastAsia="Calibri"/>
          <w:sz w:val="26"/>
          <w:szCs w:val="26"/>
          <w:lang w:val="es-ES_tradnl"/>
        </w:rPr>
        <w:t xml:space="preserve"> 0,0760 x PIAE - 0,0895 x PVCC.</w:t>
      </w:r>
    </w:p>
    <w:p w:rsidR="00BE1465" w:rsidRPr="00B30D9E" w:rsidRDefault="00BE1465" w:rsidP="00BE1465">
      <w:pPr>
        <w:pStyle w:val="xa2"/>
        <w:shd w:val="clear" w:color="auto" w:fill="FFFFFF"/>
        <w:spacing w:before="0" w:beforeAutospacing="0" w:after="120" w:afterAutospacing="0"/>
        <w:ind w:right="74" w:firstLine="284"/>
        <w:jc w:val="both"/>
        <w:rPr>
          <w:rFonts w:eastAsia="Calibri"/>
          <w:sz w:val="26"/>
          <w:szCs w:val="26"/>
          <w:lang w:val="es-ES_tradnl"/>
        </w:rPr>
      </w:pPr>
      <w:r>
        <w:rPr>
          <w:rFonts w:eastAsia="Calibri"/>
          <w:sz w:val="26"/>
          <w:szCs w:val="26"/>
          <w:lang w:val="es-ES_tradnl"/>
        </w:rPr>
        <w:t>La leyenda de los componentes de esta fórmula consta en el Anexo 2 que aco</w:t>
      </w:r>
      <w:r>
        <w:rPr>
          <w:rFonts w:eastAsia="Calibri"/>
          <w:sz w:val="26"/>
          <w:szCs w:val="26"/>
          <w:lang w:val="es-ES_tradnl"/>
        </w:rPr>
        <w:t>m</w:t>
      </w:r>
      <w:r>
        <w:rPr>
          <w:rFonts w:eastAsia="Calibri"/>
          <w:sz w:val="26"/>
          <w:szCs w:val="26"/>
          <w:lang w:val="es-ES_tradnl"/>
        </w:rPr>
        <w:t>paña a este informe.</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rPr>
          <w:szCs w:val="26"/>
        </w:rPr>
        <w:t xml:space="preserve">En </w:t>
      </w:r>
      <w:r w:rsidR="00374C3F">
        <w:rPr>
          <w:szCs w:val="26"/>
        </w:rPr>
        <w:t>el periodo 2009-2019</w:t>
      </w:r>
      <w:r>
        <w:rPr>
          <w:szCs w:val="26"/>
        </w:rPr>
        <w:t xml:space="preserve"> la distribución del </w:t>
      </w:r>
      <w:r w:rsidR="006213FA">
        <w:rPr>
          <w:szCs w:val="26"/>
        </w:rPr>
        <w:t>FTC</w:t>
      </w:r>
      <w:r w:rsidR="00374C3F">
        <w:rPr>
          <w:szCs w:val="26"/>
        </w:rPr>
        <w:t xml:space="preserve"> se ha realizado de acuerdo a </w:t>
      </w:r>
      <w:r>
        <w:rPr>
          <w:szCs w:val="26"/>
        </w:rPr>
        <w:t>esta fórmula y según los siguientes criterios:</w:t>
      </w:r>
    </w:p>
    <w:tbl>
      <w:tblPr>
        <w:tblW w:w="8892" w:type="dxa"/>
        <w:tblInd w:w="122" w:type="dxa"/>
        <w:tblBorders>
          <w:top w:val="single" w:sz="4" w:space="0" w:color="auto"/>
          <w:bottom w:val="single" w:sz="4" w:space="0" w:color="auto"/>
        </w:tblBorders>
        <w:tblLayout w:type="fixed"/>
        <w:tblLook w:val="04A0" w:firstRow="1" w:lastRow="0" w:firstColumn="1" w:lastColumn="0" w:noHBand="0" w:noVBand="1"/>
      </w:tblPr>
      <w:tblGrid>
        <w:gridCol w:w="854"/>
        <w:gridCol w:w="1652"/>
        <w:gridCol w:w="1251"/>
        <w:gridCol w:w="5135"/>
      </w:tblGrid>
      <w:tr w:rsidR="00C57E33" w:rsidRPr="00405763" w:rsidTr="00374C3F">
        <w:trPr>
          <w:trHeight w:val="255"/>
        </w:trPr>
        <w:tc>
          <w:tcPr>
            <w:tcW w:w="854" w:type="dxa"/>
            <w:tcBorders>
              <w:top w:val="single" w:sz="4" w:space="0" w:color="auto"/>
              <w:bottom w:val="single" w:sz="4" w:space="0" w:color="auto"/>
            </w:tcBorders>
            <w:shd w:val="clear" w:color="auto" w:fill="FABF8F" w:themeFill="accent6" w:themeFillTint="99"/>
            <w:vAlign w:val="center"/>
          </w:tcPr>
          <w:p w:rsidR="00C57E33" w:rsidRPr="00405763"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w:hAnsi="Arial" w:cs="Arial"/>
                <w:sz w:val="18"/>
                <w:szCs w:val="18"/>
              </w:rPr>
            </w:pPr>
            <w:r w:rsidRPr="00405763">
              <w:rPr>
                <w:rFonts w:ascii="Arial" w:hAnsi="Arial" w:cs="Arial"/>
                <w:sz w:val="18"/>
                <w:szCs w:val="18"/>
              </w:rPr>
              <w:t>Periodo</w:t>
            </w:r>
          </w:p>
        </w:tc>
        <w:tc>
          <w:tcPr>
            <w:tcW w:w="1652" w:type="dxa"/>
            <w:tcBorders>
              <w:top w:val="single" w:sz="4" w:space="0" w:color="auto"/>
              <w:bottom w:val="single" w:sz="4" w:space="0" w:color="auto"/>
            </w:tcBorders>
            <w:shd w:val="clear" w:color="auto" w:fill="FABF8F" w:themeFill="accent6" w:themeFillTint="99"/>
            <w:vAlign w:val="center"/>
          </w:tcPr>
          <w:p w:rsidR="00C57E33" w:rsidRPr="00405763" w:rsidRDefault="00C57E33" w:rsidP="00B46ADB">
            <w:pPr>
              <w:pStyle w:val="texto"/>
              <w:tabs>
                <w:tab w:val="clear" w:pos="2835"/>
                <w:tab w:val="clear" w:pos="3969"/>
                <w:tab w:val="clear" w:pos="5103"/>
                <w:tab w:val="clear" w:pos="6237"/>
                <w:tab w:val="clear" w:pos="7371"/>
              </w:tabs>
              <w:spacing w:after="0"/>
              <w:ind w:left="-80" w:firstLine="0"/>
              <w:jc w:val="right"/>
              <w:rPr>
                <w:rFonts w:ascii="Arial" w:hAnsi="Arial" w:cs="Arial"/>
                <w:sz w:val="18"/>
                <w:szCs w:val="18"/>
              </w:rPr>
            </w:pPr>
            <w:r w:rsidRPr="00405763">
              <w:rPr>
                <w:rFonts w:ascii="Arial" w:hAnsi="Arial" w:cs="Arial"/>
                <w:sz w:val="18"/>
                <w:szCs w:val="18"/>
              </w:rPr>
              <w:t>Normativa</w:t>
            </w:r>
          </w:p>
        </w:tc>
        <w:tc>
          <w:tcPr>
            <w:tcW w:w="1251" w:type="dxa"/>
            <w:tcBorders>
              <w:top w:val="single" w:sz="4" w:space="0" w:color="auto"/>
              <w:bottom w:val="single" w:sz="4" w:space="0" w:color="auto"/>
            </w:tcBorders>
            <w:shd w:val="clear" w:color="auto" w:fill="FABF8F" w:themeFill="accent6" w:themeFillTint="99"/>
            <w:vAlign w:val="center"/>
          </w:tcPr>
          <w:p w:rsidR="00C57E33" w:rsidRPr="00405763" w:rsidRDefault="00C57E33" w:rsidP="00B46ADB">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405763">
              <w:rPr>
                <w:rFonts w:ascii="Arial" w:hAnsi="Arial" w:cs="Arial"/>
                <w:sz w:val="18"/>
                <w:szCs w:val="18"/>
              </w:rPr>
              <w:t>Uso fórmula</w:t>
            </w:r>
          </w:p>
        </w:tc>
        <w:tc>
          <w:tcPr>
            <w:tcW w:w="5135" w:type="dxa"/>
            <w:tcBorders>
              <w:top w:val="single" w:sz="4" w:space="0" w:color="auto"/>
              <w:bottom w:val="single" w:sz="4" w:space="0" w:color="auto"/>
            </w:tcBorders>
            <w:shd w:val="clear" w:color="auto" w:fill="FABF8F" w:themeFill="accent6" w:themeFillTint="99"/>
            <w:vAlign w:val="center"/>
          </w:tcPr>
          <w:p w:rsidR="00C57E33" w:rsidRPr="00405763" w:rsidRDefault="00C57E33" w:rsidP="00166DD8">
            <w:pPr>
              <w:pStyle w:val="texto"/>
              <w:tabs>
                <w:tab w:val="clear" w:pos="2835"/>
                <w:tab w:val="clear" w:pos="3969"/>
                <w:tab w:val="clear" w:pos="5103"/>
                <w:tab w:val="clear" w:pos="6237"/>
                <w:tab w:val="clear" w:pos="7371"/>
              </w:tabs>
              <w:spacing w:after="0"/>
              <w:ind w:left="111" w:firstLine="0"/>
              <w:jc w:val="left"/>
              <w:rPr>
                <w:rFonts w:ascii="Arial" w:hAnsi="Arial" w:cs="Arial"/>
                <w:sz w:val="18"/>
                <w:szCs w:val="18"/>
              </w:rPr>
            </w:pPr>
            <w:r w:rsidRPr="00405763">
              <w:rPr>
                <w:rFonts w:ascii="Arial" w:hAnsi="Arial" w:cs="Arial"/>
                <w:sz w:val="18"/>
                <w:szCs w:val="18"/>
              </w:rPr>
              <w:t>Sistema de reparto</w:t>
            </w:r>
          </w:p>
        </w:tc>
      </w:tr>
      <w:tr w:rsidR="00C57E33" w:rsidRPr="00B46ADB" w:rsidTr="00374C3F">
        <w:trPr>
          <w:trHeight w:val="255"/>
        </w:trPr>
        <w:tc>
          <w:tcPr>
            <w:tcW w:w="854" w:type="dxa"/>
            <w:tcBorders>
              <w:top w:val="single" w:sz="4"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Narrow" w:hAnsi="Arial Narrow"/>
                <w:sz w:val="18"/>
                <w:szCs w:val="18"/>
              </w:rPr>
            </w:pPr>
            <w:r w:rsidRPr="00B46ADB">
              <w:rPr>
                <w:rFonts w:ascii="Arial Narrow" w:hAnsi="Arial Narrow"/>
                <w:sz w:val="18"/>
                <w:szCs w:val="18"/>
              </w:rPr>
              <w:t>2009-2014</w:t>
            </w:r>
          </w:p>
        </w:tc>
        <w:tc>
          <w:tcPr>
            <w:tcW w:w="1652" w:type="dxa"/>
            <w:tcBorders>
              <w:top w:val="single" w:sz="4" w:space="0" w:color="auto"/>
              <w:bottom w:val="single" w:sz="2" w:space="0" w:color="auto"/>
            </w:tcBorders>
            <w:vAlign w:val="center"/>
          </w:tcPr>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19/2008</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18/2011</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20/2012</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17/2014</w:t>
            </w:r>
          </w:p>
          <w:p w:rsidR="00C57E33" w:rsidRPr="00B46ADB" w:rsidRDefault="00374C3F" w:rsidP="00374C3F">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30/2014</w:t>
            </w:r>
          </w:p>
        </w:tc>
        <w:tc>
          <w:tcPr>
            <w:tcW w:w="1251" w:type="dxa"/>
            <w:tcBorders>
              <w:top w:val="single" w:sz="4"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108" w:firstLine="0"/>
              <w:jc w:val="center"/>
              <w:rPr>
                <w:rFonts w:ascii="Arial Narrow" w:hAnsi="Arial Narrow"/>
                <w:sz w:val="18"/>
                <w:szCs w:val="18"/>
              </w:rPr>
            </w:pPr>
            <w:r w:rsidRPr="00B46ADB">
              <w:rPr>
                <w:rFonts w:ascii="Arial Narrow" w:hAnsi="Arial Narrow"/>
                <w:sz w:val="18"/>
                <w:szCs w:val="18"/>
              </w:rPr>
              <w:t>Sí</w:t>
            </w:r>
          </w:p>
        </w:tc>
        <w:tc>
          <w:tcPr>
            <w:tcW w:w="5135" w:type="dxa"/>
            <w:tcBorders>
              <w:top w:val="single" w:sz="4" w:space="0" w:color="auto"/>
              <w:bottom w:val="single" w:sz="2" w:space="0" w:color="auto"/>
            </w:tcBorders>
            <w:vAlign w:val="center"/>
          </w:tcPr>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Tres niveles:</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 xml:space="preserve">1º) </w:t>
            </w:r>
            <w:r>
              <w:rPr>
                <w:rFonts w:ascii="Arial Narrow" w:hAnsi="Arial Narrow"/>
                <w:sz w:val="18"/>
                <w:szCs w:val="18"/>
              </w:rPr>
              <w:t>A</w:t>
            </w:r>
            <w:r w:rsidRPr="00B46ADB">
              <w:rPr>
                <w:rFonts w:ascii="Arial Narrow" w:hAnsi="Arial Narrow"/>
                <w:sz w:val="18"/>
                <w:szCs w:val="18"/>
              </w:rPr>
              <w:t xml:space="preserve">signación a </w:t>
            </w:r>
            <w:r w:rsidR="00C02834">
              <w:rPr>
                <w:rFonts w:ascii="Arial Narrow" w:hAnsi="Arial Narrow"/>
                <w:sz w:val="18"/>
                <w:szCs w:val="18"/>
              </w:rPr>
              <w:t>P</w:t>
            </w:r>
            <w:r w:rsidRPr="00B46ADB">
              <w:rPr>
                <w:rFonts w:ascii="Arial Narrow" w:hAnsi="Arial Narrow"/>
                <w:sz w:val="18"/>
                <w:szCs w:val="18"/>
              </w:rPr>
              <w:t>amplona.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 xml:space="preserve">2º) </w:t>
            </w:r>
            <w:r>
              <w:rPr>
                <w:rFonts w:ascii="Arial Narrow" w:hAnsi="Arial Narrow"/>
                <w:sz w:val="18"/>
                <w:szCs w:val="18"/>
              </w:rPr>
              <w:t>R</w:t>
            </w:r>
            <w:r w:rsidRPr="00B46ADB">
              <w:rPr>
                <w:rFonts w:ascii="Arial Narrow" w:hAnsi="Arial Narrow"/>
                <w:sz w:val="18"/>
                <w:szCs w:val="18"/>
              </w:rPr>
              <w:t>edistribución del fondo restante entre municipios según la fórmula.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 xml:space="preserve">3º) </w:t>
            </w:r>
            <w:r>
              <w:rPr>
                <w:rFonts w:ascii="Arial Narrow" w:hAnsi="Arial Narrow"/>
                <w:sz w:val="18"/>
                <w:szCs w:val="18"/>
              </w:rPr>
              <w:t>A</w:t>
            </w:r>
            <w:r w:rsidRPr="00B46ADB">
              <w:rPr>
                <w:rFonts w:ascii="Arial Narrow" w:hAnsi="Arial Narrow"/>
                <w:sz w:val="18"/>
                <w:szCs w:val="18"/>
              </w:rPr>
              <w:t xml:space="preserve"> los concejos se les asigna el 30 por ciento del fondo de su municipio, repartiéndolo en función de la población.</w:t>
            </w:r>
          </w:p>
        </w:tc>
      </w:tr>
      <w:tr w:rsidR="00C57E33" w:rsidRPr="00B46ADB" w:rsidTr="00374C3F">
        <w:trPr>
          <w:trHeight w:val="255"/>
        </w:trPr>
        <w:tc>
          <w:tcPr>
            <w:tcW w:w="854" w:type="dxa"/>
            <w:tcBorders>
              <w:top w:val="single" w:sz="2"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Narrow" w:hAnsi="Arial Narrow"/>
                <w:sz w:val="18"/>
                <w:szCs w:val="18"/>
              </w:rPr>
            </w:pPr>
            <w:r w:rsidRPr="00B46ADB">
              <w:rPr>
                <w:rFonts w:ascii="Arial Narrow" w:hAnsi="Arial Narrow"/>
                <w:sz w:val="18"/>
                <w:szCs w:val="18"/>
              </w:rPr>
              <w:t>2015-2017</w:t>
            </w:r>
          </w:p>
        </w:tc>
        <w:tc>
          <w:tcPr>
            <w:tcW w:w="1652" w:type="dxa"/>
            <w:tcBorders>
              <w:top w:val="single" w:sz="2" w:space="0" w:color="auto"/>
              <w:bottom w:val="single" w:sz="2" w:space="0" w:color="auto"/>
            </w:tcBorders>
            <w:vAlign w:val="center"/>
          </w:tcPr>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21/2014</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24/2015</w:t>
            </w:r>
          </w:p>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21/2016</w:t>
            </w:r>
          </w:p>
        </w:tc>
        <w:tc>
          <w:tcPr>
            <w:tcW w:w="1251" w:type="dxa"/>
            <w:tcBorders>
              <w:top w:val="single" w:sz="2" w:space="0" w:color="auto"/>
              <w:bottom w:val="single" w:sz="2"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108" w:firstLine="0"/>
              <w:jc w:val="center"/>
              <w:rPr>
                <w:rFonts w:ascii="Arial Narrow" w:hAnsi="Arial Narrow"/>
                <w:sz w:val="18"/>
                <w:szCs w:val="18"/>
              </w:rPr>
            </w:pPr>
            <w:r w:rsidRPr="00B46ADB">
              <w:rPr>
                <w:rFonts w:ascii="Arial Narrow" w:hAnsi="Arial Narrow"/>
                <w:sz w:val="18"/>
                <w:szCs w:val="18"/>
              </w:rPr>
              <w:t>No</w:t>
            </w:r>
          </w:p>
        </w:tc>
        <w:tc>
          <w:tcPr>
            <w:tcW w:w="5135" w:type="dxa"/>
            <w:tcBorders>
              <w:top w:val="single" w:sz="2" w:space="0" w:color="auto"/>
              <w:bottom w:val="single" w:sz="2" w:space="0" w:color="auto"/>
            </w:tcBorders>
            <w:vAlign w:val="center"/>
          </w:tcPr>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Se parte de la cuantía percibida el año anterior y se incrementa en la misma proporción que lo haya hecho el fondo.</w:t>
            </w:r>
          </w:p>
        </w:tc>
      </w:tr>
      <w:tr w:rsidR="00C57E33" w:rsidRPr="00B46ADB" w:rsidTr="00374C3F">
        <w:trPr>
          <w:trHeight w:val="255"/>
        </w:trPr>
        <w:tc>
          <w:tcPr>
            <w:tcW w:w="854" w:type="dxa"/>
            <w:tcBorders>
              <w:top w:val="single" w:sz="2" w:space="0" w:color="auto"/>
              <w:bottom w:val="single" w:sz="4"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66" w:right="-122" w:firstLine="0"/>
              <w:jc w:val="left"/>
              <w:rPr>
                <w:rFonts w:ascii="Arial Narrow" w:hAnsi="Arial Narrow"/>
                <w:sz w:val="18"/>
                <w:szCs w:val="18"/>
              </w:rPr>
            </w:pPr>
            <w:r w:rsidRPr="00B46ADB">
              <w:rPr>
                <w:rFonts w:ascii="Arial Narrow" w:hAnsi="Arial Narrow"/>
                <w:sz w:val="18"/>
                <w:szCs w:val="18"/>
              </w:rPr>
              <w:t>2018-2019</w:t>
            </w:r>
          </w:p>
        </w:tc>
        <w:tc>
          <w:tcPr>
            <w:tcW w:w="1652" w:type="dxa"/>
            <w:tcBorders>
              <w:top w:val="single" w:sz="2" w:space="0" w:color="auto"/>
              <w:bottom w:val="single" w:sz="4" w:space="0" w:color="auto"/>
            </w:tcBorders>
            <w:vAlign w:val="center"/>
          </w:tcPr>
          <w:p w:rsidR="00C57E33" w:rsidRPr="00B46ADB" w:rsidRDefault="00C57E33" w:rsidP="00C57E33">
            <w:pPr>
              <w:pStyle w:val="texto"/>
              <w:tabs>
                <w:tab w:val="clear" w:pos="2835"/>
                <w:tab w:val="clear" w:pos="3969"/>
                <w:tab w:val="clear" w:pos="5103"/>
                <w:tab w:val="clear" w:pos="6237"/>
                <w:tab w:val="clear" w:pos="7371"/>
              </w:tabs>
              <w:spacing w:after="0"/>
              <w:ind w:left="-80" w:firstLine="0"/>
              <w:jc w:val="right"/>
              <w:rPr>
                <w:rFonts w:ascii="Arial Narrow" w:hAnsi="Arial Narrow"/>
                <w:sz w:val="18"/>
                <w:szCs w:val="18"/>
              </w:rPr>
            </w:pPr>
            <w:r w:rsidRPr="00B46ADB">
              <w:rPr>
                <w:rFonts w:ascii="Arial Narrow" w:hAnsi="Arial Narrow"/>
                <w:sz w:val="18"/>
                <w:szCs w:val="18"/>
              </w:rPr>
              <w:t>Ley Foral 18/2017</w:t>
            </w:r>
          </w:p>
        </w:tc>
        <w:tc>
          <w:tcPr>
            <w:tcW w:w="1251" w:type="dxa"/>
            <w:tcBorders>
              <w:top w:val="single" w:sz="2" w:space="0" w:color="auto"/>
              <w:bottom w:val="single" w:sz="4" w:space="0" w:color="auto"/>
            </w:tcBorders>
            <w:vAlign w:val="center"/>
          </w:tcPr>
          <w:p w:rsidR="00C57E33" w:rsidRPr="00B46ADB" w:rsidRDefault="00C57E33" w:rsidP="00B46ADB">
            <w:pPr>
              <w:pStyle w:val="texto"/>
              <w:tabs>
                <w:tab w:val="clear" w:pos="2835"/>
                <w:tab w:val="clear" w:pos="3969"/>
                <w:tab w:val="clear" w:pos="5103"/>
                <w:tab w:val="clear" w:pos="6237"/>
                <w:tab w:val="clear" w:pos="7371"/>
              </w:tabs>
              <w:spacing w:after="0"/>
              <w:ind w:left="-108" w:firstLine="0"/>
              <w:jc w:val="center"/>
              <w:rPr>
                <w:rFonts w:ascii="Arial Narrow" w:hAnsi="Arial Narrow"/>
                <w:sz w:val="18"/>
                <w:szCs w:val="18"/>
              </w:rPr>
            </w:pPr>
            <w:r w:rsidRPr="00B46ADB">
              <w:rPr>
                <w:rFonts w:ascii="Arial Narrow" w:hAnsi="Arial Narrow"/>
                <w:sz w:val="18"/>
                <w:szCs w:val="18"/>
              </w:rPr>
              <w:t>Sí</w:t>
            </w:r>
          </w:p>
        </w:tc>
        <w:tc>
          <w:tcPr>
            <w:tcW w:w="5135" w:type="dxa"/>
            <w:tcBorders>
              <w:top w:val="single" w:sz="2" w:space="0" w:color="auto"/>
              <w:bottom w:val="single" w:sz="4" w:space="0" w:color="auto"/>
            </w:tcBorders>
            <w:vAlign w:val="center"/>
          </w:tcPr>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Dos niveles:</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 xml:space="preserve">1º) </w:t>
            </w:r>
            <w:r>
              <w:rPr>
                <w:rFonts w:ascii="Arial Narrow" w:hAnsi="Arial Narrow"/>
                <w:sz w:val="18"/>
                <w:szCs w:val="18"/>
              </w:rPr>
              <w:t>D</w:t>
            </w:r>
            <w:r w:rsidRPr="00B46ADB">
              <w:rPr>
                <w:rFonts w:ascii="Arial Narrow" w:hAnsi="Arial Narrow"/>
                <w:sz w:val="18"/>
                <w:szCs w:val="18"/>
              </w:rPr>
              <w:t xml:space="preserve">istribución del fondo entre </w:t>
            </w:r>
            <w:r w:rsidR="00C02834">
              <w:rPr>
                <w:rFonts w:ascii="Arial Narrow" w:hAnsi="Arial Narrow"/>
                <w:sz w:val="18"/>
                <w:szCs w:val="18"/>
              </w:rPr>
              <w:t>municipios incluida P</w:t>
            </w:r>
            <w:r w:rsidRPr="00B46ADB">
              <w:rPr>
                <w:rFonts w:ascii="Arial Narrow" w:hAnsi="Arial Narrow"/>
                <w:sz w:val="18"/>
                <w:szCs w:val="18"/>
              </w:rPr>
              <w:t>amplona s</w:t>
            </w:r>
            <w:r w:rsidRPr="00B46ADB">
              <w:rPr>
                <w:rFonts w:ascii="Arial Narrow" w:hAnsi="Arial Narrow"/>
                <w:sz w:val="18"/>
                <w:szCs w:val="18"/>
              </w:rPr>
              <w:t>e</w:t>
            </w:r>
            <w:r w:rsidRPr="00B46ADB">
              <w:rPr>
                <w:rFonts w:ascii="Arial Narrow" w:hAnsi="Arial Narrow"/>
                <w:sz w:val="18"/>
                <w:szCs w:val="18"/>
              </w:rPr>
              <w:t>gún la fórmula.</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 xml:space="preserve">2º) </w:t>
            </w:r>
            <w:r>
              <w:rPr>
                <w:rFonts w:ascii="Arial Narrow" w:hAnsi="Arial Narrow"/>
                <w:sz w:val="18"/>
                <w:szCs w:val="18"/>
              </w:rPr>
              <w:t>A</w:t>
            </w:r>
            <w:r w:rsidRPr="00B46ADB">
              <w:rPr>
                <w:rFonts w:ascii="Arial Narrow" w:hAnsi="Arial Narrow"/>
                <w:sz w:val="18"/>
                <w:szCs w:val="18"/>
              </w:rPr>
              <w:t xml:space="preserve"> los concejos se les asigna el 30 por ciento del fondo de su municipio, repartiéndolo en función de la población.</w:t>
            </w:r>
          </w:p>
          <w:p w:rsidR="00C57E33" w:rsidRPr="00B46ADB" w:rsidRDefault="00C57E33" w:rsidP="00166DD8">
            <w:pPr>
              <w:pStyle w:val="texto"/>
              <w:tabs>
                <w:tab w:val="clear" w:pos="2835"/>
                <w:tab w:val="clear" w:pos="3969"/>
                <w:tab w:val="clear" w:pos="5103"/>
                <w:tab w:val="clear" w:pos="6237"/>
                <w:tab w:val="clear" w:pos="7371"/>
              </w:tabs>
              <w:spacing w:after="0"/>
              <w:ind w:left="111" w:firstLine="0"/>
              <w:rPr>
                <w:rFonts w:ascii="Arial Narrow" w:hAnsi="Arial Narrow"/>
                <w:sz w:val="18"/>
                <w:szCs w:val="18"/>
              </w:rPr>
            </w:pPr>
            <w:r w:rsidRPr="00B46ADB">
              <w:rPr>
                <w:rFonts w:ascii="Arial Narrow" w:hAnsi="Arial Narrow"/>
                <w:sz w:val="18"/>
                <w:szCs w:val="18"/>
              </w:rPr>
              <w:t>Ayuntamientos que no hayan iniciado el proceso de revisión de la ponencia de valoración verán disminuido su importe en un diez por ciento.</w:t>
            </w:r>
          </w:p>
        </w:tc>
      </w:tr>
    </w:tbl>
    <w:p w:rsidR="00BE1465" w:rsidRDefault="00BE1465" w:rsidP="00BE1465">
      <w:pPr>
        <w:pStyle w:val="texto"/>
        <w:tabs>
          <w:tab w:val="clear" w:pos="2835"/>
          <w:tab w:val="clear" w:pos="3969"/>
          <w:tab w:val="clear" w:pos="5103"/>
          <w:tab w:val="clear" w:pos="6237"/>
          <w:tab w:val="clear" w:pos="7371"/>
        </w:tabs>
        <w:spacing w:before="240" w:after="120"/>
        <w:rPr>
          <w:szCs w:val="26"/>
        </w:rPr>
      </w:pPr>
      <w:r>
        <w:rPr>
          <w:szCs w:val="26"/>
        </w:rPr>
        <w:lastRenderedPageBreak/>
        <w:t>La fórmula se aplicó en los periodos 2009-2014 y 2018-2019, si bien en el periodo 2015-2017 no se utilizó</w:t>
      </w:r>
      <w:r w:rsidR="00C57E33">
        <w:rPr>
          <w:szCs w:val="26"/>
        </w:rPr>
        <w:t>,</w:t>
      </w:r>
      <w:r>
        <w:rPr>
          <w:szCs w:val="26"/>
        </w:rPr>
        <w:t xml:space="preserve"> y las cantidades recibidas por cada municipio se determinaban en función de lo percibido el año anterior. </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rPr>
          <w:szCs w:val="26"/>
        </w:rPr>
        <w:t xml:space="preserve">La Ley Foral 4/2019 mencionada anteriormente también modifica el criterio de reparto del </w:t>
      </w:r>
      <w:r w:rsidR="006213FA">
        <w:rPr>
          <w:szCs w:val="26"/>
        </w:rPr>
        <w:t>fondo</w:t>
      </w:r>
      <w:r>
        <w:rPr>
          <w:szCs w:val="26"/>
        </w:rPr>
        <w:t xml:space="preserve"> y en concreto establece lo siguiente:</w:t>
      </w:r>
    </w:p>
    <w:p w:rsidR="00BE1465" w:rsidRPr="00166DD8" w:rsidRDefault="00BE1465" w:rsidP="00BE1465">
      <w:pPr>
        <w:pStyle w:val="xa2"/>
        <w:shd w:val="clear" w:color="auto" w:fill="FFFFFF"/>
        <w:spacing w:before="120" w:beforeAutospacing="0" w:after="120" w:afterAutospacing="0"/>
        <w:ind w:right="74" w:firstLine="284"/>
        <w:jc w:val="both"/>
        <w:rPr>
          <w:i/>
          <w:spacing w:val="6"/>
          <w:sz w:val="22"/>
          <w:szCs w:val="22"/>
          <w:lang w:val="es-ES_tradnl" w:eastAsia="en-US"/>
        </w:rPr>
      </w:pPr>
      <w:r w:rsidRPr="00166DD8">
        <w:rPr>
          <w:i/>
          <w:spacing w:val="6"/>
          <w:sz w:val="22"/>
          <w:szCs w:val="22"/>
          <w:lang w:val="es-ES_tradnl" w:eastAsia="en-US"/>
        </w:rPr>
        <w:t>“…2. El importe resultante de la participación en los tributos de Navarra se distribuirá a las entidades locales a través de:</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lang w:val="es-ES_tradnl" w:eastAsia="en-US"/>
        </w:rPr>
      </w:pPr>
      <w:r w:rsidRPr="00166DD8">
        <w:rPr>
          <w:i/>
          <w:spacing w:val="6"/>
          <w:sz w:val="22"/>
          <w:szCs w:val="22"/>
          <w:lang w:val="es-ES_tradnl" w:eastAsia="en-US"/>
        </w:rPr>
        <w:t>a) Transferencias corrientes para la financiación de los servicios que se presten por la entidad local, para los que se hayan establecido módulos de financiación por parte del G</w:t>
      </w:r>
      <w:r w:rsidRPr="00166DD8">
        <w:rPr>
          <w:i/>
          <w:spacing w:val="6"/>
          <w:sz w:val="22"/>
          <w:szCs w:val="22"/>
          <w:lang w:val="es-ES_tradnl" w:eastAsia="en-US"/>
        </w:rPr>
        <w:t>o</w:t>
      </w:r>
      <w:r w:rsidRPr="00166DD8">
        <w:rPr>
          <w:i/>
          <w:spacing w:val="6"/>
          <w:sz w:val="22"/>
          <w:szCs w:val="22"/>
          <w:lang w:val="es-ES_tradnl" w:eastAsia="en-US"/>
        </w:rPr>
        <w:t>bierno de Navarra. La cuantía de dichas transferencias vendrá determinada por los citados módulos.</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lang w:val="es-ES_tradnl" w:eastAsia="en-US"/>
        </w:rPr>
      </w:pPr>
      <w:r w:rsidRPr="00166DD8">
        <w:rPr>
          <w:i/>
          <w:spacing w:val="6"/>
          <w:sz w:val="22"/>
          <w:szCs w:val="22"/>
          <w:lang w:val="es-ES_tradnl" w:eastAsia="en-US"/>
        </w:rPr>
        <w:t>b) Transferencias de capital para la financiación de inversiones vinculadas a Planes Directores de Infraestructuras locales, aprobados por el Gobierno de Navarra, que concr</w:t>
      </w:r>
      <w:r w:rsidRPr="00166DD8">
        <w:rPr>
          <w:i/>
          <w:spacing w:val="6"/>
          <w:sz w:val="22"/>
          <w:szCs w:val="22"/>
          <w:lang w:val="es-ES_tradnl" w:eastAsia="en-US"/>
        </w:rPr>
        <w:t>e</w:t>
      </w:r>
      <w:r w:rsidRPr="00166DD8">
        <w:rPr>
          <w:i/>
          <w:spacing w:val="6"/>
          <w:sz w:val="22"/>
          <w:szCs w:val="22"/>
          <w:lang w:val="es-ES_tradnl" w:eastAsia="en-US"/>
        </w:rPr>
        <w:t>tan la estrategia de ámbito territorial superior al municipio en un servicio determinado.</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lang w:val="es-ES_tradnl" w:eastAsia="en-US"/>
        </w:rPr>
      </w:pPr>
      <w:r w:rsidRPr="00166DD8">
        <w:rPr>
          <w:i/>
          <w:spacing w:val="6"/>
          <w:sz w:val="22"/>
          <w:szCs w:val="22"/>
          <w:lang w:val="es-ES_tradnl" w:eastAsia="en-US"/>
        </w:rPr>
        <w:t>c) Una cuantía de libre determinación que se asignará a cada entidad local en función de los principios de justicia, proporcionalidad, cohesión social, equilibrio territorial y suf</w:t>
      </w:r>
      <w:r w:rsidRPr="00166DD8">
        <w:rPr>
          <w:i/>
          <w:spacing w:val="6"/>
          <w:sz w:val="22"/>
          <w:szCs w:val="22"/>
          <w:lang w:val="es-ES_tradnl" w:eastAsia="en-US"/>
        </w:rPr>
        <w:t>i</w:t>
      </w:r>
      <w:r w:rsidRPr="00166DD8">
        <w:rPr>
          <w:i/>
          <w:spacing w:val="6"/>
          <w:sz w:val="22"/>
          <w:szCs w:val="22"/>
          <w:lang w:val="es-ES_tradnl" w:eastAsia="en-US"/>
        </w:rPr>
        <w:t>ciencia financiera, cuyo destino será determinado por cada entidad local en ejercicio de su autonomía y pudiendo aplicarse tanto a la financiación de su gasto corriente como a la f</w:t>
      </w:r>
      <w:r w:rsidRPr="00166DD8">
        <w:rPr>
          <w:i/>
          <w:spacing w:val="6"/>
          <w:sz w:val="22"/>
          <w:szCs w:val="22"/>
          <w:lang w:val="es-ES_tradnl" w:eastAsia="en-US"/>
        </w:rPr>
        <w:t>i</w:t>
      </w:r>
      <w:r w:rsidRPr="00166DD8">
        <w:rPr>
          <w:i/>
          <w:spacing w:val="6"/>
          <w:sz w:val="22"/>
          <w:szCs w:val="22"/>
          <w:lang w:val="es-ES_tradnl" w:eastAsia="en-US"/>
        </w:rPr>
        <w:t>nanciación de inversiones en infraestructura. Los criterios para dicha asignación se dete</w:t>
      </w:r>
      <w:r w:rsidRPr="00166DD8">
        <w:rPr>
          <w:i/>
          <w:spacing w:val="6"/>
          <w:sz w:val="22"/>
          <w:szCs w:val="22"/>
          <w:lang w:val="es-ES_tradnl" w:eastAsia="en-US"/>
        </w:rPr>
        <w:t>r</w:t>
      </w:r>
      <w:r w:rsidRPr="00166DD8">
        <w:rPr>
          <w:i/>
          <w:spacing w:val="6"/>
          <w:sz w:val="22"/>
          <w:szCs w:val="22"/>
          <w:lang w:val="es-ES_tradnl" w:eastAsia="en-US"/>
        </w:rPr>
        <w:t>minarán mediante ley foral.</w:t>
      </w:r>
    </w:p>
    <w:p w:rsidR="00BE1465" w:rsidRPr="00166DD8" w:rsidRDefault="00BE1465" w:rsidP="00BE1465">
      <w:pPr>
        <w:pStyle w:val="xa2"/>
        <w:shd w:val="clear" w:color="auto" w:fill="FFFFFF"/>
        <w:spacing w:before="120" w:beforeAutospacing="0" w:after="120" w:afterAutospacing="0"/>
        <w:ind w:right="74" w:firstLine="425"/>
        <w:jc w:val="both"/>
        <w:rPr>
          <w:i/>
          <w:spacing w:val="6"/>
          <w:sz w:val="22"/>
          <w:szCs w:val="22"/>
          <w:lang w:val="es-ES_tradnl" w:eastAsia="en-US"/>
        </w:rPr>
      </w:pPr>
      <w:r w:rsidRPr="00166DD8">
        <w:rPr>
          <w:i/>
          <w:spacing w:val="6"/>
          <w:sz w:val="22"/>
          <w:szCs w:val="22"/>
          <w:lang w:val="es-ES_tradnl" w:eastAsia="en-US"/>
        </w:rPr>
        <w:t>d) Líneas específicas de financiación, entre las que se podrán incluir, al menos, las s</w:t>
      </w:r>
      <w:r w:rsidRPr="00166DD8">
        <w:rPr>
          <w:i/>
          <w:spacing w:val="6"/>
          <w:sz w:val="22"/>
          <w:szCs w:val="22"/>
          <w:lang w:val="es-ES_tradnl" w:eastAsia="en-US"/>
        </w:rPr>
        <w:t>i</w:t>
      </w:r>
      <w:r w:rsidRPr="00166DD8">
        <w:rPr>
          <w:i/>
          <w:spacing w:val="6"/>
          <w:sz w:val="22"/>
          <w:szCs w:val="22"/>
          <w:lang w:val="es-ES_tradnl" w:eastAsia="en-US"/>
        </w:rPr>
        <w:t>guientes:</w:t>
      </w:r>
    </w:p>
    <w:p w:rsidR="00BE1465" w:rsidRPr="00166DD8" w:rsidRDefault="00BE1465" w:rsidP="00C10193">
      <w:pPr>
        <w:pStyle w:val="xa2"/>
        <w:shd w:val="clear" w:color="auto" w:fill="FFFFFF"/>
        <w:spacing w:before="120" w:beforeAutospacing="0" w:after="120" w:afterAutospacing="0"/>
        <w:ind w:left="686" w:right="74" w:hanging="402"/>
        <w:jc w:val="both"/>
        <w:rPr>
          <w:i/>
          <w:spacing w:val="6"/>
          <w:sz w:val="22"/>
          <w:szCs w:val="22"/>
          <w:lang w:val="es-ES_tradnl" w:eastAsia="en-US"/>
        </w:rPr>
      </w:pPr>
      <w:r w:rsidRPr="00166DD8">
        <w:rPr>
          <w:i/>
          <w:spacing w:val="6"/>
          <w:sz w:val="22"/>
          <w:szCs w:val="22"/>
          <w:lang w:val="es-ES_tradnl" w:eastAsia="en-US"/>
        </w:rPr>
        <w:t>-</w:t>
      </w:r>
      <w:r w:rsidR="00543947" w:rsidRPr="00166DD8">
        <w:rPr>
          <w:i/>
          <w:spacing w:val="6"/>
          <w:sz w:val="22"/>
          <w:szCs w:val="22"/>
          <w:lang w:val="es-ES_tradnl" w:eastAsia="en-US"/>
        </w:rPr>
        <w:t xml:space="preserve"> </w:t>
      </w:r>
      <w:r w:rsidRPr="00166DD8">
        <w:rPr>
          <w:i/>
          <w:spacing w:val="6"/>
          <w:sz w:val="22"/>
          <w:szCs w:val="22"/>
          <w:lang w:val="es-ES_tradnl" w:eastAsia="en-US"/>
        </w:rPr>
        <w:t>Sistemas de Cartas de Capitalidad.</w:t>
      </w:r>
    </w:p>
    <w:p w:rsidR="00BE1465" w:rsidRPr="00166DD8" w:rsidRDefault="00BE1465" w:rsidP="00C10193">
      <w:pPr>
        <w:pStyle w:val="xa2"/>
        <w:shd w:val="clear" w:color="auto" w:fill="FFFFFF"/>
        <w:spacing w:before="120" w:beforeAutospacing="0" w:after="120" w:afterAutospacing="0"/>
        <w:ind w:left="284" w:right="74"/>
        <w:jc w:val="both"/>
        <w:rPr>
          <w:i/>
          <w:spacing w:val="6"/>
          <w:sz w:val="22"/>
          <w:szCs w:val="22"/>
          <w:lang w:val="es-ES_tradnl" w:eastAsia="en-US"/>
        </w:rPr>
      </w:pPr>
      <w:r w:rsidRPr="00166DD8">
        <w:rPr>
          <w:i/>
          <w:spacing w:val="6"/>
          <w:sz w:val="22"/>
          <w:szCs w:val="22"/>
          <w:lang w:val="es-ES_tradnl" w:eastAsia="en-US"/>
        </w:rPr>
        <w:t>-</w:t>
      </w:r>
      <w:r w:rsidR="00543947" w:rsidRPr="00166DD8">
        <w:rPr>
          <w:i/>
          <w:spacing w:val="6"/>
          <w:sz w:val="22"/>
          <w:szCs w:val="22"/>
          <w:lang w:val="es-ES_tradnl" w:eastAsia="en-US"/>
        </w:rPr>
        <w:t xml:space="preserve"> </w:t>
      </w:r>
      <w:r w:rsidRPr="00166DD8">
        <w:rPr>
          <w:i/>
          <w:spacing w:val="6"/>
          <w:sz w:val="22"/>
          <w:szCs w:val="22"/>
          <w:lang w:val="es-ES_tradnl" w:eastAsia="en-US"/>
        </w:rPr>
        <w:t>Ayudas económicas a las Asociaciones o Federaciones representativas de las entidades locales navarras, en proporción a su implantación en la Comunidad Foral.</w:t>
      </w:r>
    </w:p>
    <w:p w:rsidR="00BE1465" w:rsidRPr="00166DD8" w:rsidRDefault="00BE1465" w:rsidP="00C10193">
      <w:pPr>
        <w:pStyle w:val="xa2"/>
        <w:shd w:val="clear" w:color="auto" w:fill="FFFFFF"/>
        <w:spacing w:before="120" w:beforeAutospacing="0" w:after="120" w:afterAutospacing="0"/>
        <w:ind w:left="284" w:right="74"/>
        <w:jc w:val="both"/>
        <w:rPr>
          <w:i/>
          <w:spacing w:val="6"/>
          <w:sz w:val="22"/>
          <w:szCs w:val="22"/>
          <w:lang w:val="es-ES_tradnl" w:eastAsia="en-US"/>
        </w:rPr>
      </w:pPr>
      <w:r w:rsidRPr="00166DD8">
        <w:rPr>
          <w:i/>
          <w:spacing w:val="6"/>
          <w:sz w:val="22"/>
          <w:szCs w:val="22"/>
          <w:lang w:val="es-ES_tradnl" w:eastAsia="en-US"/>
        </w:rPr>
        <w:t>-</w:t>
      </w:r>
      <w:r w:rsidR="00543947" w:rsidRPr="00166DD8">
        <w:rPr>
          <w:i/>
          <w:spacing w:val="6"/>
          <w:sz w:val="22"/>
          <w:szCs w:val="22"/>
          <w:lang w:val="es-ES_tradnl" w:eastAsia="en-US"/>
        </w:rPr>
        <w:t xml:space="preserve"> </w:t>
      </w:r>
      <w:r w:rsidRPr="00166DD8">
        <w:rPr>
          <w:i/>
          <w:spacing w:val="6"/>
          <w:sz w:val="22"/>
          <w:szCs w:val="22"/>
          <w:lang w:val="es-ES_tradnl" w:eastAsia="en-US"/>
        </w:rPr>
        <w:t>Compensaciones por abonos realizados por las entidades locales en concepto de ded</w:t>
      </w:r>
      <w:r w:rsidRPr="00166DD8">
        <w:rPr>
          <w:i/>
          <w:spacing w:val="6"/>
          <w:sz w:val="22"/>
          <w:szCs w:val="22"/>
          <w:lang w:val="es-ES_tradnl" w:eastAsia="en-US"/>
        </w:rPr>
        <w:t>i</w:t>
      </w:r>
      <w:r w:rsidRPr="00166DD8">
        <w:rPr>
          <w:i/>
          <w:spacing w:val="6"/>
          <w:sz w:val="22"/>
          <w:szCs w:val="22"/>
          <w:lang w:val="es-ES_tradnl" w:eastAsia="en-US"/>
        </w:rPr>
        <w:t>cación a cargo electo.</w:t>
      </w:r>
    </w:p>
    <w:p w:rsidR="00BE1465" w:rsidRPr="00166DD8" w:rsidRDefault="00BE1465" w:rsidP="00BE1465">
      <w:pPr>
        <w:pStyle w:val="xa2"/>
        <w:shd w:val="clear" w:color="auto" w:fill="FFFFFF"/>
        <w:spacing w:before="120" w:beforeAutospacing="0" w:after="120" w:afterAutospacing="0"/>
        <w:ind w:right="74" w:firstLine="284"/>
        <w:jc w:val="both"/>
        <w:rPr>
          <w:i/>
          <w:spacing w:val="6"/>
          <w:sz w:val="22"/>
          <w:szCs w:val="22"/>
          <w:lang w:val="es-ES_tradnl" w:eastAsia="en-US"/>
        </w:rPr>
      </w:pPr>
      <w:r w:rsidRPr="00166DD8">
        <w:rPr>
          <w:i/>
          <w:spacing w:val="6"/>
          <w:sz w:val="22"/>
          <w:szCs w:val="22"/>
          <w:lang w:val="es-ES_tradnl" w:eastAsia="en-US"/>
        </w:rPr>
        <w:t xml:space="preserve">3. La ley foral que establezca la dotación, forma de actualización y período de vigencia del </w:t>
      </w:r>
      <w:r w:rsidR="006213FA" w:rsidRPr="00166DD8">
        <w:rPr>
          <w:i/>
          <w:spacing w:val="6"/>
          <w:sz w:val="22"/>
          <w:szCs w:val="22"/>
          <w:lang w:val="es-ES_tradnl" w:eastAsia="en-US"/>
        </w:rPr>
        <w:t>f</w:t>
      </w:r>
      <w:r w:rsidRPr="00166DD8">
        <w:rPr>
          <w:i/>
          <w:spacing w:val="6"/>
          <w:sz w:val="22"/>
          <w:szCs w:val="22"/>
          <w:lang w:val="es-ES_tradnl" w:eastAsia="en-US"/>
        </w:rPr>
        <w:t>ondo determinará la fórmula de reparto que especificará las variables de distribución a tener en cuenta a partir de los principios expuestos en el apartado c) del párrafo segundo de este artículo.</w:t>
      </w:r>
    </w:p>
    <w:p w:rsidR="00BE1465" w:rsidRDefault="00BE1465" w:rsidP="00BE1465">
      <w:pPr>
        <w:pStyle w:val="texto"/>
      </w:pPr>
      <w:r>
        <w:t xml:space="preserve">Existe un cambio significativo en </w:t>
      </w:r>
      <w:r w:rsidR="001A0C83">
        <w:t>la distribución</w:t>
      </w:r>
      <w:r>
        <w:t xml:space="preserve"> del </w:t>
      </w:r>
      <w:r w:rsidR="006213FA">
        <w:t>FTC</w:t>
      </w:r>
      <w:r w:rsidR="001A0C83">
        <w:t>, ya</w:t>
      </w:r>
      <w:r>
        <w:t xml:space="preserve"> que</w:t>
      </w:r>
      <w:r w:rsidR="001A0C83">
        <w:t>,</w:t>
      </w:r>
      <w:r>
        <w:t xml:space="preserve"> </w:t>
      </w:r>
      <w:r w:rsidR="001A0C83">
        <w:t xml:space="preserve">además del reparto a través de la fórmula según el apartado c), </w:t>
      </w:r>
      <w:r>
        <w:t xml:space="preserve">la norma establece que </w:t>
      </w:r>
      <w:r w:rsidR="001A0C83">
        <w:t xml:space="preserve">la asignación </w:t>
      </w:r>
      <w:r>
        <w:t>se realizará en función de módulos de financiación aprobados por el Gobierno de Navarra para los servicios especificados en su Disposición Transitoria Octava (montepíos, gastos funcionamiento concentraciones escol</w:t>
      </w:r>
      <w:r>
        <w:t>a</w:t>
      </w:r>
      <w:r>
        <w:t>res y edificios municipales de uso educativo, escuelas de música, escuelas i</w:t>
      </w:r>
      <w:r>
        <w:t>n</w:t>
      </w:r>
      <w:r>
        <w:t>fantiles, etc.).</w:t>
      </w:r>
    </w:p>
    <w:p w:rsidR="00BE1465" w:rsidRDefault="00BE1465" w:rsidP="00BE1465">
      <w:pPr>
        <w:pStyle w:val="texto"/>
      </w:pPr>
      <w:r>
        <w:t xml:space="preserve">Esta disposición establece además que, antes del 31 de diciembre de 2019, el Gobierno de Navarra remitirá al Parlamento una propuesta de financiación para sustituir progresivamente las subvenciones finalistas actuales por los módulos de financiación. </w:t>
      </w:r>
      <w:r w:rsidR="00374C3F">
        <w:t>P</w:t>
      </w:r>
      <w:r>
        <w:t xml:space="preserve">or otro lado, la Disposición Transitoria Undécima señala que </w:t>
      </w:r>
      <w:r>
        <w:lastRenderedPageBreak/>
        <w:t xml:space="preserve">las entidades locales de Navarra deberán implantar un sistema de análisis de costes de los servicios que sirva de referencia para calcular los módulos citados pero en un periodo no superior a cinco años. </w:t>
      </w:r>
    </w:p>
    <w:p w:rsidR="00BE1465" w:rsidRDefault="00BE1465" w:rsidP="00BE1465">
      <w:pPr>
        <w:pStyle w:val="texto"/>
      </w:pPr>
      <w:r w:rsidRPr="00414233">
        <w:t xml:space="preserve">A la fecha de redacción de este informe, en general, </w:t>
      </w:r>
      <w:r w:rsidR="001A0C83">
        <w:t xml:space="preserve">no se ha diseñado un sistema de costes homogéneo para </w:t>
      </w:r>
      <w:r w:rsidRPr="00414233">
        <w:t>las entidades loca</w:t>
      </w:r>
      <w:r w:rsidR="001A0C83">
        <w:t xml:space="preserve">les de Navarra, </w:t>
      </w:r>
      <w:r w:rsidRPr="00414233">
        <w:t>ni se han calculado los módulos de financiación</w:t>
      </w:r>
      <w:r w:rsidR="001A0C83">
        <w:t xml:space="preserve"> previstos en la normativa</w:t>
      </w:r>
      <w:r w:rsidRPr="00414233">
        <w:t xml:space="preserve">. </w:t>
      </w:r>
    </w:p>
    <w:p w:rsidR="00503C8E" w:rsidRPr="000247D8" w:rsidRDefault="00503C8E" w:rsidP="00503C8E">
      <w:pPr>
        <w:pStyle w:val="texto"/>
      </w:pPr>
      <w:r>
        <w:t>Señalamos además que, a la penalización del diez por ciento sobre el importe a percibir por transferencias corrientes en aquellos municipios que no tengan actualizados sus valores catastrales o no hayan iniciado el proceso de revisión de la ponencia de valoración establecida en la Ley Foral 18/2017, esta norma añade que l</w:t>
      </w:r>
      <w:r w:rsidRPr="000247D8">
        <w:t>as ponencias de valoración catastral deberán ser actualizadas cua</w:t>
      </w:r>
      <w:r w:rsidRPr="000247D8">
        <w:t>n</w:t>
      </w:r>
      <w:r w:rsidRPr="000247D8">
        <w:t>do haya transcurrido el plazo máximo desde su aprobación o revisión</w:t>
      </w:r>
      <w:r>
        <w:t xml:space="preserve">, pudiendo ser </w:t>
      </w:r>
      <w:r w:rsidRPr="000247D8">
        <w:t>objeto de ponderación</w:t>
      </w:r>
      <w:r w:rsidR="00374C3F">
        <w:t xml:space="preserve"> negativa</w:t>
      </w:r>
      <w:r w:rsidRPr="000247D8">
        <w:t xml:space="preserve"> en la distribución del </w:t>
      </w:r>
      <w:r w:rsidR="006213FA">
        <w:t>FTC</w:t>
      </w:r>
      <w:r w:rsidR="00374C3F">
        <w:t>,</w:t>
      </w:r>
      <w:r>
        <w:t xml:space="preserve"> el incumpl</w:t>
      </w:r>
      <w:r>
        <w:t>i</w:t>
      </w:r>
      <w:r>
        <w:t>miento de esta norma.</w:t>
      </w:r>
    </w:p>
    <w:p w:rsidR="00BE1465" w:rsidRPr="00BE1C34" w:rsidRDefault="00BE1465" w:rsidP="00374C3F">
      <w:pPr>
        <w:pStyle w:val="texto"/>
        <w:spacing w:before="240" w:after="120"/>
        <w:rPr>
          <w:rFonts w:ascii="Arial" w:hAnsi="Arial" w:cs="Arial"/>
          <w:i/>
        </w:rPr>
      </w:pPr>
      <w:r>
        <w:rPr>
          <w:rFonts w:ascii="Arial" w:hAnsi="Arial" w:cs="Arial"/>
          <w:i/>
        </w:rPr>
        <w:t>Sistema de garantía previsto en la normativa</w:t>
      </w:r>
    </w:p>
    <w:p w:rsidR="00BE1465" w:rsidRPr="000F71B8" w:rsidRDefault="00BE1465" w:rsidP="00374C3F">
      <w:pPr>
        <w:pStyle w:val="texto"/>
      </w:pPr>
      <w:r>
        <w:t xml:space="preserve">La normativa que regula el reparto del </w:t>
      </w:r>
      <w:r w:rsidR="006213FA">
        <w:t>FTC</w:t>
      </w:r>
      <w:r w:rsidR="00374C3F">
        <w:t xml:space="preserve"> desde 2002, cuando se comenzó a aplicar la fórmula indicada, hasta la actualidad</w:t>
      </w:r>
      <w:r w:rsidR="00503C8E">
        <w:t>,</w:t>
      </w:r>
      <w:r>
        <w:t xml:space="preserve"> establece un sistema de g</w:t>
      </w:r>
      <w:r>
        <w:t>a</w:t>
      </w:r>
      <w:r>
        <w:t>rantías de las siguientes características:</w:t>
      </w:r>
      <w:r w:rsidR="00B46ADB">
        <w:t xml:space="preserve"> </w:t>
      </w:r>
    </w:p>
    <w:p w:rsidR="00BE1465" w:rsidRPr="00B46ADB" w:rsidRDefault="00BE1465" w:rsidP="00B46A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46ADB">
        <w:rPr>
          <w:rFonts w:cs="Arial"/>
        </w:rPr>
        <w:t>En ningún caso el importe a percibir por un municipio será inferior al rec</w:t>
      </w:r>
      <w:r w:rsidRPr="00B46ADB">
        <w:rPr>
          <w:rFonts w:cs="Arial"/>
        </w:rPr>
        <w:t>i</w:t>
      </w:r>
      <w:r w:rsidRPr="00B46ADB">
        <w:rPr>
          <w:rFonts w:cs="Arial"/>
        </w:rPr>
        <w:t>bido en el reparto del ejercicio anterior</w:t>
      </w:r>
      <w:r w:rsidR="00374C3F">
        <w:rPr>
          <w:rFonts w:cs="Arial"/>
        </w:rPr>
        <w:t>; esta cantidad incluso se incrementó en algún ejercicio con el IPC</w:t>
      </w:r>
      <w:r w:rsidRPr="00B46ADB">
        <w:rPr>
          <w:rFonts w:cs="Arial"/>
        </w:rPr>
        <w:t xml:space="preserve">. </w:t>
      </w:r>
    </w:p>
    <w:p w:rsidR="00BE1465" w:rsidRPr="00B46ADB" w:rsidRDefault="00BE1465" w:rsidP="00B46A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46ADB">
        <w:rPr>
          <w:rFonts w:cs="Arial"/>
        </w:rPr>
        <w:t>En caso de que el IPC fuera negativo, se garantiza la cuantía asignada en el ejercicio anterior.</w:t>
      </w:r>
    </w:p>
    <w:p w:rsidR="00BE1465" w:rsidRPr="00B46ADB" w:rsidRDefault="00BE1465" w:rsidP="00B46A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46ADB">
        <w:rPr>
          <w:rFonts w:cs="Arial"/>
        </w:rPr>
        <w:t xml:space="preserve">Si la participación en el </w:t>
      </w:r>
      <w:r w:rsidR="006213FA">
        <w:rPr>
          <w:rFonts w:cs="Arial"/>
        </w:rPr>
        <w:t>FTC</w:t>
      </w:r>
      <w:r w:rsidRPr="00B46ADB">
        <w:rPr>
          <w:rFonts w:cs="Arial"/>
        </w:rPr>
        <w:t xml:space="preserve"> inicialmente asignada a un municipio no a</w:t>
      </w:r>
      <w:r w:rsidRPr="00B46ADB">
        <w:rPr>
          <w:rFonts w:cs="Arial"/>
        </w:rPr>
        <w:t>l</w:t>
      </w:r>
      <w:r w:rsidRPr="00B46ADB">
        <w:rPr>
          <w:rFonts w:cs="Arial"/>
        </w:rPr>
        <w:t>canza la garantía anterior, se detraerán las cantidades necesarias de las asign</w:t>
      </w:r>
      <w:r w:rsidRPr="00B46ADB">
        <w:rPr>
          <w:rFonts w:cs="Arial"/>
        </w:rPr>
        <w:t>a</w:t>
      </w:r>
      <w:r w:rsidRPr="00B46ADB">
        <w:rPr>
          <w:rFonts w:cs="Arial"/>
        </w:rPr>
        <w:t>das inicialmente a aquellos municipios que obtengan cantidades superiores a las garantizadas, de forma proporcional al incremento obtenido respecto de su correspondiente garantía.</w:t>
      </w:r>
    </w:p>
    <w:p w:rsidR="00BE1465" w:rsidRDefault="00BE1465" w:rsidP="00BE1465">
      <w:pPr>
        <w:pStyle w:val="texto"/>
      </w:pPr>
    </w:p>
    <w:p w:rsidR="00BE1465" w:rsidRDefault="00BE1465" w:rsidP="00BE1465">
      <w:pPr>
        <w:pStyle w:val="texto"/>
        <w:tabs>
          <w:tab w:val="clear" w:pos="2835"/>
          <w:tab w:val="clear" w:pos="3969"/>
          <w:tab w:val="clear" w:pos="5103"/>
          <w:tab w:val="clear" w:pos="6237"/>
          <w:tab w:val="clear" w:pos="7371"/>
        </w:tabs>
        <w:ind w:left="284" w:firstLine="0"/>
        <w:rPr>
          <w:szCs w:val="26"/>
        </w:rPr>
      </w:pPr>
    </w:p>
    <w:p w:rsidR="00BE1465" w:rsidRDefault="00BE1465" w:rsidP="00BE1465">
      <w:pPr>
        <w:spacing w:after="0"/>
        <w:ind w:firstLine="0"/>
        <w:jc w:val="left"/>
        <w:rPr>
          <w:rFonts w:ascii="Arial" w:hAnsi="Arial"/>
          <w:i/>
          <w:iCs/>
          <w:color w:val="000000"/>
          <w:spacing w:val="10"/>
          <w:kern w:val="28"/>
          <w:sz w:val="25"/>
          <w:szCs w:val="26"/>
        </w:rPr>
      </w:pPr>
      <w:r>
        <w:br w:type="page"/>
      </w:r>
    </w:p>
    <w:p w:rsidR="00BE1465" w:rsidRPr="00341874" w:rsidRDefault="00BE1465" w:rsidP="00BE1465">
      <w:pPr>
        <w:pStyle w:val="atitulo1"/>
      </w:pPr>
      <w:bookmarkStart w:id="7" w:name="_Toc311633164"/>
      <w:bookmarkStart w:id="8" w:name="_Toc311633173"/>
      <w:bookmarkStart w:id="9" w:name="_Toc432757080"/>
      <w:bookmarkStart w:id="10" w:name="_Toc447195014"/>
      <w:bookmarkStart w:id="11" w:name="_Toc477171873"/>
      <w:bookmarkStart w:id="12" w:name="_Toc2849155"/>
      <w:bookmarkStart w:id="13" w:name="_Toc4486938"/>
      <w:r w:rsidRPr="00983EB9">
        <w:lastRenderedPageBreak/>
        <w:t xml:space="preserve">III. </w:t>
      </w:r>
      <w:bookmarkEnd w:id="7"/>
      <w:bookmarkEnd w:id="8"/>
      <w:r w:rsidRPr="00341874">
        <w:t>Objetivo</w:t>
      </w:r>
      <w:bookmarkEnd w:id="9"/>
      <w:r>
        <w:t>s y alcance</w:t>
      </w:r>
      <w:bookmarkEnd w:id="10"/>
      <w:bookmarkEnd w:id="11"/>
      <w:bookmarkEnd w:id="12"/>
      <w:bookmarkEnd w:id="13"/>
    </w:p>
    <w:p w:rsidR="00BE1465" w:rsidRDefault="00BE1465" w:rsidP="00BE1465">
      <w:pPr>
        <w:pStyle w:val="texto"/>
        <w:tabs>
          <w:tab w:val="clear" w:pos="2835"/>
          <w:tab w:val="clear" w:pos="3969"/>
          <w:tab w:val="clear" w:pos="5103"/>
          <w:tab w:val="clear" w:pos="6237"/>
          <w:tab w:val="clear" w:pos="7371"/>
        </w:tabs>
        <w:spacing w:after="100"/>
        <w:rPr>
          <w:szCs w:val="26"/>
        </w:rPr>
      </w:pPr>
      <w:r>
        <w:rPr>
          <w:szCs w:val="26"/>
        </w:rPr>
        <w:t xml:space="preserve">Los objetivos de nuestro trabajo </w:t>
      </w:r>
      <w:r w:rsidR="00374C3F">
        <w:rPr>
          <w:szCs w:val="26"/>
        </w:rPr>
        <w:t>han</w:t>
      </w:r>
      <w:r>
        <w:rPr>
          <w:szCs w:val="26"/>
        </w:rPr>
        <w:t xml:space="preserve"> </w:t>
      </w:r>
      <w:r w:rsidR="00374C3F">
        <w:rPr>
          <w:szCs w:val="26"/>
        </w:rPr>
        <w:t xml:space="preserve">sido </w:t>
      </w:r>
      <w:r>
        <w:rPr>
          <w:szCs w:val="26"/>
        </w:rPr>
        <w:t>los siguientes:</w:t>
      </w:r>
    </w:p>
    <w:p w:rsidR="00BE1465" w:rsidRPr="00E610F7"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E610F7">
        <w:rPr>
          <w:rFonts w:cs="Arial"/>
        </w:rPr>
        <w:t>Emitir una opinión de auditoría de cumplimiento de legalidad en términos de seguridad razonable verificando si la gestión del fondo se ha ajustado a la normativa aplicable.</w:t>
      </w:r>
    </w:p>
    <w:p w:rsidR="00BE1465" w:rsidRPr="00E610F7"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E610F7">
        <w:rPr>
          <w:rFonts w:cs="Arial"/>
        </w:rPr>
        <w:t>Analizar la evolución para una muestra de municipios en el periodo 2009-2017</w:t>
      </w:r>
      <w:r w:rsidR="00374C3F">
        <w:rPr>
          <w:rFonts w:cs="Arial"/>
        </w:rPr>
        <w:t xml:space="preserve"> </w:t>
      </w:r>
      <w:r w:rsidR="00374C3F" w:rsidRPr="00E610F7">
        <w:rPr>
          <w:rFonts w:cs="Arial"/>
        </w:rPr>
        <w:t>de los siguientes datos</w:t>
      </w:r>
      <w:r w:rsidRPr="00E610F7">
        <w:rPr>
          <w:rFonts w:cs="Arial"/>
        </w:rPr>
        <w:t xml:space="preserve">: cuantía del </w:t>
      </w:r>
      <w:r w:rsidR="006213FA">
        <w:rPr>
          <w:rFonts w:cs="Arial"/>
        </w:rPr>
        <w:t>FTC real</w:t>
      </w:r>
      <w:r w:rsidRPr="00E610F7">
        <w:rPr>
          <w:rFonts w:cs="Arial"/>
        </w:rPr>
        <w:t xml:space="preserve"> y del que se hubiera percib</w:t>
      </w:r>
      <w:r w:rsidRPr="00E610F7">
        <w:rPr>
          <w:rFonts w:cs="Arial"/>
        </w:rPr>
        <w:t>i</w:t>
      </w:r>
      <w:r w:rsidRPr="00E610F7">
        <w:rPr>
          <w:rFonts w:cs="Arial"/>
        </w:rPr>
        <w:t>do por aplicación de la fórmula sin tener en cuenta el sistema de garantía, i</w:t>
      </w:r>
      <w:r w:rsidRPr="00E610F7">
        <w:rPr>
          <w:rFonts w:cs="Arial"/>
        </w:rPr>
        <w:t>n</w:t>
      </w:r>
      <w:r w:rsidRPr="00E610F7">
        <w:rPr>
          <w:rFonts w:cs="Arial"/>
        </w:rPr>
        <w:t xml:space="preserve">gresos corrientes, ingresos tributarios, ahorro bruto y población. </w:t>
      </w:r>
    </w:p>
    <w:p w:rsidR="00BE1465" w:rsidRPr="00E610F7" w:rsidRDefault="006213FA"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Pr>
          <w:rFonts w:cs="Arial"/>
        </w:rPr>
        <w:t>Comparar la gestión del FTC en Navarra y en las provincias que co</w:t>
      </w:r>
      <w:r w:rsidR="008E400A">
        <w:rPr>
          <w:rFonts w:cs="Arial"/>
        </w:rPr>
        <w:t>nfo</w:t>
      </w:r>
      <w:r w:rsidR="008E400A">
        <w:rPr>
          <w:rFonts w:cs="Arial"/>
        </w:rPr>
        <w:t>r</w:t>
      </w:r>
      <w:r w:rsidR="008E400A">
        <w:rPr>
          <w:rFonts w:cs="Arial"/>
        </w:rPr>
        <w:t>ma</w:t>
      </w:r>
      <w:r>
        <w:rPr>
          <w:rFonts w:cs="Arial"/>
        </w:rPr>
        <w:t xml:space="preserve">n la CAPV en el periodo </w:t>
      </w:r>
      <w:r w:rsidR="00BE1465" w:rsidRPr="00E610F7">
        <w:rPr>
          <w:rFonts w:cs="Arial"/>
        </w:rPr>
        <w:t>2009-2018.</w:t>
      </w:r>
    </w:p>
    <w:p w:rsidR="00BE1465" w:rsidRDefault="00BE1465" w:rsidP="00BE1465">
      <w:pPr>
        <w:pStyle w:val="texto"/>
        <w:spacing w:before="120" w:after="120"/>
        <w:rPr>
          <w:szCs w:val="26"/>
        </w:rPr>
      </w:pPr>
      <w:r>
        <w:rPr>
          <w:szCs w:val="26"/>
        </w:rPr>
        <w:t>El alcance temporal de nuestro trabajo ha sido el periodo comprendido entre 2009 y 2018, si bien la evolución de los ingresos corrientes, ingresos tribut</w:t>
      </w:r>
      <w:r>
        <w:rPr>
          <w:szCs w:val="26"/>
        </w:rPr>
        <w:t>a</w:t>
      </w:r>
      <w:r>
        <w:rPr>
          <w:szCs w:val="26"/>
        </w:rPr>
        <w:t xml:space="preserve">rios, gastos de funcionamiento y ahorro bruto de la muestra de municipios se ha analizado hasta 2017, ya que estas entidades aún no han </w:t>
      </w:r>
      <w:r w:rsidR="00374C3F">
        <w:rPr>
          <w:szCs w:val="26"/>
        </w:rPr>
        <w:t>aprobado</w:t>
      </w:r>
      <w:r>
        <w:rPr>
          <w:szCs w:val="26"/>
        </w:rPr>
        <w:t xml:space="preserve"> las cuentas de 2018; hemos considerado además aspectos relativos a ejercicios anteriores para analizar la evolución histórica de la cuantía del fondo y su método de di</w:t>
      </w:r>
      <w:r>
        <w:rPr>
          <w:szCs w:val="26"/>
        </w:rPr>
        <w:t>s</w:t>
      </w:r>
      <w:r>
        <w:rPr>
          <w:szCs w:val="26"/>
        </w:rPr>
        <w:t>tribución entre los municipios.</w:t>
      </w:r>
    </w:p>
    <w:p w:rsidR="00BE1465" w:rsidRPr="005355B5" w:rsidRDefault="00BE1465" w:rsidP="00BE1465">
      <w:pPr>
        <w:pStyle w:val="texto"/>
        <w:spacing w:before="120" w:after="120"/>
        <w:rPr>
          <w:szCs w:val="26"/>
        </w:rPr>
      </w:pPr>
      <w:r w:rsidRPr="005355B5">
        <w:rPr>
          <w:szCs w:val="26"/>
        </w:rPr>
        <w:t xml:space="preserve">Para realizar nuestro trabajo </w:t>
      </w:r>
      <w:r>
        <w:rPr>
          <w:szCs w:val="26"/>
        </w:rPr>
        <w:t>hemos analizado</w:t>
      </w:r>
      <w:r w:rsidRPr="005355B5">
        <w:rPr>
          <w:szCs w:val="26"/>
        </w:rPr>
        <w:t xml:space="preserve"> la siguiente información: </w:t>
      </w:r>
    </w:p>
    <w:p w:rsidR="00374C3F" w:rsidRPr="00BC5209" w:rsidRDefault="00374C3F" w:rsidP="00374C3F">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BC5209">
        <w:rPr>
          <w:rFonts w:cs="Arial"/>
        </w:rPr>
        <w:t>Normativa aplicable al fondo.</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BC5209">
        <w:rPr>
          <w:rFonts w:cs="Arial"/>
        </w:rPr>
        <w:t xml:space="preserve">Estudio realizado por la Universidad Pública de Navarra para diseñar la fórmula de distribución del </w:t>
      </w:r>
      <w:r w:rsidR="006213FA" w:rsidRPr="00BC5209">
        <w:rPr>
          <w:rFonts w:cs="Arial"/>
        </w:rPr>
        <w:t>FTC</w:t>
      </w:r>
      <w:r w:rsidRPr="00BC5209">
        <w:rPr>
          <w:rFonts w:cs="Arial"/>
        </w:rPr>
        <w:t xml:space="preserve"> entre los municipios de la Comunidad Foral.</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BC5209">
        <w:rPr>
          <w:rFonts w:cs="Arial"/>
        </w:rPr>
        <w:t xml:space="preserve">Ejecuciones presupuestarias de las partidas relacionadas con el fondo para el periodo 2009-2018 tanto de Navarra como de la CAPV.  </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BC5209">
        <w:rPr>
          <w:rFonts w:cs="Arial"/>
        </w:rPr>
        <w:t xml:space="preserve">Reparto del </w:t>
      </w:r>
      <w:r w:rsidR="006213FA" w:rsidRPr="00BC5209">
        <w:rPr>
          <w:rFonts w:cs="Arial"/>
        </w:rPr>
        <w:t>FTC</w:t>
      </w:r>
      <w:r w:rsidRPr="00BC5209">
        <w:rPr>
          <w:rFonts w:cs="Arial"/>
        </w:rPr>
        <w:t xml:space="preserve"> entre los municipios obtenido por aplicación de la fórm</w:t>
      </w:r>
      <w:r w:rsidRPr="00BC5209">
        <w:rPr>
          <w:rFonts w:cs="Arial"/>
        </w:rPr>
        <w:t>u</w:t>
      </w:r>
      <w:r w:rsidRPr="00BC5209">
        <w:rPr>
          <w:rFonts w:cs="Arial"/>
        </w:rPr>
        <w:t>la para los periodos en los que se utilizó la fórmula.</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BC5209">
        <w:rPr>
          <w:rFonts w:cs="Arial"/>
        </w:rPr>
        <w:t>Población a 1 de enero de los años del periodo 2009-2018 tanto para Nav</w:t>
      </w:r>
      <w:r w:rsidRPr="00BC5209">
        <w:rPr>
          <w:rFonts w:cs="Arial"/>
        </w:rPr>
        <w:t>a</w:t>
      </w:r>
      <w:r w:rsidRPr="00BC5209">
        <w:rPr>
          <w:rFonts w:cs="Arial"/>
        </w:rPr>
        <w:t>rra como para la CAPV según el Instituto Nacional de Estadística.</w:t>
      </w:r>
    </w:p>
    <w:p w:rsidR="00BE1465" w:rsidRPr="00BC5209" w:rsidRDefault="00BE1465" w:rsidP="00B850F7">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rPr>
      </w:pPr>
      <w:r w:rsidRPr="00BC5209">
        <w:rPr>
          <w:rFonts w:cs="Arial"/>
        </w:rPr>
        <w:t>Evolución de los ingresos corrientes, ingresos tributarios, gastos de fu</w:t>
      </w:r>
      <w:r w:rsidRPr="00BC5209">
        <w:rPr>
          <w:rFonts w:cs="Arial"/>
        </w:rPr>
        <w:t>n</w:t>
      </w:r>
      <w:r w:rsidRPr="00BC5209">
        <w:rPr>
          <w:rFonts w:cs="Arial"/>
        </w:rPr>
        <w:t>cionamiento y ahorro bruto para el periodo 2009-2017 para un conjunto de 25 municipios, entre los que se han incluido aquellos con población superior a 9.000 habitantes, y otros pertenecientes a intervalos de población distintos al señalado, que presentaban variaciones positivas o negativas en el número de habitantes.</w:t>
      </w:r>
    </w:p>
    <w:p w:rsidR="00BE1465" w:rsidRDefault="00BE1465" w:rsidP="00095E10">
      <w:pPr>
        <w:pStyle w:val="texto"/>
        <w:spacing w:before="120" w:after="120"/>
        <w:rPr>
          <w:szCs w:val="26"/>
        </w:rPr>
      </w:pPr>
      <w:r>
        <w:rPr>
          <w:szCs w:val="26"/>
        </w:rPr>
        <w:tab/>
        <w:t>Estos datos se han obtenido de los informes sobre el sector público local que elabora el Departamento de Administración Local y de la plataforma IDECAL, a través de la cual las entidades locales de Navarra remiten sus cuentas al D</w:t>
      </w:r>
      <w:r>
        <w:rPr>
          <w:szCs w:val="26"/>
        </w:rPr>
        <w:t>e</w:t>
      </w:r>
      <w:r>
        <w:rPr>
          <w:szCs w:val="26"/>
        </w:rPr>
        <w:t>partamento de Desarrollo Rural, Medio Ambiente y Administración Local.</w:t>
      </w:r>
      <w:r>
        <w:rPr>
          <w:szCs w:val="26"/>
        </w:rPr>
        <w:br w:type="page"/>
      </w:r>
    </w:p>
    <w:p w:rsidR="00BE1465" w:rsidRPr="00BB1925" w:rsidRDefault="00BE1465" w:rsidP="00BE1465">
      <w:pPr>
        <w:pStyle w:val="atitulo1"/>
      </w:pPr>
      <w:bookmarkStart w:id="14" w:name="_Toc2849156"/>
      <w:bookmarkStart w:id="15" w:name="_Toc4486939"/>
      <w:bookmarkStart w:id="16" w:name="_Toc398207038"/>
      <w:bookmarkStart w:id="17" w:name="_Toc432757087"/>
      <w:bookmarkStart w:id="18" w:name="_Toc447195021"/>
      <w:bookmarkStart w:id="19" w:name="_Toc477171874"/>
      <w:bookmarkStart w:id="20" w:name="_Toc432757082"/>
      <w:bookmarkStart w:id="21" w:name="_Toc447195015"/>
      <w:r>
        <w:lastRenderedPageBreak/>
        <w:t>I</w:t>
      </w:r>
      <w:r w:rsidRPr="00BB1925">
        <w:t xml:space="preserve">V. </w:t>
      </w:r>
      <w:r>
        <w:t>Conclusiones y recomendaciones</w:t>
      </w:r>
      <w:bookmarkEnd w:id="14"/>
      <w:bookmarkEnd w:id="15"/>
      <w:r>
        <w:t xml:space="preserve"> </w:t>
      </w:r>
    </w:p>
    <w:p w:rsidR="00BE1465" w:rsidRPr="00F377C9" w:rsidRDefault="00BE1465" w:rsidP="00BE1465">
      <w:pPr>
        <w:pStyle w:val="atitulo2"/>
      </w:pPr>
      <w:bookmarkStart w:id="22" w:name="_Toc2849157"/>
      <w:bookmarkStart w:id="23" w:name="_Toc4486940"/>
      <w:r w:rsidRPr="00F377C9">
        <w:t>I</w:t>
      </w:r>
      <w:r>
        <w:t>V</w:t>
      </w:r>
      <w:r w:rsidRPr="00F377C9">
        <w:t xml:space="preserve">.1. </w:t>
      </w:r>
      <w:r>
        <w:t>Opinión</w:t>
      </w:r>
      <w:bookmarkEnd w:id="22"/>
      <w:bookmarkEnd w:id="23"/>
    </w:p>
    <w:p w:rsidR="00BE1465" w:rsidRPr="00E610F7" w:rsidRDefault="00BE1465" w:rsidP="00E610F7">
      <w:pPr>
        <w:spacing w:before="240" w:after="240"/>
        <w:ind w:firstLine="0"/>
        <w:jc w:val="left"/>
        <w:rPr>
          <w:rFonts w:ascii="Arial" w:hAnsi="Arial" w:cs="Arial"/>
          <w:i/>
          <w:spacing w:val="6"/>
          <w:sz w:val="25"/>
          <w:szCs w:val="25"/>
        </w:rPr>
      </w:pPr>
      <w:r w:rsidRPr="00E610F7">
        <w:rPr>
          <w:rFonts w:ascii="Arial" w:hAnsi="Arial" w:cs="Arial"/>
          <w:i/>
          <w:spacing w:val="6"/>
          <w:sz w:val="25"/>
          <w:szCs w:val="25"/>
        </w:rPr>
        <w:t xml:space="preserve">Responsabilidad del Gobierno de Navarra </w:t>
      </w:r>
    </w:p>
    <w:p w:rsidR="00BE1465" w:rsidRPr="009F7337" w:rsidRDefault="00BE1465" w:rsidP="00BE1465">
      <w:pPr>
        <w:pStyle w:val="texto"/>
        <w:rPr>
          <w:szCs w:val="26"/>
        </w:rPr>
      </w:pPr>
      <w:r>
        <w:t>El Departamento de Desarrollo Rural, Medio Ambiente y Administración Local debe garantizar que la gestión del fondo resulta conforme con las normas aplicables. Asimismo es responsable del sistema de control interno que cons</w:t>
      </w:r>
      <w:r>
        <w:t>i</w:t>
      </w:r>
      <w:r>
        <w:t>dere necesario para garantizar que esta gestión esté libre de incumplimientos legales y de incorreciones materiales debidas a fraude o error.</w:t>
      </w:r>
    </w:p>
    <w:p w:rsidR="00BE1465" w:rsidRPr="00E610F7" w:rsidRDefault="00BE1465" w:rsidP="00E610F7">
      <w:pPr>
        <w:spacing w:before="240" w:after="240"/>
        <w:ind w:firstLine="0"/>
        <w:jc w:val="left"/>
        <w:rPr>
          <w:rFonts w:ascii="Arial" w:hAnsi="Arial" w:cs="Arial"/>
          <w:i/>
          <w:spacing w:val="6"/>
          <w:sz w:val="25"/>
          <w:szCs w:val="25"/>
        </w:rPr>
      </w:pPr>
      <w:r w:rsidRPr="00E610F7">
        <w:rPr>
          <w:rFonts w:ascii="Arial" w:hAnsi="Arial" w:cs="Arial"/>
          <w:i/>
          <w:spacing w:val="6"/>
          <w:sz w:val="25"/>
          <w:szCs w:val="25"/>
        </w:rPr>
        <w:t>Responsabilidad de la Cámara de Comptos de Navarra</w:t>
      </w:r>
    </w:p>
    <w:p w:rsidR="00BE1465" w:rsidRDefault="00BE1465" w:rsidP="00095E10">
      <w:pPr>
        <w:pStyle w:val="texto"/>
        <w:spacing w:before="120" w:after="100"/>
      </w:pPr>
      <w:bookmarkStart w:id="24" w:name="_Toc463350238"/>
      <w:bookmarkStart w:id="25" w:name="_Toc494270372"/>
      <w:bookmarkStart w:id="26" w:name="_Toc525907429"/>
      <w:bookmarkStart w:id="27" w:name="_Toc528855446"/>
      <w:bookmarkStart w:id="28" w:name="_Toc402180175"/>
      <w:bookmarkStart w:id="29" w:name="_Toc188167196"/>
      <w:bookmarkStart w:id="30" w:name="_Toc303592533"/>
      <w:bookmarkStart w:id="31" w:name="_Toc309383716"/>
      <w:bookmarkStart w:id="32" w:name="_Toc339016605"/>
      <w:r w:rsidRPr="00670539">
        <w:t xml:space="preserve">Nuestra responsabilidad es expresar una opinión sobre la legalidad de </w:t>
      </w:r>
      <w:r>
        <w:t>la ge</w:t>
      </w:r>
      <w:r>
        <w:t>s</w:t>
      </w:r>
      <w:r>
        <w:t>tión del fondo</w:t>
      </w:r>
      <w:r w:rsidRPr="00670539">
        <w:t xml:space="preserve"> efectuada por </w:t>
      </w:r>
      <w:r>
        <w:t>el Departamento de Desarrollo Rural, Medio A</w:t>
      </w:r>
      <w:r>
        <w:t>m</w:t>
      </w:r>
      <w:r>
        <w:t>biente y Administración Loca</w:t>
      </w:r>
      <w:r w:rsidRPr="00670539">
        <w:t>l</w:t>
      </w:r>
      <w:r>
        <w:t xml:space="preserve"> en el periodo 2009-2018 </w:t>
      </w:r>
      <w:r w:rsidRPr="00670539">
        <w:t>basada en nuestra aud</w:t>
      </w:r>
      <w:r w:rsidRPr="00670539">
        <w:t>i</w:t>
      </w:r>
      <w:r w:rsidRPr="00670539">
        <w:t xml:space="preserve">toría. </w:t>
      </w:r>
    </w:p>
    <w:p w:rsidR="00BE1465" w:rsidRDefault="00BE1465" w:rsidP="00BE1465">
      <w:pPr>
        <w:pStyle w:val="texto"/>
        <w:spacing w:before="120" w:after="100"/>
      </w:pPr>
      <w:r w:rsidRPr="00670539">
        <w:t xml:space="preserve">Hemos llevado a cabo la misma de conformidad con los </w:t>
      </w:r>
      <w:r>
        <w:t>p</w:t>
      </w:r>
      <w:r w:rsidRPr="00670539">
        <w:t>rincipios fund</w:t>
      </w:r>
      <w:r w:rsidRPr="00670539">
        <w:t>a</w:t>
      </w:r>
      <w:r w:rsidRPr="00670539">
        <w:t>mentales de fiscalización de las Instituciones Públicas de Control Externo</w:t>
      </w:r>
      <w:r>
        <w:t xml:space="preserve">, </w:t>
      </w:r>
      <w:r>
        <w:rPr>
          <w:szCs w:val="26"/>
        </w:rPr>
        <w:t>en concreto la ISSAI-ES 400 “Principios fundamentales de la fiscalización de cumplimiento”</w:t>
      </w:r>
      <w:r w:rsidRPr="005355B5">
        <w:rPr>
          <w:szCs w:val="26"/>
        </w:rPr>
        <w:t>.</w:t>
      </w:r>
      <w:r>
        <w:rPr>
          <w:szCs w:val="26"/>
        </w:rPr>
        <w:t xml:space="preserve"> </w:t>
      </w:r>
      <w:r w:rsidRPr="00670539">
        <w:t>Dicha normativa exige que cumplamos los requerimientos de ética, así como que planifiquemos y ejecutemos la auditoría con el fin de obt</w:t>
      </w:r>
      <w:r w:rsidRPr="00670539">
        <w:t>e</w:t>
      </w:r>
      <w:r w:rsidRPr="00670539">
        <w:t xml:space="preserve">ner una seguridad razonable de que </w:t>
      </w:r>
      <w:r>
        <w:t>la gestión del fondo</w:t>
      </w:r>
      <w:r w:rsidRPr="00670539">
        <w:t xml:space="preserve"> resulte, en todos los aspectos significativos, conformes con la normativa aplicable. </w:t>
      </w:r>
    </w:p>
    <w:p w:rsidR="00BE1465" w:rsidRDefault="00BE1465" w:rsidP="00BE1465">
      <w:pPr>
        <w:pStyle w:val="texto"/>
        <w:spacing w:before="120" w:after="100"/>
      </w:pPr>
      <w:r w:rsidRPr="00670539">
        <w:t>Una fiscalización requiere la aplicación de procedimientos para obtener ev</w:t>
      </w:r>
      <w:r w:rsidRPr="00670539">
        <w:t>i</w:t>
      </w:r>
      <w:r w:rsidRPr="00670539">
        <w:t>dencia de auditoría sobre la legalidad de las operaciones. Los procedimientos seleccionados dependen del juicio del auditor, incluida la valoración de los riesgos de incumplimientos significativos de la legalidad. Al efectuar dichas valoraciones del riesgo, el auditor tiene en cuenta el control interno relevante para garantizar dicho cumplimiento, con el fin de diseñar los procedimientos de auditoría que sean adecuados en función de las circunstancias, y no con la fin</w:t>
      </w:r>
      <w:r w:rsidRPr="00670539">
        <w:t>a</w:t>
      </w:r>
      <w:r w:rsidRPr="00670539">
        <w:t xml:space="preserve">lidad de expresar una opinión sobre la eficacia del control interno de la entidad. </w:t>
      </w:r>
    </w:p>
    <w:p w:rsidR="00BE1465" w:rsidRPr="00670539" w:rsidRDefault="00BE1465" w:rsidP="00095E10">
      <w:pPr>
        <w:pStyle w:val="texto"/>
        <w:spacing w:before="120" w:after="100"/>
      </w:pPr>
      <w:r w:rsidRPr="00670539">
        <w:t>Consideramos que la evidencia de auditoría que hemos obtenido proporciona una base</w:t>
      </w:r>
      <w:r>
        <w:t xml:space="preserve"> suf</w:t>
      </w:r>
      <w:r w:rsidRPr="00670539">
        <w:t>iciente y adecuada para fundamentar nuestra opinión de auditoría de cumplimiento.</w:t>
      </w:r>
    </w:p>
    <w:p w:rsidR="00BE1465" w:rsidRPr="00E610F7" w:rsidRDefault="00BE1465" w:rsidP="00C10193">
      <w:pPr>
        <w:spacing w:before="240" w:after="120"/>
        <w:ind w:firstLine="0"/>
        <w:jc w:val="left"/>
        <w:rPr>
          <w:rFonts w:ascii="Arial" w:hAnsi="Arial" w:cs="Arial"/>
          <w:i/>
          <w:spacing w:val="6"/>
          <w:sz w:val="25"/>
          <w:szCs w:val="25"/>
        </w:rPr>
      </w:pPr>
      <w:r w:rsidRPr="00E610F7">
        <w:rPr>
          <w:rFonts w:ascii="Arial" w:hAnsi="Arial" w:cs="Arial"/>
          <w:i/>
          <w:spacing w:val="6"/>
          <w:sz w:val="25"/>
          <w:szCs w:val="25"/>
        </w:rPr>
        <w:t>Opinión sobre cumplimiento de legalidad</w:t>
      </w:r>
    </w:p>
    <w:p w:rsidR="00BE1465" w:rsidRDefault="00BE1465" w:rsidP="00BE1465">
      <w:pPr>
        <w:pStyle w:val="texto"/>
      </w:pPr>
      <w:r w:rsidRPr="000A2A13">
        <w:t xml:space="preserve">En nuestra opinión, </w:t>
      </w:r>
      <w:r>
        <w:t>la gestión del fondo c</w:t>
      </w:r>
      <w:r w:rsidRPr="000A2A13">
        <w:t xml:space="preserve">orrespondiente al </w:t>
      </w:r>
      <w:r>
        <w:t>periodo</w:t>
      </w:r>
      <w:r w:rsidRPr="000A2A13">
        <w:t xml:space="preserve"> </w:t>
      </w:r>
      <w:r>
        <w:t>2009-2018</w:t>
      </w:r>
      <w:r w:rsidRPr="000A2A13">
        <w:t xml:space="preserve"> resulta conforme, en todos los aspectos significativos, con la normativa aplicable. </w:t>
      </w:r>
    </w:p>
    <w:p w:rsidR="00BE1465" w:rsidRPr="000A2A13" w:rsidRDefault="00BE1465" w:rsidP="00BE1465">
      <w:pPr>
        <w:pStyle w:val="atitulo2"/>
        <w:spacing w:after="120"/>
      </w:pPr>
      <w:bookmarkStart w:id="33" w:name="_Toc2849158"/>
      <w:bookmarkStart w:id="34" w:name="_Toc4486941"/>
      <w:r w:rsidRPr="000A2A13">
        <w:lastRenderedPageBreak/>
        <w:t xml:space="preserve">IV.2. </w:t>
      </w:r>
      <w:r>
        <w:t>Análisis</w:t>
      </w:r>
      <w:r w:rsidR="00374C3F">
        <w:t xml:space="preserve"> de la</w:t>
      </w:r>
      <w:r>
        <w:t xml:space="preserve"> evolución del fondo</w:t>
      </w:r>
      <w:r w:rsidR="00757D37">
        <w:t xml:space="preserve"> por transferencias corrientes</w:t>
      </w:r>
      <w:r>
        <w:t xml:space="preserve"> y </w:t>
      </w:r>
      <w:r w:rsidR="00374C3F">
        <w:t>de algunos</w:t>
      </w:r>
      <w:r>
        <w:t xml:space="preserve"> indicadores</w:t>
      </w:r>
      <w:r w:rsidR="00374C3F">
        <w:t xml:space="preserve"> para una muestra de municipios (</w:t>
      </w:r>
      <w:r>
        <w:t>2009-2017</w:t>
      </w:r>
      <w:bookmarkEnd w:id="33"/>
      <w:r w:rsidR="00374C3F">
        <w:t>)</w:t>
      </w:r>
      <w:bookmarkEnd w:id="34"/>
    </w:p>
    <w:p w:rsidR="00BE1465" w:rsidRDefault="00BE1465" w:rsidP="00BE1465">
      <w:pPr>
        <w:pStyle w:val="texto"/>
      </w:pPr>
      <w:r>
        <w:t>Navarra es una comunidad</w:t>
      </w:r>
      <w:r w:rsidR="00374C3F">
        <w:t xml:space="preserve"> con una población a 1 de enero de 2018 de 647.554 habitantes que residen en</w:t>
      </w:r>
      <w:r>
        <w:t xml:space="preserve"> 272 municipios y 346 concejos</w:t>
      </w:r>
      <w:r w:rsidR="00374C3F">
        <w:t>.</w:t>
      </w:r>
    </w:p>
    <w:p w:rsidR="00BE1465" w:rsidRPr="00C10193" w:rsidRDefault="00374C3F" w:rsidP="00BE1465">
      <w:pPr>
        <w:pStyle w:val="texto"/>
        <w:spacing w:after="240"/>
      </w:pPr>
      <w:r>
        <w:t>La población por municipio y concejo difiere significativamente; por este motivo, h</w:t>
      </w:r>
      <w:r w:rsidR="00BE1465">
        <w:t xml:space="preserve">emos analizado la evolución del </w:t>
      </w:r>
      <w:r w:rsidR="00757D37">
        <w:t>FTC</w:t>
      </w:r>
      <w:r w:rsidR="00BE1465">
        <w:t xml:space="preserve"> por habitante en el periodo 2009-2018 en cada tramo poblacional, considerando Pamplona y Tudela de forma individual por su elevada población en comparación con el resto de m</w:t>
      </w:r>
      <w:r w:rsidR="00BE1465">
        <w:t>u</w:t>
      </w:r>
      <w:r w:rsidR="00C65006">
        <w:t xml:space="preserve">nicipios. En nuestro análisis </w:t>
      </w:r>
      <w:r w:rsidR="004A7424">
        <w:t xml:space="preserve">hemos </w:t>
      </w:r>
      <w:r w:rsidR="00C65006">
        <w:t>incluido los siguientes municipios co</w:t>
      </w:r>
      <w:r w:rsidR="00C65006">
        <w:t>m</w:t>
      </w:r>
      <w:r w:rsidR="00C65006">
        <w:t xml:space="preserve">puestos: Valle de Egüés, Berrioplano, Noáin (Valle de Elorz), Aranguren y Sangüesa; el resto </w:t>
      </w:r>
      <w:r w:rsidR="00AD3BB1">
        <w:t xml:space="preserve">de los 55 municipios compuestos </w:t>
      </w:r>
      <w:r w:rsidR="00C65006">
        <w:t xml:space="preserve">no se han considerado ya que </w:t>
      </w:r>
      <w:r w:rsidR="00BE1465">
        <w:t>su inclusión distorsionaba significa</w:t>
      </w:r>
      <w:r w:rsidR="00BE1465" w:rsidRPr="00C10193">
        <w:t>tivamente los resultados obtenidos</w:t>
      </w:r>
      <w:r w:rsidR="00503C8E" w:rsidRPr="00C10193">
        <w:t>,</w:t>
      </w:r>
      <w:r w:rsidR="00BE1465" w:rsidRPr="00C10193">
        <w:t xml:space="preserve"> que son los que se muestran a continuación:</w:t>
      </w:r>
    </w:p>
    <w:tbl>
      <w:tblPr>
        <w:tblW w:w="9273" w:type="dxa"/>
        <w:jc w:val="center"/>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736"/>
        <w:gridCol w:w="757"/>
        <w:gridCol w:w="585"/>
        <w:gridCol w:w="585"/>
        <w:gridCol w:w="585"/>
        <w:gridCol w:w="585"/>
        <w:gridCol w:w="585"/>
        <w:gridCol w:w="585"/>
        <w:gridCol w:w="585"/>
        <w:gridCol w:w="585"/>
        <w:gridCol w:w="585"/>
        <w:gridCol w:w="585"/>
        <w:gridCol w:w="930"/>
      </w:tblGrid>
      <w:tr w:rsidR="004A7424" w:rsidRPr="00D03365" w:rsidTr="004A7424">
        <w:trPr>
          <w:trHeight w:val="198"/>
          <w:jc w:val="center"/>
        </w:trPr>
        <w:tc>
          <w:tcPr>
            <w:tcW w:w="1736" w:type="dxa"/>
            <w:vMerge w:val="restart"/>
            <w:shd w:val="clear" w:color="auto" w:fill="FABF8F" w:themeFill="accent6" w:themeFillTint="99"/>
            <w:noWrap/>
            <w:vAlign w:val="center"/>
            <w:hideMark/>
          </w:tcPr>
          <w:p w:rsidR="004A7424" w:rsidRDefault="004A7424" w:rsidP="00BE1465">
            <w:pPr>
              <w:spacing w:after="0"/>
              <w:ind w:firstLine="0"/>
              <w:jc w:val="left"/>
              <w:rPr>
                <w:rFonts w:ascii="Arial" w:hAnsi="Arial" w:cs="Arial"/>
                <w:color w:val="000000"/>
                <w:sz w:val="16"/>
                <w:szCs w:val="16"/>
                <w:lang w:val="es-ES" w:eastAsia="es-ES"/>
              </w:rPr>
            </w:pPr>
            <w:r w:rsidRPr="004A7424">
              <w:rPr>
                <w:rFonts w:ascii="Arial" w:hAnsi="Arial" w:cs="Arial"/>
                <w:color w:val="000000"/>
                <w:sz w:val="16"/>
                <w:szCs w:val="16"/>
                <w:lang w:val="es-ES" w:eastAsia="es-ES"/>
              </w:rPr>
              <w:t>Tramo población</w:t>
            </w:r>
          </w:p>
          <w:p w:rsidR="004A7424" w:rsidRPr="004A7424" w:rsidRDefault="004A7424" w:rsidP="00BE1465">
            <w:pPr>
              <w:spacing w:after="0"/>
              <w:ind w:firstLine="0"/>
              <w:jc w:val="left"/>
              <w:rPr>
                <w:rFonts w:ascii="Arial" w:hAnsi="Arial" w:cs="Arial"/>
                <w:color w:val="000000"/>
                <w:sz w:val="16"/>
                <w:szCs w:val="16"/>
                <w:lang w:val="es-ES" w:eastAsia="es-ES"/>
              </w:rPr>
            </w:pPr>
            <w:r w:rsidRPr="004A7424">
              <w:rPr>
                <w:rFonts w:ascii="Arial" w:hAnsi="Arial" w:cs="Arial"/>
                <w:color w:val="000000"/>
                <w:sz w:val="16"/>
                <w:szCs w:val="16"/>
                <w:lang w:val="es-ES" w:eastAsia="es-ES"/>
              </w:rPr>
              <w:t>(habitantes)</w:t>
            </w:r>
          </w:p>
        </w:tc>
        <w:tc>
          <w:tcPr>
            <w:tcW w:w="757" w:type="dxa"/>
            <w:vMerge w:val="restart"/>
            <w:shd w:val="clear" w:color="auto" w:fill="FABF8F" w:themeFill="accent6" w:themeFillTint="99"/>
            <w:vAlign w:val="center"/>
          </w:tcPr>
          <w:p w:rsidR="004A7424" w:rsidRPr="004A7424" w:rsidRDefault="004A7424" w:rsidP="004A7424">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Nº m</w:t>
            </w:r>
            <w:r w:rsidRPr="004A7424">
              <w:rPr>
                <w:rFonts w:ascii="Arial" w:hAnsi="Arial" w:cs="Arial"/>
                <w:color w:val="000000"/>
                <w:sz w:val="16"/>
                <w:szCs w:val="16"/>
                <w:lang w:val="es-ES" w:eastAsia="es-ES"/>
              </w:rPr>
              <w:t>u</w:t>
            </w:r>
            <w:r w:rsidRPr="004A7424">
              <w:rPr>
                <w:rFonts w:ascii="Arial" w:hAnsi="Arial" w:cs="Arial"/>
                <w:color w:val="000000"/>
                <w:sz w:val="16"/>
                <w:szCs w:val="16"/>
                <w:lang w:val="es-ES" w:eastAsia="es-ES"/>
              </w:rPr>
              <w:t>nicipios</w:t>
            </w:r>
          </w:p>
        </w:tc>
        <w:tc>
          <w:tcPr>
            <w:tcW w:w="6780" w:type="dxa"/>
            <w:gridSpan w:val="11"/>
            <w:tcBorders>
              <w:bottom w:val="single" w:sz="2" w:space="0" w:color="auto"/>
            </w:tcBorders>
            <w:shd w:val="clear" w:color="auto" w:fill="FABF8F" w:themeFill="accent6" w:themeFillTint="99"/>
            <w:noWrap/>
            <w:vAlign w:val="center"/>
            <w:hideMark/>
          </w:tcPr>
          <w:p w:rsidR="004A7424" w:rsidRPr="004A7424" w:rsidRDefault="004A7424" w:rsidP="00BE1465">
            <w:pPr>
              <w:spacing w:after="0"/>
              <w:ind w:firstLine="0"/>
              <w:jc w:val="center"/>
              <w:rPr>
                <w:rFonts w:ascii="Arial" w:hAnsi="Arial" w:cs="Arial"/>
                <w:color w:val="000000"/>
                <w:sz w:val="16"/>
                <w:szCs w:val="16"/>
                <w:lang w:val="es-ES" w:eastAsia="es-ES"/>
              </w:rPr>
            </w:pPr>
            <w:r w:rsidRPr="004A7424">
              <w:rPr>
                <w:rFonts w:ascii="Arial" w:hAnsi="Arial" w:cs="Arial"/>
                <w:color w:val="000000"/>
                <w:sz w:val="16"/>
                <w:szCs w:val="16"/>
                <w:lang w:val="es-ES" w:eastAsia="es-ES"/>
              </w:rPr>
              <w:t>FTC por habitante</w:t>
            </w:r>
          </w:p>
        </w:tc>
      </w:tr>
      <w:tr w:rsidR="004A7424" w:rsidRPr="00D03365" w:rsidTr="004A7424">
        <w:trPr>
          <w:trHeight w:val="198"/>
          <w:jc w:val="center"/>
        </w:trPr>
        <w:tc>
          <w:tcPr>
            <w:tcW w:w="1736" w:type="dxa"/>
            <w:vMerge/>
            <w:tcBorders>
              <w:bottom w:val="single" w:sz="4" w:space="0" w:color="auto"/>
            </w:tcBorders>
            <w:shd w:val="clear" w:color="auto" w:fill="FABF8F" w:themeFill="accent6" w:themeFillTint="99"/>
            <w:vAlign w:val="center"/>
            <w:hideMark/>
          </w:tcPr>
          <w:p w:rsidR="004A7424" w:rsidRPr="004A7424" w:rsidRDefault="004A7424" w:rsidP="00BE1465">
            <w:pPr>
              <w:spacing w:after="0"/>
              <w:ind w:firstLine="0"/>
              <w:jc w:val="left"/>
              <w:rPr>
                <w:rFonts w:ascii="Arial" w:hAnsi="Arial" w:cs="Arial"/>
                <w:color w:val="000000"/>
                <w:sz w:val="16"/>
                <w:szCs w:val="16"/>
                <w:lang w:val="es-ES" w:eastAsia="es-ES"/>
              </w:rPr>
            </w:pPr>
          </w:p>
        </w:tc>
        <w:tc>
          <w:tcPr>
            <w:tcW w:w="757" w:type="dxa"/>
            <w:vMerge/>
            <w:tcBorders>
              <w:bottom w:val="single" w:sz="4" w:space="0" w:color="auto"/>
            </w:tcBorders>
            <w:shd w:val="clear" w:color="auto" w:fill="FABF8F" w:themeFill="accent6" w:themeFillTint="99"/>
          </w:tcPr>
          <w:p w:rsidR="004A7424" w:rsidRPr="004A7424" w:rsidRDefault="004A7424" w:rsidP="00BE1465">
            <w:pPr>
              <w:spacing w:after="0"/>
              <w:ind w:firstLine="0"/>
              <w:jc w:val="right"/>
              <w:rPr>
                <w:rFonts w:ascii="Arial" w:hAnsi="Arial" w:cs="Arial"/>
                <w:color w:val="000000"/>
                <w:sz w:val="16"/>
                <w:szCs w:val="16"/>
                <w:lang w:val="es-ES" w:eastAsia="es-ES"/>
              </w:rPr>
            </w:pP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2009</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2010</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2011</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2012</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2013</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2014</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2015</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2016</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2017</w:t>
            </w:r>
          </w:p>
        </w:tc>
        <w:tc>
          <w:tcPr>
            <w:tcW w:w="585" w:type="dxa"/>
            <w:tcBorders>
              <w:top w:val="single" w:sz="2" w:space="0" w:color="auto"/>
              <w:bottom w:val="single" w:sz="4" w:space="0" w:color="auto"/>
            </w:tcBorders>
            <w:shd w:val="clear" w:color="auto" w:fill="FABF8F" w:themeFill="accent6" w:themeFillTint="99"/>
            <w:noWrap/>
            <w:vAlign w:val="center"/>
            <w:hideMark/>
          </w:tcPr>
          <w:p w:rsidR="004A7424" w:rsidRPr="004A7424" w:rsidRDefault="004A7424" w:rsidP="00BE1465">
            <w:pPr>
              <w:spacing w:after="0"/>
              <w:ind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2018</w:t>
            </w:r>
          </w:p>
        </w:tc>
        <w:tc>
          <w:tcPr>
            <w:tcW w:w="930" w:type="dxa"/>
            <w:tcBorders>
              <w:top w:val="single" w:sz="2" w:space="0" w:color="auto"/>
              <w:bottom w:val="single" w:sz="4" w:space="0" w:color="auto"/>
            </w:tcBorders>
            <w:shd w:val="clear" w:color="auto" w:fill="FABF8F" w:themeFill="accent6" w:themeFillTint="99"/>
          </w:tcPr>
          <w:p w:rsidR="004A7424" w:rsidRDefault="004A7424" w:rsidP="004A7424">
            <w:pPr>
              <w:spacing w:after="0"/>
              <w:ind w:left="-56"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 var</w:t>
            </w:r>
            <w:r w:rsidR="00095E10">
              <w:rPr>
                <w:rFonts w:ascii="Arial" w:hAnsi="Arial" w:cs="Arial"/>
                <w:color w:val="000000"/>
                <w:sz w:val="16"/>
                <w:szCs w:val="16"/>
                <w:lang w:val="es-ES" w:eastAsia="es-ES"/>
              </w:rPr>
              <w:t>iación</w:t>
            </w:r>
          </w:p>
          <w:p w:rsidR="004A7424" w:rsidRPr="004A7424" w:rsidRDefault="004A7424" w:rsidP="004A7424">
            <w:pPr>
              <w:spacing w:after="0"/>
              <w:ind w:left="-56" w:firstLine="0"/>
              <w:jc w:val="right"/>
              <w:rPr>
                <w:rFonts w:ascii="Arial" w:hAnsi="Arial" w:cs="Arial"/>
                <w:color w:val="000000"/>
                <w:sz w:val="16"/>
                <w:szCs w:val="16"/>
                <w:lang w:val="es-ES" w:eastAsia="es-ES"/>
              </w:rPr>
            </w:pPr>
            <w:r w:rsidRPr="004A7424">
              <w:rPr>
                <w:rFonts w:ascii="Arial" w:hAnsi="Arial" w:cs="Arial"/>
                <w:color w:val="000000"/>
                <w:sz w:val="16"/>
                <w:szCs w:val="16"/>
                <w:lang w:val="es-ES" w:eastAsia="es-ES"/>
              </w:rPr>
              <w:t>2018/2009</w:t>
            </w:r>
          </w:p>
        </w:tc>
      </w:tr>
      <w:tr w:rsidR="004A7424" w:rsidRPr="00E610F7" w:rsidTr="004A7424">
        <w:trPr>
          <w:trHeight w:val="198"/>
          <w:jc w:val="center"/>
        </w:trPr>
        <w:tc>
          <w:tcPr>
            <w:tcW w:w="1736" w:type="dxa"/>
            <w:tcBorders>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Pamplona (199.066)</w:t>
            </w:r>
            <w:r w:rsidR="009B0779">
              <w:rPr>
                <w:rFonts w:ascii="Arial Narrow" w:hAnsi="Arial Narrow"/>
                <w:color w:val="000000"/>
                <w:lang w:val="es-ES" w:eastAsia="es-ES"/>
              </w:rPr>
              <w:t>*</w:t>
            </w:r>
          </w:p>
        </w:tc>
        <w:tc>
          <w:tcPr>
            <w:tcW w:w="757" w:type="dxa"/>
            <w:tcBorders>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1</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373</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378</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380</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383</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392</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402</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402</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410</w:t>
            </w:r>
          </w:p>
        </w:tc>
        <w:tc>
          <w:tcPr>
            <w:tcW w:w="585" w:type="dxa"/>
            <w:tcBorders>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412</w:t>
            </w:r>
          </w:p>
        </w:tc>
        <w:tc>
          <w:tcPr>
            <w:tcW w:w="585" w:type="dxa"/>
            <w:tcBorders>
              <w:bottom w:val="single" w:sz="2" w:space="0" w:color="auto"/>
            </w:tcBorders>
            <w:shd w:val="clear" w:color="auto" w:fill="auto"/>
            <w:noWrap/>
            <w:vAlign w:val="center"/>
            <w:hideMark/>
          </w:tcPr>
          <w:p w:rsidR="004A7424" w:rsidRPr="00DB59A4" w:rsidRDefault="004A7424" w:rsidP="00BE1465">
            <w:pPr>
              <w:spacing w:after="0"/>
              <w:ind w:firstLine="0"/>
              <w:jc w:val="right"/>
              <w:rPr>
                <w:rFonts w:ascii="Arial Narrow" w:hAnsi="Arial Narrow"/>
                <w:lang w:val="es-ES" w:eastAsia="es-ES"/>
              </w:rPr>
            </w:pPr>
            <w:r w:rsidRPr="00DB59A4">
              <w:rPr>
                <w:rFonts w:ascii="Arial Narrow" w:hAnsi="Arial Narrow"/>
                <w:lang w:val="es-ES" w:eastAsia="es-ES"/>
              </w:rPr>
              <w:t>417</w:t>
            </w:r>
          </w:p>
        </w:tc>
        <w:tc>
          <w:tcPr>
            <w:tcW w:w="930" w:type="dxa"/>
            <w:tcBorders>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Tudela (35.393)</w:t>
            </w:r>
            <w:r w:rsidR="009B0779">
              <w:rPr>
                <w:rFonts w:ascii="Arial Narrow" w:hAnsi="Arial Narrow"/>
                <w:color w:val="000000"/>
                <w:lang w:val="es-ES" w:eastAsia="es-ES"/>
              </w:rPr>
              <w:t>*</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276</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3</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 xml:space="preserve">De 18.000 a 23.000 </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229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245</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-5</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13.000 a 17.999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209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207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204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263</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8.500 a 12.999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224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250</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7.000 a  8.499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5.800 a  6.999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220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195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203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26</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4.700 a  5.799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213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313</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19</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4.000 a  4.699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199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199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34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3.500 a  3.999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3</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3.000 a  3.499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202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37</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2.500 a  2.999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10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275</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10</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2.000 a  2.499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304</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1.500 a  1.999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315</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31</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1.000 a  1.499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302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311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311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318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14</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500 a  999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24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292</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13</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400 a  499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237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25</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300 a  399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16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258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266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285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291</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12</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200 a  299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325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321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335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339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359</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21</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100 a  199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47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299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309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315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326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329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343</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18</w:t>
            </w:r>
          </w:p>
        </w:tc>
      </w:tr>
      <w:tr w:rsidR="004A7424" w:rsidRPr="00E610F7" w:rsidTr="004A7424">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De 50 a 99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21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346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347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351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354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364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373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384</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408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418</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21</w:t>
            </w:r>
          </w:p>
        </w:tc>
      </w:tr>
      <w:tr w:rsidR="004A7424" w:rsidRPr="00E610F7" w:rsidTr="009B0779">
        <w:trPr>
          <w:trHeight w:val="198"/>
          <w:jc w:val="center"/>
        </w:trPr>
        <w:tc>
          <w:tcPr>
            <w:tcW w:w="1736" w:type="dxa"/>
            <w:tcBorders>
              <w:top w:val="single" w:sz="2" w:space="0" w:color="auto"/>
              <w:bottom w:val="single" w:sz="2" w:space="0" w:color="auto"/>
            </w:tcBorders>
            <w:shd w:val="clear" w:color="auto" w:fill="auto"/>
            <w:noWrap/>
            <w:vAlign w:val="center"/>
            <w:hideMark/>
          </w:tcPr>
          <w:p w:rsidR="004A7424" w:rsidRPr="00E610F7" w:rsidRDefault="004A7424" w:rsidP="00BE1465">
            <w:pPr>
              <w:spacing w:after="0"/>
              <w:ind w:firstLine="0"/>
              <w:jc w:val="left"/>
              <w:rPr>
                <w:rFonts w:ascii="Arial Narrow" w:hAnsi="Arial Narrow"/>
                <w:color w:val="000000"/>
                <w:lang w:val="es-ES" w:eastAsia="es-ES"/>
              </w:rPr>
            </w:pPr>
            <w:r w:rsidRPr="00E610F7">
              <w:rPr>
                <w:rFonts w:ascii="Arial Narrow" w:hAnsi="Arial Narrow"/>
                <w:color w:val="000000"/>
                <w:lang w:val="es-ES" w:eastAsia="es-ES"/>
              </w:rPr>
              <w:t>Hasta 49</w:t>
            </w:r>
          </w:p>
        </w:tc>
        <w:tc>
          <w:tcPr>
            <w:tcW w:w="757" w:type="dxa"/>
            <w:tcBorders>
              <w:top w:val="single" w:sz="2" w:space="0" w:color="auto"/>
              <w:bottom w:val="single" w:sz="2" w:space="0" w:color="auto"/>
            </w:tcBorders>
            <w:vAlign w:val="center"/>
          </w:tcPr>
          <w:p w:rsidR="004A7424" w:rsidRPr="004A7424" w:rsidRDefault="004A7424" w:rsidP="004A7424">
            <w:pPr>
              <w:spacing w:after="0"/>
              <w:ind w:firstLine="0"/>
              <w:jc w:val="right"/>
              <w:rPr>
                <w:rFonts w:ascii="Arial Narrow" w:hAnsi="Arial Narrow"/>
                <w:color w:val="000000"/>
                <w:lang w:val="es-ES" w:eastAsia="es-ES"/>
              </w:rPr>
            </w:pPr>
            <w:r w:rsidRPr="004A7424">
              <w:rPr>
                <w:rFonts w:ascii="Arial Narrow" w:hAnsi="Arial Narrow"/>
                <w:color w:val="000000"/>
                <w:lang w:val="es-ES" w:eastAsia="es-ES"/>
              </w:rPr>
              <w:t>10</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369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379</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378</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395</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411</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406</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422</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437</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453</w:t>
            </w:r>
          </w:p>
        </w:tc>
        <w:tc>
          <w:tcPr>
            <w:tcW w:w="585" w:type="dxa"/>
            <w:tcBorders>
              <w:top w:val="single" w:sz="2" w:space="0" w:color="auto"/>
              <w:bottom w:val="single" w:sz="2" w:space="0" w:color="auto"/>
            </w:tcBorders>
            <w:shd w:val="clear" w:color="auto" w:fill="auto"/>
            <w:noWrap/>
            <w:vAlign w:val="center"/>
            <w:hideMark/>
          </w:tcPr>
          <w:p w:rsidR="004A7424" w:rsidRPr="00C02834" w:rsidRDefault="004A7424" w:rsidP="00BE1465">
            <w:pPr>
              <w:spacing w:after="0"/>
              <w:ind w:firstLine="0"/>
              <w:jc w:val="right"/>
              <w:rPr>
                <w:rFonts w:ascii="Arial Narrow" w:hAnsi="Arial Narrow"/>
                <w:color w:val="000000"/>
                <w:lang w:val="es-ES" w:eastAsia="es-ES"/>
              </w:rPr>
            </w:pPr>
            <w:r w:rsidRPr="00C02834">
              <w:rPr>
                <w:rFonts w:ascii="Arial Narrow" w:hAnsi="Arial Narrow"/>
                <w:color w:val="000000"/>
                <w:lang w:val="es-ES" w:eastAsia="es-ES"/>
              </w:rPr>
              <w:t>497</w:t>
            </w:r>
          </w:p>
        </w:tc>
        <w:tc>
          <w:tcPr>
            <w:tcW w:w="930" w:type="dxa"/>
            <w:tcBorders>
              <w:top w:val="single" w:sz="2" w:space="0" w:color="auto"/>
              <w:bottom w:val="single" w:sz="2" w:space="0" w:color="auto"/>
            </w:tcBorders>
            <w:vAlign w:val="bottom"/>
          </w:tcPr>
          <w:p w:rsidR="004A7424" w:rsidRPr="00C02834" w:rsidRDefault="004A7424" w:rsidP="00B850F7">
            <w:pPr>
              <w:spacing w:after="0"/>
              <w:ind w:left="-56" w:firstLine="0"/>
              <w:jc w:val="right"/>
              <w:rPr>
                <w:rFonts w:ascii="Arial Narrow" w:hAnsi="Arial Narrow"/>
                <w:color w:val="000000"/>
                <w:lang w:val="es-ES" w:eastAsia="es-ES"/>
              </w:rPr>
            </w:pPr>
            <w:r w:rsidRPr="00C02834">
              <w:rPr>
                <w:rFonts w:ascii="Arial Narrow" w:hAnsi="Arial Narrow"/>
                <w:color w:val="000000"/>
                <w:lang w:val="es-ES" w:eastAsia="es-ES"/>
              </w:rPr>
              <w:t>35</w:t>
            </w:r>
          </w:p>
        </w:tc>
      </w:tr>
    </w:tbl>
    <w:p w:rsidR="00095E10" w:rsidRPr="009B0779" w:rsidRDefault="00095E10" w:rsidP="00095E10">
      <w:pPr>
        <w:spacing w:before="60" w:after="0"/>
        <w:ind w:left="-227" w:firstLine="0"/>
        <w:jc w:val="left"/>
        <w:rPr>
          <w:rFonts w:ascii="Arial" w:hAnsi="Arial" w:cs="Arial"/>
          <w:color w:val="000000"/>
          <w:sz w:val="16"/>
          <w:szCs w:val="16"/>
          <w:lang w:val="es-ES" w:eastAsia="es-ES"/>
        </w:rPr>
      </w:pPr>
      <w:r w:rsidRPr="009B0779">
        <w:rPr>
          <w:rFonts w:ascii="Arial" w:hAnsi="Arial" w:cs="Arial"/>
          <w:color w:val="000000"/>
          <w:sz w:val="16"/>
          <w:szCs w:val="16"/>
          <w:lang w:val="es-ES" w:eastAsia="es-ES"/>
        </w:rPr>
        <w:t>*</w:t>
      </w:r>
      <w:r w:rsidR="00166DD8">
        <w:rPr>
          <w:rFonts w:ascii="Arial" w:hAnsi="Arial" w:cs="Arial"/>
          <w:color w:val="000000"/>
          <w:sz w:val="16"/>
          <w:szCs w:val="16"/>
          <w:lang w:val="es-ES" w:eastAsia="es-ES"/>
        </w:rPr>
        <w:t xml:space="preserve"> </w:t>
      </w:r>
      <w:r w:rsidRPr="009B0779">
        <w:rPr>
          <w:rFonts w:ascii="Arial" w:hAnsi="Arial" w:cs="Arial"/>
          <w:color w:val="000000"/>
          <w:sz w:val="16"/>
          <w:szCs w:val="16"/>
          <w:lang w:val="es-ES" w:eastAsia="es-ES"/>
        </w:rPr>
        <w:t>Población a 1 de enero de 2018</w:t>
      </w:r>
      <w:r w:rsidR="00166DD8">
        <w:rPr>
          <w:rFonts w:ascii="Arial" w:hAnsi="Arial" w:cs="Arial"/>
          <w:color w:val="000000"/>
          <w:sz w:val="16"/>
          <w:szCs w:val="16"/>
          <w:lang w:val="es-ES" w:eastAsia="es-ES"/>
        </w:rPr>
        <w:t>.</w:t>
      </w:r>
    </w:p>
    <w:p w:rsidR="00BE1465" w:rsidRDefault="00503C8E" w:rsidP="00BE1465">
      <w:pPr>
        <w:pStyle w:val="texto"/>
        <w:spacing w:before="240"/>
        <w:rPr>
          <w:lang w:val="es-ES"/>
        </w:rPr>
      </w:pPr>
      <w:r>
        <w:rPr>
          <w:lang w:val="es-ES"/>
        </w:rPr>
        <w:t>En todos los años del periodo analizado s</w:t>
      </w:r>
      <w:r w:rsidR="00BE1465">
        <w:rPr>
          <w:lang w:val="es-ES"/>
        </w:rPr>
        <w:t>e observan diferencias significat</w:t>
      </w:r>
      <w:r w:rsidR="00BE1465">
        <w:rPr>
          <w:lang w:val="es-ES"/>
        </w:rPr>
        <w:t>i</w:t>
      </w:r>
      <w:r w:rsidR="00BE1465">
        <w:rPr>
          <w:lang w:val="es-ES"/>
        </w:rPr>
        <w:t>vas en la cuantía del fondo por habitante entre los distintos estratos de pobl</w:t>
      </w:r>
      <w:r w:rsidR="00BE1465">
        <w:rPr>
          <w:lang w:val="es-ES"/>
        </w:rPr>
        <w:t>a</w:t>
      </w:r>
      <w:r w:rsidR="00BE1465">
        <w:rPr>
          <w:lang w:val="es-ES"/>
        </w:rPr>
        <w:t>ción;</w:t>
      </w:r>
      <w:r>
        <w:rPr>
          <w:lang w:val="es-ES"/>
        </w:rPr>
        <w:t xml:space="preserve"> en concreto, en 2018,</w:t>
      </w:r>
      <w:r w:rsidR="00BE1465">
        <w:rPr>
          <w:lang w:val="es-ES"/>
        </w:rPr>
        <w:t xml:space="preserve"> los importes más elevados</w:t>
      </w:r>
      <w:r w:rsidR="009B0779">
        <w:rPr>
          <w:lang w:val="es-ES"/>
        </w:rPr>
        <w:t>, que se sitúan en torno a los 400 euros,</w:t>
      </w:r>
      <w:r w:rsidR="00BE1465">
        <w:rPr>
          <w:lang w:val="es-ES"/>
        </w:rPr>
        <w:t xml:space="preserve"> se concentran en</w:t>
      </w:r>
      <w:r>
        <w:rPr>
          <w:lang w:val="es-ES"/>
        </w:rPr>
        <w:t xml:space="preserve"> Pamplona y en </w:t>
      </w:r>
      <w:r w:rsidR="00BE1465">
        <w:rPr>
          <w:lang w:val="es-ES"/>
        </w:rPr>
        <w:t xml:space="preserve">los tramos poblacionales más </w:t>
      </w:r>
      <w:r w:rsidR="009B0779">
        <w:rPr>
          <w:lang w:val="es-ES"/>
        </w:rPr>
        <w:t>bajo</w:t>
      </w:r>
      <w:r>
        <w:rPr>
          <w:lang w:val="es-ES"/>
        </w:rPr>
        <w:t>s</w:t>
      </w:r>
      <w:r w:rsidR="009B0779">
        <w:rPr>
          <w:lang w:val="es-ES"/>
        </w:rPr>
        <w:t>,</w:t>
      </w:r>
      <w:r w:rsidR="00C02834">
        <w:rPr>
          <w:lang w:val="es-ES"/>
        </w:rPr>
        <w:t xml:space="preserve"> y</w:t>
      </w:r>
      <w:r w:rsidR="00BE1465">
        <w:rPr>
          <w:lang w:val="es-ES"/>
        </w:rPr>
        <w:t xml:space="preserve"> </w:t>
      </w:r>
      <w:r>
        <w:rPr>
          <w:lang w:val="es-ES"/>
        </w:rPr>
        <w:t>la</w:t>
      </w:r>
      <w:r w:rsidR="00BE1465">
        <w:rPr>
          <w:lang w:val="es-ES"/>
        </w:rPr>
        <w:t>s</w:t>
      </w:r>
      <w:r>
        <w:rPr>
          <w:lang w:val="es-ES"/>
        </w:rPr>
        <w:t xml:space="preserve"> cuantías más reducidas</w:t>
      </w:r>
      <w:r w:rsidR="009B0779">
        <w:rPr>
          <w:lang w:val="es-ES"/>
        </w:rPr>
        <w:t>, que son cercanas a los 250 euros,</w:t>
      </w:r>
      <w:r>
        <w:rPr>
          <w:lang w:val="es-ES"/>
        </w:rPr>
        <w:t xml:space="preserve"> se c</w:t>
      </w:r>
      <w:r>
        <w:rPr>
          <w:lang w:val="es-ES"/>
        </w:rPr>
        <w:t>o</w:t>
      </w:r>
      <w:r>
        <w:rPr>
          <w:lang w:val="es-ES"/>
        </w:rPr>
        <w:t>rresponden con</w:t>
      </w:r>
      <w:r w:rsidR="00BE1465">
        <w:rPr>
          <w:lang w:val="es-ES"/>
        </w:rPr>
        <w:t xml:space="preserve"> los munic</w:t>
      </w:r>
      <w:r>
        <w:rPr>
          <w:lang w:val="es-ES"/>
        </w:rPr>
        <w:t>i</w:t>
      </w:r>
      <w:r w:rsidR="00BE1465">
        <w:rPr>
          <w:lang w:val="es-ES"/>
        </w:rPr>
        <w:t>pios con población comprendida en los intervalos (18.000</w:t>
      </w:r>
      <w:r w:rsidR="00166DD8">
        <w:rPr>
          <w:lang w:val="es-ES"/>
        </w:rPr>
        <w:t>-</w:t>
      </w:r>
      <w:r w:rsidR="00BE1465">
        <w:rPr>
          <w:lang w:val="es-ES"/>
        </w:rPr>
        <w:t>23.000 habitantes) y (8.500</w:t>
      </w:r>
      <w:r w:rsidR="00166DD8">
        <w:rPr>
          <w:lang w:val="es-ES"/>
        </w:rPr>
        <w:t>-</w:t>
      </w:r>
      <w:r w:rsidR="00BE1465">
        <w:rPr>
          <w:lang w:val="es-ES"/>
        </w:rPr>
        <w:t>12.999 habitantes).</w:t>
      </w:r>
    </w:p>
    <w:p w:rsidR="00BE1465" w:rsidRPr="00095E10" w:rsidRDefault="00BE1465" w:rsidP="00095E10">
      <w:pPr>
        <w:pStyle w:val="texto"/>
        <w:tabs>
          <w:tab w:val="clear" w:pos="2835"/>
          <w:tab w:val="clear" w:pos="3969"/>
          <w:tab w:val="clear" w:pos="5103"/>
          <w:tab w:val="clear" w:pos="6237"/>
          <w:tab w:val="clear" w:pos="7371"/>
          <w:tab w:val="left" w:pos="480"/>
        </w:tabs>
        <w:spacing w:after="120"/>
        <w:rPr>
          <w:szCs w:val="26"/>
        </w:rPr>
      </w:pPr>
      <w:r w:rsidRPr="00095E10">
        <w:rPr>
          <w:szCs w:val="26"/>
        </w:rPr>
        <w:lastRenderedPageBreak/>
        <w:t>Dadas las disparidades existentes entre tramos poblacionales, hemos anal</w:t>
      </w:r>
      <w:r w:rsidRPr="00095E10">
        <w:rPr>
          <w:szCs w:val="26"/>
        </w:rPr>
        <w:t>i</w:t>
      </w:r>
      <w:r w:rsidRPr="00095E10">
        <w:rPr>
          <w:szCs w:val="26"/>
        </w:rPr>
        <w:t xml:space="preserve">zado la evolución de la cuantía del fondo, de los ingresos corrientes (sin incluir el fondo), ingresos tributarios, ahorro bruto y población, en una muestra de 25 municipios cuyos habitantes a 1 de enero de 2018 suponían el 64 por ciento de la población total navarra. </w:t>
      </w:r>
    </w:p>
    <w:p w:rsidR="00BE1465" w:rsidRDefault="00BE1465" w:rsidP="00BE1465">
      <w:pPr>
        <w:pStyle w:val="texto"/>
        <w:tabs>
          <w:tab w:val="clear" w:pos="2835"/>
          <w:tab w:val="clear" w:pos="3969"/>
          <w:tab w:val="clear" w:pos="5103"/>
          <w:tab w:val="clear" w:pos="6237"/>
          <w:tab w:val="clear" w:pos="7371"/>
          <w:tab w:val="left" w:pos="480"/>
        </w:tabs>
        <w:spacing w:after="120"/>
        <w:rPr>
          <w:szCs w:val="26"/>
        </w:rPr>
      </w:pPr>
      <w:r>
        <w:rPr>
          <w:szCs w:val="26"/>
        </w:rPr>
        <w:t>En concreto</w:t>
      </w:r>
      <w:r w:rsidR="000F71B8">
        <w:rPr>
          <w:szCs w:val="26"/>
        </w:rPr>
        <w:t>,</w:t>
      </w:r>
      <w:r>
        <w:rPr>
          <w:szCs w:val="26"/>
        </w:rPr>
        <w:t xml:space="preserve"> los municipios incluidos en nuestro análisis son: Pamplona, Tudela, Barañáin, Burlada, Valle de Egüés, Zizur Mayor, Estella, Tafalla, Ansoáin, Aranguren, Villava, Berriozar, Noáin (Valle de Elorz), Huarte, B</w:t>
      </w:r>
      <w:r>
        <w:rPr>
          <w:szCs w:val="26"/>
        </w:rPr>
        <w:t>e</w:t>
      </w:r>
      <w:r>
        <w:rPr>
          <w:szCs w:val="26"/>
        </w:rPr>
        <w:t>rrioplano, Andosilla, Esteribar, Ayegui, Falces, Olazti</w:t>
      </w:r>
      <w:r w:rsidR="00404D4B">
        <w:rPr>
          <w:szCs w:val="26"/>
        </w:rPr>
        <w:t>/</w:t>
      </w:r>
      <w:r>
        <w:rPr>
          <w:szCs w:val="26"/>
        </w:rPr>
        <w:t xml:space="preserve">Olazagutía, Lekunberri, Iza, Villatuerta, Mañeru y Valle de Ollo. </w:t>
      </w:r>
    </w:p>
    <w:p w:rsidR="00BE1465" w:rsidRPr="00555949" w:rsidRDefault="00BE1465" w:rsidP="00BE1465">
      <w:pPr>
        <w:pStyle w:val="texto"/>
        <w:tabs>
          <w:tab w:val="clear" w:pos="2835"/>
          <w:tab w:val="clear" w:pos="3969"/>
          <w:tab w:val="clear" w:pos="5103"/>
          <w:tab w:val="clear" w:pos="6237"/>
          <w:tab w:val="clear" w:pos="7371"/>
          <w:tab w:val="left" w:pos="480"/>
        </w:tabs>
        <w:spacing w:after="120"/>
        <w:rPr>
          <w:szCs w:val="26"/>
        </w:rPr>
      </w:pPr>
      <w:r>
        <w:t>En el Anexo 3 que acompaña a este informe adjuntamos los datos obtenidos para cada uno de los municipios analizados. En la página siguiente mostramos un resumen de esta información para cada municipio a través de los siguientes indicadores:</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Población a 1 de enero de 2018 y su variación respecto a 2009.</w:t>
      </w:r>
    </w:p>
    <w:p w:rsidR="00BE1465" w:rsidRPr="00BC5209" w:rsidRDefault="00757D37"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FTC</w:t>
      </w:r>
      <w:r w:rsidR="00503C8E" w:rsidRPr="00BC5209">
        <w:rPr>
          <w:rFonts w:cs="Arial"/>
        </w:rPr>
        <w:t xml:space="preserve"> </w:t>
      </w:r>
      <w:r w:rsidR="00BE1465" w:rsidRPr="00BC5209">
        <w:rPr>
          <w:rFonts w:cs="Arial"/>
        </w:rPr>
        <w:t>percibido por habitante en cada municipio en 2009 y 2018, y la vari</w:t>
      </w:r>
      <w:r w:rsidR="00BE1465" w:rsidRPr="00BC5209">
        <w:rPr>
          <w:rFonts w:cs="Arial"/>
        </w:rPr>
        <w:t>a</w:t>
      </w:r>
      <w:r w:rsidR="00BE1465" w:rsidRPr="00BC5209">
        <w:rPr>
          <w:rFonts w:cs="Arial"/>
        </w:rPr>
        <w:t>ción entre ambos años.</w:t>
      </w:r>
    </w:p>
    <w:p w:rsidR="00BE1465" w:rsidRPr="00BC5209" w:rsidRDefault="00757D37"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FTC</w:t>
      </w:r>
      <w:r w:rsidR="00BE1465" w:rsidRPr="00BC5209">
        <w:rPr>
          <w:rFonts w:cs="Arial"/>
        </w:rPr>
        <w:t xml:space="preserve"> que hubiera recibido cada municipio por habitante aplicando la fó</w:t>
      </w:r>
      <w:r w:rsidR="00BE1465" w:rsidRPr="00BC5209">
        <w:rPr>
          <w:rFonts w:cs="Arial"/>
        </w:rPr>
        <w:t>r</w:t>
      </w:r>
      <w:r w:rsidR="00BE1465" w:rsidRPr="00BC5209">
        <w:rPr>
          <w:rFonts w:cs="Arial"/>
        </w:rPr>
        <w:t xml:space="preserve">mula, sin considerar el sistema de garantía establecido en la normativa, en 2009 y 2018, y la variación entre ambos ejercicios.  </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 xml:space="preserve">Porcentaje de variación en 2018 entre el </w:t>
      </w:r>
      <w:r w:rsidR="00757D37" w:rsidRPr="00BC5209">
        <w:rPr>
          <w:rFonts w:cs="Arial"/>
        </w:rPr>
        <w:t>FTC</w:t>
      </w:r>
      <w:r w:rsidRPr="00BC5209">
        <w:rPr>
          <w:rFonts w:cs="Arial"/>
        </w:rPr>
        <w:t xml:space="preserve"> recibido en cada municipio y el que hubiera percibido sin aplicar el sistema de garantía.</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Porcentaje de variación de los ingresos corrientes en el periodo 2009-2018.</w:t>
      </w:r>
    </w:p>
    <w:p w:rsidR="00BE1465" w:rsidRDefault="00BE1465" w:rsidP="00BE1465">
      <w:pPr>
        <w:keepNext/>
        <w:spacing w:before="120" w:after="240"/>
        <w:ind w:firstLine="284"/>
        <w:rPr>
          <w:spacing w:val="6"/>
          <w:sz w:val="26"/>
          <w:szCs w:val="24"/>
        </w:rPr>
      </w:pPr>
    </w:p>
    <w:p w:rsidR="00BE1465" w:rsidRDefault="00BE1465" w:rsidP="00BE1465">
      <w:pPr>
        <w:keepNext/>
        <w:spacing w:before="120" w:after="240"/>
        <w:ind w:firstLine="284"/>
        <w:rPr>
          <w:spacing w:val="6"/>
          <w:sz w:val="26"/>
          <w:szCs w:val="24"/>
        </w:rPr>
        <w:sectPr w:rsidR="00BE1465" w:rsidSect="00C27D23">
          <w:footerReference w:type="default" r:id="rId14"/>
          <w:type w:val="oddPage"/>
          <w:pgSz w:w="11907" w:h="16840" w:code="9"/>
          <w:pgMar w:top="2109" w:right="1559" w:bottom="1644" w:left="1559" w:header="369" w:footer="136" w:gutter="0"/>
          <w:pgNumType w:start="2"/>
          <w:cols w:space="720"/>
          <w:docGrid w:linePitch="360"/>
        </w:sectPr>
      </w:pPr>
    </w:p>
    <w:p w:rsidR="00BE1465" w:rsidRDefault="00BE1465" w:rsidP="00BE1465">
      <w:pPr>
        <w:keepNext/>
        <w:spacing w:after="0"/>
        <w:ind w:firstLine="284"/>
        <w:rPr>
          <w:spacing w:val="6"/>
          <w:sz w:val="26"/>
          <w:szCs w:val="24"/>
        </w:rPr>
      </w:pPr>
    </w:p>
    <w:tbl>
      <w:tblPr>
        <w:tblW w:w="13198"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848"/>
        <w:gridCol w:w="943"/>
        <w:gridCol w:w="1309"/>
        <w:gridCol w:w="722"/>
        <w:gridCol w:w="882"/>
        <w:gridCol w:w="1127"/>
        <w:gridCol w:w="854"/>
        <w:gridCol w:w="854"/>
        <w:gridCol w:w="1403"/>
        <w:gridCol w:w="1272"/>
        <w:gridCol w:w="1984"/>
      </w:tblGrid>
      <w:tr w:rsidR="00BE1465" w:rsidRPr="00711FCD" w:rsidTr="00095E10">
        <w:trPr>
          <w:trHeight w:val="198"/>
        </w:trPr>
        <w:tc>
          <w:tcPr>
            <w:tcW w:w="1848" w:type="dxa"/>
            <w:vMerge w:val="restart"/>
            <w:tcBorders>
              <w:bottom w:val="single" w:sz="2" w:space="0" w:color="auto"/>
            </w:tcBorders>
            <w:shd w:val="clear" w:color="auto" w:fill="FABF8F" w:themeFill="accent6" w:themeFillTint="99"/>
            <w:vAlign w:val="center"/>
          </w:tcPr>
          <w:p w:rsidR="00BE1465" w:rsidRPr="00711FCD" w:rsidRDefault="00BE1465" w:rsidP="00BE1465">
            <w:pPr>
              <w:spacing w:after="0"/>
              <w:ind w:firstLine="0"/>
              <w:jc w:val="lef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Municipio</w:t>
            </w:r>
          </w:p>
        </w:tc>
        <w:tc>
          <w:tcPr>
            <w:tcW w:w="943" w:type="dxa"/>
            <w:vMerge w:val="restart"/>
            <w:tcBorders>
              <w:bottom w:val="single" w:sz="2" w:space="0" w:color="auto"/>
              <w:right w:val="single" w:sz="4" w:space="0" w:color="auto"/>
            </w:tcBorders>
            <w:shd w:val="clear" w:color="auto" w:fill="FABF8F" w:themeFill="accent6" w:themeFillTint="99"/>
            <w:vAlign w:val="center"/>
          </w:tcPr>
          <w:p w:rsidR="00BE1465" w:rsidRDefault="00BE1465" w:rsidP="00BE1465">
            <w:pPr>
              <w:spacing w:after="0"/>
              <w:ind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Población</w:t>
            </w:r>
          </w:p>
          <w:p w:rsidR="00BE1465" w:rsidRPr="00711FCD"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1/1/2018</w:t>
            </w:r>
          </w:p>
        </w:tc>
        <w:tc>
          <w:tcPr>
            <w:tcW w:w="1309" w:type="dxa"/>
            <w:vMerge w:val="restart"/>
            <w:tcBorders>
              <w:left w:val="single" w:sz="4" w:space="0" w:color="auto"/>
              <w:bottom w:val="single" w:sz="2" w:space="0" w:color="auto"/>
              <w:right w:val="single" w:sz="4" w:space="0" w:color="auto"/>
            </w:tcBorders>
            <w:shd w:val="clear" w:color="auto" w:fill="FABF8F" w:themeFill="accent6" w:themeFillTint="99"/>
            <w:vAlign w:val="center"/>
          </w:tcPr>
          <w:p w:rsidR="00BE1465"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r w:rsidR="00EA5564">
              <w:rPr>
                <w:rFonts w:ascii="Arial" w:hAnsi="Arial" w:cs="Arial"/>
                <w:bCs/>
                <w:color w:val="000000"/>
                <w:sz w:val="18"/>
                <w:szCs w:val="18"/>
                <w:lang w:val="es-ES" w:eastAsia="es-ES"/>
              </w:rPr>
              <w:t>variación</w:t>
            </w:r>
            <w:r>
              <w:rPr>
                <w:rFonts w:ascii="Arial" w:hAnsi="Arial" w:cs="Arial"/>
                <w:bCs/>
                <w:color w:val="000000"/>
                <w:sz w:val="18"/>
                <w:szCs w:val="18"/>
                <w:lang w:val="es-ES" w:eastAsia="es-ES"/>
              </w:rPr>
              <w:t xml:space="preserve"> </w:t>
            </w:r>
          </w:p>
          <w:p w:rsidR="00BE1465"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p</w:t>
            </w:r>
            <w:r w:rsidRPr="00711FCD">
              <w:rPr>
                <w:rFonts w:ascii="Arial" w:hAnsi="Arial" w:cs="Arial"/>
                <w:bCs/>
                <w:color w:val="000000"/>
                <w:sz w:val="18"/>
                <w:szCs w:val="18"/>
                <w:lang w:val="es-ES" w:eastAsia="es-ES"/>
              </w:rPr>
              <w:t>o</w:t>
            </w:r>
            <w:r>
              <w:rPr>
                <w:rFonts w:ascii="Arial" w:hAnsi="Arial" w:cs="Arial"/>
                <w:bCs/>
                <w:color w:val="000000"/>
                <w:sz w:val="18"/>
                <w:szCs w:val="18"/>
                <w:lang w:val="es-ES" w:eastAsia="es-ES"/>
              </w:rPr>
              <w:t xml:space="preserve">blación </w:t>
            </w:r>
            <w:r w:rsidRPr="00711FCD">
              <w:rPr>
                <w:rFonts w:ascii="Arial" w:hAnsi="Arial" w:cs="Arial"/>
                <w:bCs/>
                <w:color w:val="000000"/>
                <w:sz w:val="18"/>
                <w:szCs w:val="18"/>
                <w:lang w:val="es-ES" w:eastAsia="es-ES"/>
              </w:rPr>
              <w:t xml:space="preserve"> </w:t>
            </w:r>
          </w:p>
          <w:p w:rsidR="00BE1465" w:rsidRPr="00711FCD" w:rsidRDefault="00BE1465" w:rsidP="00BE1465">
            <w:pPr>
              <w:spacing w:after="0"/>
              <w:ind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20</w:t>
            </w:r>
            <w:r>
              <w:rPr>
                <w:rFonts w:ascii="Arial" w:hAnsi="Arial" w:cs="Arial"/>
                <w:bCs/>
                <w:color w:val="000000"/>
                <w:sz w:val="18"/>
                <w:szCs w:val="18"/>
                <w:lang w:val="es-ES" w:eastAsia="es-ES"/>
              </w:rPr>
              <w:t>18</w:t>
            </w:r>
            <w:r w:rsidRPr="00711FCD">
              <w:rPr>
                <w:rFonts w:ascii="Arial" w:hAnsi="Arial" w:cs="Arial"/>
                <w:bCs/>
                <w:color w:val="000000"/>
                <w:sz w:val="18"/>
                <w:szCs w:val="18"/>
                <w:lang w:val="es-ES" w:eastAsia="es-ES"/>
              </w:rPr>
              <w:t>-20</w:t>
            </w:r>
            <w:r>
              <w:rPr>
                <w:rFonts w:ascii="Arial" w:hAnsi="Arial" w:cs="Arial"/>
                <w:bCs/>
                <w:color w:val="000000"/>
                <w:sz w:val="18"/>
                <w:szCs w:val="18"/>
                <w:lang w:val="es-ES" w:eastAsia="es-ES"/>
              </w:rPr>
              <w:t>09</w:t>
            </w:r>
          </w:p>
        </w:tc>
        <w:tc>
          <w:tcPr>
            <w:tcW w:w="5842" w:type="dxa"/>
            <w:gridSpan w:val="6"/>
            <w:tcBorders>
              <w:left w:val="single" w:sz="4" w:space="0" w:color="auto"/>
              <w:bottom w:val="single" w:sz="2" w:space="0" w:color="auto"/>
              <w:right w:val="single" w:sz="4" w:space="0" w:color="auto"/>
            </w:tcBorders>
            <w:shd w:val="clear" w:color="auto" w:fill="FABF8F" w:themeFill="accent6" w:themeFillTint="99"/>
            <w:vAlign w:val="center"/>
          </w:tcPr>
          <w:p w:rsidR="00BE1465" w:rsidRDefault="00757D37" w:rsidP="00503C8E">
            <w:pPr>
              <w:spacing w:after="0"/>
              <w:ind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FTC</w:t>
            </w:r>
            <w:r w:rsidR="00BE1465" w:rsidRPr="00711FCD">
              <w:rPr>
                <w:rFonts w:ascii="Arial" w:hAnsi="Arial" w:cs="Arial"/>
                <w:bCs/>
                <w:color w:val="000000"/>
                <w:sz w:val="18"/>
                <w:szCs w:val="18"/>
                <w:lang w:val="es-ES" w:eastAsia="es-ES"/>
              </w:rPr>
              <w:t xml:space="preserve"> por habitante</w:t>
            </w:r>
          </w:p>
        </w:tc>
        <w:tc>
          <w:tcPr>
            <w:tcW w:w="1272" w:type="dxa"/>
            <w:vMerge w:val="restart"/>
            <w:tcBorders>
              <w:left w:val="single" w:sz="4" w:space="0" w:color="auto"/>
              <w:bottom w:val="single" w:sz="2" w:space="0" w:color="auto"/>
              <w:right w:val="single" w:sz="4" w:space="0" w:color="auto"/>
            </w:tcBorders>
            <w:shd w:val="clear" w:color="auto" w:fill="FABF8F" w:themeFill="accent6" w:themeFillTint="99"/>
            <w:vAlign w:val="center"/>
          </w:tcPr>
          <w:p w:rsidR="00BE1465" w:rsidRPr="00711FCD" w:rsidRDefault="00BE1465" w:rsidP="006E275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r w:rsidR="006E275E">
              <w:rPr>
                <w:rFonts w:ascii="Arial" w:hAnsi="Arial" w:cs="Arial"/>
                <w:bCs/>
                <w:color w:val="000000"/>
                <w:sz w:val="18"/>
                <w:szCs w:val="18"/>
                <w:lang w:val="es-ES" w:eastAsia="es-ES"/>
              </w:rPr>
              <w:t>(a)/(b)</w:t>
            </w:r>
          </w:p>
        </w:tc>
        <w:tc>
          <w:tcPr>
            <w:tcW w:w="1984" w:type="dxa"/>
            <w:vMerge w:val="restart"/>
            <w:tcBorders>
              <w:left w:val="single" w:sz="4" w:space="0" w:color="auto"/>
              <w:bottom w:val="single" w:sz="2" w:space="0" w:color="auto"/>
            </w:tcBorders>
            <w:shd w:val="clear" w:color="auto" w:fill="FABF8F" w:themeFill="accent6" w:themeFillTint="99"/>
            <w:vAlign w:val="center"/>
            <w:hideMark/>
          </w:tcPr>
          <w:p w:rsidR="00EA5564" w:rsidRDefault="00BE1465" w:rsidP="00EA5564">
            <w:pPr>
              <w:spacing w:after="0"/>
              <w:ind w:left="-50"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 xml:space="preserve">% </w:t>
            </w:r>
            <w:r w:rsidR="00503C8E">
              <w:rPr>
                <w:rFonts w:ascii="Arial" w:hAnsi="Arial" w:cs="Arial"/>
                <w:bCs/>
                <w:color w:val="000000"/>
                <w:sz w:val="18"/>
                <w:szCs w:val="18"/>
                <w:lang w:val="es-ES" w:eastAsia="es-ES"/>
              </w:rPr>
              <w:t>variación</w:t>
            </w:r>
          </w:p>
          <w:p w:rsidR="00EA5564" w:rsidRDefault="00BE1465" w:rsidP="00EA5564">
            <w:pPr>
              <w:spacing w:after="0"/>
              <w:ind w:left="-50"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 xml:space="preserve"> </w:t>
            </w:r>
            <w:r>
              <w:rPr>
                <w:rFonts w:ascii="Arial" w:hAnsi="Arial" w:cs="Arial"/>
                <w:bCs/>
                <w:color w:val="000000"/>
                <w:sz w:val="18"/>
                <w:szCs w:val="18"/>
                <w:lang w:val="es-ES" w:eastAsia="es-ES"/>
              </w:rPr>
              <w:t>i</w:t>
            </w:r>
            <w:r w:rsidRPr="00711FCD">
              <w:rPr>
                <w:rFonts w:ascii="Arial" w:hAnsi="Arial" w:cs="Arial"/>
                <w:bCs/>
                <w:color w:val="000000"/>
                <w:sz w:val="18"/>
                <w:szCs w:val="18"/>
                <w:lang w:val="es-ES" w:eastAsia="es-ES"/>
              </w:rPr>
              <w:t>ng</w:t>
            </w:r>
            <w:r>
              <w:rPr>
                <w:rFonts w:ascii="Arial" w:hAnsi="Arial" w:cs="Arial"/>
                <w:bCs/>
                <w:color w:val="000000"/>
                <w:sz w:val="18"/>
                <w:szCs w:val="18"/>
                <w:lang w:val="es-ES" w:eastAsia="es-ES"/>
              </w:rPr>
              <w:t>.</w:t>
            </w:r>
            <w:r w:rsidRPr="00711FCD">
              <w:rPr>
                <w:rFonts w:ascii="Arial" w:hAnsi="Arial" w:cs="Arial"/>
                <w:bCs/>
                <w:color w:val="000000"/>
                <w:sz w:val="18"/>
                <w:szCs w:val="18"/>
                <w:lang w:val="es-ES" w:eastAsia="es-ES"/>
              </w:rPr>
              <w:t xml:space="preserve"> corrien</w:t>
            </w:r>
            <w:r>
              <w:rPr>
                <w:rFonts w:ascii="Arial" w:hAnsi="Arial" w:cs="Arial"/>
                <w:bCs/>
                <w:color w:val="000000"/>
                <w:sz w:val="18"/>
                <w:szCs w:val="18"/>
                <w:lang w:val="es-ES" w:eastAsia="es-ES"/>
              </w:rPr>
              <w:t xml:space="preserve">tes  </w:t>
            </w:r>
          </w:p>
          <w:p w:rsidR="00BE1465" w:rsidRPr="00711FCD" w:rsidRDefault="00BE1465" w:rsidP="00D46114">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(sin FT</w:t>
            </w:r>
            <w:r w:rsidR="00503C8E">
              <w:rPr>
                <w:rFonts w:ascii="Arial" w:hAnsi="Arial" w:cs="Arial"/>
                <w:bCs/>
                <w:color w:val="000000"/>
                <w:sz w:val="18"/>
                <w:szCs w:val="18"/>
                <w:lang w:val="es-ES" w:eastAsia="es-ES"/>
              </w:rPr>
              <w:t>C</w:t>
            </w:r>
            <w:r>
              <w:rPr>
                <w:rFonts w:ascii="Arial" w:hAnsi="Arial" w:cs="Arial"/>
                <w:bCs/>
                <w:color w:val="000000"/>
                <w:sz w:val="18"/>
                <w:szCs w:val="18"/>
                <w:lang w:val="es-ES" w:eastAsia="es-ES"/>
              </w:rPr>
              <w:t>) 2017</w:t>
            </w:r>
            <w:r w:rsidR="00D46114">
              <w:rPr>
                <w:rFonts w:ascii="Arial" w:hAnsi="Arial" w:cs="Arial"/>
                <w:bCs/>
                <w:color w:val="000000"/>
                <w:sz w:val="18"/>
                <w:szCs w:val="18"/>
                <w:lang w:val="es-ES" w:eastAsia="es-ES"/>
              </w:rPr>
              <w:t>/</w:t>
            </w:r>
            <w:r w:rsidRPr="00711FCD">
              <w:rPr>
                <w:rFonts w:ascii="Arial" w:hAnsi="Arial" w:cs="Arial"/>
                <w:bCs/>
                <w:color w:val="000000"/>
                <w:sz w:val="18"/>
                <w:szCs w:val="18"/>
                <w:lang w:val="es-ES" w:eastAsia="es-ES"/>
              </w:rPr>
              <w:t>20</w:t>
            </w:r>
            <w:r>
              <w:rPr>
                <w:rFonts w:ascii="Arial" w:hAnsi="Arial" w:cs="Arial"/>
                <w:bCs/>
                <w:color w:val="000000"/>
                <w:sz w:val="18"/>
                <w:szCs w:val="18"/>
                <w:lang w:val="es-ES" w:eastAsia="es-ES"/>
              </w:rPr>
              <w:t>09</w:t>
            </w:r>
          </w:p>
        </w:tc>
      </w:tr>
      <w:tr w:rsidR="00BE1465" w:rsidRPr="00711FCD" w:rsidTr="00095E10">
        <w:trPr>
          <w:trHeight w:val="198"/>
        </w:trPr>
        <w:tc>
          <w:tcPr>
            <w:tcW w:w="1848" w:type="dxa"/>
            <w:vMerge/>
            <w:tcBorders>
              <w:top w:val="single" w:sz="2" w:space="0" w:color="auto"/>
              <w:bottom w:val="single" w:sz="2" w:space="0" w:color="auto"/>
            </w:tcBorders>
            <w:shd w:val="clear" w:color="auto" w:fill="FABF8F" w:themeFill="accent6" w:themeFillTint="99"/>
          </w:tcPr>
          <w:p w:rsidR="00BE1465" w:rsidRPr="00711FCD" w:rsidRDefault="00BE1465" w:rsidP="00BE1465">
            <w:pPr>
              <w:spacing w:after="0"/>
              <w:ind w:firstLine="0"/>
              <w:jc w:val="center"/>
              <w:rPr>
                <w:rFonts w:ascii="Calibri" w:hAnsi="Calibri"/>
                <w:b/>
                <w:bCs/>
                <w:color w:val="000000"/>
                <w:sz w:val="22"/>
                <w:szCs w:val="22"/>
                <w:lang w:val="es-ES" w:eastAsia="es-ES"/>
              </w:rPr>
            </w:pPr>
          </w:p>
        </w:tc>
        <w:tc>
          <w:tcPr>
            <w:tcW w:w="943" w:type="dxa"/>
            <w:vMerge/>
            <w:tcBorders>
              <w:top w:val="single" w:sz="2" w:space="0" w:color="auto"/>
              <w:bottom w:val="single" w:sz="2" w:space="0" w:color="auto"/>
              <w:right w:val="single" w:sz="4" w:space="0" w:color="auto"/>
            </w:tcBorders>
            <w:shd w:val="clear" w:color="auto" w:fill="FABF8F" w:themeFill="accent6" w:themeFillTint="99"/>
            <w:vAlign w:val="center"/>
          </w:tcPr>
          <w:p w:rsidR="00BE1465" w:rsidRPr="00711FCD" w:rsidRDefault="00BE1465" w:rsidP="00BE1465">
            <w:pPr>
              <w:spacing w:after="0"/>
              <w:ind w:firstLine="0"/>
              <w:jc w:val="right"/>
              <w:rPr>
                <w:rFonts w:ascii="Calibri" w:hAnsi="Calibri"/>
                <w:b/>
                <w:bCs/>
                <w:color w:val="000000"/>
                <w:sz w:val="22"/>
                <w:szCs w:val="22"/>
                <w:lang w:val="es-ES" w:eastAsia="es-ES"/>
              </w:rPr>
            </w:pPr>
          </w:p>
        </w:tc>
        <w:tc>
          <w:tcPr>
            <w:tcW w:w="1309" w:type="dxa"/>
            <w:vMerge/>
            <w:tcBorders>
              <w:top w:val="single" w:sz="2" w:space="0" w:color="auto"/>
              <w:left w:val="single" w:sz="4" w:space="0" w:color="auto"/>
              <w:bottom w:val="single" w:sz="2" w:space="0" w:color="auto"/>
              <w:right w:val="single" w:sz="4" w:space="0" w:color="auto"/>
            </w:tcBorders>
            <w:shd w:val="clear" w:color="auto" w:fill="FABF8F" w:themeFill="accent6" w:themeFillTint="99"/>
          </w:tcPr>
          <w:p w:rsidR="00BE1465" w:rsidRPr="00711FCD" w:rsidRDefault="00BE1465" w:rsidP="00BE1465">
            <w:pPr>
              <w:spacing w:after="0"/>
              <w:ind w:firstLine="0"/>
              <w:jc w:val="center"/>
              <w:rPr>
                <w:rFonts w:ascii="Arial" w:hAnsi="Arial" w:cs="Arial"/>
                <w:bCs/>
                <w:color w:val="000000"/>
                <w:sz w:val="18"/>
                <w:szCs w:val="18"/>
                <w:lang w:val="es-ES" w:eastAsia="es-ES"/>
              </w:rPr>
            </w:pPr>
          </w:p>
        </w:tc>
        <w:tc>
          <w:tcPr>
            <w:tcW w:w="2731" w:type="dxa"/>
            <w:gridSpan w:val="3"/>
            <w:tcBorders>
              <w:top w:val="single" w:sz="2" w:space="0" w:color="auto"/>
              <w:left w:val="single" w:sz="4" w:space="0" w:color="auto"/>
              <w:bottom w:val="single" w:sz="2" w:space="0" w:color="auto"/>
              <w:right w:val="single" w:sz="4" w:space="0" w:color="auto"/>
            </w:tcBorders>
            <w:shd w:val="clear" w:color="auto" w:fill="FABF8F" w:themeFill="accent6" w:themeFillTint="99"/>
            <w:noWrap/>
            <w:vAlign w:val="center"/>
            <w:hideMark/>
          </w:tcPr>
          <w:p w:rsidR="00BE1465" w:rsidRPr="00711FCD" w:rsidRDefault="00757D37" w:rsidP="00BE1465">
            <w:pPr>
              <w:spacing w:after="0"/>
              <w:ind w:firstLine="0"/>
              <w:jc w:val="center"/>
              <w:rPr>
                <w:rFonts w:ascii="Arial" w:hAnsi="Arial" w:cs="Arial"/>
                <w:bCs/>
                <w:color w:val="000000"/>
                <w:sz w:val="18"/>
                <w:szCs w:val="18"/>
                <w:lang w:val="es-ES" w:eastAsia="es-ES"/>
              </w:rPr>
            </w:pPr>
            <w:r>
              <w:rPr>
                <w:rFonts w:ascii="Arial" w:hAnsi="Arial" w:cs="Arial"/>
                <w:bCs/>
                <w:color w:val="000000"/>
                <w:sz w:val="18"/>
                <w:szCs w:val="18"/>
                <w:lang w:val="es-ES" w:eastAsia="es-ES"/>
              </w:rPr>
              <w:t>FTC real recibido</w:t>
            </w:r>
            <w:r w:rsidR="006E275E">
              <w:rPr>
                <w:rFonts w:ascii="Arial" w:hAnsi="Arial" w:cs="Arial"/>
                <w:bCs/>
                <w:color w:val="000000"/>
                <w:sz w:val="18"/>
                <w:szCs w:val="18"/>
                <w:lang w:val="es-ES" w:eastAsia="es-ES"/>
              </w:rPr>
              <w:t xml:space="preserve"> </w:t>
            </w:r>
          </w:p>
        </w:tc>
        <w:tc>
          <w:tcPr>
            <w:tcW w:w="3111" w:type="dxa"/>
            <w:gridSpan w:val="3"/>
            <w:tcBorders>
              <w:top w:val="single" w:sz="2" w:space="0" w:color="auto"/>
              <w:left w:val="single" w:sz="4" w:space="0" w:color="auto"/>
              <w:bottom w:val="single" w:sz="2" w:space="0" w:color="auto"/>
              <w:right w:val="single" w:sz="4" w:space="0" w:color="auto"/>
            </w:tcBorders>
            <w:shd w:val="clear" w:color="auto" w:fill="FABF8F" w:themeFill="accent6" w:themeFillTint="99"/>
            <w:noWrap/>
            <w:vAlign w:val="center"/>
            <w:hideMark/>
          </w:tcPr>
          <w:p w:rsidR="00BE1465" w:rsidRPr="00711FCD" w:rsidRDefault="00757D37" w:rsidP="00BE1465">
            <w:pPr>
              <w:spacing w:after="0"/>
              <w:ind w:firstLine="0"/>
              <w:jc w:val="center"/>
              <w:rPr>
                <w:rFonts w:ascii="Calibri" w:hAnsi="Calibri"/>
                <w:b/>
                <w:bCs/>
                <w:color w:val="000000"/>
                <w:sz w:val="22"/>
                <w:szCs w:val="22"/>
                <w:lang w:val="es-ES" w:eastAsia="es-ES"/>
              </w:rPr>
            </w:pPr>
            <w:r>
              <w:rPr>
                <w:rFonts w:ascii="Arial" w:hAnsi="Arial" w:cs="Arial"/>
                <w:bCs/>
                <w:color w:val="000000"/>
                <w:sz w:val="18"/>
                <w:szCs w:val="18"/>
                <w:lang w:val="es-ES" w:eastAsia="es-ES"/>
              </w:rPr>
              <w:t>FTC</w:t>
            </w:r>
            <w:r w:rsidR="00BE1465">
              <w:rPr>
                <w:rFonts w:ascii="Arial" w:hAnsi="Arial" w:cs="Arial"/>
                <w:bCs/>
                <w:color w:val="000000"/>
                <w:sz w:val="18"/>
                <w:szCs w:val="18"/>
                <w:lang w:val="es-ES" w:eastAsia="es-ES"/>
              </w:rPr>
              <w:t xml:space="preserve"> </w:t>
            </w:r>
            <w:r w:rsidR="00BE1465" w:rsidRPr="00711FCD">
              <w:rPr>
                <w:rFonts w:ascii="Arial" w:hAnsi="Arial" w:cs="Arial"/>
                <w:bCs/>
                <w:color w:val="000000"/>
                <w:sz w:val="18"/>
                <w:szCs w:val="18"/>
                <w:lang w:val="es-ES" w:eastAsia="es-ES"/>
              </w:rPr>
              <w:t>fórmula</w:t>
            </w:r>
            <w:r w:rsidR="006E275E">
              <w:rPr>
                <w:rFonts w:ascii="Arial" w:hAnsi="Arial" w:cs="Arial"/>
                <w:bCs/>
                <w:color w:val="000000"/>
                <w:sz w:val="18"/>
                <w:szCs w:val="18"/>
                <w:lang w:val="es-ES" w:eastAsia="es-ES"/>
              </w:rPr>
              <w:t xml:space="preserve"> sin sistema garantía</w:t>
            </w:r>
          </w:p>
        </w:tc>
        <w:tc>
          <w:tcPr>
            <w:tcW w:w="1272" w:type="dxa"/>
            <w:vMerge/>
            <w:tcBorders>
              <w:top w:val="single" w:sz="2" w:space="0" w:color="auto"/>
              <w:left w:val="single" w:sz="4" w:space="0" w:color="auto"/>
              <w:bottom w:val="single" w:sz="2" w:space="0" w:color="auto"/>
              <w:right w:val="single" w:sz="4" w:space="0" w:color="auto"/>
            </w:tcBorders>
            <w:shd w:val="clear" w:color="auto" w:fill="FABF8F" w:themeFill="accent6" w:themeFillTint="99"/>
          </w:tcPr>
          <w:p w:rsidR="00BE1465" w:rsidRPr="00711FCD" w:rsidRDefault="00BE1465" w:rsidP="00BE1465">
            <w:pPr>
              <w:spacing w:after="0"/>
              <w:ind w:firstLine="0"/>
              <w:jc w:val="right"/>
              <w:rPr>
                <w:rFonts w:ascii="Calibri" w:hAnsi="Calibri"/>
                <w:b/>
                <w:bCs/>
                <w:color w:val="000000"/>
                <w:sz w:val="22"/>
                <w:szCs w:val="22"/>
                <w:lang w:val="es-ES" w:eastAsia="es-ES"/>
              </w:rPr>
            </w:pPr>
          </w:p>
        </w:tc>
        <w:tc>
          <w:tcPr>
            <w:tcW w:w="1984" w:type="dxa"/>
            <w:vMerge/>
            <w:tcBorders>
              <w:top w:val="single" w:sz="2" w:space="0" w:color="auto"/>
              <w:left w:val="single" w:sz="4" w:space="0" w:color="auto"/>
              <w:bottom w:val="single" w:sz="2" w:space="0" w:color="auto"/>
            </w:tcBorders>
            <w:shd w:val="clear" w:color="auto" w:fill="FABF8F" w:themeFill="accent6" w:themeFillTint="99"/>
            <w:vAlign w:val="center"/>
            <w:hideMark/>
          </w:tcPr>
          <w:p w:rsidR="00BE1465" w:rsidRPr="00711FCD" w:rsidRDefault="00BE1465" w:rsidP="00BE1465">
            <w:pPr>
              <w:spacing w:after="0"/>
              <w:ind w:firstLine="0"/>
              <w:jc w:val="right"/>
              <w:rPr>
                <w:rFonts w:ascii="Calibri" w:hAnsi="Calibri"/>
                <w:b/>
                <w:bCs/>
                <w:color w:val="000000"/>
                <w:sz w:val="22"/>
                <w:szCs w:val="22"/>
                <w:lang w:val="es-ES" w:eastAsia="es-ES"/>
              </w:rPr>
            </w:pPr>
          </w:p>
        </w:tc>
      </w:tr>
      <w:tr w:rsidR="00BE1465" w:rsidRPr="00711FCD" w:rsidTr="00095E10">
        <w:trPr>
          <w:trHeight w:val="198"/>
        </w:trPr>
        <w:tc>
          <w:tcPr>
            <w:tcW w:w="1848" w:type="dxa"/>
            <w:vMerge/>
            <w:tcBorders>
              <w:top w:val="single" w:sz="2" w:space="0" w:color="auto"/>
              <w:bottom w:val="single" w:sz="4" w:space="0" w:color="auto"/>
            </w:tcBorders>
            <w:shd w:val="clear" w:color="auto" w:fill="FABF8F" w:themeFill="accent6" w:themeFillTint="99"/>
          </w:tcPr>
          <w:p w:rsidR="00BE1465" w:rsidRPr="00711FCD" w:rsidRDefault="00BE1465" w:rsidP="00BE1465">
            <w:pPr>
              <w:spacing w:after="0"/>
              <w:ind w:firstLine="0"/>
              <w:jc w:val="center"/>
              <w:rPr>
                <w:rFonts w:ascii="Calibri" w:hAnsi="Calibri"/>
                <w:b/>
                <w:bCs/>
                <w:color w:val="000000"/>
                <w:sz w:val="22"/>
                <w:szCs w:val="22"/>
                <w:lang w:val="es-ES" w:eastAsia="es-ES"/>
              </w:rPr>
            </w:pPr>
          </w:p>
        </w:tc>
        <w:tc>
          <w:tcPr>
            <w:tcW w:w="943" w:type="dxa"/>
            <w:vMerge/>
            <w:tcBorders>
              <w:top w:val="single" w:sz="2" w:space="0" w:color="auto"/>
              <w:bottom w:val="single" w:sz="4" w:space="0" w:color="auto"/>
              <w:right w:val="single" w:sz="4" w:space="0" w:color="auto"/>
            </w:tcBorders>
            <w:shd w:val="clear" w:color="auto" w:fill="FABF8F" w:themeFill="accent6" w:themeFillTint="99"/>
            <w:vAlign w:val="center"/>
          </w:tcPr>
          <w:p w:rsidR="00BE1465" w:rsidRPr="00711FCD" w:rsidRDefault="00BE1465" w:rsidP="00BE1465">
            <w:pPr>
              <w:spacing w:after="0"/>
              <w:ind w:firstLine="0"/>
              <w:jc w:val="right"/>
              <w:rPr>
                <w:rFonts w:ascii="Calibri" w:hAnsi="Calibri"/>
                <w:b/>
                <w:bCs/>
                <w:color w:val="000000"/>
                <w:sz w:val="22"/>
                <w:szCs w:val="22"/>
                <w:lang w:val="es-ES" w:eastAsia="es-ES"/>
              </w:rPr>
            </w:pPr>
          </w:p>
        </w:tc>
        <w:tc>
          <w:tcPr>
            <w:tcW w:w="1309" w:type="dxa"/>
            <w:vMerge/>
            <w:tcBorders>
              <w:top w:val="single" w:sz="2" w:space="0" w:color="auto"/>
              <w:left w:val="single" w:sz="4" w:space="0" w:color="auto"/>
              <w:bottom w:val="single" w:sz="4" w:space="0" w:color="auto"/>
              <w:right w:val="single" w:sz="4" w:space="0" w:color="auto"/>
            </w:tcBorders>
            <w:shd w:val="clear" w:color="auto" w:fill="FABF8F" w:themeFill="accent6" w:themeFillTint="99"/>
          </w:tcPr>
          <w:p w:rsidR="00BE1465" w:rsidRPr="00711FCD" w:rsidRDefault="00BE1465" w:rsidP="00BE1465">
            <w:pPr>
              <w:spacing w:after="0"/>
              <w:ind w:firstLine="0"/>
              <w:jc w:val="right"/>
              <w:rPr>
                <w:rFonts w:ascii="Arial" w:hAnsi="Arial" w:cs="Arial"/>
                <w:bCs/>
                <w:color w:val="000000"/>
                <w:sz w:val="18"/>
                <w:szCs w:val="18"/>
                <w:lang w:val="es-ES" w:eastAsia="es-ES"/>
              </w:rPr>
            </w:pPr>
          </w:p>
        </w:tc>
        <w:tc>
          <w:tcPr>
            <w:tcW w:w="722" w:type="dxa"/>
            <w:tcBorders>
              <w:top w:val="single" w:sz="2" w:space="0" w:color="auto"/>
              <w:left w:val="single" w:sz="4" w:space="0" w:color="auto"/>
              <w:bottom w:val="single" w:sz="4"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2009</w:t>
            </w:r>
          </w:p>
        </w:tc>
        <w:tc>
          <w:tcPr>
            <w:tcW w:w="882"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2018</w:t>
            </w:r>
            <w:r w:rsidR="006E275E">
              <w:rPr>
                <w:rFonts w:ascii="Arial" w:hAnsi="Arial" w:cs="Arial"/>
                <w:bCs/>
                <w:color w:val="000000"/>
                <w:sz w:val="18"/>
                <w:szCs w:val="18"/>
                <w:lang w:val="es-ES" w:eastAsia="es-ES"/>
              </w:rPr>
              <w:t xml:space="preserve"> (a)</w:t>
            </w:r>
          </w:p>
        </w:tc>
        <w:tc>
          <w:tcPr>
            <w:tcW w:w="1127" w:type="dxa"/>
            <w:tcBorders>
              <w:top w:val="single" w:sz="2" w:space="0" w:color="auto"/>
              <w:left w:val="single" w:sz="2" w:space="0" w:color="auto"/>
              <w:bottom w:val="single" w:sz="4" w:space="0" w:color="auto"/>
              <w:right w:val="single" w:sz="4" w:space="0" w:color="auto"/>
            </w:tcBorders>
            <w:shd w:val="clear" w:color="auto" w:fill="FABF8F" w:themeFill="accent6" w:themeFillTint="99"/>
          </w:tcPr>
          <w:p w:rsidR="00BE1465"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r w:rsidR="00EA5564">
              <w:rPr>
                <w:rFonts w:ascii="Arial" w:hAnsi="Arial" w:cs="Arial"/>
                <w:bCs/>
                <w:color w:val="000000"/>
                <w:sz w:val="18"/>
                <w:szCs w:val="18"/>
                <w:lang w:val="es-ES" w:eastAsia="es-ES"/>
              </w:rPr>
              <w:t>variación</w:t>
            </w:r>
            <w:r>
              <w:rPr>
                <w:rFonts w:ascii="Arial" w:hAnsi="Arial" w:cs="Arial"/>
                <w:bCs/>
                <w:color w:val="000000"/>
                <w:sz w:val="18"/>
                <w:szCs w:val="18"/>
                <w:lang w:val="es-ES" w:eastAsia="es-ES"/>
              </w:rPr>
              <w:t xml:space="preserve"> </w:t>
            </w:r>
          </w:p>
          <w:p w:rsidR="00BE1465" w:rsidRPr="00711FCD"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2018/2009</w:t>
            </w:r>
          </w:p>
        </w:tc>
        <w:tc>
          <w:tcPr>
            <w:tcW w:w="854" w:type="dxa"/>
            <w:tcBorders>
              <w:top w:val="single" w:sz="2" w:space="0" w:color="auto"/>
              <w:left w:val="single" w:sz="4" w:space="0" w:color="auto"/>
              <w:bottom w:val="single" w:sz="4"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2009</w:t>
            </w:r>
          </w:p>
        </w:tc>
        <w:tc>
          <w:tcPr>
            <w:tcW w:w="854"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BE1465" w:rsidRPr="00711FCD" w:rsidRDefault="00BE1465" w:rsidP="00BE1465">
            <w:pPr>
              <w:spacing w:after="0"/>
              <w:ind w:firstLine="0"/>
              <w:jc w:val="right"/>
              <w:rPr>
                <w:rFonts w:ascii="Arial" w:hAnsi="Arial" w:cs="Arial"/>
                <w:bCs/>
                <w:color w:val="000000"/>
                <w:sz w:val="18"/>
                <w:szCs w:val="18"/>
                <w:lang w:val="es-ES" w:eastAsia="es-ES"/>
              </w:rPr>
            </w:pPr>
            <w:r w:rsidRPr="00711FCD">
              <w:rPr>
                <w:rFonts w:ascii="Arial" w:hAnsi="Arial" w:cs="Arial"/>
                <w:bCs/>
                <w:color w:val="000000"/>
                <w:sz w:val="18"/>
                <w:szCs w:val="18"/>
                <w:lang w:val="es-ES" w:eastAsia="es-ES"/>
              </w:rPr>
              <w:t>2018</w:t>
            </w:r>
            <w:r w:rsidR="006E275E">
              <w:rPr>
                <w:rFonts w:ascii="Arial" w:hAnsi="Arial" w:cs="Arial"/>
                <w:bCs/>
                <w:color w:val="000000"/>
                <w:sz w:val="18"/>
                <w:szCs w:val="18"/>
                <w:lang w:val="es-ES" w:eastAsia="es-ES"/>
              </w:rPr>
              <w:t xml:space="preserve"> (b)</w:t>
            </w:r>
          </w:p>
        </w:tc>
        <w:tc>
          <w:tcPr>
            <w:tcW w:w="1403" w:type="dxa"/>
            <w:tcBorders>
              <w:top w:val="single" w:sz="2" w:space="0" w:color="auto"/>
              <w:left w:val="single" w:sz="2" w:space="0" w:color="auto"/>
              <w:bottom w:val="single" w:sz="4" w:space="0" w:color="auto"/>
              <w:right w:val="single" w:sz="4" w:space="0" w:color="auto"/>
            </w:tcBorders>
            <w:shd w:val="clear" w:color="auto" w:fill="FABF8F" w:themeFill="accent6" w:themeFillTint="99"/>
          </w:tcPr>
          <w:p w:rsidR="00BE1465"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w:t>
            </w:r>
            <w:r w:rsidR="00EA5564">
              <w:rPr>
                <w:rFonts w:ascii="Arial" w:hAnsi="Arial" w:cs="Arial"/>
                <w:bCs/>
                <w:color w:val="000000"/>
                <w:sz w:val="18"/>
                <w:szCs w:val="18"/>
                <w:lang w:val="es-ES" w:eastAsia="es-ES"/>
              </w:rPr>
              <w:t>variación</w:t>
            </w:r>
            <w:r>
              <w:rPr>
                <w:rFonts w:ascii="Arial" w:hAnsi="Arial" w:cs="Arial"/>
                <w:bCs/>
                <w:color w:val="000000"/>
                <w:sz w:val="18"/>
                <w:szCs w:val="18"/>
                <w:lang w:val="es-ES" w:eastAsia="es-ES"/>
              </w:rPr>
              <w:t xml:space="preserve"> </w:t>
            </w:r>
          </w:p>
          <w:p w:rsidR="00BE1465" w:rsidRPr="00711FCD"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2018/2009</w:t>
            </w:r>
          </w:p>
        </w:tc>
        <w:tc>
          <w:tcPr>
            <w:tcW w:w="1272" w:type="dxa"/>
            <w:vMerge/>
            <w:tcBorders>
              <w:top w:val="single" w:sz="2" w:space="0" w:color="auto"/>
              <w:left w:val="single" w:sz="4" w:space="0" w:color="auto"/>
              <w:bottom w:val="single" w:sz="4" w:space="0" w:color="auto"/>
              <w:right w:val="single" w:sz="4" w:space="0" w:color="auto"/>
            </w:tcBorders>
            <w:shd w:val="clear" w:color="auto" w:fill="FABF8F" w:themeFill="accent6" w:themeFillTint="99"/>
          </w:tcPr>
          <w:p w:rsidR="00BE1465" w:rsidRPr="00711FCD" w:rsidRDefault="00BE1465" w:rsidP="00BE1465">
            <w:pPr>
              <w:spacing w:after="0"/>
              <w:ind w:firstLine="0"/>
              <w:jc w:val="right"/>
              <w:rPr>
                <w:rFonts w:ascii="Calibri" w:hAnsi="Calibri"/>
                <w:b/>
                <w:bCs/>
                <w:color w:val="000000"/>
                <w:sz w:val="22"/>
                <w:szCs w:val="22"/>
                <w:lang w:val="es-ES" w:eastAsia="es-ES"/>
              </w:rPr>
            </w:pPr>
          </w:p>
        </w:tc>
        <w:tc>
          <w:tcPr>
            <w:tcW w:w="1984" w:type="dxa"/>
            <w:vMerge/>
            <w:tcBorders>
              <w:top w:val="single" w:sz="2" w:space="0" w:color="auto"/>
              <w:left w:val="single" w:sz="4" w:space="0" w:color="auto"/>
              <w:bottom w:val="single" w:sz="4" w:space="0" w:color="auto"/>
            </w:tcBorders>
            <w:shd w:val="clear" w:color="auto" w:fill="FABF8F" w:themeFill="accent6" w:themeFillTint="99"/>
            <w:vAlign w:val="center"/>
            <w:hideMark/>
          </w:tcPr>
          <w:p w:rsidR="00BE1465" w:rsidRPr="00711FCD" w:rsidRDefault="00BE1465" w:rsidP="00BE1465">
            <w:pPr>
              <w:spacing w:after="0"/>
              <w:ind w:firstLine="0"/>
              <w:jc w:val="right"/>
              <w:rPr>
                <w:rFonts w:ascii="Calibri" w:hAnsi="Calibri"/>
                <w:b/>
                <w:bCs/>
                <w:color w:val="000000"/>
                <w:sz w:val="22"/>
                <w:szCs w:val="22"/>
                <w:lang w:val="es-ES" w:eastAsia="es-ES"/>
              </w:rPr>
            </w:pPr>
          </w:p>
        </w:tc>
      </w:tr>
      <w:tr w:rsidR="00503C8E" w:rsidRPr="00942930" w:rsidTr="00095E10">
        <w:trPr>
          <w:trHeight w:val="255"/>
        </w:trPr>
        <w:tc>
          <w:tcPr>
            <w:tcW w:w="1848" w:type="dxa"/>
            <w:tcBorders>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Pamplona</w:t>
            </w:r>
          </w:p>
        </w:tc>
        <w:tc>
          <w:tcPr>
            <w:tcW w:w="943" w:type="dxa"/>
            <w:tcBorders>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199.066</w:t>
            </w:r>
          </w:p>
        </w:tc>
        <w:tc>
          <w:tcPr>
            <w:tcW w:w="1309" w:type="dxa"/>
            <w:tcBorders>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0,3</w:t>
            </w:r>
          </w:p>
        </w:tc>
        <w:tc>
          <w:tcPr>
            <w:tcW w:w="722" w:type="dxa"/>
            <w:tcBorders>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373</w:t>
            </w:r>
          </w:p>
        </w:tc>
        <w:tc>
          <w:tcPr>
            <w:tcW w:w="882" w:type="dxa"/>
            <w:tcBorders>
              <w:bottom w:val="single" w:sz="2" w:space="0" w:color="auto"/>
              <w:right w:val="single" w:sz="2" w:space="0" w:color="auto"/>
            </w:tcBorders>
            <w:shd w:val="clear" w:color="auto" w:fill="auto"/>
            <w:noWrap/>
            <w:vAlign w:val="center"/>
            <w:hideMark/>
          </w:tcPr>
          <w:p w:rsidR="00503C8E" w:rsidRPr="00DB59A4" w:rsidRDefault="00DB59A4"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417</w:t>
            </w:r>
          </w:p>
        </w:tc>
        <w:tc>
          <w:tcPr>
            <w:tcW w:w="1127" w:type="dxa"/>
            <w:tcBorders>
              <w:left w:val="single" w:sz="2" w:space="0" w:color="auto"/>
              <w:bottom w:val="single" w:sz="2" w:space="0" w:color="auto"/>
              <w:right w:val="single" w:sz="4" w:space="0" w:color="auto"/>
            </w:tcBorders>
            <w:vAlign w:val="center"/>
          </w:tcPr>
          <w:p w:rsidR="00503C8E" w:rsidRPr="00942930" w:rsidRDefault="00503C8E" w:rsidP="00DB59A4">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w:t>
            </w:r>
            <w:r w:rsidR="00DB59A4">
              <w:rPr>
                <w:rFonts w:ascii="Arial Narrow" w:hAnsi="Arial Narrow"/>
                <w:sz w:val="20"/>
                <w:szCs w:val="20"/>
              </w:rPr>
              <w:t>2</w:t>
            </w:r>
          </w:p>
        </w:tc>
        <w:tc>
          <w:tcPr>
            <w:tcW w:w="854" w:type="dxa"/>
            <w:tcBorders>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N/A</w:t>
            </w:r>
          </w:p>
        </w:tc>
        <w:tc>
          <w:tcPr>
            <w:tcW w:w="854" w:type="dxa"/>
            <w:tcBorders>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377</w:t>
            </w:r>
          </w:p>
        </w:tc>
        <w:tc>
          <w:tcPr>
            <w:tcW w:w="1403" w:type="dxa"/>
            <w:tcBorders>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w:t>
            </w:r>
          </w:p>
        </w:tc>
        <w:tc>
          <w:tcPr>
            <w:tcW w:w="1272" w:type="dxa"/>
            <w:tcBorders>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12</w:t>
            </w:r>
          </w:p>
        </w:tc>
        <w:tc>
          <w:tcPr>
            <w:tcW w:w="1984" w:type="dxa"/>
            <w:tcBorders>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Tudela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35.593</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267</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223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299</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34</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-8</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Egüés</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20.417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93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155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180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16</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213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13</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-25</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58</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Barañáin</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20.039</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-9</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253</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290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15</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224</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280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25</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 xml:space="preserve">Burlada </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18.934</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262</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268</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216</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25</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Zizur Mayor</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14.891</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248</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242</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248</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285</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15</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-15</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Estella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13.673</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259</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285</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10</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226</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321</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42</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-11</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-14</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Ansoáin</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10.739</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220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249</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13</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243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11</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-8</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13</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Tafalla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10.605</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-7</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297</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226</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15</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14</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-16</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Aranguren</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10.512</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47</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211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186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233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253</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9</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Berriozar</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10.167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225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243</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8</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258</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282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9</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-14</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-34</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Villava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10.150</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252</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274</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9</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214</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27</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19</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Noáin (Valle Elorz)</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8.224</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191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207</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8</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217</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246</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14</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-16</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 xml:space="preserve">Huarte </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7.014</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20</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177</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206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16</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219</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248</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13</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-17</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45</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Berrioplano</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7.011</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61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128</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170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157</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251</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60</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-32</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32</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Andosilla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2.715</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-9</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263</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333</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323</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350</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Esteribar</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2.600</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281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286</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309</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359</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14</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-20</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8</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Ayegui</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2.331</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40</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245</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244</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330</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344</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14</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-29</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37</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Falces</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2.306</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-13</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241</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290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-0,3</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301</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212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20</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37</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6</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Lekunberri</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1.535</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310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370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20</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261</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508</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-7</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10</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Olazti/Olazagutía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1.497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-14</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290</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19</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380</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272</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83</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7</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-17</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 xml:space="preserve">Iza </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1.199</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312</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354</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21</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222</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339</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68</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Villatuerta</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1.186</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11</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304</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303</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14</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385</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371</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8</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-18</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-9</w:t>
            </w:r>
          </w:p>
        </w:tc>
      </w:tr>
      <w:tr w:rsidR="00503C8E" w:rsidRPr="00942930" w:rsidTr="00095E10">
        <w:trPr>
          <w:trHeight w:val="255"/>
        </w:trPr>
        <w:tc>
          <w:tcPr>
            <w:tcW w:w="1848" w:type="dxa"/>
            <w:tcBorders>
              <w:top w:val="single" w:sz="2" w:space="0" w:color="auto"/>
              <w:bottom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Mañeru</w:t>
            </w:r>
          </w:p>
        </w:tc>
        <w:tc>
          <w:tcPr>
            <w:tcW w:w="943"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437</w:t>
            </w:r>
          </w:p>
        </w:tc>
        <w:tc>
          <w:tcPr>
            <w:tcW w:w="1309" w:type="dxa"/>
            <w:tcBorders>
              <w:top w:val="single" w:sz="2" w:space="0" w:color="auto"/>
              <w:left w:val="single" w:sz="4"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12</w:t>
            </w:r>
          </w:p>
        </w:tc>
        <w:tc>
          <w:tcPr>
            <w:tcW w:w="722"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260</w:t>
            </w:r>
          </w:p>
        </w:tc>
        <w:tc>
          <w:tcPr>
            <w:tcW w:w="882"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268</w:t>
            </w:r>
          </w:p>
        </w:tc>
        <w:tc>
          <w:tcPr>
            <w:tcW w:w="1127" w:type="dxa"/>
            <w:tcBorders>
              <w:top w:val="single" w:sz="2" w:space="0" w:color="auto"/>
              <w:left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-0,1</w:t>
            </w:r>
          </w:p>
        </w:tc>
        <w:tc>
          <w:tcPr>
            <w:tcW w:w="854" w:type="dxa"/>
            <w:tcBorders>
              <w:top w:val="single" w:sz="2" w:space="0" w:color="auto"/>
              <w:left w:val="single" w:sz="4" w:space="0" w:color="auto"/>
              <w:bottom w:val="single" w:sz="2"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310</w:t>
            </w:r>
          </w:p>
        </w:tc>
        <w:tc>
          <w:tcPr>
            <w:tcW w:w="854" w:type="dxa"/>
            <w:tcBorders>
              <w:top w:val="single" w:sz="2" w:space="0" w:color="auto"/>
              <w:bottom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248</w:t>
            </w:r>
          </w:p>
        </w:tc>
        <w:tc>
          <w:tcPr>
            <w:tcW w:w="1403" w:type="dxa"/>
            <w:tcBorders>
              <w:top w:val="single" w:sz="2" w:space="0" w:color="auto"/>
              <w:left w:val="single" w:sz="2" w:space="0" w:color="auto"/>
              <w:bottom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45</w:t>
            </w:r>
          </w:p>
        </w:tc>
        <w:tc>
          <w:tcPr>
            <w:tcW w:w="1272" w:type="dxa"/>
            <w:tcBorders>
              <w:top w:val="single" w:sz="2" w:space="0" w:color="auto"/>
              <w:bottom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8</w:t>
            </w:r>
          </w:p>
        </w:tc>
        <w:tc>
          <w:tcPr>
            <w:tcW w:w="1984" w:type="dxa"/>
            <w:tcBorders>
              <w:top w:val="single" w:sz="2" w:space="0" w:color="auto"/>
              <w:left w:val="single" w:sz="4" w:space="0" w:color="auto"/>
              <w:bottom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38</w:t>
            </w:r>
          </w:p>
        </w:tc>
      </w:tr>
      <w:tr w:rsidR="00503C8E" w:rsidRPr="00942930" w:rsidTr="00095E10">
        <w:trPr>
          <w:trHeight w:val="255"/>
        </w:trPr>
        <w:tc>
          <w:tcPr>
            <w:tcW w:w="1848" w:type="dxa"/>
            <w:tcBorders>
              <w:top w:val="single" w:sz="2"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942930">
              <w:rPr>
                <w:rFonts w:ascii="Arial Narrow" w:hAnsi="Arial Narrow"/>
                <w:sz w:val="20"/>
                <w:szCs w:val="20"/>
              </w:rPr>
              <w:t>Valle de Ollo/Ollaran</w:t>
            </w:r>
          </w:p>
        </w:tc>
        <w:tc>
          <w:tcPr>
            <w:tcW w:w="943" w:type="dxa"/>
            <w:tcBorders>
              <w:top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415</w:t>
            </w:r>
          </w:p>
        </w:tc>
        <w:tc>
          <w:tcPr>
            <w:tcW w:w="1309" w:type="dxa"/>
            <w:tcBorders>
              <w:top w:val="single" w:sz="2" w:space="0" w:color="auto"/>
              <w:left w:val="single" w:sz="4"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51</w:t>
            </w:r>
          </w:p>
        </w:tc>
        <w:tc>
          <w:tcPr>
            <w:tcW w:w="722" w:type="dxa"/>
            <w:tcBorders>
              <w:top w:val="single" w:sz="2" w:space="0" w:color="auto"/>
              <w:left w:val="single" w:sz="4"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448</w:t>
            </w:r>
          </w:p>
        </w:tc>
        <w:tc>
          <w:tcPr>
            <w:tcW w:w="882" w:type="dxa"/>
            <w:tcBorders>
              <w:top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393</w:t>
            </w:r>
          </w:p>
        </w:tc>
        <w:tc>
          <w:tcPr>
            <w:tcW w:w="1127" w:type="dxa"/>
            <w:tcBorders>
              <w:top w:val="single" w:sz="2" w:space="0" w:color="auto"/>
              <w:left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3</w:t>
            </w:r>
          </w:p>
        </w:tc>
        <w:tc>
          <w:tcPr>
            <w:tcW w:w="854" w:type="dxa"/>
            <w:tcBorders>
              <w:top w:val="single" w:sz="2" w:space="0" w:color="auto"/>
              <w:left w:val="single" w:sz="4" w:space="0" w:color="auto"/>
            </w:tcBorders>
            <w:shd w:val="clear" w:color="auto" w:fill="auto"/>
            <w:noWrap/>
            <w:vAlign w:val="center"/>
            <w:hideMark/>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280</w:t>
            </w:r>
          </w:p>
        </w:tc>
        <w:tc>
          <w:tcPr>
            <w:tcW w:w="854" w:type="dxa"/>
            <w:tcBorders>
              <w:top w:val="single" w:sz="2" w:space="0" w:color="auto"/>
              <w:right w:val="single" w:sz="2"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499</w:t>
            </w:r>
          </w:p>
        </w:tc>
        <w:tc>
          <w:tcPr>
            <w:tcW w:w="1403" w:type="dxa"/>
            <w:tcBorders>
              <w:top w:val="single" w:sz="2" w:space="0" w:color="auto"/>
              <w:left w:val="single" w:sz="2" w:space="0" w:color="auto"/>
              <w:right w:val="single" w:sz="4" w:space="0" w:color="auto"/>
            </w:tcBorders>
            <w:vAlign w:val="center"/>
          </w:tcPr>
          <w:p w:rsidR="00503C8E" w:rsidRPr="00503C8E"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503C8E">
              <w:rPr>
                <w:rFonts w:ascii="Arial Narrow" w:hAnsi="Arial Narrow"/>
                <w:sz w:val="20"/>
                <w:szCs w:val="20"/>
              </w:rPr>
              <w:t>48</w:t>
            </w:r>
          </w:p>
        </w:tc>
        <w:tc>
          <w:tcPr>
            <w:tcW w:w="1272" w:type="dxa"/>
            <w:tcBorders>
              <w:top w:val="single" w:sz="2" w:space="0" w:color="auto"/>
              <w:right w:val="single" w:sz="4" w:space="0" w:color="auto"/>
            </w:tcBorders>
            <w:vAlign w:val="center"/>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-21</w:t>
            </w:r>
          </w:p>
        </w:tc>
        <w:tc>
          <w:tcPr>
            <w:tcW w:w="1984" w:type="dxa"/>
            <w:tcBorders>
              <w:top w:val="single" w:sz="2" w:space="0" w:color="auto"/>
              <w:left w:val="single" w:sz="4" w:space="0" w:color="auto"/>
            </w:tcBorders>
            <w:shd w:val="clear" w:color="auto" w:fill="auto"/>
            <w:noWrap/>
            <w:vAlign w:val="center"/>
            <w:hideMark/>
          </w:tcPr>
          <w:p w:rsidR="00503C8E" w:rsidRPr="00942930" w:rsidRDefault="00503C8E" w:rsidP="00DB2323">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942930">
              <w:rPr>
                <w:rFonts w:ascii="Arial Narrow" w:hAnsi="Arial Narrow"/>
                <w:sz w:val="20"/>
                <w:szCs w:val="20"/>
              </w:rPr>
              <w:t>50</w:t>
            </w:r>
          </w:p>
        </w:tc>
      </w:tr>
    </w:tbl>
    <w:p w:rsidR="00BE1465" w:rsidRDefault="00BE1465" w:rsidP="00BE1465">
      <w:pPr>
        <w:keepNext/>
        <w:spacing w:before="240" w:after="120"/>
        <w:ind w:firstLine="284"/>
        <w:rPr>
          <w:spacing w:val="6"/>
          <w:sz w:val="26"/>
          <w:szCs w:val="24"/>
        </w:rPr>
        <w:sectPr w:rsidR="00BE1465" w:rsidSect="00C27D23">
          <w:footerReference w:type="default" r:id="rId15"/>
          <w:pgSz w:w="16840" w:h="11907" w:orient="landscape" w:code="9"/>
          <w:pgMar w:top="1559" w:right="2109" w:bottom="1559" w:left="1644" w:header="369" w:footer="136" w:gutter="0"/>
          <w:cols w:space="720"/>
          <w:docGrid w:linePitch="360"/>
        </w:sectPr>
      </w:pPr>
    </w:p>
    <w:p w:rsidR="00BE1465" w:rsidRDefault="00BE1465" w:rsidP="00BE1465">
      <w:pPr>
        <w:keepNext/>
        <w:spacing w:before="240" w:after="120"/>
        <w:ind w:firstLine="284"/>
        <w:rPr>
          <w:spacing w:val="6"/>
          <w:sz w:val="26"/>
          <w:szCs w:val="24"/>
        </w:rPr>
      </w:pPr>
      <w:r>
        <w:rPr>
          <w:spacing w:val="6"/>
          <w:sz w:val="26"/>
          <w:szCs w:val="24"/>
        </w:rPr>
        <w:lastRenderedPageBreak/>
        <w:t>Del análisis del cuadro anterior extraemos las siguientes conclusiones:</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Existen diferencias significativas, positi</w:t>
      </w:r>
      <w:r w:rsidR="00D46114" w:rsidRPr="00BC5209">
        <w:rPr>
          <w:rFonts w:cs="Arial"/>
        </w:rPr>
        <w:t xml:space="preserve">vas </w:t>
      </w:r>
      <w:r w:rsidR="006E275E">
        <w:rPr>
          <w:rFonts w:cs="Arial"/>
        </w:rPr>
        <w:t>y</w:t>
      </w:r>
      <w:r w:rsidR="00D46114" w:rsidRPr="00BC5209">
        <w:rPr>
          <w:rFonts w:cs="Arial"/>
        </w:rPr>
        <w:t xml:space="preserve"> negativas, entre el </w:t>
      </w:r>
      <w:r w:rsidR="00783B37" w:rsidRPr="00BC5209">
        <w:rPr>
          <w:rFonts w:cs="Arial"/>
        </w:rPr>
        <w:t>FTC</w:t>
      </w:r>
      <w:r w:rsidR="00D46114" w:rsidRPr="00BC5209">
        <w:rPr>
          <w:rFonts w:cs="Arial"/>
        </w:rPr>
        <w:t xml:space="preserve"> </w:t>
      </w:r>
      <w:r w:rsidRPr="00BC5209">
        <w:rPr>
          <w:rFonts w:cs="Arial"/>
        </w:rPr>
        <w:t>rec</w:t>
      </w:r>
      <w:r w:rsidRPr="00BC5209">
        <w:rPr>
          <w:rFonts w:cs="Arial"/>
        </w:rPr>
        <w:t>i</w:t>
      </w:r>
      <w:r w:rsidRPr="00BC5209">
        <w:rPr>
          <w:rFonts w:cs="Arial"/>
        </w:rPr>
        <w:t xml:space="preserve">bido por cada entidad local y el que le hubiera correspondido </w:t>
      </w:r>
      <w:r w:rsidR="006E275E">
        <w:rPr>
          <w:rFonts w:cs="Arial"/>
        </w:rPr>
        <w:t>si la norma no contemplara un sistema de garantía</w:t>
      </w:r>
      <w:r w:rsidRPr="00BC5209">
        <w:rPr>
          <w:rFonts w:cs="Arial"/>
        </w:rPr>
        <w:t xml:space="preserve">. </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 xml:space="preserve">Las variaciones negativas más significativas entre el </w:t>
      </w:r>
      <w:r w:rsidR="00783B37" w:rsidRPr="00BC5209">
        <w:rPr>
          <w:rFonts w:cs="Arial"/>
        </w:rPr>
        <w:t>FTC</w:t>
      </w:r>
      <w:r w:rsidRPr="00BC5209">
        <w:rPr>
          <w:rFonts w:cs="Arial"/>
        </w:rPr>
        <w:t xml:space="preserve"> y el que corre</w:t>
      </w:r>
      <w:r w:rsidRPr="00BC5209">
        <w:rPr>
          <w:rFonts w:cs="Arial"/>
        </w:rPr>
        <w:t>s</w:t>
      </w:r>
      <w:r w:rsidRPr="00BC5209">
        <w:rPr>
          <w:rFonts w:cs="Arial"/>
        </w:rPr>
        <w:t xml:space="preserve">pondería según la fórmula, </w:t>
      </w:r>
      <w:r w:rsidR="00D46114" w:rsidRPr="00BC5209">
        <w:rPr>
          <w:rFonts w:cs="Arial"/>
        </w:rPr>
        <w:t>se producen en</w:t>
      </w:r>
      <w:r w:rsidRPr="00BC5209">
        <w:rPr>
          <w:rFonts w:cs="Arial"/>
        </w:rPr>
        <w:t xml:space="preserve"> aquellos municipios en los cuales los incrementos de población han sido más relevantes, como es el caso del V</w:t>
      </w:r>
      <w:r w:rsidRPr="00BC5209">
        <w:rPr>
          <w:rFonts w:cs="Arial"/>
        </w:rPr>
        <w:t>a</w:t>
      </w:r>
      <w:r w:rsidRPr="00BC5209">
        <w:rPr>
          <w:rFonts w:cs="Arial"/>
        </w:rPr>
        <w:t xml:space="preserve">lle de Egüés, Aranguren, Berrioplano o el Valle de Ollo. </w:t>
      </w:r>
    </w:p>
    <w:p w:rsidR="00BE1465" w:rsidRDefault="00BE1465" w:rsidP="00BE1465">
      <w:pPr>
        <w:pStyle w:val="texto"/>
        <w:tabs>
          <w:tab w:val="clear" w:pos="2835"/>
          <w:tab w:val="clear" w:pos="3969"/>
          <w:tab w:val="clear" w:pos="5103"/>
          <w:tab w:val="clear" w:pos="6237"/>
          <w:tab w:val="clear" w:pos="7371"/>
        </w:tabs>
        <w:spacing w:before="120"/>
        <w:rPr>
          <w:szCs w:val="26"/>
        </w:rPr>
      </w:pPr>
      <w:r>
        <w:rPr>
          <w:szCs w:val="26"/>
        </w:rPr>
        <w:t>L</w:t>
      </w:r>
      <w:r w:rsidRPr="00FB391A">
        <w:rPr>
          <w:szCs w:val="26"/>
        </w:rPr>
        <w:t xml:space="preserve">a </w:t>
      </w:r>
      <w:r>
        <w:rPr>
          <w:szCs w:val="26"/>
        </w:rPr>
        <w:t xml:space="preserve">obligación de </w:t>
      </w:r>
      <w:r w:rsidRPr="00FB391A">
        <w:rPr>
          <w:szCs w:val="26"/>
        </w:rPr>
        <w:t>aportación</w:t>
      </w:r>
      <w:r>
        <w:rPr>
          <w:szCs w:val="26"/>
        </w:rPr>
        <w:t>,</w:t>
      </w:r>
      <w:r w:rsidRPr="00FB391A">
        <w:rPr>
          <w:szCs w:val="26"/>
        </w:rPr>
        <w:t xml:space="preserve"> para que los importes garantizados se cumplan</w:t>
      </w:r>
      <w:r>
        <w:rPr>
          <w:szCs w:val="26"/>
        </w:rPr>
        <w:t xml:space="preserve"> en todas las entidades, afecta</w:t>
      </w:r>
      <w:r w:rsidRPr="00FB391A">
        <w:rPr>
          <w:szCs w:val="26"/>
        </w:rPr>
        <w:t xml:space="preserve"> de manera significativa a</w:t>
      </w:r>
      <w:r>
        <w:rPr>
          <w:szCs w:val="26"/>
        </w:rPr>
        <w:t xml:space="preserve"> estos</w:t>
      </w:r>
      <w:r w:rsidRPr="00FB391A">
        <w:rPr>
          <w:szCs w:val="26"/>
        </w:rPr>
        <w:t xml:space="preserve"> municipios con mayor tasa de expansión</w:t>
      </w:r>
      <w:r>
        <w:rPr>
          <w:szCs w:val="26"/>
        </w:rPr>
        <w:t xml:space="preserve"> de población</w:t>
      </w:r>
      <w:r w:rsidRPr="00FB391A">
        <w:rPr>
          <w:szCs w:val="26"/>
        </w:rPr>
        <w:t xml:space="preserve">, </w:t>
      </w:r>
      <w:r>
        <w:rPr>
          <w:szCs w:val="26"/>
        </w:rPr>
        <w:t>a</w:t>
      </w:r>
      <w:r w:rsidRPr="00FB391A">
        <w:rPr>
          <w:szCs w:val="26"/>
        </w:rPr>
        <w:t xml:space="preserve"> los que no se </w:t>
      </w:r>
      <w:r>
        <w:rPr>
          <w:szCs w:val="26"/>
        </w:rPr>
        <w:t>les aplica</w:t>
      </w:r>
      <w:r w:rsidRPr="00FB391A">
        <w:rPr>
          <w:szCs w:val="26"/>
        </w:rPr>
        <w:t xml:space="preserve"> su índice de participación en el </w:t>
      </w:r>
      <w:r w:rsidR="00783B37">
        <w:rPr>
          <w:szCs w:val="26"/>
        </w:rPr>
        <w:t>FTC</w:t>
      </w:r>
      <w:r w:rsidR="006E275E">
        <w:rPr>
          <w:szCs w:val="26"/>
        </w:rPr>
        <w:t xml:space="preserve"> y reciben</w:t>
      </w:r>
      <w:r w:rsidRPr="00FB391A">
        <w:rPr>
          <w:szCs w:val="26"/>
        </w:rPr>
        <w:t xml:space="preserve"> una menor</w:t>
      </w:r>
      <w:r>
        <w:rPr>
          <w:szCs w:val="26"/>
        </w:rPr>
        <w:t xml:space="preserve"> cantidad a la que percibirían en caso de no existir este sistema de garantía; al respecto hay que tener en cuenta que, en general, los ingresos corrientes de estas entidades</w:t>
      </w:r>
      <w:r w:rsidR="00D46114">
        <w:rPr>
          <w:szCs w:val="26"/>
        </w:rPr>
        <w:t xml:space="preserve">, sin </w:t>
      </w:r>
      <w:r w:rsidR="00783B37">
        <w:rPr>
          <w:szCs w:val="26"/>
        </w:rPr>
        <w:t>considerar</w:t>
      </w:r>
      <w:r w:rsidR="00D46114">
        <w:rPr>
          <w:szCs w:val="26"/>
        </w:rPr>
        <w:t xml:space="preserve"> el </w:t>
      </w:r>
      <w:r w:rsidR="00783B37">
        <w:rPr>
          <w:szCs w:val="26"/>
        </w:rPr>
        <w:t>FTC</w:t>
      </w:r>
      <w:r w:rsidR="00D46114">
        <w:rPr>
          <w:szCs w:val="26"/>
        </w:rPr>
        <w:t>,</w:t>
      </w:r>
      <w:r>
        <w:rPr>
          <w:szCs w:val="26"/>
        </w:rPr>
        <w:t xml:space="preserve"> también han</w:t>
      </w:r>
      <w:r w:rsidR="006E275E">
        <w:rPr>
          <w:szCs w:val="26"/>
        </w:rPr>
        <w:t xml:space="preserve"> crecido de forma significativa, sin que todos los conceptos que forman parte de estos ingresos estén incluidos en la fórmula de reparto.</w:t>
      </w:r>
    </w:p>
    <w:p w:rsidR="001A0C83" w:rsidRDefault="001A0C83" w:rsidP="001A0C83">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Señalamos, además, que al no estar el municipio de Pamplona incluido en el reparto de la fórmula hasta 2018, esta entidad no contribuyó al cumplimiento del sistema de garantía previsto en la normativa; si bien, a partir de este año ya lo está haciendo.</w:t>
      </w:r>
    </w:p>
    <w:p w:rsidR="006E275E" w:rsidRPr="00BC5209" w:rsidRDefault="006E275E" w:rsidP="006E275E">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Un ejemplo de los ingresos corrientes que no están incluidos en la fórmula de reparto son los</w:t>
      </w:r>
      <w:r w:rsidRPr="00BC5209">
        <w:rPr>
          <w:rFonts w:cs="Arial"/>
        </w:rPr>
        <w:t xml:space="preserve"> provenientes del impuesto sobre la construcción, instalaci</w:t>
      </w:r>
      <w:r w:rsidRPr="00BC5209">
        <w:rPr>
          <w:rFonts w:cs="Arial"/>
        </w:rPr>
        <w:t>o</w:t>
      </w:r>
      <w:r w:rsidRPr="00BC5209">
        <w:rPr>
          <w:rFonts w:cs="Arial"/>
        </w:rPr>
        <w:t>nes y obras, y el que grava el incremento sobre el valor de los terrenos</w:t>
      </w:r>
      <w:r>
        <w:rPr>
          <w:rFonts w:cs="Arial"/>
        </w:rPr>
        <w:t xml:space="preserve">; en el periodo </w:t>
      </w:r>
      <w:r w:rsidRPr="00BC5209">
        <w:rPr>
          <w:rFonts w:cs="Arial"/>
        </w:rPr>
        <w:t>2009-2017</w:t>
      </w:r>
      <w:r>
        <w:rPr>
          <w:rFonts w:cs="Arial"/>
        </w:rPr>
        <w:t xml:space="preserve"> los DRN de las entidades locales correspondientes a estos impuestos</w:t>
      </w:r>
      <w:r w:rsidRPr="00BC5209">
        <w:rPr>
          <w:rFonts w:cs="Arial"/>
        </w:rPr>
        <w:t xml:space="preserve"> fueron los siguientes:</w:t>
      </w:r>
    </w:p>
    <w:tbl>
      <w:tblPr>
        <w:tblW w:w="8804"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200"/>
        <w:gridCol w:w="5052"/>
        <w:gridCol w:w="2552"/>
      </w:tblGrid>
      <w:tr w:rsidR="006E275E" w:rsidRPr="00B53FDA" w:rsidTr="00095E10">
        <w:trPr>
          <w:trHeight w:val="255"/>
        </w:trPr>
        <w:tc>
          <w:tcPr>
            <w:tcW w:w="1200" w:type="dxa"/>
            <w:tcBorders>
              <w:bottom w:val="single" w:sz="4" w:space="0" w:color="auto"/>
            </w:tcBorders>
            <w:shd w:val="clear" w:color="auto" w:fill="FABF8F" w:themeFill="accent6" w:themeFillTint="99"/>
            <w:noWrap/>
            <w:vAlign w:val="center"/>
            <w:hideMark/>
          </w:tcPr>
          <w:p w:rsidR="006E275E" w:rsidRPr="00B53FDA" w:rsidRDefault="006E275E" w:rsidP="00095E10">
            <w:pPr>
              <w:spacing w:after="0"/>
              <w:ind w:firstLine="0"/>
              <w:jc w:val="left"/>
              <w:rPr>
                <w:rFonts w:ascii="Arial" w:hAnsi="Arial" w:cs="Arial"/>
                <w:sz w:val="18"/>
                <w:szCs w:val="18"/>
                <w:lang w:val="es-ES" w:eastAsia="es-ES"/>
              </w:rPr>
            </w:pPr>
            <w:r w:rsidRPr="00B53FDA">
              <w:rPr>
                <w:rFonts w:ascii="Arial" w:hAnsi="Arial" w:cs="Arial"/>
                <w:sz w:val="18"/>
                <w:szCs w:val="18"/>
                <w:lang w:val="es-ES" w:eastAsia="es-ES"/>
              </w:rPr>
              <w:t>Año</w:t>
            </w:r>
          </w:p>
        </w:tc>
        <w:tc>
          <w:tcPr>
            <w:tcW w:w="5052" w:type="dxa"/>
            <w:tcBorders>
              <w:bottom w:val="single" w:sz="4" w:space="0" w:color="auto"/>
            </w:tcBorders>
            <w:shd w:val="clear" w:color="auto" w:fill="FABF8F" w:themeFill="accent6" w:themeFillTint="99"/>
            <w:noWrap/>
            <w:vAlign w:val="center"/>
            <w:hideMark/>
          </w:tcPr>
          <w:p w:rsidR="006E275E" w:rsidRPr="00B53FDA" w:rsidRDefault="006E275E" w:rsidP="00095E10">
            <w:pPr>
              <w:spacing w:after="0"/>
              <w:ind w:firstLine="0"/>
              <w:jc w:val="right"/>
              <w:rPr>
                <w:rFonts w:ascii="Arial" w:hAnsi="Arial" w:cs="Arial"/>
                <w:sz w:val="18"/>
                <w:szCs w:val="18"/>
                <w:lang w:val="es-ES" w:eastAsia="es-ES"/>
              </w:rPr>
            </w:pPr>
            <w:r w:rsidRPr="00B53FDA">
              <w:rPr>
                <w:rFonts w:ascii="Arial" w:hAnsi="Arial" w:cs="Arial"/>
                <w:sz w:val="18"/>
                <w:szCs w:val="18"/>
                <w:lang w:val="es-ES" w:eastAsia="es-ES"/>
              </w:rPr>
              <w:t>ICIO</w:t>
            </w:r>
          </w:p>
        </w:tc>
        <w:tc>
          <w:tcPr>
            <w:tcW w:w="2552" w:type="dxa"/>
            <w:tcBorders>
              <w:bottom w:val="single" w:sz="4" w:space="0" w:color="auto"/>
            </w:tcBorders>
            <w:shd w:val="clear" w:color="auto" w:fill="FABF8F" w:themeFill="accent6" w:themeFillTint="99"/>
            <w:noWrap/>
            <w:vAlign w:val="center"/>
            <w:hideMark/>
          </w:tcPr>
          <w:p w:rsidR="006E275E" w:rsidRPr="00B53FDA" w:rsidRDefault="006E275E" w:rsidP="00095E10">
            <w:pPr>
              <w:spacing w:after="0"/>
              <w:ind w:firstLine="0"/>
              <w:jc w:val="right"/>
              <w:rPr>
                <w:rFonts w:ascii="Arial" w:hAnsi="Arial" w:cs="Arial"/>
                <w:sz w:val="18"/>
                <w:szCs w:val="18"/>
                <w:lang w:val="es-ES" w:eastAsia="es-ES"/>
              </w:rPr>
            </w:pPr>
            <w:r w:rsidRPr="00B53FDA">
              <w:rPr>
                <w:rFonts w:ascii="Arial" w:hAnsi="Arial" w:cs="Arial"/>
                <w:sz w:val="18"/>
                <w:szCs w:val="18"/>
                <w:lang w:val="es-ES" w:eastAsia="es-ES"/>
              </w:rPr>
              <w:t>Plusvalía</w:t>
            </w:r>
          </w:p>
        </w:tc>
      </w:tr>
      <w:tr w:rsidR="006E275E" w:rsidRPr="0073086A" w:rsidTr="00095E10">
        <w:trPr>
          <w:trHeight w:val="198"/>
        </w:trPr>
        <w:tc>
          <w:tcPr>
            <w:tcW w:w="1200" w:type="dxa"/>
            <w:tcBorders>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2009</w:t>
            </w:r>
          </w:p>
        </w:tc>
        <w:tc>
          <w:tcPr>
            <w:tcW w:w="5052" w:type="dxa"/>
            <w:tcBorders>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13.127.756</w:t>
            </w:r>
          </w:p>
        </w:tc>
        <w:tc>
          <w:tcPr>
            <w:tcW w:w="2552" w:type="dxa"/>
            <w:tcBorders>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32.479.075</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2010</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15.877.792</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28.564.445</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2011</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10.627.117</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33.546.054</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2012</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10.607.410</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22.726.211</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2013</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15.744.124</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15.326.180</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2014</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16.261.844</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14.215.223</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2015</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17.692.129</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16.081.129</w:t>
            </w:r>
          </w:p>
        </w:tc>
      </w:tr>
      <w:tr w:rsidR="006E275E" w:rsidRPr="0073086A" w:rsidTr="00095E10">
        <w:trPr>
          <w:trHeight w:val="198"/>
        </w:trPr>
        <w:tc>
          <w:tcPr>
            <w:tcW w:w="1200"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2016</w:t>
            </w:r>
          </w:p>
        </w:tc>
        <w:tc>
          <w:tcPr>
            <w:tcW w:w="50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20.833.355</w:t>
            </w:r>
          </w:p>
        </w:tc>
        <w:tc>
          <w:tcPr>
            <w:tcW w:w="2552" w:type="dxa"/>
            <w:tcBorders>
              <w:top w:val="single" w:sz="2" w:space="0" w:color="auto"/>
              <w:bottom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18.577.416</w:t>
            </w:r>
          </w:p>
        </w:tc>
      </w:tr>
      <w:tr w:rsidR="006E275E" w:rsidRPr="0073086A" w:rsidTr="00095E10">
        <w:trPr>
          <w:trHeight w:val="198"/>
        </w:trPr>
        <w:tc>
          <w:tcPr>
            <w:tcW w:w="1200" w:type="dxa"/>
            <w:tcBorders>
              <w:top w:val="single" w:sz="2" w:space="0" w:color="auto"/>
            </w:tcBorders>
            <w:shd w:val="clear" w:color="auto" w:fill="auto"/>
            <w:noWrap/>
            <w:vAlign w:val="center"/>
            <w:hideMark/>
          </w:tcPr>
          <w:p w:rsidR="006E275E" w:rsidRPr="0073086A" w:rsidRDefault="006E275E" w:rsidP="00095E10">
            <w:pPr>
              <w:spacing w:after="0"/>
              <w:ind w:firstLine="0"/>
              <w:jc w:val="left"/>
              <w:rPr>
                <w:rFonts w:ascii="Arial Narrow" w:hAnsi="Arial Narrow" w:cs="Arial"/>
                <w:lang w:val="es-ES" w:eastAsia="es-ES"/>
              </w:rPr>
            </w:pPr>
            <w:r w:rsidRPr="0073086A">
              <w:rPr>
                <w:rFonts w:ascii="Arial Narrow" w:hAnsi="Arial Narrow" w:cs="Arial"/>
                <w:lang w:val="es-ES" w:eastAsia="es-ES"/>
              </w:rPr>
              <w:t>2017</w:t>
            </w:r>
          </w:p>
        </w:tc>
        <w:tc>
          <w:tcPr>
            <w:tcW w:w="5052" w:type="dxa"/>
            <w:tcBorders>
              <w:top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10.342.608</w:t>
            </w:r>
          </w:p>
        </w:tc>
        <w:tc>
          <w:tcPr>
            <w:tcW w:w="2552" w:type="dxa"/>
            <w:tcBorders>
              <w:top w:val="single" w:sz="2" w:space="0" w:color="auto"/>
            </w:tcBorders>
            <w:shd w:val="clear" w:color="auto" w:fill="auto"/>
            <w:noWrap/>
            <w:vAlign w:val="center"/>
            <w:hideMark/>
          </w:tcPr>
          <w:p w:rsidR="006E275E" w:rsidRPr="0073086A" w:rsidRDefault="006E275E" w:rsidP="00095E10">
            <w:pPr>
              <w:spacing w:after="0"/>
              <w:ind w:firstLine="0"/>
              <w:jc w:val="right"/>
              <w:rPr>
                <w:rFonts w:ascii="Arial Narrow" w:hAnsi="Arial Narrow" w:cs="Arial"/>
                <w:lang w:val="es-ES" w:eastAsia="es-ES"/>
              </w:rPr>
            </w:pPr>
            <w:r w:rsidRPr="0073086A">
              <w:rPr>
                <w:rFonts w:ascii="Arial Narrow" w:hAnsi="Arial Narrow" w:cs="Arial"/>
                <w:lang w:val="es-ES" w:eastAsia="es-ES"/>
              </w:rPr>
              <w:t>19.923.953</w:t>
            </w:r>
          </w:p>
        </w:tc>
      </w:tr>
    </w:tbl>
    <w:p w:rsidR="006E275E" w:rsidRPr="00FB391A" w:rsidRDefault="006E275E" w:rsidP="006E275E">
      <w:pPr>
        <w:pStyle w:val="texto"/>
        <w:tabs>
          <w:tab w:val="clear" w:pos="2835"/>
          <w:tab w:val="clear" w:pos="3969"/>
          <w:tab w:val="clear" w:pos="5103"/>
          <w:tab w:val="clear" w:pos="6237"/>
          <w:tab w:val="clear" w:pos="7371"/>
        </w:tabs>
        <w:spacing w:before="240" w:after="120"/>
        <w:rPr>
          <w:szCs w:val="26"/>
        </w:rPr>
      </w:pPr>
      <w:r>
        <w:rPr>
          <w:szCs w:val="26"/>
        </w:rPr>
        <w:t>Si bien estas cantidades suponen de media el 11 por ciento del total de ingr</w:t>
      </w:r>
      <w:r>
        <w:rPr>
          <w:szCs w:val="26"/>
        </w:rPr>
        <w:t>e</w:t>
      </w:r>
      <w:r>
        <w:rPr>
          <w:szCs w:val="26"/>
        </w:rPr>
        <w:t>sos tributarios de las entidades locales en el periodo analizado, no se consid</w:t>
      </w:r>
      <w:r>
        <w:rPr>
          <w:szCs w:val="26"/>
        </w:rPr>
        <w:t>e</w:t>
      </w:r>
      <w:r>
        <w:rPr>
          <w:szCs w:val="26"/>
        </w:rPr>
        <w:t>ran como una variable en la fórmula de reparto del FTC. No es posible calcular el efecto que tendría su inclusión en la fórmula, ya que desconocemos el impo</w:t>
      </w:r>
      <w:r>
        <w:rPr>
          <w:szCs w:val="26"/>
        </w:rPr>
        <w:t>r</w:t>
      </w:r>
      <w:r>
        <w:rPr>
          <w:szCs w:val="26"/>
        </w:rPr>
        <w:t>te que debiera ponderar su consideración.</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lastRenderedPageBreak/>
        <w:t xml:space="preserve">Las variaciones positivas, entre el </w:t>
      </w:r>
      <w:r w:rsidR="00783B37" w:rsidRPr="00BC5209">
        <w:rPr>
          <w:rFonts w:cs="Arial"/>
        </w:rPr>
        <w:t>FTC</w:t>
      </w:r>
      <w:r w:rsidRPr="00BC5209">
        <w:rPr>
          <w:rFonts w:cs="Arial"/>
        </w:rPr>
        <w:t xml:space="preserve"> recibido y el que hubiera corre</w:t>
      </w:r>
      <w:r w:rsidRPr="00BC5209">
        <w:rPr>
          <w:rFonts w:cs="Arial"/>
        </w:rPr>
        <w:t>s</w:t>
      </w:r>
      <w:r w:rsidRPr="00BC5209">
        <w:rPr>
          <w:rFonts w:cs="Arial"/>
        </w:rPr>
        <w:t xml:space="preserve">pondido al municipio </w:t>
      </w:r>
      <w:r w:rsidR="006E275E">
        <w:rPr>
          <w:rFonts w:cs="Arial"/>
        </w:rPr>
        <w:t>sin aplicar el sistema de garantía</w:t>
      </w:r>
      <w:r w:rsidRPr="00BC5209">
        <w:rPr>
          <w:rFonts w:cs="Arial"/>
        </w:rPr>
        <w:t>, corresponden a aqu</w:t>
      </w:r>
      <w:r w:rsidRPr="00BC5209">
        <w:rPr>
          <w:rFonts w:cs="Arial"/>
        </w:rPr>
        <w:t>e</w:t>
      </w:r>
      <w:r w:rsidRPr="00BC5209">
        <w:rPr>
          <w:rFonts w:cs="Arial"/>
        </w:rPr>
        <w:t>llos municipios cuya población ha descendido en el periodo analizado; en estas entidades, en ocasiones los ingresos corrientes han variado de forma positiva en el periodo analizado, como es el caso de Barañáin, Villava o Falces, y en otras</w:t>
      </w:r>
      <w:r w:rsidR="00783B37" w:rsidRPr="00BC5209">
        <w:rPr>
          <w:rFonts w:cs="Arial"/>
        </w:rPr>
        <w:t>,</w:t>
      </w:r>
      <w:r w:rsidRPr="00BC5209">
        <w:rPr>
          <w:rFonts w:cs="Arial"/>
        </w:rPr>
        <w:t xml:space="preserve"> de forma negativa, como ocurre en Tafalla u O</w:t>
      </w:r>
      <w:r w:rsidR="00404D4B">
        <w:rPr>
          <w:rFonts w:cs="Arial"/>
        </w:rPr>
        <w:t>lazti/O</w:t>
      </w:r>
      <w:r w:rsidRPr="00BC5209">
        <w:rPr>
          <w:rFonts w:cs="Arial"/>
        </w:rPr>
        <w:t xml:space="preserve">lazagutía. </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BC5209">
        <w:rPr>
          <w:rFonts w:cs="Arial"/>
        </w:rPr>
        <w:t xml:space="preserve">El sistema de garantía previsto y la dotación del </w:t>
      </w:r>
      <w:r w:rsidR="00783B37" w:rsidRPr="00BC5209">
        <w:rPr>
          <w:rFonts w:cs="Arial"/>
        </w:rPr>
        <w:t>FTC</w:t>
      </w:r>
      <w:r w:rsidRPr="00BC5209">
        <w:rPr>
          <w:rFonts w:cs="Arial"/>
        </w:rPr>
        <w:t>, que no ha aument</w:t>
      </w:r>
      <w:r w:rsidRPr="00BC5209">
        <w:rPr>
          <w:rFonts w:cs="Arial"/>
        </w:rPr>
        <w:t>a</w:t>
      </w:r>
      <w:r w:rsidRPr="00BC5209">
        <w:rPr>
          <w:rFonts w:cs="Arial"/>
        </w:rPr>
        <w:t xml:space="preserve">do </w:t>
      </w:r>
      <w:r w:rsidR="006E275E">
        <w:rPr>
          <w:rFonts w:cs="Arial"/>
        </w:rPr>
        <w:t>significativamente</w:t>
      </w:r>
      <w:r w:rsidRPr="00BC5209">
        <w:rPr>
          <w:rFonts w:cs="Arial"/>
        </w:rPr>
        <w:t xml:space="preserve"> debido a las disponibilidades presupuestarias, motivan que la cuantía del </w:t>
      </w:r>
      <w:r w:rsidR="00783B37" w:rsidRPr="00BC5209">
        <w:rPr>
          <w:rFonts w:cs="Arial"/>
        </w:rPr>
        <w:t>FTC</w:t>
      </w:r>
      <w:r w:rsidRPr="00BC5209">
        <w:rPr>
          <w:rFonts w:cs="Arial"/>
        </w:rPr>
        <w:t xml:space="preserve"> que realmente se distribuye en función de la fórmula </w:t>
      </w:r>
      <w:r w:rsidR="006E275E">
        <w:rPr>
          <w:rFonts w:cs="Arial"/>
        </w:rPr>
        <w:t>sea</w:t>
      </w:r>
      <w:r w:rsidRPr="00BC5209">
        <w:rPr>
          <w:rFonts w:cs="Arial"/>
        </w:rPr>
        <w:t xml:space="preserve"> residual, alcanzando el uno por ciento como media en el periodo analizado</w:t>
      </w:r>
      <w:r w:rsidR="006E275E">
        <w:rPr>
          <w:rFonts w:cs="Arial"/>
        </w:rPr>
        <w:t>,</w:t>
      </w:r>
      <w:r w:rsidRPr="00BC5209">
        <w:rPr>
          <w:rFonts w:cs="Arial"/>
        </w:rPr>
        <w:t xml:space="preserve"> tal y como refleja el siguiente cuadro:</w:t>
      </w:r>
    </w:p>
    <w:tbl>
      <w:tblPr>
        <w:tblW w:w="8794" w:type="dxa"/>
        <w:tblInd w:w="6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200"/>
        <w:gridCol w:w="1780"/>
        <w:gridCol w:w="1987"/>
        <w:gridCol w:w="1842"/>
        <w:gridCol w:w="1985"/>
      </w:tblGrid>
      <w:tr w:rsidR="00BE1465" w:rsidRPr="00F10004" w:rsidTr="004D18A9">
        <w:trPr>
          <w:trHeight w:val="255"/>
        </w:trPr>
        <w:tc>
          <w:tcPr>
            <w:tcW w:w="1200" w:type="dxa"/>
            <w:tcBorders>
              <w:bottom w:val="single" w:sz="4" w:space="0" w:color="auto"/>
            </w:tcBorders>
            <w:shd w:val="clear" w:color="auto" w:fill="FABF8F" w:themeFill="accent6" w:themeFillTint="99"/>
            <w:noWrap/>
            <w:vAlign w:val="center"/>
            <w:hideMark/>
          </w:tcPr>
          <w:p w:rsidR="00BE1465" w:rsidRPr="00F10004" w:rsidRDefault="00BE1465" w:rsidP="00BE1465">
            <w:pPr>
              <w:spacing w:after="0"/>
              <w:ind w:firstLine="0"/>
              <w:jc w:val="left"/>
              <w:rPr>
                <w:rFonts w:ascii="Arial" w:hAnsi="Arial" w:cs="Arial"/>
                <w:bCs/>
                <w:color w:val="000000"/>
                <w:sz w:val="18"/>
                <w:szCs w:val="18"/>
                <w:lang w:val="es-ES" w:eastAsia="es-ES"/>
              </w:rPr>
            </w:pPr>
            <w:r w:rsidRPr="00F10004">
              <w:rPr>
                <w:rFonts w:ascii="Arial" w:hAnsi="Arial" w:cs="Arial"/>
                <w:bCs/>
                <w:color w:val="000000"/>
                <w:sz w:val="18"/>
                <w:szCs w:val="18"/>
                <w:lang w:val="es-ES" w:eastAsia="es-ES"/>
              </w:rPr>
              <w:t>Ejercicio</w:t>
            </w:r>
          </w:p>
        </w:tc>
        <w:tc>
          <w:tcPr>
            <w:tcW w:w="1780" w:type="dxa"/>
            <w:tcBorders>
              <w:bottom w:val="single" w:sz="4" w:space="0" w:color="auto"/>
            </w:tcBorders>
            <w:shd w:val="clear" w:color="auto" w:fill="FABF8F" w:themeFill="accent6" w:themeFillTint="99"/>
            <w:noWrap/>
            <w:vAlign w:val="center"/>
            <w:hideMark/>
          </w:tcPr>
          <w:p w:rsidR="00BE1465" w:rsidRPr="00F10004" w:rsidRDefault="00783B37"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FTC</w:t>
            </w:r>
          </w:p>
        </w:tc>
        <w:tc>
          <w:tcPr>
            <w:tcW w:w="1987" w:type="dxa"/>
            <w:tcBorders>
              <w:bottom w:val="single" w:sz="4" w:space="0" w:color="auto"/>
            </w:tcBorders>
            <w:shd w:val="clear" w:color="auto" w:fill="FABF8F" w:themeFill="accent6" w:themeFillTint="99"/>
            <w:noWrap/>
            <w:vAlign w:val="center"/>
            <w:hideMark/>
          </w:tcPr>
          <w:p w:rsidR="00BE1465" w:rsidRDefault="00783B37"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FTC</w:t>
            </w:r>
            <w:r w:rsidR="00BE1465">
              <w:rPr>
                <w:rFonts w:ascii="Arial" w:hAnsi="Arial" w:cs="Arial"/>
                <w:bCs/>
                <w:color w:val="000000"/>
                <w:sz w:val="18"/>
                <w:szCs w:val="18"/>
                <w:lang w:val="es-ES" w:eastAsia="es-ES"/>
              </w:rPr>
              <w:t xml:space="preserve"> repartido por </w:t>
            </w:r>
          </w:p>
          <w:p w:rsidR="00BE1465" w:rsidRPr="00F10004" w:rsidRDefault="00BE1465"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aplicación sistema g</w:t>
            </w:r>
            <w:r w:rsidRPr="00F10004">
              <w:rPr>
                <w:rFonts w:ascii="Arial" w:hAnsi="Arial" w:cs="Arial"/>
                <w:bCs/>
                <w:color w:val="000000"/>
                <w:sz w:val="18"/>
                <w:szCs w:val="18"/>
                <w:lang w:val="es-ES" w:eastAsia="es-ES"/>
              </w:rPr>
              <w:t>arantía</w:t>
            </w:r>
          </w:p>
        </w:tc>
        <w:tc>
          <w:tcPr>
            <w:tcW w:w="1842" w:type="dxa"/>
            <w:tcBorders>
              <w:bottom w:val="single" w:sz="4" w:space="0" w:color="auto"/>
            </w:tcBorders>
            <w:shd w:val="clear" w:color="auto" w:fill="FABF8F" w:themeFill="accent6" w:themeFillTint="99"/>
            <w:noWrap/>
            <w:vAlign w:val="center"/>
            <w:hideMark/>
          </w:tcPr>
          <w:p w:rsidR="00BE1465" w:rsidRPr="00F10004" w:rsidRDefault="00783B37" w:rsidP="00BE146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FTC</w:t>
            </w:r>
            <w:r w:rsidR="00BE1465">
              <w:rPr>
                <w:rFonts w:ascii="Arial" w:hAnsi="Arial" w:cs="Arial"/>
                <w:bCs/>
                <w:color w:val="000000"/>
                <w:sz w:val="18"/>
                <w:szCs w:val="18"/>
                <w:lang w:val="es-ES" w:eastAsia="es-ES"/>
              </w:rPr>
              <w:t xml:space="preserve"> repartido en función parámetros fórmula</w:t>
            </w:r>
          </w:p>
        </w:tc>
        <w:tc>
          <w:tcPr>
            <w:tcW w:w="1985" w:type="dxa"/>
            <w:tcBorders>
              <w:bottom w:val="single" w:sz="4" w:space="0" w:color="auto"/>
            </w:tcBorders>
            <w:shd w:val="clear" w:color="auto" w:fill="FABF8F" w:themeFill="accent6" w:themeFillTint="99"/>
            <w:noWrap/>
            <w:vAlign w:val="center"/>
            <w:hideMark/>
          </w:tcPr>
          <w:p w:rsidR="00BE1465" w:rsidRPr="00F10004" w:rsidRDefault="00BE1465" w:rsidP="00783B3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r w:rsidR="00783B37">
              <w:rPr>
                <w:rFonts w:ascii="Arial" w:hAnsi="Arial" w:cs="Arial"/>
                <w:color w:val="000000"/>
                <w:sz w:val="18"/>
                <w:szCs w:val="18"/>
                <w:lang w:val="es-ES" w:eastAsia="es-ES"/>
              </w:rPr>
              <w:t>FTC</w:t>
            </w:r>
            <w:r>
              <w:rPr>
                <w:rFonts w:ascii="Arial" w:hAnsi="Arial" w:cs="Arial"/>
                <w:color w:val="000000"/>
                <w:sz w:val="18"/>
                <w:szCs w:val="18"/>
                <w:lang w:val="es-ES" w:eastAsia="es-ES"/>
              </w:rPr>
              <w:t xml:space="preserve"> repartido en función de fórmula</w:t>
            </w:r>
          </w:p>
        </w:tc>
      </w:tr>
      <w:tr w:rsidR="00BE1465" w:rsidRPr="00BC5209" w:rsidTr="0073086A">
        <w:trPr>
          <w:trHeight w:val="198"/>
        </w:trPr>
        <w:tc>
          <w:tcPr>
            <w:tcW w:w="1200" w:type="dxa"/>
            <w:tcBorders>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2009</w:t>
            </w:r>
          </w:p>
        </w:tc>
        <w:tc>
          <w:tcPr>
            <w:tcW w:w="1780" w:type="dxa"/>
            <w:tcBorders>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161.251.719</w:t>
            </w:r>
          </w:p>
        </w:tc>
        <w:tc>
          <w:tcPr>
            <w:tcW w:w="1987" w:type="dxa"/>
            <w:tcBorders>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158.029.081</w:t>
            </w:r>
          </w:p>
        </w:tc>
        <w:tc>
          <w:tcPr>
            <w:tcW w:w="1842" w:type="dxa"/>
            <w:tcBorders>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3.222.637</w:t>
            </w:r>
          </w:p>
        </w:tc>
        <w:tc>
          <w:tcPr>
            <w:tcW w:w="1985" w:type="dxa"/>
            <w:tcBorders>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2</w:t>
            </w: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2010</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162.269.106</w:t>
            </w:r>
          </w:p>
        </w:tc>
        <w:tc>
          <w:tcPr>
            <w:tcW w:w="198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161.251.719</w:t>
            </w:r>
          </w:p>
        </w:tc>
        <w:tc>
          <w:tcPr>
            <w:tcW w:w="1842"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1.017.388</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w:t>
            </w: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2011</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163.452.012</w:t>
            </w:r>
          </w:p>
        </w:tc>
        <w:tc>
          <w:tcPr>
            <w:tcW w:w="198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160.231.264</w:t>
            </w:r>
          </w:p>
        </w:tc>
        <w:tc>
          <w:tcPr>
            <w:tcW w:w="1842"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3.220.748</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2</w:t>
            </w: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2012</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164.480.533</w:t>
            </w:r>
          </w:p>
        </w:tc>
        <w:tc>
          <w:tcPr>
            <w:tcW w:w="198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163.452.012</w:t>
            </w:r>
          </w:p>
        </w:tc>
        <w:tc>
          <w:tcPr>
            <w:tcW w:w="1842"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1.028.521</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w:t>
            </w: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2013</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168.058.331</w:t>
            </w:r>
          </w:p>
        </w:tc>
        <w:tc>
          <w:tcPr>
            <w:tcW w:w="198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164.480.533</w:t>
            </w:r>
          </w:p>
        </w:tc>
        <w:tc>
          <w:tcPr>
            <w:tcW w:w="1842"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3.577.798</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2</w:t>
            </w: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2014</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171.474.537</w:t>
            </w:r>
          </w:p>
        </w:tc>
        <w:tc>
          <w:tcPr>
            <w:tcW w:w="1987"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168.058.331</w:t>
            </w:r>
          </w:p>
        </w:tc>
        <w:tc>
          <w:tcPr>
            <w:tcW w:w="1842"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3.416.206</w:t>
            </w:r>
          </w:p>
        </w:tc>
        <w:tc>
          <w:tcPr>
            <w:tcW w:w="1985"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2</w:t>
            </w: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2015</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171.474.537</w:t>
            </w:r>
          </w:p>
        </w:tc>
        <w:tc>
          <w:tcPr>
            <w:tcW w:w="1987" w:type="dxa"/>
            <w:vMerge w:val="restart"/>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lang w:val="es-ES" w:eastAsia="es-ES"/>
              </w:rPr>
            </w:pPr>
            <w:r w:rsidRPr="00BC5209">
              <w:rPr>
                <w:rFonts w:ascii="Arial Narrow" w:hAnsi="Arial Narrow"/>
                <w:color w:val="000000"/>
                <w:lang w:val="es-ES" w:eastAsia="es-ES"/>
              </w:rPr>
              <w:t>No se aplicó la fórmula</w:t>
            </w:r>
          </w:p>
        </w:tc>
        <w:tc>
          <w:tcPr>
            <w:tcW w:w="1842" w:type="dxa"/>
            <w:vMerge w:val="restart"/>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lang w:val="es-ES" w:eastAsia="es-ES"/>
              </w:rPr>
            </w:pPr>
            <w:r w:rsidRPr="00BC5209">
              <w:rPr>
                <w:rFonts w:ascii="Arial Narrow" w:hAnsi="Arial Narrow"/>
                <w:color w:val="000000"/>
                <w:lang w:val="es-ES" w:eastAsia="es-ES"/>
              </w:rPr>
              <w:t>No se aplicó la fórmula</w:t>
            </w:r>
          </w:p>
        </w:tc>
        <w:tc>
          <w:tcPr>
            <w:tcW w:w="1985" w:type="dxa"/>
            <w:vMerge w:val="restart"/>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lang w:val="es-ES" w:eastAsia="es-ES"/>
              </w:rPr>
            </w:pPr>
            <w:r w:rsidRPr="00BC5209">
              <w:rPr>
                <w:rFonts w:ascii="Arial Narrow" w:hAnsi="Arial Narrow"/>
                <w:color w:val="000000"/>
                <w:lang w:val="es-ES" w:eastAsia="es-ES"/>
              </w:rPr>
              <w:t>-</w:t>
            </w: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2016</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174.732.553</w:t>
            </w:r>
          </w:p>
        </w:tc>
        <w:tc>
          <w:tcPr>
            <w:tcW w:w="1987"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lang w:val="es-ES" w:eastAsia="es-ES"/>
              </w:rPr>
            </w:pPr>
          </w:p>
        </w:tc>
        <w:tc>
          <w:tcPr>
            <w:tcW w:w="1842"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lang w:val="es-ES" w:eastAsia="es-ES"/>
              </w:rPr>
            </w:pPr>
          </w:p>
        </w:tc>
        <w:tc>
          <w:tcPr>
            <w:tcW w:w="1985"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jc w:val="right"/>
              <w:rPr>
                <w:rFonts w:ascii="Arial Narrow" w:hAnsi="Arial Narrow"/>
                <w:color w:val="000000"/>
                <w:lang w:val="es-ES" w:eastAsia="es-ES"/>
              </w:rPr>
            </w:pPr>
          </w:p>
        </w:tc>
      </w:tr>
      <w:tr w:rsidR="00BE1465" w:rsidRPr="00BC5209" w:rsidTr="0073086A">
        <w:trPr>
          <w:trHeight w:val="198"/>
        </w:trPr>
        <w:tc>
          <w:tcPr>
            <w:tcW w:w="1200" w:type="dxa"/>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2017</w:t>
            </w:r>
          </w:p>
        </w:tc>
        <w:tc>
          <w:tcPr>
            <w:tcW w:w="1780" w:type="dxa"/>
            <w:tcBorders>
              <w:top w:val="single" w:sz="2" w:space="0" w:color="auto"/>
              <w:bottom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177.004.077</w:t>
            </w:r>
          </w:p>
        </w:tc>
        <w:tc>
          <w:tcPr>
            <w:tcW w:w="1987"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p>
        </w:tc>
        <w:tc>
          <w:tcPr>
            <w:tcW w:w="1842"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p>
        </w:tc>
        <w:tc>
          <w:tcPr>
            <w:tcW w:w="1985" w:type="dxa"/>
            <w:vMerge/>
            <w:tcBorders>
              <w:top w:val="single" w:sz="2" w:space="0" w:color="auto"/>
              <w:bottom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p>
        </w:tc>
      </w:tr>
      <w:tr w:rsidR="00BE1465" w:rsidRPr="00BC5209" w:rsidTr="0073086A">
        <w:trPr>
          <w:trHeight w:val="198"/>
        </w:trPr>
        <w:tc>
          <w:tcPr>
            <w:tcW w:w="1200" w:type="dxa"/>
            <w:tcBorders>
              <w:top w:val="single" w:sz="2" w:space="0" w:color="auto"/>
            </w:tcBorders>
            <w:shd w:val="clear" w:color="auto" w:fill="auto"/>
            <w:noWrap/>
            <w:vAlign w:val="center"/>
            <w:hideMark/>
          </w:tcPr>
          <w:p w:rsidR="00BE1465" w:rsidRPr="00BC5209" w:rsidRDefault="00BE1465" w:rsidP="00BE1465">
            <w:pPr>
              <w:spacing w:after="0"/>
              <w:ind w:firstLine="0"/>
              <w:jc w:val="left"/>
              <w:rPr>
                <w:rFonts w:ascii="Arial Narrow" w:hAnsi="Arial Narrow"/>
                <w:color w:val="000000"/>
                <w:lang w:val="es-ES" w:eastAsia="es-ES"/>
              </w:rPr>
            </w:pPr>
            <w:r w:rsidRPr="00BC5209">
              <w:rPr>
                <w:rFonts w:ascii="Arial Narrow" w:hAnsi="Arial Narrow"/>
                <w:color w:val="000000"/>
                <w:lang w:val="es-ES" w:eastAsia="es-ES"/>
              </w:rPr>
              <w:t>2018</w:t>
            </w:r>
          </w:p>
        </w:tc>
        <w:tc>
          <w:tcPr>
            <w:tcW w:w="1780" w:type="dxa"/>
            <w:tcBorders>
              <w:top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182.792.759</w:t>
            </w:r>
          </w:p>
        </w:tc>
        <w:tc>
          <w:tcPr>
            <w:tcW w:w="1987" w:type="dxa"/>
            <w:tcBorders>
              <w:top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180.721.163</w:t>
            </w:r>
          </w:p>
        </w:tc>
        <w:tc>
          <w:tcPr>
            <w:tcW w:w="1842" w:type="dxa"/>
            <w:tcBorders>
              <w:top w:val="single" w:sz="2" w:space="0" w:color="auto"/>
            </w:tcBorders>
            <w:shd w:val="clear" w:color="auto" w:fill="auto"/>
            <w:noWrap/>
            <w:vAlign w:val="center"/>
            <w:hideMark/>
          </w:tcPr>
          <w:p w:rsidR="00BE1465" w:rsidRPr="00BC5209" w:rsidRDefault="00BE1465" w:rsidP="00880359">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2.071.596</w:t>
            </w:r>
          </w:p>
        </w:tc>
        <w:tc>
          <w:tcPr>
            <w:tcW w:w="1985" w:type="dxa"/>
            <w:tcBorders>
              <w:top w:val="single" w:sz="2" w:space="0" w:color="auto"/>
            </w:tcBorders>
            <w:shd w:val="clear" w:color="auto" w:fill="auto"/>
            <w:noWrap/>
            <w:vAlign w:val="center"/>
            <w:hideMark/>
          </w:tcPr>
          <w:p w:rsidR="00BE1465" w:rsidRPr="00BC5209" w:rsidRDefault="00BE1465" w:rsidP="00BE1465">
            <w:pPr>
              <w:spacing w:after="0"/>
              <w:ind w:firstLine="0"/>
              <w:jc w:val="right"/>
              <w:rPr>
                <w:rFonts w:ascii="Arial Narrow" w:hAnsi="Arial Narrow"/>
                <w:color w:val="000000"/>
                <w:lang w:val="es-ES" w:eastAsia="es-ES"/>
              </w:rPr>
            </w:pPr>
            <w:r w:rsidRPr="00BC5209">
              <w:rPr>
                <w:rFonts w:ascii="Arial Narrow" w:hAnsi="Arial Narrow"/>
                <w:color w:val="000000"/>
                <w:lang w:val="es-ES" w:eastAsia="es-ES"/>
              </w:rPr>
              <w:t>1</w:t>
            </w:r>
          </w:p>
        </w:tc>
      </w:tr>
    </w:tbl>
    <w:p w:rsidR="00BE1465" w:rsidRDefault="006E275E" w:rsidP="006E275E">
      <w:pPr>
        <w:pStyle w:val="texto"/>
        <w:tabs>
          <w:tab w:val="clear" w:pos="2835"/>
          <w:tab w:val="clear" w:pos="3969"/>
          <w:tab w:val="clear" w:pos="5103"/>
          <w:tab w:val="clear" w:pos="6237"/>
          <w:tab w:val="clear" w:pos="7371"/>
        </w:tabs>
        <w:spacing w:before="240" w:after="240"/>
        <w:rPr>
          <w:szCs w:val="26"/>
        </w:rPr>
      </w:pPr>
      <w:r>
        <w:rPr>
          <w:szCs w:val="26"/>
        </w:rPr>
        <w:t>Este sistema de garantía establecido en la normativa</w:t>
      </w:r>
      <w:r w:rsidR="00C0109F">
        <w:rPr>
          <w:szCs w:val="26"/>
        </w:rPr>
        <w:t xml:space="preserve"> provoca que existan i</w:t>
      </w:r>
      <w:r w:rsidR="00C0109F">
        <w:rPr>
          <w:szCs w:val="26"/>
        </w:rPr>
        <w:t>n</w:t>
      </w:r>
      <w:r w:rsidR="00C0109F">
        <w:rPr>
          <w:szCs w:val="26"/>
        </w:rPr>
        <w:t>coherencias como las mostradas en el cuadro</w:t>
      </w:r>
      <w:r>
        <w:rPr>
          <w:szCs w:val="26"/>
        </w:rPr>
        <w:t xml:space="preserve"> de la página anterior</w:t>
      </w:r>
      <w:r w:rsidR="00783B37">
        <w:rPr>
          <w:szCs w:val="26"/>
        </w:rPr>
        <w:t>, en las que se observan municipios con población similar que perciben importes provenie</w:t>
      </w:r>
      <w:r w:rsidR="00783B37">
        <w:rPr>
          <w:szCs w:val="26"/>
        </w:rPr>
        <w:t>n</w:t>
      </w:r>
      <w:r w:rsidR="00783B37">
        <w:rPr>
          <w:szCs w:val="26"/>
        </w:rPr>
        <w:t>tes del FTC diferentes entre sí y que no exista una correlación entre la vari</w:t>
      </w:r>
      <w:r w:rsidR="00783B37">
        <w:rPr>
          <w:szCs w:val="26"/>
        </w:rPr>
        <w:t>a</w:t>
      </w:r>
      <w:r w:rsidR="00783B37">
        <w:rPr>
          <w:szCs w:val="26"/>
        </w:rPr>
        <w:t xml:space="preserve">ción de la población y la del FTC. </w:t>
      </w:r>
    </w:p>
    <w:p w:rsidR="00BE1465" w:rsidRPr="00F377C9" w:rsidRDefault="00BE1465" w:rsidP="00BE1465">
      <w:pPr>
        <w:pStyle w:val="atitulo2"/>
        <w:spacing w:after="120"/>
      </w:pPr>
      <w:bookmarkStart w:id="35" w:name="_Toc2849159"/>
      <w:bookmarkStart w:id="36" w:name="_Toc4486942"/>
      <w:r w:rsidRPr="00F377C9">
        <w:t>I</w:t>
      </w:r>
      <w:r>
        <w:t>V</w:t>
      </w:r>
      <w:r w:rsidRPr="00F377C9">
        <w:t>.</w:t>
      </w:r>
      <w:r>
        <w:t>3</w:t>
      </w:r>
      <w:r w:rsidRPr="00F377C9">
        <w:t xml:space="preserve">. </w:t>
      </w:r>
      <w:r>
        <w:t>Análisis comparativo de la gestión del fondo entre Navarra y la Comunidad Autónoma del País Vasco</w:t>
      </w:r>
      <w:bookmarkEnd w:id="35"/>
      <w:bookmarkEnd w:id="36"/>
      <w:r w:rsidRPr="00F377C9">
        <w:t xml:space="preserve"> </w:t>
      </w:r>
      <w:bookmarkEnd w:id="24"/>
      <w:bookmarkEnd w:id="25"/>
      <w:bookmarkEnd w:id="26"/>
      <w:bookmarkEnd w:id="27"/>
    </w:p>
    <w:bookmarkEnd w:id="28"/>
    <w:bookmarkEnd w:id="29"/>
    <w:bookmarkEnd w:id="30"/>
    <w:bookmarkEnd w:id="31"/>
    <w:bookmarkEnd w:id="32"/>
    <w:p w:rsidR="00BE1465" w:rsidRDefault="00BE1465" w:rsidP="006E275E">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Fondo por habitante</w:t>
      </w:r>
    </w:p>
    <w:p w:rsidR="00BE1465" w:rsidRDefault="00BE1465" w:rsidP="00BE1465">
      <w:pPr>
        <w:pStyle w:val="texto"/>
      </w:pPr>
      <w:r>
        <w:t xml:space="preserve">Hemos comparado la cuantía del fondo (tanto de transferencias corrientes como de capital) por habitante en Navarra con la correspondiente a las tres provincias </w:t>
      </w:r>
      <w:r w:rsidR="000F71B8">
        <w:t xml:space="preserve">de </w:t>
      </w:r>
      <w:r>
        <w:t>la CAPV y con la de esta comunidad en su conjunto, por la sim</w:t>
      </w:r>
      <w:r>
        <w:t>i</w:t>
      </w:r>
      <w:r>
        <w:t>litud entre los modelos de financiación de ambas comunidades</w:t>
      </w:r>
      <w:r w:rsidR="006E275E">
        <w:t xml:space="preserve"> a través del Convenio y del Concierto Económico respectivamente</w:t>
      </w:r>
      <w:r>
        <w:t xml:space="preserve">. </w:t>
      </w:r>
    </w:p>
    <w:p w:rsidR="00BE1465" w:rsidRDefault="00BE1465" w:rsidP="00BE1465">
      <w:pPr>
        <w:pStyle w:val="texto"/>
      </w:pPr>
      <w:r>
        <w:t>En el caso de Navarra</w:t>
      </w:r>
      <w:r w:rsidR="000F71B8">
        <w:t>,</w:t>
      </w:r>
      <w:r>
        <w:t xml:space="preserve"> hemos obtenido los importes de las partidas pres</w:t>
      </w:r>
      <w:r>
        <w:t>u</w:t>
      </w:r>
      <w:r>
        <w:t>puestarias relacionadas con el fondo de transferencias corrientes y de capital, a los cuales se les ha detraído la aportación que realiza Navarra al Estado en vi</w:t>
      </w:r>
      <w:r>
        <w:t>r</w:t>
      </w:r>
      <w:r>
        <w:t>tud del Convenio Económico. Además, se ha añadido a la cantidad obtenida las subvenciones recurrentes de las haciendas locales por concentraciones escol</w:t>
      </w:r>
      <w:r>
        <w:t>a</w:t>
      </w:r>
      <w:r>
        <w:lastRenderedPageBreak/>
        <w:t>res y retribuciones a cargos electos con el fin de que la comparación con la CAPV fuera homogénea.</w:t>
      </w:r>
    </w:p>
    <w:p w:rsidR="00BE1465" w:rsidRDefault="00BE1465" w:rsidP="00BE1465">
      <w:pPr>
        <w:pStyle w:val="texto"/>
      </w:pPr>
      <w:r>
        <w:t>La CAPV determina la cuantía del fondo mediante el siguiente procedimie</w:t>
      </w:r>
      <w:r>
        <w:t>n</w:t>
      </w:r>
      <w:r>
        <w:t>to: al total de DRN de los impuestos concertados se les resta la cantidad apo</w:t>
      </w:r>
      <w:r>
        <w:t>r</w:t>
      </w:r>
      <w:r>
        <w:t xml:space="preserve">tada al Estado en virtud del Concierto Económico; aproximadamente, el 70 por ciento del resultado se destina a la financiación del Gobierno Vasco, y </w:t>
      </w:r>
      <w:r w:rsidR="007C215D">
        <w:t xml:space="preserve">el 30 por ciento restante a las </w:t>
      </w:r>
      <w:r>
        <w:t xml:space="preserve">diputaciones forales; este </w:t>
      </w:r>
      <w:r w:rsidR="007C215D">
        <w:t>último importe</w:t>
      </w:r>
      <w:r>
        <w:t xml:space="preserve"> se distribuye a cada provincia según unos porcentajes establecidos anualmente. Posteriorme</w:t>
      </w:r>
      <w:r>
        <w:t>n</w:t>
      </w:r>
      <w:r>
        <w:t xml:space="preserve">te, cada diputación destina un porcentaje de esta asignación a la financiación de las haciendas locales, en concreto, </w:t>
      </w:r>
      <w:r w:rsidR="007C215D">
        <w:t>Araba/</w:t>
      </w:r>
      <w:r>
        <w:t xml:space="preserve">Álava destina un 57 por ciento, </w:t>
      </w:r>
      <w:r w:rsidR="007C215D">
        <w:t>Bi</w:t>
      </w:r>
      <w:r w:rsidR="007C215D">
        <w:t>z</w:t>
      </w:r>
      <w:r w:rsidR="007C215D">
        <w:t>kaia</w:t>
      </w:r>
      <w:r>
        <w:t xml:space="preserve"> un 56 por cien</w:t>
      </w:r>
      <w:r w:rsidR="009356C1">
        <w:t>to, y Gipuzkoa un 58 por ciento.</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rPr>
          <w:szCs w:val="26"/>
        </w:rPr>
        <w:t>Teniendo en cuenta todas las consideraciones anteriores, hemos obtenido el fondo por habitante en Navarra y en la CAPV para el periodo 2009-2018</w:t>
      </w:r>
      <w:r w:rsidR="007C215D">
        <w:rPr>
          <w:szCs w:val="26"/>
        </w:rPr>
        <w:t>,</w:t>
      </w:r>
      <w:r>
        <w:rPr>
          <w:szCs w:val="26"/>
        </w:rPr>
        <w:t xml:space="preserve"> y los resultados son:</w:t>
      </w:r>
    </w:p>
    <w:tbl>
      <w:tblPr>
        <w:tblW w:w="8763" w:type="dxa"/>
        <w:tblInd w:w="1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58"/>
        <w:gridCol w:w="670"/>
        <w:gridCol w:w="671"/>
        <w:gridCol w:w="670"/>
        <w:gridCol w:w="671"/>
        <w:gridCol w:w="670"/>
        <w:gridCol w:w="671"/>
        <w:gridCol w:w="670"/>
        <w:gridCol w:w="671"/>
        <w:gridCol w:w="670"/>
        <w:gridCol w:w="671"/>
      </w:tblGrid>
      <w:tr w:rsidR="00BE1465" w:rsidRPr="00870B9B" w:rsidTr="00BC5209">
        <w:trPr>
          <w:trHeight w:val="255"/>
        </w:trPr>
        <w:tc>
          <w:tcPr>
            <w:tcW w:w="2058"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rPr>
                <w:rFonts w:ascii="Arial" w:hAnsi="Arial" w:cs="Arial"/>
                <w:sz w:val="18"/>
                <w:szCs w:val="18"/>
              </w:rPr>
            </w:pPr>
            <w:bookmarkStart w:id="37" w:name="OLE_LINK1"/>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2009</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2010</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70B9B">
              <w:rPr>
                <w:rFonts w:ascii="Arial" w:hAnsi="Arial" w:cs="Arial"/>
                <w:sz w:val="18"/>
                <w:szCs w:val="18"/>
              </w:rPr>
              <w:t>2011</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70B9B">
              <w:rPr>
                <w:rFonts w:ascii="Arial" w:hAnsi="Arial" w:cs="Arial"/>
                <w:sz w:val="18"/>
                <w:szCs w:val="18"/>
              </w:rPr>
              <w:t>2012</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70B9B">
              <w:rPr>
                <w:rFonts w:ascii="Arial" w:hAnsi="Arial" w:cs="Arial"/>
                <w:sz w:val="18"/>
                <w:szCs w:val="18"/>
              </w:rPr>
              <w:t>2013</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70B9B">
              <w:rPr>
                <w:rFonts w:ascii="Arial" w:hAnsi="Arial" w:cs="Arial"/>
                <w:sz w:val="18"/>
                <w:szCs w:val="18"/>
              </w:rPr>
              <w:t>2014</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70B9B">
              <w:rPr>
                <w:rFonts w:ascii="Arial" w:hAnsi="Arial" w:cs="Arial"/>
                <w:sz w:val="18"/>
                <w:szCs w:val="18"/>
              </w:rPr>
              <w:t>2015</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70B9B">
              <w:rPr>
                <w:rFonts w:ascii="Arial" w:hAnsi="Arial" w:cs="Arial"/>
                <w:sz w:val="18"/>
                <w:szCs w:val="18"/>
              </w:rPr>
              <w:t>2016</w:t>
            </w:r>
          </w:p>
        </w:tc>
        <w:tc>
          <w:tcPr>
            <w:tcW w:w="670"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2017</w:t>
            </w:r>
          </w:p>
        </w:tc>
        <w:tc>
          <w:tcPr>
            <w:tcW w:w="671" w:type="dxa"/>
            <w:tcBorders>
              <w:bottom w:val="single" w:sz="4" w:space="0" w:color="auto"/>
            </w:tcBorders>
            <w:shd w:val="clear" w:color="auto" w:fill="FABF8F" w:themeFill="accent6" w:themeFillTint="99"/>
            <w:vAlign w:val="center"/>
          </w:tcPr>
          <w:p w:rsidR="00BE1465" w:rsidRPr="00870B9B" w:rsidRDefault="00BE1465" w:rsidP="00BE146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2018</w:t>
            </w:r>
          </w:p>
        </w:tc>
      </w:tr>
      <w:tr w:rsidR="00BE1465" w:rsidRPr="00BC5209" w:rsidTr="00BC5209">
        <w:trPr>
          <w:trHeight w:val="198"/>
        </w:trPr>
        <w:tc>
          <w:tcPr>
            <w:tcW w:w="2058" w:type="dxa"/>
            <w:tcBorders>
              <w:bottom w:val="single" w:sz="2" w:space="0" w:color="auto"/>
            </w:tcBorders>
            <w:vAlign w:val="center"/>
          </w:tcPr>
          <w:p w:rsidR="00BE1465" w:rsidRPr="00BC5209" w:rsidRDefault="0073086A" w:rsidP="00BE1465">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BC5209">
              <w:rPr>
                <w:rFonts w:ascii="Arial Narrow" w:hAnsi="Arial Narrow" w:cs="Arial"/>
                <w:sz w:val="20"/>
                <w:szCs w:val="20"/>
              </w:rPr>
              <w:t>Navarra</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377</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370</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320</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351</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335</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336</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335</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332</w:t>
            </w:r>
          </w:p>
        </w:tc>
        <w:tc>
          <w:tcPr>
            <w:tcW w:w="670"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347</w:t>
            </w:r>
          </w:p>
        </w:tc>
        <w:tc>
          <w:tcPr>
            <w:tcW w:w="671" w:type="dxa"/>
            <w:tcBorders>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378</w:t>
            </w:r>
          </w:p>
        </w:tc>
      </w:tr>
      <w:tr w:rsidR="00BE1465" w:rsidRPr="00BC5209" w:rsidTr="00BC5209">
        <w:trPr>
          <w:trHeight w:val="198"/>
        </w:trPr>
        <w:tc>
          <w:tcPr>
            <w:tcW w:w="2058" w:type="dxa"/>
            <w:tcBorders>
              <w:top w:val="single" w:sz="2" w:space="0" w:color="auto"/>
              <w:bottom w:val="single" w:sz="2" w:space="0" w:color="auto"/>
            </w:tcBorders>
            <w:vAlign w:val="center"/>
          </w:tcPr>
          <w:p w:rsidR="00BE1465" w:rsidRPr="00BC5209" w:rsidRDefault="009356C1" w:rsidP="00BE1465">
            <w:pPr>
              <w:pStyle w:val="texto"/>
              <w:tabs>
                <w:tab w:val="clear" w:pos="2835"/>
                <w:tab w:val="clear" w:pos="3969"/>
                <w:tab w:val="clear" w:pos="5103"/>
                <w:tab w:val="clear" w:pos="6237"/>
                <w:tab w:val="clear" w:pos="7371"/>
              </w:tabs>
              <w:spacing w:after="0"/>
              <w:ind w:firstLine="0"/>
              <w:jc w:val="left"/>
              <w:rPr>
                <w:rFonts w:ascii="Arial Narrow" w:hAnsi="Arial Narrow"/>
                <w:i/>
                <w:sz w:val="20"/>
                <w:szCs w:val="20"/>
              </w:rPr>
            </w:pPr>
            <w:r w:rsidRPr="00BC5209">
              <w:rPr>
                <w:rFonts w:ascii="Arial Narrow" w:hAnsi="Arial Narrow"/>
                <w:i/>
                <w:sz w:val="20"/>
                <w:szCs w:val="20"/>
              </w:rPr>
              <w:t>Araba/</w:t>
            </w:r>
            <w:r w:rsidR="0073086A" w:rsidRPr="00BC5209">
              <w:rPr>
                <w:rFonts w:ascii="Arial Narrow" w:hAnsi="Arial Narrow"/>
                <w:i/>
                <w:sz w:val="20"/>
                <w:szCs w:val="20"/>
              </w:rPr>
              <w:t>Álava</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540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650</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562</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588</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527</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604</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640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618</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708</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724</w:t>
            </w:r>
          </w:p>
        </w:tc>
      </w:tr>
      <w:tr w:rsidR="00BE1465" w:rsidRPr="00BC5209" w:rsidTr="00BC5209">
        <w:trPr>
          <w:trHeight w:val="198"/>
        </w:trPr>
        <w:tc>
          <w:tcPr>
            <w:tcW w:w="2058" w:type="dxa"/>
            <w:tcBorders>
              <w:top w:val="single" w:sz="2" w:space="0" w:color="auto"/>
              <w:bottom w:val="single" w:sz="2" w:space="0" w:color="auto"/>
            </w:tcBorders>
            <w:vAlign w:val="center"/>
          </w:tcPr>
          <w:p w:rsidR="00BE1465" w:rsidRPr="00BC5209" w:rsidRDefault="009356C1" w:rsidP="00BE1465">
            <w:pPr>
              <w:pStyle w:val="texto"/>
              <w:tabs>
                <w:tab w:val="clear" w:pos="2835"/>
                <w:tab w:val="clear" w:pos="3969"/>
                <w:tab w:val="clear" w:pos="5103"/>
                <w:tab w:val="clear" w:pos="6237"/>
                <w:tab w:val="clear" w:pos="7371"/>
              </w:tabs>
              <w:spacing w:after="0"/>
              <w:ind w:firstLine="0"/>
              <w:jc w:val="left"/>
              <w:rPr>
                <w:rFonts w:ascii="Arial Narrow" w:hAnsi="Arial Narrow"/>
                <w:i/>
                <w:sz w:val="20"/>
                <w:szCs w:val="20"/>
              </w:rPr>
            </w:pPr>
            <w:r w:rsidRPr="00BC5209">
              <w:rPr>
                <w:rFonts w:ascii="Arial Narrow" w:hAnsi="Arial Narrow"/>
                <w:i/>
                <w:sz w:val="20"/>
                <w:szCs w:val="20"/>
              </w:rPr>
              <w:t>Bizkaia</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582</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650</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633</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655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633</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652</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640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663</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702</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755</w:t>
            </w:r>
          </w:p>
        </w:tc>
      </w:tr>
      <w:tr w:rsidR="00BE1465" w:rsidRPr="00BC5209" w:rsidTr="00BC5209">
        <w:trPr>
          <w:trHeight w:val="198"/>
        </w:trPr>
        <w:tc>
          <w:tcPr>
            <w:tcW w:w="2058" w:type="dxa"/>
            <w:tcBorders>
              <w:top w:val="single" w:sz="2" w:space="0" w:color="auto"/>
              <w:bottom w:val="single" w:sz="2" w:space="0" w:color="auto"/>
            </w:tcBorders>
            <w:vAlign w:val="center"/>
          </w:tcPr>
          <w:p w:rsidR="00BE1465" w:rsidRPr="00BC5209" w:rsidRDefault="009356C1" w:rsidP="0073086A">
            <w:pPr>
              <w:pStyle w:val="texto"/>
              <w:tabs>
                <w:tab w:val="clear" w:pos="2835"/>
                <w:tab w:val="clear" w:pos="3969"/>
                <w:tab w:val="clear" w:pos="5103"/>
                <w:tab w:val="clear" w:pos="6237"/>
                <w:tab w:val="clear" w:pos="7371"/>
              </w:tabs>
              <w:spacing w:after="0"/>
              <w:ind w:firstLine="0"/>
              <w:jc w:val="left"/>
              <w:rPr>
                <w:rFonts w:ascii="Arial Narrow" w:hAnsi="Arial Narrow"/>
                <w:i/>
                <w:sz w:val="20"/>
                <w:szCs w:val="20"/>
              </w:rPr>
            </w:pPr>
            <w:r w:rsidRPr="00BC5209">
              <w:rPr>
                <w:rFonts w:ascii="Arial Narrow" w:hAnsi="Arial Narrow"/>
                <w:i/>
                <w:sz w:val="20"/>
                <w:szCs w:val="20"/>
              </w:rPr>
              <w:t>Gipuzkoa</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489</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554</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501</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535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538</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585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609</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625</w:t>
            </w:r>
          </w:p>
        </w:tc>
        <w:tc>
          <w:tcPr>
            <w:tcW w:w="670"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650</w:t>
            </w:r>
          </w:p>
        </w:tc>
        <w:tc>
          <w:tcPr>
            <w:tcW w:w="671" w:type="dxa"/>
            <w:tcBorders>
              <w:top w:val="single" w:sz="2" w:space="0" w:color="auto"/>
              <w:bottom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BC5209">
              <w:rPr>
                <w:rFonts w:ascii="Arial Narrow" w:hAnsi="Arial Narrow"/>
                <w:i/>
                <w:sz w:val="20"/>
                <w:szCs w:val="20"/>
              </w:rPr>
              <w:t>713</w:t>
            </w:r>
          </w:p>
        </w:tc>
      </w:tr>
      <w:tr w:rsidR="00BE1465" w:rsidRPr="00BC5209" w:rsidTr="00BC5209">
        <w:trPr>
          <w:trHeight w:val="198"/>
        </w:trPr>
        <w:tc>
          <w:tcPr>
            <w:tcW w:w="2058" w:type="dxa"/>
            <w:tcBorders>
              <w:top w:val="single" w:sz="2" w:space="0" w:color="auto"/>
            </w:tcBorders>
            <w:vAlign w:val="center"/>
          </w:tcPr>
          <w:p w:rsidR="00BE1465" w:rsidRPr="00BC5209" w:rsidRDefault="0073086A" w:rsidP="00BE1465">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BC5209">
              <w:rPr>
                <w:rFonts w:ascii="Arial Narrow" w:hAnsi="Arial Narrow" w:cs="Arial"/>
                <w:sz w:val="20"/>
                <w:szCs w:val="20"/>
              </w:rPr>
              <w:t>CAPV (en conjunto)</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546</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619</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580</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606</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587</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623</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630</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644</w:t>
            </w:r>
          </w:p>
        </w:tc>
        <w:tc>
          <w:tcPr>
            <w:tcW w:w="670"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686</w:t>
            </w:r>
          </w:p>
        </w:tc>
        <w:tc>
          <w:tcPr>
            <w:tcW w:w="671" w:type="dxa"/>
            <w:tcBorders>
              <w:top w:val="single" w:sz="2" w:space="0" w:color="auto"/>
            </w:tcBorders>
            <w:vAlign w:val="center"/>
          </w:tcPr>
          <w:p w:rsidR="00BE1465" w:rsidRPr="00BC5209" w:rsidRDefault="00BE1465" w:rsidP="00BE1465">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BC5209">
              <w:rPr>
                <w:rFonts w:ascii="Arial Narrow" w:hAnsi="Arial Narrow" w:cs="Arial"/>
                <w:sz w:val="20"/>
                <w:szCs w:val="20"/>
              </w:rPr>
              <w:t>737</w:t>
            </w:r>
          </w:p>
        </w:tc>
      </w:tr>
    </w:tbl>
    <w:p w:rsidR="00BE1465" w:rsidRDefault="00BE1465" w:rsidP="00BE1465">
      <w:pPr>
        <w:pStyle w:val="texto"/>
        <w:spacing w:before="240"/>
        <w:rPr>
          <w:szCs w:val="26"/>
        </w:rPr>
      </w:pPr>
      <w:bookmarkStart w:id="38" w:name="_Toc446862154"/>
      <w:bookmarkStart w:id="39" w:name="_Toc447017464"/>
      <w:bookmarkStart w:id="40" w:name="_Toc447023130"/>
      <w:bookmarkStart w:id="41" w:name="_Toc447195027"/>
      <w:bookmarkEnd w:id="16"/>
      <w:bookmarkEnd w:id="17"/>
      <w:bookmarkEnd w:id="18"/>
      <w:bookmarkEnd w:id="19"/>
      <w:bookmarkEnd w:id="37"/>
      <w:r>
        <w:rPr>
          <w:szCs w:val="26"/>
        </w:rPr>
        <w:t>Del análisis del cuadro anterior extraemos las siguientes conclusiones:</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La cuantía del fondo por habitante en Navarra es significativamente menor a la de cualquiera de las tres provincias de la CAPV</w:t>
      </w:r>
      <w:r w:rsidR="007C215D" w:rsidRPr="00BC5209">
        <w:rPr>
          <w:rFonts w:cs="Arial"/>
        </w:rPr>
        <w:t>,</w:t>
      </w:r>
      <w:r w:rsidRPr="00BC5209">
        <w:rPr>
          <w:rFonts w:cs="Arial"/>
        </w:rPr>
        <w:t xml:space="preserve"> o a la de esta comunidad en su conjunto</w:t>
      </w:r>
      <w:r w:rsidR="007C215D" w:rsidRPr="00BC5209">
        <w:rPr>
          <w:rFonts w:cs="Arial"/>
        </w:rPr>
        <w:t>,</w:t>
      </w:r>
      <w:r w:rsidRPr="00BC5209">
        <w:rPr>
          <w:rFonts w:cs="Arial"/>
        </w:rPr>
        <w:t xml:space="preserve"> en todos los años analizados. </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 xml:space="preserve">En 2018, el fondo por habitante en Navarra alcanza los 378 euros, cantidad que es prácticamente la mitad de la correspondiente a cualquiera de las tres provincias de la CAPV; estas diferencias se mantienen similares en </w:t>
      </w:r>
      <w:r w:rsidR="00FB6DD2">
        <w:rPr>
          <w:rFonts w:cs="Arial"/>
        </w:rPr>
        <w:t xml:space="preserve">el resto </w:t>
      </w:r>
      <w:r w:rsidRPr="00BC5209">
        <w:rPr>
          <w:rFonts w:cs="Arial"/>
        </w:rPr>
        <w:t>de los años examinados.</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C5209">
        <w:rPr>
          <w:rFonts w:cs="Arial"/>
        </w:rPr>
        <w:t>El fondo por habitante en Navarra no presenta variaciones muy significat</w:t>
      </w:r>
      <w:r w:rsidRPr="00BC5209">
        <w:rPr>
          <w:rFonts w:cs="Arial"/>
        </w:rPr>
        <w:t>i</w:t>
      </w:r>
      <w:r w:rsidRPr="00BC5209">
        <w:rPr>
          <w:rFonts w:cs="Arial"/>
        </w:rPr>
        <w:t>vas en el periodo analizado, y de hecho, en 2018 es prácticamente igual al de 2009 (377 euros); en el caso de la CAPV, en 2018 alcanza un valor promedio de 737 euros presentando un incremento del 37 por ciento respecto al valor de 2009.</w:t>
      </w:r>
    </w:p>
    <w:p w:rsidR="00BE1465" w:rsidRPr="00284DFB" w:rsidRDefault="00BE1465" w:rsidP="00BC5209">
      <w:pPr>
        <w:keepNext/>
        <w:spacing w:before="240" w:after="240"/>
        <w:ind w:firstLine="0"/>
        <w:rPr>
          <w:rFonts w:ascii="Arial" w:hAnsi="Arial"/>
          <w:i/>
          <w:iCs/>
          <w:color w:val="000000"/>
          <w:spacing w:val="10"/>
          <w:kern w:val="28"/>
          <w:sz w:val="25"/>
          <w:szCs w:val="26"/>
        </w:rPr>
      </w:pPr>
      <w:r w:rsidRPr="00284DFB">
        <w:rPr>
          <w:rFonts w:ascii="Arial" w:hAnsi="Arial"/>
          <w:i/>
          <w:iCs/>
          <w:color w:val="000000"/>
          <w:spacing w:val="10"/>
          <w:kern w:val="28"/>
          <w:sz w:val="25"/>
          <w:szCs w:val="26"/>
        </w:rPr>
        <w:t>Fondo por habitante</w:t>
      </w:r>
      <w:r>
        <w:rPr>
          <w:rFonts w:ascii="Arial" w:hAnsi="Arial"/>
          <w:i/>
          <w:iCs/>
          <w:color w:val="000000"/>
          <w:spacing w:val="10"/>
          <w:kern w:val="28"/>
          <w:sz w:val="25"/>
          <w:szCs w:val="26"/>
        </w:rPr>
        <w:t xml:space="preserve"> por capital</w:t>
      </w:r>
      <w:r w:rsidR="007C215D">
        <w:rPr>
          <w:rFonts w:ascii="Arial" w:hAnsi="Arial"/>
          <w:i/>
          <w:iCs/>
          <w:color w:val="000000"/>
          <w:spacing w:val="10"/>
          <w:kern w:val="28"/>
          <w:sz w:val="25"/>
          <w:szCs w:val="26"/>
        </w:rPr>
        <w:t xml:space="preserve"> de provincia</w:t>
      </w:r>
      <w:r>
        <w:rPr>
          <w:rFonts w:ascii="Arial" w:hAnsi="Arial"/>
          <w:i/>
          <w:iCs/>
          <w:color w:val="000000"/>
          <w:spacing w:val="10"/>
          <w:kern w:val="28"/>
          <w:sz w:val="25"/>
          <w:szCs w:val="26"/>
        </w:rPr>
        <w:t xml:space="preserve"> y tramo poblacional</w:t>
      </w:r>
    </w:p>
    <w:p w:rsidR="00BE1465" w:rsidRDefault="00BE1465" w:rsidP="007C215D">
      <w:pPr>
        <w:pStyle w:val="texto"/>
        <w:tabs>
          <w:tab w:val="clear" w:pos="2835"/>
          <w:tab w:val="clear" w:pos="3969"/>
          <w:tab w:val="clear" w:pos="5103"/>
          <w:tab w:val="clear" w:pos="6237"/>
          <w:tab w:val="clear" w:pos="7371"/>
        </w:tabs>
        <w:spacing w:before="120" w:after="120"/>
        <w:rPr>
          <w:szCs w:val="26"/>
        </w:rPr>
      </w:pPr>
      <w:r>
        <w:rPr>
          <w:szCs w:val="26"/>
        </w:rPr>
        <w:t>Al existir unas variaciones en el fondo por habitante entre ambas comunid</w:t>
      </w:r>
      <w:r>
        <w:rPr>
          <w:szCs w:val="26"/>
        </w:rPr>
        <w:t>a</w:t>
      </w:r>
      <w:r>
        <w:rPr>
          <w:szCs w:val="26"/>
        </w:rPr>
        <w:t xml:space="preserve">des tan significativas, </w:t>
      </w:r>
      <w:r w:rsidR="007C215D">
        <w:rPr>
          <w:szCs w:val="26"/>
        </w:rPr>
        <w:t>hemos comparado</w:t>
      </w:r>
      <w:r>
        <w:rPr>
          <w:szCs w:val="26"/>
        </w:rPr>
        <w:t xml:space="preserve"> el fondo por habitante entre capitales de provincia (comunidad en el caso de Navarra), y por tramos poblacionales</w:t>
      </w:r>
      <w:r w:rsidR="007C215D">
        <w:rPr>
          <w:szCs w:val="26"/>
        </w:rPr>
        <w:t>,</w:t>
      </w:r>
      <w:r>
        <w:rPr>
          <w:szCs w:val="26"/>
        </w:rPr>
        <w:t xml:space="preserve"> para analizar si las diferencias se concentraban en algún estrato poblacional en concreto. </w:t>
      </w:r>
      <w:r>
        <w:rPr>
          <w:szCs w:val="26"/>
        </w:rPr>
        <w:br w:type="page"/>
      </w:r>
    </w:p>
    <w:p w:rsidR="00BE1465" w:rsidRDefault="00BE1465" w:rsidP="00BE1465">
      <w:pPr>
        <w:pStyle w:val="texto"/>
        <w:tabs>
          <w:tab w:val="clear" w:pos="2835"/>
          <w:tab w:val="clear" w:pos="3969"/>
          <w:tab w:val="clear" w:pos="5103"/>
          <w:tab w:val="clear" w:pos="6237"/>
          <w:tab w:val="clear" w:pos="7371"/>
        </w:tabs>
        <w:spacing w:before="120" w:after="120"/>
        <w:rPr>
          <w:szCs w:val="26"/>
        </w:rPr>
      </w:pPr>
      <w:r>
        <w:rPr>
          <w:szCs w:val="26"/>
        </w:rPr>
        <w:lastRenderedPageBreak/>
        <w:t>Los resultados obtenidos son los siguientes:</w:t>
      </w:r>
    </w:p>
    <w:p w:rsidR="00BE1465" w:rsidRPr="00BC5209" w:rsidRDefault="00BE1465" w:rsidP="00BC5209">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BC5209">
        <w:rPr>
          <w:rFonts w:cs="Arial"/>
        </w:rPr>
        <w:t>El cuadro que incluimos a continuación muestra las diferencias existentes entre la población, el fondo, y el fondo por habitante en las capitales:</w:t>
      </w:r>
    </w:p>
    <w:tbl>
      <w:tblPr>
        <w:tblW w:w="10287" w:type="dxa"/>
        <w:jc w:val="center"/>
        <w:tblBorders>
          <w:top w:val="single" w:sz="4" w:space="0" w:color="auto"/>
          <w:bottom w:val="single" w:sz="4" w:space="0" w:color="auto"/>
          <w:insideH w:val="single" w:sz="4" w:space="0" w:color="auto"/>
        </w:tblBorders>
        <w:shd w:val="clear" w:color="auto" w:fill="FFFFFF" w:themeFill="background1"/>
        <w:tblCellMar>
          <w:left w:w="70" w:type="dxa"/>
          <w:right w:w="70" w:type="dxa"/>
        </w:tblCellMar>
        <w:tblLook w:val="06A0" w:firstRow="1" w:lastRow="0" w:firstColumn="1" w:lastColumn="0" w:noHBand="1" w:noVBand="1"/>
      </w:tblPr>
      <w:tblGrid>
        <w:gridCol w:w="1469"/>
        <w:gridCol w:w="825"/>
        <w:gridCol w:w="825"/>
        <w:gridCol w:w="1041"/>
        <w:gridCol w:w="1144"/>
        <w:gridCol w:w="1144"/>
        <w:gridCol w:w="1071"/>
        <w:gridCol w:w="783"/>
        <w:gridCol w:w="851"/>
        <w:gridCol w:w="1134"/>
      </w:tblGrid>
      <w:tr w:rsidR="00BE1465" w:rsidRPr="004160B9" w:rsidTr="00E00A82">
        <w:trPr>
          <w:trHeight w:val="198"/>
          <w:jc w:val="center"/>
        </w:trPr>
        <w:tc>
          <w:tcPr>
            <w:tcW w:w="1469" w:type="dxa"/>
            <w:vMerge w:val="restart"/>
            <w:shd w:val="clear" w:color="auto" w:fill="FABF8F" w:themeFill="accent6" w:themeFillTint="99"/>
            <w:vAlign w:val="center"/>
            <w:hideMark/>
          </w:tcPr>
          <w:p w:rsidR="00BE1465" w:rsidRPr="004160B9" w:rsidRDefault="00BE1465" w:rsidP="00BE1465">
            <w:pPr>
              <w:spacing w:after="0"/>
              <w:ind w:firstLine="0"/>
              <w:jc w:val="left"/>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Municipio</w:t>
            </w:r>
          </w:p>
        </w:tc>
        <w:tc>
          <w:tcPr>
            <w:tcW w:w="2691" w:type="dxa"/>
            <w:gridSpan w:val="3"/>
            <w:tcBorders>
              <w:bottom w:val="single" w:sz="2" w:space="0" w:color="auto"/>
            </w:tcBorders>
            <w:shd w:val="clear" w:color="auto" w:fill="FABF8F" w:themeFill="accent6" w:themeFillTint="99"/>
            <w:vAlign w:val="center"/>
            <w:hideMark/>
          </w:tcPr>
          <w:p w:rsidR="00BE1465" w:rsidRPr="004160B9" w:rsidRDefault="00BE1465" w:rsidP="00BE1465">
            <w:pPr>
              <w:spacing w:after="0"/>
              <w:ind w:firstLine="0"/>
              <w:jc w:val="center"/>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Población</w:t>
            </w:r>
          </w:p>
        </w:tc>
        <w:tc>
          <w:tcPr>
            <w:tcW w:w="3359" w:type="dxa"/>
            <w:gridSpan w:val="3"/>
            <w:tcBorders>
              <w:bottom w:val="single" w:sz="2" w:space="0" w:color="auto"/>
            </w:tcBorders>
            <w:shd w:val="clear" w:color="auto" w:fill="FABF8F" w:themeFill="accent6" w:themeFillTint="99"/>
            <w:noWrap/>
            <w:vAlign w:val="center"/>
            <w:hideMark/>
          </w:tcPr>
          <w:p w:rsidR="00BE1465" w:rsidRPr="004160B9" w:rsidRDefault="00BE1465" w:rsidP="00BE1465">
            <w:pPr>
              <w:spacing w:after="0"/>
              <w:ind w:firstLine="0"/>
              <w:jc w:val="center"/>
              <w:rPr>
                <w:rFonts w:ascii="Arial" w:hAnsi="Arial" w:cs="Arial"/>
                <w:color w:val="000000"/>
                <w:sz w:val="18"/>
                <w:szCs w:val="18"/>
                <w:lang w:val="es-ES" w:eastAsia="es-ES"/>
              </w:rPr>
            </w:pPr>
            <w:r w:rsidRPr="004160B9">
              <w:rPr>
                <w:rFonts w:ascii="Arial" w:hAnsi="Arial" w:cs="Arial"/>
                <w:color w:val="000000"/>
                <w:sz w:val="18"/>
                <w:szCs w:val="18"/>
                <w:lang w:val="es-ES" w:eastAsia="es-ES"/>
              </w:rPr>
              <w:t>Fondo</w:t>
            </w:r>
          </w:p>
        </w:tc>
        <w:tc>
          <w:tcPr>
            <w:tcW w:w="2768" w:type="dxa"/>
            <w:gridSpan w:val="3"/>
            <w:tcBorders>
              <w:bottom w:val="single" w:sz="2" w:space="0" w:color="auto"/>
            </w:tcBorders>
            <w:shd w:val="clear" w:color="auto" w:fill="FABF8F" w:themeFill="accent6" w:themeFillTint="99"/>
            <w:noWrap/>
            <w:vAlign w:val="center"/>
            <w:hideMark/>
          </w:tcPr>
          <w:p w:rsidR="00BE1465" w:rsidRPr="004160B9" w:rsidRDefault="00BE1465" w:rsidP="00BE1465">
            <w:pPr>
              <w:spacing w:after="0"/>
              <w:ind w:firstLine="0"/>
              <w:jc w:val="center"/>
              <w:rPr>
                <w:rFonts w:ascii="Arial" w:hAnsi="Arial" w:cs="Arial"/>
                <w:color w:val="000000"/>
                <w:sz w:val="18"/>
                <w:szCs w:val="18"/>
                <w:lang w:val="es-ES" w:eastAsia="es-ES"/>
              </w:rPr>
            </w:pPr>
            <w:r w:rsidRPr="004160B9">
              <w:rPr>
                <w:rFonts w:ascii="Arial" w:hAnsi="Arial" w:cs="Arial"/>
                <w:color w:val="000000"/>
                <w:sz w:val="18"/>
                <w:szCs w:val="18"/>
                <w:lang w:val="es-ES" w:eastAsia="es-ES"/>
              </w:rPr>
              <w:t xml:space="preserve">Fondo </w:t>
            </w:r>
            <w:r>
              <w:rPr>
                <w:rFonts w:ascii="Arial" w:hAnsi="Arial" w:cs="Arial"/>
                <w:color w:val="000000"/>
                <w:sz w:val="18"/>
                <w:szCs w:val="18"/>
                <w:lang w:val="es-ES" w:eastAsia="es-ES"/>
              </w:rPr>
              <w:t>por habitante</w:t>
            </w:r>
          </w:p>
        </w:tc>
      </w:tr>
      <w:tr w:rsidR="00BE1465" w:rsidRPr="003371FA" w:rsidTr="00E00A82">
        <w:trPr>
          <w:trHeight w:val="198"/>
          <w:jc w:val="center"/>
        </w:trPr>
        <w:tc>
          <w:tcPr>
            <w:tcW w:w="1469" w:type="dxa"/>
            <w:vMerge/>
            <w:tcBorders>
              <w:bottom w:val="single" w:sz="4" w:space="0" w:color="auto"/>
            </w:tcBorders>
            <w:shd w:val="clear" w:color="auto" w:fill="FABF8F" w:themeFill="accent6" w:themeFillTint="99"/>
            <w:vAlign w:val="center"/>
            <w:hideMark/>
          </w:tcPr>
          <w:p w:rsidR="00BE1465" w:rsidRPr="004160B9" w:rsidRDefault="00BE1465" w:rsidP="00BE1465">
            <w:pPr>
              <w:spacing w:after="0"/>
              <w:ind w:firstLine="0"/>
              <w:jc w:val="center"/>
              <w:rPr>
                <w:rFonts w:ascii="Arial" w:hAnsi="Arial" w:cs="Arial"/>
                <w:bCs/>
                <w:color w:val="000000"/>
                <w:sz w:val="18"/>
                <w:szCs w:val="18"/>
                <w:lang w:val="es-ES" w:eastAsia="es-ES"/>
              </w:rPr>
            </w:pPr>
          </w:p>
        </w:tc>
        <w:tc>
          <w:tcPr>
            <w:tcW w:w="825"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2009</w:t>
            </w:r>
          </w:p>
        </w:tc>
        <w:tc>
          <w:tcPr>
            <w:tcW w:w="825"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2018</w:t>
            </w:r>
          </w:p>
        </w:tc>
        <w:tc>
          <w:tcPr>
            <w:tcW w:w="1041" w:type="dxa"/>
            <w:tcBorders>
              <w:top w:val="single" w:sz="2" w:space="0" w:color="auto"/>
              <w:bottom w:val="single" w:sz="4" w:space="0" w:color="auto"/>
              <w:right w:val="single" w:sz="2" w:space="0" w:color="auto"/>
            </w:tcBorders>
            <w:shd w:val="clear" w:color="auto" w:fill="FABF8F" w:themeFill="accent6" w:themeFillTint="99"/>
            <w:vAlign w:val="center"/>
            <w:hideMark/>
          </w:tcPr>
          <w:p w:rsidR="00BE1465" w:rsidRPr="004160B9" w:rsidRDefault="00B850F7" w:rsidP="00B850F7">
            <w:pPr>
              <w:spacing w:after="0"/>
              <w:ind w:left="-74"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variación</w:t>
            </w:r>
            <w:r w:rsidR="00BE1465" w:rsidRPr="004160B9">
              <w:rPr>
                <w:rFonts w:ascii="Arial" w:hAnsi="Arial" w:cs="Arial"/>
                <w:bCs/>
                <w:color w:val="000000"/>
                <w:sz w:val="18"/>
                <w:szCs w:val="18"/>
                <w:lang w:val="es-ES" w:eastAsia="es-ES"/>
              </w:rPr>
              <w:t xml:space="preserve">  </w:t>
            </w:r>
            <w:r w:rsidR="00BE1465">
              <w:rPr>
                <w:rFonts w:ascii="Arial" w:hAnsi="Arial" w:cs="Arial"/>
                <w:bCs/>
                <w:color w:val="000000"/>
                <w:sz w:val="18"/>
                <w:szCs w:val="18"/>
                <w:lang w:val="es-ES" w:eastAsia="es-ES"/>
              </w:rPr>
              <w:t>20</w:t>
            </w:r>
            <w:r w:rsidR="00BE1465" w:rsidRPr="004160B9">
              <w:rPr>
                <w:rFonts w:ascii="Arial" w:hAnsi="Arial" w:cs="Arial"/>
                <w:bCs/>
                <w:color w:val="000000"/>
                <w:sz w:val="18"/>
                <w:szCs w:val="18"/>
                <w:lang w:val="es-ES" w:eastAsia="es-ES"/>
              </w:rPr>
              <w:t>18/</w:t>
            </w:r>
            <w:r w:rsidR="00BE1465">
              <w:rPr>
                <w:rFonts w:ascii="Arial" w:hAnsi="Arial" w:cs="Arial"/>
                <w:bCs/>
                <w:color w:val="000000"/>
                <w:sz w:val="18"/>
                <w:szCs w:val="18"/>
                <w:lang w:val="es-ES" w:eastAsia="es-ES"/>
              </w:rPr>
              <w:t>20</w:t>
            </w:r>
            <w:r w:rsidR="00BE1465" w:rsidRPr="004160B9">
              <w:rPr>
                <w:rFonts w:ascii="Arial" w:hAnsi="Arial" w:cs="Arial"/>
                <w:bCs/>
                <w:color w:val="000000"/>
                <w:sz w:val="18"/>
                <w:szCs w:val="18"/>
                <w:lang w:val="es-ES" w:eastAsia="es-ES"/>
              </w:rPr>
              <w:t>09</w:t>
            </w:r>
          </w:p>
        </w:tc>
        <w:tc>
          <w:tcPr>
            <w:tcW w:w="1144" w:type="dxa"/>
            <w:tcBorders>
              <w:top w:val="single" w:sz="2" w:space="0" w:color="auto"/>
              <w:left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2009</w:t>
            </w:r>
          </w:p>
        </w:tc>
        <w:tc>
          <w:tcPr>
            <w:tcW w:w="1144"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2018</w:t>
            </w:r>
          </w:p>
        </w:tc>
        <w:tc>
          <w:tcPr>
            <w:tcW w:w="1071" w:type="dxa"/>
            <w:tcBorders>
              <w:top w:val="single" w:sz="2" w:space="0" w:color="auto"/>
              <w:bottom w:val="single" w:sz="4" w:space="0" w:color="auto"/>
              <w:right w:val="single" w:sz="2" w:space="0" w:color="auto"/>
            </w:tcBorders>
            <w:shd w:val="clear" w:color="auto" w:fill="FABF8F" w:themeFill="accent6" w:themeFillTint="99"/>
            <w:vAlign w:val="center"/>
            <w:hideMark/>
          </w:tcPr>
          <w:p w:rsidR="00BE1465" w:rsidRPr="004160B9" w:rsidRDefault="00B850F7" w:rsidP="00B850F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variación</w:t>
            </w:r>
            <w:r w:rsidR="00BE1465" w:rsidRPr="004160B9">
              <w:rPr>
                <w:rFonts w:ascii="Arial" w:hAnsi="Arial" w:cs="Arial"/>
                <w:bCs/>
                <w:color w:val="000000"/>
                <w:sz w:val="18"/>
                <w:szCs w:val="18"/>
                <w:lang w:val="es-ES" w:eastAsia="es-ES"/>
              </w:rPr>
              <w:t xml:space="preserve">  </w:t>
            </w:r>
            <w:r w:rsidR="00BE1465">
              <w:rPr>
                <w:rFonts w:ascii="Arial" w:hAnsi="Arial" w:cs="Arial"/>
                <w:bCs/>
                <w:color w:val="000000"/>
                <w:sz w:val="18"/>
                <w:szCs w:val="18"/>
                <w:lang w:val="es-ES" w:eastAsia="es-ES"/>
              </w:rPr>
              <w:t>20</w:t>
            </w:r>
            <w:r w:rsidR="00BE1465" w:rsidRPr="004160B9">
              <w:rPr>
                <w:rFonts w:ascii="Arial" w:hAnsi="Arial" w:cs="Arial"/>
                <w:bCs/>
                <w:color w:val="000000"/>
                <w:sz w:val="18"/>
                <w:szCs w:val="18"/>
                <w:lang w:val="es-ES" w:eastAsia="es-ES"/>
              </w:rPr>
              <w:t>18/</w:t>
            </w:r>
            <w:r w:rsidR="00BE1465">
              <w:rPr>
                <w:rFonts w:ascii="Arial" w:hAnsi="Arial" w:cs="Arial"/>
                <w:bCs/>
                <w:color w:val="000000"/>
                <w:sz w:val="18"/>
                <w:szCs w:val="18"/>
                <w:lang w:val="es-ES" w:eastAsia="es-ES"/>
              </w:rPr>
              <w:t>20</w:t>
            </w:r>
            <w:r w:rsidR="00BE1465" w:rsidRPr="004160B9">
              <w:rPr>
                <w:rFonts w:ascii="Arial" w:hAnsi="Arial" w:cs="Arial"/>
                <w:bCs/>
                <w:color w:val="000000"/>
                <w:sz w:val="18"/>
                <w:szCs w:val="18"/>
                <w:lang w:val="es-ES" w:eastAsia="es-ES"/>
              </w:rPr>
              <w:t>09</w:t>
            </w:r>
          </w:p>
        </w:tc>
        <w:tc>
          <w:tcPr>
            <w:tcW w:w="783" w:type="dxa"/>
            <w:tcBorders>
              <w:top w:val="single" w:sz="2" w:space="0" w:color="auto"/>
              <w:left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2009</w:t>
            </w:r>
          </w:p>
        </w:tc>
        <w:tc>
          <w:tcPr>
            <w:tcW w:w="851" w:type="dxa"/>
            <w:tcBorders>
              <w:top w:val="single" w:sz="2" w:space="0" w:color="auto"/>
              <w:bottom w:val="single" w:sz="4" w:space="0" w:color="auto"/>
            </w:tcBorders>
            <w:shd w:val="clear" w:color="auto" w:fill="FABF8F" w:themeFill="accent6" w:themeFillTint="99"/>
            <w:vAlign w:val="center"/>
            <w:hideMark/>
          </w:tcPr>
          <w:p w:rsidR="00BE1465" w:rsidRPr="004160B9" w:rsidRDefault="00BE1465" w:rsidP="00B850F7">
            <w:pPr>
              <w:spacing w:after="0"/>
              <w:ind w:firstLine="0"/>
              <w:jc w:val="right"/>
              <w:rPr>
                <w:rFonts w:ascii="Arial" w:hAnsi="Arial" w:cs="Arial"/>
                <w:bCs/>
                <w:color w:val="000000"/>
                <w:sz w:val="18"/>
                <w:szCs w:val="18"/>
                <w:lang w:val="es-ES" w:eastAsia="es-ES"/>
              </w:rPr>
            </w:pPr>
            <w:r w:rsidRPr="004160B9">
              <w:rPr>
                <w:rFonts w:ascii="Arial" w:hAnsi="Arial" w:cs="Arial"/>
                <w:bCs/>
                <w:color w:val="000000"/>
                <w:sz w:val="18"/>
                <w:szCs w:val="18"/>
                <w:lang w:val="es-ES" w:eastAsia="es-ES"/>
              </w:rPr>
              <w:t>2018</w:t>
            </w:r>
          </w:p>
        </w:tc>
        <w:tc>
          <w:tcPr>
            <w:tcW w:w="1134" w:type="dxa"/>
            <w:tcBorders>
              <w:top w:val="single" w:sz="2" w:space="0" w:color="auto"/>
              <w:bottom w:val="single" w:sz="4" w:space="0" w:color="auto"/>
            </w:tcBorders>
            <w:shd w:val="clear" w:color="auto" w:fill="FABF8F" w:themeFill="accent6" w:themeFillTint="99"/>
            <w:vAlign w:val="center"/>
            <w:hideMark/>
          </w:tcPr>
          <w:p w:rsidR="00BE1465" w:rsidRPr="004160B9" w:rsidRDefault="00B850F7" w:rsidP="00B850F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variación</w:t>
            </w:r>
            <w:r w:rsidR="00BE1465" w:rsidRPr="004160B9">
              <w:rPr>
                <w:rFonts w:ascii="Arial" w:hAnsi="Arial" w:cs="Arial"/>
                <w:bCs/>
                <w:color w:val="000000"/>
                <w:sz w:val="18"/>
                <w:szCs w:val="18"/>
                <w:lang w:val="es-ES" w:eastAsia="es-ES"/>
              </w:rPr>
              <w:t xml:space="preserve">  </w:t>
            </w:r>
            <w:r w:rsidR="00BE1465">
              <w:rPr>
                <w:rFonts w:ascii="Arial" w:hAnsi="Arial" w:cs="Arial"/>
                <w:bCs/>
                <w:color w:val="000000"/>
                <w:sz w:val="18"/>
                <w:szCs w:val="18"/>
                <w:lang w:val="es-ES" w:eastAsia="es-ES"/>
              </w:rPr>
              <w:t>20</w:t>
            </w:r>
            <w:r w:rsidR="00BE1465" w:rsidRPr="004160B9">
              <w:rPr>
                <w:rFonts w:ascii="Arial" w:hAnsi="Arial" w:cs="Arial"/>
                <w:bCs/>
                <w:color w:val="000000"/>
                <w:sz w:val="18"/>
                <w:szCs w:val="18"/>
                <w:lang w:val="es-ES" w:eastAsia="es-ES"/>
              </w:rPr>
              <w:t>18/</w:t>
            </w:r>
            <w:r w:rsidR="00BE1465">
              <w:rPr>
                <w:rFonts w:ascii="Arial" w:hAnsi="Arial" w:cs="Arial"/>
                <w:bCs/>
                <w:color w:val="000000"/>
                <w:sz w:val="18"/>
                <w:szCs w:val="18"/>
                <w:lang w:val="es-ES" w:eastAsia="es-ES"/>
              </w:rPr>
              <w:t>20</w:t>
            </w:r>
            <w:r w:rsidR="00BE1465" w:rsidRPr="004160B9">
              <w:rPr>
                <w:rFonts w:ascii="Arial" w:hAnsi="Arial" w:cs="Arial"/>
                <w:bCs/>
                <w:color w:val="000000"/>
                <w:sz w:val="18"/>
                <w:szCs w:val="18"/>
                <w:lang w:val="es-ES" w:eastAsia="es-ES"/>
              </w:rPr>
              <w:t>09</w:t>
            </w:r>
          </w:p>
        </w:tc>
      </w:tr>
      <w:tr w:rsidR="00BE1465" w:rsidRPr="004160B9" w:rsidTr="00E00A82">
        <w:trPr>
          <w:trHeight w:val="198"/>
          <w:jc w:val="center"/>
        </w:trPr>
        <w:tc>
          <w:tcPr>
            <w:tcW w:w="1469" w:type="dxa"/>
            <w:tcBorders>
              <w:bottom w:val="single" w:sz="2" w:space="0" w:color="auto"/>
            </w:tcBorders>
            <w:shd w:val="clear" w:color="auto" w:fill="FFFFFF" w:themeFill="background1"/>
            <w:vAlign w:val="center"/>
            <w:hideMark/>
          </w:tcPr>
          <w:p w:rsidR="00BE1465" w:rsidRPr="004160B9" w:rsidRDefault="00BE1465" w:rsidP="00BE1465">
            <w:pPr>
              <w:spacing w:after="0"/>
              <w:ind w:firstLine="0"/>
              <w:jc w:val="left"/>
              <w:rPr>
                <w:rFonts w:ascii="Arial Narrow" w:hAnsi="Arial Narrow"/>
                <w:color w:val="000000"/>
                <w:lang w:val="es-ES" w:eastAsia="es-ES"/>
              </w:rPr>
            </w:pPr>
            <w:r w:rsidRPr="004160B9">
              <w:rPr>
                <w:rFonts w:ascii="Arial Narrow" w:hAnsi="Arial Narrow"/>
                <w:color w:val="000000"/>
                <w:lang w:val="es-ES" w:eastAsia="es-ES"/>
              </w:rPr>
              <w:t>Pamplona</w:t>
            </w:r>
          </w:p>
        </w:tc>
        <w:tc>
          <w:tcPr>
            <w:tcW w:w="825"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198.491</w:t>
            </w:r>
          </w:p>
        </w:tc>
        <w:tc>
          <w:tcPr>
            <w:tcW w:w="825"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199.066</w:t>
            </w:r>
          </w:p>
        </w:tc>
        <w:tc>
          <w:tcPr>
            <w:tcW w:w="1041" w:type="dxa"/>
            <w:tcBorders>
              <w:bottom w:val="single" w:sz="2" w:space="0" w:color="auto"/>
              <w:right w:val="single" w:sz="2" w:space="0" w:color="auto"/>
            </w:tcBorders>
            <w:shd w:val="clear" w:color="auto" w:fill="FFFFFF" w:themeFill="background1"/>
            <w:noWrap/>
            <w:vAlign w:val="center"/>
            <w:hideMark/>
          </w:tcPr>
          <w:p w:rsidR="00BE1465" w:rsidRPr="004160B9" w:rsidRDefault="00BE1465" w:rsidP="00B850F7">
            <w:pPr>
              <w:spacing w:after="0"/>
              <w:ind w:left="-74" w:firstLine="0"/>
              <w:jc w:val="right"/>
              <w:rPr>
                <w:rFonts w:ascii="Arial Narrow" w:hAnsi="Arial Narrow"/>
                <w:color w:val="000000"/>
                <w:lang w:val="es-ES" w:eastAsia="es-ES"/>
              </w:rPr>
            </w:pPr>
            <w:r w:rsidRPr="004160B9">
              <w:rPr>
                <w:rFonts w:ascii="Arial Narrow" w:hAnsi="Arial Narrow"/>
                <w:color w:val="000000"/>
                <w:lang w:val="es-ES" w:eastAsia="es-ES"/>
              </w:rPr>
              <w:t>0,</w:t>
            </w:r>
            <w:r>
              <w:rPr>
                <w:rFonts w:ascii="Arial Narrow" w:hAnsi="Arial Narrow"/>
                <w:color w:val="000000"/>
                <w:lang w:val="es-ES" w:eastAsia="es-ES"/>
              </w:rPr>
              <w:t>3</w:t>
            </w:r>
          </w:p>
        </w:tc>
        <w:tc>
          <w:tcPr>
            <w:tcW w:w="1144" w:type="dxa"/>
            <w:tcBorders>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83.432.516</w:t>
            </w:r>
          </w:p>
        </w:tc>
        <w:tc>
          <w:tcPr>
            <w:tcW w:w="1144"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83.215.611</w:t>
            </w:r>
          </w:p>
        </w:tc>
        <w:tc>
          <w:tcPr>
            <w:tcW w:w="1071" w:type="dxa"/>
            <w:tcBorders>
              <w:bottom w:val="single" w:sz="2" w:space="0" w:color="auto"/>
              <w:righ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-0,</w:t>
            </w:r>
            <w:r>
              <w:rPr>
                <w:rFonts w:ascii="Arial Narrow" w:hAnsi="Arial Narrow"/>
                <w:color w:val="000000"/>
                <w:lang w:val="es-ES" w:eastAsia="es-ES"/>
              </w:rPr>
              <w:t>3</w:t>
            </w:r>
          </w:p>
        </w:tc>
        <w:tc>
          <w:tcPr>
            <w:tcW w:w="783" w:type="dxa"/>
            <w:tcBorders>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 xml:space="preserve">       </w:t>
            </w:r>
            <w:r>
              <w:rPr>
                <w:rFonts w:ascii="Arial Narrow" w:hAnsi="Arial Narrow"/>
                <w:color w:val="000000"/>
                <w:lang w:val="es-ES" w:eastAsia="es-ES"/>
              </w:rPr>
              <w:t>4</w:t>
            </w:r>
            <w:r w:rsidRPr="004160B9">
              <w:rPr>
                <w:rFonts w:ascii="Arial Narrow" w:hAnsi="Arial Narrow"/>
                <w:color w:val="000000"/>
                <w:lang w:val="es-ES" w:eastAsia="es-ES"/>
              </w:rPr>
              <w:t xml:space="preserve">20 </w:t>
            </w:r>
          </w:p>
        </w:tc>
        <w:tc>
          <w:tcPr>
            <w:tcW w:w="851"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418</w:t>
            </w:r>
          </w:p>
        </w:tc>
        <w:tc>
          <w:tcPr>
            <w:tcW w:w="1134" w:type="dxa"/>
            <w:tcBorders>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-0,5</w:t>
            </w:r>
          </w:p>
        </w:tc>
      </w:tr>
      <w:tr w:rsidR="009356C1" w:rsidRPr="004160B9" w:rsidTr="00E00A82">
        <w:trPr>
          <w:trHeight w:val="198"/>
          <w:jc w:val="center"/>
        </w:trPr>
        <w:tc>
          <w:tcPr>
            <w:tcW w:w="1469" w:type="dxa"/>
            <w:tcBorders>
              <w:top w:val="single" w:sz="2" w:space="0" w:color="auto"/>
              <w:bottom w:val="single" w:sz="2" w:space="0" w:color="auto"/>
            </w:tcBorders>
            <w:shd w:val="clear" w:color="auto" w:fill="FFFFFF" w:themeFill="background1"/>
            <w:vAlign w:val="center"/>
            <w:hideMark/>
          </w:tcPr>
          <w:p w:rsidR="009356C1" w:rsidRPr="004160B9" w:rsidRDefault="009356C1" w:rsidP="00DB59A4">
            <w:pPr>
              <w:spacing w:after="0"/>
              <w:ind w:firstLine="0"/>
              <w:jc w:val="left"/>
              <w:rPr>
                <w:rFonts w:ascii="Arial Narrow" w:hAnsi="Arial Narrow"/>
                <w:color w:val="000000"/>
                <w:lang w:val="es-ES" w:eastAsia="es-ES"/>
              </w:rPr>
            </w:pPr>
            <w:r w:rsidRPr="004160B9">
              <w:rPr>
                <w:rFonts w:ascii="Arial Narrow" w:hAnsi="Arial Narrow"/>
                <w:color w:val="000000"/>
                <w:lang w:val="es-ES" w:eastAsia="es-ES"/>
              </w:rPr>
              <w:t>Vitoria-Gasteiz</w:t>
            </w:r>
          </w:p>
        </w:tc>
        <w:tc>
          <w:tcPr>
            <w:tcW w:w="825"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235.661</w:t>
            </w:r>
          </w:p>
        </w:tc>
        <w:tc>
          <w:tcPr>
            <w:tcW w:w="825"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249.176</w:t>
            </w:r>
          </w:p>
        </w:tc>
        <w:tc>
          <w:tcPr>
            <w:tcW w:w="1041" w:type="dxa"/>
            <w:tcBorders>
              <w:top w:val="single" w:sz="2" w:space="0" w:color="auto"/>
              <w:bottom w:val="single" w:sz="2" w:space="0" w:color="auto"/>
              <w:right w:val="single" w:sz="2" w:space="0" w:color="auto"/>
            </w:tcBorders>
            <w:shd w:val="clear" w:color="auto" w:fill="FFFFFF" w:themeFill="background1"/>
            <w:noWrap/>
            <w:vAlign w:val="center"/>
            <w:hideMark/>
          </w:tcPr>
          <w:p w:rsidR="009356C1" w:rsidRPr="004160B9" w:rsidRDefault="009356C1" w:rsidP="00B850F7">
            <w:pPr>
              <w:spacing w:after="0"/>
              <w:ind w:left="-74" w:firstLine="0"/>
              <w:jc w:val="right"/>
              <w:rPr>
                <w:rFonts w:ascii="Arial Narrow" w:hAnsi="Arial Narrow"/>
                <w:color w:val="000000"/>
                <w:lang w:val="es-ES" w:eastAsia="es-ES"/>
              </w:rPr>
            </w:pPr>
            <w:r>
              <w:rPr>
                <w:rFonts w:ascii="Arial Narrow" w:hAnsi="Arial Narrow"/>
                <w:color w:val="000000"/>
                <w:lang w:val="es-ES" w:eastAsia="es-ES"/>
              </w:rPr>
              <w:t>6</w:t>
            </w:r>
          </w:p>
        </w:tc>
        <w:tc>
          <w:tcPr>
            <w:tcW w:w="1144" w:type="dxa"/>
            <w:tcBorders>
              <w:top w:val="single" w:sz="2" w:space="0" w:color="auto"/>
              <w:left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123.677.473</w:t>
            </w:r>
          </w:p>
        </w:tc>
        <w:tc>
          <w:tcPr>
            <w:tcW w:w="1144"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165.360.008</w:t>
            </w:r>
          </w:p>
        </w:tc>
        <w:tc>
          <w:tcPr>
            <w:tcW w:w="1071" w:type="dxa"/>
            <w:tcBorders>
              <w:top w:val="single" w:sz="2" w:space="0" w:color="auto"/>
              <w:bottom w:val="single" w:sz="2" w:space="0" w:color="auto"/>
              <w:right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3</w:t>
            </w:r>
            <w:r>
              <w:rPr>
                <w:rFonts w:ascii="Arial Narrow" w:hAnsi="Arial Narrow"/>
                <w:color w:val="000000"/>
                <w:lang w:val="es-ES" w:eastAsia="es-ES"/>
              </w:rPr>
              <w:t>4</w:t>
            </w:r>
          </w:p>
        </w:tc>
        <w:tc>
          <w:tcPr>
            <w:tcW w:w="783" w:type="dxa"/>
            <w:tcBorders>
              <w:top w:val="single" w:sz="2" w:space="0" w:color="auto"/>
              <w:left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Pr>
                <w:rFonts w:ascii="Arial Narrow" w:hAnsi="Arial Narrow"/>
                <w:color w:val="000000"/>
                <w:lang w:val="es-ES" w:eastAsia="es-ES"/>
              </w:rPr>
              <w:t xml:space="preserve">      </w:t>
            </w:r>
            <w:r w:rsidRPr="004160B9">
              <w:rPr>
                <w:rFonts w:ascii="Arial Narrow" w:hAnsi="Arial Narrow"/>
                <w:color w:val="000000"/>
                <w:lang w:val="es-ES" w:eastAsia="es-ES"/>
              </w:rPr>
              <w:t xml:space="preserve">525 </w:t>
            </w:r>
          </w:p>
        </w:tc>
        <w:tc>
          <w:tcPr>
            <w:tcW w:w="851"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664</w:t>
            </w:r>
          </w:p>
        </w:tc>
        <w:tc>
          <w:tcPr>
            <w:tcW w:w="1134" w:type="dxa"/>
            <w:tcBorders>
              <w:top w:val="single" w:sz="2" w:space="0" w:color="auto"/>
              <w:bottom w:val="single" w:sz="2" w:space="0" w:color="auto"/>
            </w:tcBorders>
            <w:shd w:val="clear" w:color="auto" w:fill="FFFFFF" w:themeFill="background1"/>
            <w:noWrap/>
            <w:vAlign w:val="center"/>
            <w:hideMark/>
          </w:tcPr>
          <w:p w:rsidR="009356C1" w:rsidRPr="004160B9" w:rsidRDefault="009356C1" w:rsidP="00DB59A4">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26</w:t>
            </w:r>
          </w:p>
        </w:tc>
      </w:tr>
      <w:tr w:rsidR="00BE1465" w:rsidRPr="004160B9" w:rsidTr="00E00A82">
        <w:trPr>
          <w:trHeight w:val="198"/>
          <w:jc w:val="center"/>
        </w:trPr>
        <w:tc>
          <w:tcPr>
            <w:tcW w:w="1469" w:type="dxa"/>
            <w:tcBorders>
              <w:top w:val="single" w:sz="2" w:space="0" w:color="auto"/>
              <w:bottom w:val="single" w:sz="2" w:space="0" w:color="auto"/>
            </w:tcBorders>
            <w:shd w:val="clear" w:color="auto" w:fill="FFFFFF" w:themeFill="background1"/>
            <w:vAlign w:val="center"/>
            <w:hideMark/>
          </w:tcPr>
          <w:p w:rsidR="00BE1465" w:rsidRPr="004160B9" w:rsidRDefault="00BE1465" w:rsidP="00BE1465">
            <w:pPr>
              <w:spacing w:after="0"/>
              <w:ind w:firstLine="0"/>
              <w:jc w:val="left"/>
              <w:rPr>
                <w:rFonts w:ascii="Arial Narrow" w:hAnsi="Arial Narrow"/>
                <w:color w:val="000000"/>
                <w:lang w:val="es-ES" w:eastAsia="es-ES"/>
              </w:rPr>
            </w:pPr>
            <w:r w:rsidRPr="004160B9">
              <w:rPr>
                <w:rFonts w:ascii="Arial Narrow" w:hAnsi="Arial Narrow"/>
                <w:color w:val="000000"/>
                <w:lang w:val="es-ES" w:eastAsia="es-ES"/>
              </w:rPr>
              <w:t>Bilbao</w:t>
            </w:r>
          </w:p>
        </w:tc>
        <w:tc>
          <w:tcPr>
            <w:tcW w:w="825"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354.860</w:t>
            </w:r>
          </w:p>
        </w:tc>
        <w:tc>
          <w:tcPr>
            <w:tcW w:w="825"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345.821</w:t>
            </w:r>
          </w:p>
        </w:tc>
        <w:tc>
          <w:tcPr>
            <w:tcW w:w="1041" w:type="dxa"/>
            <w:tcBorders>
              <w:top w:val="single" w:sz="2" w:space="0" w:color="auto"/>
              <w:bottom w:val="single" w:sz="2" w:space="0" w:color="auto"/>
              <w:right w:val="single" w:sz="2" w:space="0" w:color="auto"/>
            </w:tcBorders>
            <w:shd w:val="clear" w:color="auto" w:fill="FFFFFF" w:themeFill="background1"/>
            <w:noWrap/>
            <w:vAlign w:val="center"/>
            <w:hideMark/>
          </w:tcPr>
          <w:p w:rsidR="00BE1465" w:rsidRPr="004160B9" w:rsidRDefault="00BE1465" w:rsidP="00B850F7">
            <w:pPr>
              <w:spacing w:after="0"/>
              <w:ind w:left="-74" w:firstLine="0"/>
              <w:jc w:val="right"/>
              <w:rPr>
                <w:rFonts w:ascii="Arial Narrow" w:hAnsi="Arial Narrow"/>
                <w:color w:val="000000"/>
                <w:lang w:val="es-ES" w:eastAsia="es-ES"/>
              </w:rPr>
            </w:pPr>
            <w:r w:rsidRPr="004160B9">
              <w:rPr>
                <w:rFonts w:ascii="Arial Narrow" w:hAnsi="Arial Narrow"/>
                <w:color w:val="000000"/>
                <w:lang w:val="es-ES" w:eastAsia="es-ES"/>
              </w:rPr>
              <w:t>-</w:t>
            </w:r>
            <w:r>
              <w:rPr>
                <w:rFonts w:ascii="Arial Narrow" w:hAnsi="Arial Narrow"/>
                <w:color w:val="000000"/>
                <w:lang w:val="es-ES" w:eastAsia="es-ES"/>
              </w:rPr>
              <w:t>3</w:t>
            </w:r>
          </w:p>
        </w:tc>
        <w:tc>
          <w:tcPr>
            <w:tcW w:w="1144" w:type="dxa"/>
            <w:tcBorders>
              <w:top w:val="single" w:sz="2" w:space="0" w:color="auto"/>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254.560.622</w:t>
            </w:r>
          </w:p>
        </w:tc>
        <w:tc>
          <w:tcPr>
            <w:tcW w:w="1144"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329.185.720</w:t>
            </w:r>
          </w:p>
        </w:tc>
        <w:tc>
          <w:tcPr>
            <w:tcW w:w="1071" w:type="dxa"/>
            <w:tcBorders>
              <w:top w:val="single" w:sz="2" w:space="0" w:color="auto"/>
              <w:bottom w:val="single" w:sz="2" w:space="0" w:color="auto"/>
              <w:righ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29</w:t>
            </w:r>
          </w:p>
        </w:tc>
        <w:tc>
          <w:tcPr>
            <w:tcW w:w="783" w:type="dxa"/>
            <w:tcBorders>
              <w:top w:val="single" w:sz="2" w:space="0" w:color="auto"/>
              <w:left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 xml:space="preserve">       </w:t>
            </w:r>
            <w:r w:rsidRPr="004160B9">
              <w:rPr>
                <w:rFonts w:ascii="Arial Narrow" w:hAnsi="Arial Narrow"/>
                <w:color w:val="000000"/>
                <w:lang w:val="es-ES" w:eastAsia="es-ES"/>
              </w:rPr>
              <w:t xml:space="preserve"> 717 </w:t>
            </w:r>
          </w:p>
        </w:tc>
        <w:tc>
          <w:tcPr>
            <w:tcW w:w="851"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952</w:t>
            </w:r>
          </w:p>
        </w:tc>
        <w:tc>
          <w:tcPr>
            <w:tcW w:w="1134" w:type="dxa"/>
            <w:tcBorders>
              <w:top w:val="single" w:sz="2" w:space="0" w:color="auto"/>
              <w:bottom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33</w:t>
            </w:r>
          </w:p>
        </w:tc>
      </w:tr>
      <w:tr w:rsidR="00BE1465" w:rsidRPr="004160B9" w:rsidTr="00E00A82">
        <w:trPr>
          <w:trHeight w:val="198"/>
          <w:jc w:val="center"/>
        </w:trPr>
        <w:tc>
          <w:tcPr>
            <w:tcW w:w="1469" w:type="dxa"/>
            <w:tcBorders>
              <w:top w:val="single" w:sz="2" w:space="0" w:color="auto"/>
            </w:tcBorders>
            <w:shd w:val="clear" w:color="auto" w:fill="FFFFFF" w:themeFill="background1"/>
            <w:vAlign w:val="center"/>
            <w:hideMark/>
          </w:tcPr>
          <w:p w:rsidR="00BE1465" w:rsidRPr="004160B9" w:rsidRDefault="00BE1465" w:rsidP="00BE1465">
            <w:pPr>
              <w:spacing w:after="0"/>
              <w:ind w:firstLine="0"/>
              <w:jc w:val="left"/>
              <w:rPr>
                <w:rFonts w:ascii="Arial Narrow" w:hAnsi="Arial Narrow"/>
                <w:color w:val="000000"/>
                <w:lang w:val="es-ES" w:eastAsia="es-ES"/>
              </w:rPr>
            </w:pPr>
            <w:r w:rsidRPr="004160B9">
              <w:rPr>
                <w:rFonts w:ascii="Arial Narrow" w:hAnsi="Arial Narrow"/>
                <w:color w:val="000000"/>
                <w:lang w:val="es-ES" w:eastAsia="es-ES"/>
              </w:rPr>
              <w:t>San Sebastián</w:t>
            </w:r>
          </w:p>
        </w:tc>
        <w:tc>
          <w:tcPr>
            <w:tcW w:w="825"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185.357</w:t>
            </w:r>
          </w:p>
        </w:tc>
        <w:tc>
          <w:tcPr>
            <w:tcW w:w="825"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186.665</w:t>
            </w:r>
          </w:p>
        </w:tc>
        <w:tc>
          <w:tcPr>
            <w:tcW w:w="1041" w:type="dxa"/>
            <w:tcBorders>
              <w:top w:val="single" w:sz="2" w:space="0" w:color="auto"/>
              <w:right w:val="single" w:sz="2" w:space="0" w:color="auto"/>
            </w:tcBorders>
            <w:shd w:val="clear" w:color="auto" w:fill="FFFFFF" w:themeFill="background1"/>
            <w:noWrap/>
            <w:vAlign w:val="center"/>
            <w:hideMark/>
          </w:tcPr>
          <w:p w:rsidR="00BE1465" w:rsidRPr="004160B9" w:rsidRDefault="00BE1465" w:rsidP="00B850F7">
            <w:pPr>
              <w:spacing w:after="0"/>
              <w:ind w:left="-74" w:firstLine="0"/>
              <w:jc w:val="right"/>
              <w:rPr>
                <w:rFonts w:ascii="Arial Narrow" w:hAnsi="Arial Narrow"/>
                <w:color w:val="000000"/>
                <w:lang w:val="es-ES" w:eastAsia="es-ES"/>
              </w:rPr>
            </w:pPr>
            <w:r w:rsidRPr="004160B9">
              <w:rPr>
                <w:rFonts w:ascii="Arial Narrow" w:hAnsi="Arial Narrow"/>
                <w:color w:val="000000"/>
                <w:lang w:val="es-ES" w:eastAsia="es-ES"/>
              </w:rPr>
              <w:t>0,7</w:t>
            </w:r>
          </w:p>
        </w:tc>
        <w:tc>
          <w:tcPr>
            <w:tcW w:w="1144" w:type="dxa"/>
            <w:tcBorders>
              <w:top w:val="single" w:sz="2" w:space="0" w:color="auto"/>
              <w:lef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95.101.876</w:t>
            </w:r>
          </w:p>
        </w:tc>
        <w:tc>
          <w:tcPr>
            <w:tcW w:w="1144"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140.017.197</w:t>
            </w:r>
          </w:p>
        </w:tc>
        <w:tc>
          <w:tcPr>
            <w:tcW w:w="1071" w:type="dxa"/>
            <w:tcBorders>
              <w:top w:val="single" w:sz="2" w:space="0" w:color="auto"/>
              <w:righ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47</w:t>
            </w:r>
          </w:p>
        </w:tc>
        <w:tc>
          <w:tcPr>
            <w:tcW w:w="783" w:type="dxa"/>
            <w:tcBorders>
              <w:top w:val="single" w:sz="2" w:space="0" w:color="auto"/>
              <w:left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 xml:space="preserve">       513 </w:t>
            </w:r>
          </w:p>
        </w:tc>
        <w:tc>
          <w:tcPr>
            <w:tcW w:w="851"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750</w:t>
            </w:r>
          </w:p>
        </w:tc>
        <w:tc>
          <w:tcPr>
            <w:tcW w:w="1134" w:type="dxa"/>
            <w:tcBorders>
              <w:top w:val="single" w:sz="2" w:space="0" w:color="auto"/>
            </w:tcBorders>
            <w:shd w:val="clear" w:color="auto" w:fill="FFFFFF" w:themeFill="background1"/>
            <w:noWrap/>
            <w:vAlign w:val="center"/>
            <w:hideMark/>
          </w:tcPr>
          <w:p w:rsidR="00BE1465" w:rsidRPr="004160B9" w:rsidRDefault="00BE1465" w:rsidP="00BE1465">
            <w:pPr>
              <w:spacing w:after="0"/>
              <w:ind w:firstLine="0"/>
              <w:jc w:val="right"/>
              <w:rPr>
                <w:rFonts w:ascii="Arial Narrow" w:hAnsi="Arial Narrow"/>
                <w:color w:val="000000"/>
                <w:lang w:val="es-ES" w:eastAsia="es-ES"/>
              </w:rPr>
            </w:pPr>
            <w:r w:rsidRPr="004160B9">
              <w:rPr>
                <w:rFonts w:ascii="Arial Narrow" w:hAnsi="Arial Narrow"/>
                <w:color w:val="000000"/>
                <w:lang w:val="es-ES" w:eastAsia="es-ES"/>
              </w:rPr>
              <w:t>46</w:t>
            </w:r>
          </w:p>
        </w:tc>
      </w:tr>
    </w:tbl>
    <w:p w:rsidR="00BE1465" w:rsidRDefault="00BE1465" w:rsidP="00BE1465">
      <w:pPr>
        <w:pStyle w:val="texto"/>
        <w:tabs>
          <w:tab w:val="clear" w:pos="2835"/>
          <w:tab w:val="clear" w:pos="3969"/>
          <w:tab w:val="clear" w:pos="5103"/>
          <w:tab w:val="clear" w:pos="6237"/>
          <w:tab w:val="clear" w:pos="7371"/>
        </w:tabs>
        <w:spacing w:before="240" w:after="120"/>
        <w:rPr>
          <w:szCs w:val="26"/>
        </w:rPr>
      </w:pPr>
      <w:r>
        <w:rPr>
          <w:szCs w:val="26"/>
        </w:rPr>
        <w:t>Como se observa, Pamplona es la capital con una cuantía por habitante m</w:t>
      </w:r>
      <w:r>
        <w:rPr>
          <w:szCs w:val="26"/>
        </w:rPr>
        <w:t>e</w:t>
      </w:r>
      <w:r>
        <w:rPr>
          <w:szCs w:val="26"/>
        </w:rPr>
        <w:t>nor con 418 euros per cápita. Además, es la única capital en la que el fondo disminuye en el intervalo temporal considerado, si bien hay que tener en cuenta que en 2009 el fondo</w:t>
      </w:r>
      <w:r w:rsidR="007C215D">
        <w:rPr>
          <w:szCs w:val="26"/>
        </w:rPr>
        <w:t xml:space="preserve"> de Pamplona</w:t>
      </w:r>
      <w:r>
        <w:rPr>
          <w:szCs w:val="26"/>
        </w:rPr>
        <w:t xml:space="preserve"> contiene un </w:t>
      </w:r>
      <w:r w:rsidR="007C215D">
        <w:rPr>
          <w:szCs w:val="26"/>
        </w:rPr>
        <w:t>ingreso</w:t>
      </w:r>
      <w:r>
        <w:rPr>
          <w:szCs w:val="26"/>
        </w:rPr>
        <w:t xml:space="preserve"> de nueve millones de euros correspondiente al PIL, y en 2018 no existió ningún </w:t>
      </w:r>
      <w:r w:rsidR="007C215D">
        <w:rPr>
          <w:szCs w:val="26"/>
        </w:rPr>
        <w:t>ingreso</w:t>
      </w:r>
      <w:r>
        <w:rPr>
          <w:szCs w:val="26"/>
        </w:rPr>
        <w:t xml:space="preserve"> asociado a este concepto.</w:t>
      </w:r>
      <w:r w:rsidR="007C215D">
        <w:rPr>
          <w:szCs w:val="26"/>
        </w:rPr>
        <w:t xml:space="preserve"> Si no tuviéramos en cuenta este efecto, la variación habría sido positiva en un 12 por ciento, cifra que sigue siendo significativamente menor a las del resto de capitales.</w:t>
      </w:r>
    </w:p>
    <w:p w:rsidR="00BE1465" w:rsidRPr="00E00A82" w:rsidRDefault="00BE1465" w:rsidP="00E00A82">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E00A82">
        <w:rPr>
          <w:rFonts w:cs="Arial"/>
        </w:rPr>
        <w:t>En cuanto al fondo por tramo poblacional</w:t>
      </w:r>
      <w:r w:rsidR="007C215D" w:rsidRPr="00E00A82">
        <w:rPr>
          <w:rFonts w:cs="Arial"/>
        </w:rPr>
        <w:t xml:space="preserve"> en 2018</w:t>
      </w:r>
      <w:r w:rsidRPr="00E00A82">
        <w:rPr>
          <w:rFonts w:cs="Arial"/>
        </w:rPr>
        <w:t>,</w:t>
      </w:r>
      <w:r w:rsidR="00FB6DD2">
        <w:rPr>
          <w:rFonts w:cs="Arial"/>
        </w:rPr>
        <w:t xml:space="preserve"> sin incluir los datos c</w:t>
      </w:r>
      <w:r w:rsidR="00FB6DD2">
        <w:rPr>
          <w:rFonts w:cs="Arial"/>
        </w:rPr>
        <w:t>o</w:t>
      </w:r>
      <w:r w:rsidR="00FB6DD2">
        <w:rPr>
          <w:rFonts w:cs="Arial"/>
        </w:rPr>
        <w:t>rrespondientes a las capitales de provincia,</w:t>
      </w:r>
      <w:r w:rsidRPr="00E00A82">
        <w:rPr>
          <w:rFonts w:cs="Arial"/>
        </w:rPr>
        <w:t xml:space="preserve"> los resultados obtenidos son:</w:t>
      </w:r>
    </w:p>
    <w:tbl>
      <w:tblPr>
        <w:tblW w:w="10268" w:type="dxa"/>
        <w:jc w:val="center"/>
        <w:tblInd w:w="-29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018"/>
        <w:gridCol w:w="1059"/>
        <w:gridCol w:w="985"/>
        <w:gridCol w:w="1059"/>
        <w:gridCol w:w="985"/>
        <w:gridCol w:w="1059"/>
        <w:gridCol w:w="1059"/>
        <w:gridCol w:w="1059"/>
        <w:gridCol w:w="985"/>
      </w:tblGrid>
      <w:tr w:rsidR="009356C1" w:rsidRPr="00521986" w:rsidTr="00D60805">
        <w:trPr>
          <w:trHeight w:val="198"/>
          <w:jc w:val="center"/>
        </w:trPr>
        <w:tc>
          <w:tcPr>
            <w:tcW w:w="2018" w:type="dxa"/>
            <w:vMerge w:val="restart"/>
            <w:shd w:val="clear" w:color="auto" w:fill="FABF8F" w:themeFill="accent6" w:themeFillTint="99"/>
            <w:noWrap/>
            <w:vAlign w:val="center"/>
            <w:hideMark/>
          </w:tcPr>
          <w:p w:rsidR="009356C1" w:rsidRPr="00521986" w:rsidRDefault="009356C1" w:rsidP="00E00A82">
            <w:pPr>
              <w:spacing w:after="0"/>
              <w:ind w:right="-94" w:firstLine="0"/>
              <w:jc w:val="left"/>
              <w:rPr>
                <w:rFonts w:ascii="Arial" w:hAnsi="Arial" w:cs="Arial"/>
                <w:color w:val="000000"/>
                <w:sz w:val="18"/>
                <w:szCs w:val="18"/>
                <w:lang w:val="es-ES" w:eastAsia="es-ES"/>
              </w:rPr>
            </w:pPr>
            <w:r w:rsidRPr="00521986">
              <w:rPr>
                <w:rFonts w:ascii="Arial" w:hAnsi="Arial" w:cs="Arial"/>
                <w:color w:val="000000"/>
                <w:sz w:val="18"/>
                <w:szCs w:val="18"/>
                <w:lang w:val="es-ES" w:eastAsia="es-ES"/>
              </w:rPr>
              <w:t>Tramo</w:t>
            </w:r>
            <w:r w:rsidR="00E00A82">
              <w:rPr>
                <w:rFonts w:ascii="Arial" w:hAnsi="Arial" w:cs="Arial"/>
                <w:color w:val="000000"/>
                <w:sz w:val="18"/>
                <w:szCs w:val="18"/>
                <w:lang w:val="es-ES" w:eastAsia="es-ES"/>
              </w:rPr>
              <w:t xml:space="preserve"> </w:t>
            </w:r>
            <w:r w:rsidRPr="00521986">
              <w:rPr>
                <w:rFonts w:ascii="Arial" w:hAnsi="Arial" w:cs="Arial"/>
                <w:color w:val="000000"/>
                <w:sz w:val="18"/>
                <w:szCs w:val="18"/>
                <w:lang w:val="es-ES" w:eastAsia="es-ES"/>
              </w:rPr>
              <w:t xml:space="preserve"> poblacional</w:t>
            </w:r>
          </w:p>
        </w:tc>
        <w:tc>
          <w:tcPr>
            <w:tcW w:w="2044" w:type="dxa"/>
            <w:gridSpan w:val="2"/>
            <w:tcBorders>
              <w:bottom w:val="single" w:sz="2" w:space="0" w:color="auto"/>
            </w:tcBorders>
            <w:shd w:val="clear" w:color="auto" w:fill="FABF8F" w:themeFill="accent6" w:themeFillTint="99"/>
            <w:noWrap/>
            <w:vAlign w:val="center"/>
            <w:hideMark/>
          </w:tcPr>
          <w:p w:rsidR="009356C1" w:rsidRPr="00521986" w:rsidRDefault="009356C1" w:rsidP="00BE1465">
            <w:pPr>
              <w:spacing w:after="0"/>
              <w:ind w:firstLine="0"/>
              <w:jc w:val="center"/>
              <w:rPr>
                <w:rFonts w:ascii="Arial" w:hAnsi="Arial" w:cs="Arial"/>
                <w:color w:val="000000"/>
                <w:sz w:val="18"/>
                <w:szCs w:val="18"/>
                <w:lang w:val="es-ES" w:eastAsia="es-ES"/>
              </w:rPr>
            </w:pPr>
            <w:r w:rsidRPr="00521986">
              <w:rPr>
                <w:rFonts w:ascii="Arial" w:hAnsi="Arial" w:cs="Arial"/>
                <w:color w:val="000000"/>
                <w:sz w:val="18"/>
                <w:szCs w:val="18"/>
                <w:lang w:val="es-ES" w:eastAsia="es-ES"/>
              </w:rPr>
              <w:t>Navarra</w:t>
            </w:r>
          </w:p>
        </w:tc>
        <w:tc>
          <w:tcPr>
            <w:tcW w:w="2044" w:type="dxa"/>
            <w:gridSpan w:val="2"/>
            <w:tcBorders>
              <w:bottom w:val="single" w:sz="2" w:space="0" w:color="auto"/>
            </w:tcBorders>
            <w:shd w:val="clear" w:color="auto" w:fill="FABF8F" w:themeFill="accent6" w:themeFillTint="99"/>
            <w:noWrap/>
            <w:vAlign w:val="center"/>
            <w:hideMark/>
          </w:tcPr>
          <w:p w:rsidR="009356C1" w:rsidRPr="00521986" w:rsidRDefault="009356C1" w:rsidP="00BE1465">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Araba/</w:t>
            </w:r>
            <w:r w:rsidRPr="00521986">
              <w:rPr>
                <w:rFonts w:ascii="Arial" w:hAnsi="Arial" w:cs="Arial"/>
                <w:color w:val="000000"/>
                <w:sz w:val="18"/>
                <w:szCs w:val="18"/>
                <w:lang w:val="es-ES" w:eastAsia="es-ES"/>
              </w:rPr>
              <w:t>Álava</w:t>
            </w:r>
          </w:p>
        </w:tc>
        <w:tc>
          <w:tcPr>
            <w:tcW w:w="2118" w:type="dxa"/>
            <w:gridSpan w:val="2"/>
            <w:tcBorders>
              <w:bottom w:val="single" w:sz="2" w:space="0" w:color="auto"/>
            </w:tcBorders>
            <w:shd w:val="clear" w:color="auto" w:fill="FABF8F" w:themeFill="accent6" w:themeFillTint="99"/>
            <w:vAlign w:val="center"/>
          </w:tcPr>
          <w:p w:rsidR="009356C1" w:rsidRPr="00521986" w:rsidRDefault="009356C1" w:rsidP="00DB59A4">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Bizkaia</w:t>
            </w:r>
          </w:p>
        </w:tc>
        <w:tc>
          <w:tcPr>
            <w:tcW w:w="2044" w:type="dxa"/>
            <w:gridSpan w:val="2"/>
            <w:tcBorders>
              <w:bottom w:val="single" w:sz="2" w:space="0" w:color="auto"/>
            </w:tcBorders>
            <w:shd w:val="clear" w:color="auto" w:fill="FABF8F" w:themeFill="accent6" w:themeFillTint="99"/>
            <w:noWrap/>
            <w:vAlign w:val="center"/>
            <w:hideMark/>
          </w:tcPr>
          <w:p w:rsidR="009356C1" w:rsidRPr="00521986" w:rsidRDefault="009356C1" w:rsidP="00BE1465">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val="es-ES" w:eastAsia="es-ES"/>
              </w:rPr>
              <w:t>Gipuzkoa</w:t>
            </w:r>
          </w:p>
        </w:tc>
      </w:tr>
      <w:tr w:rsidR="009356C1" w:rsidRPr="00521986" w:rsidTr="00D60805">
        <w:trPr>
          <w:trHeight w:val="198"/>
          <w:jc w:val="center"/>
        </w:trPr>
        <w:tc>
          <w:tcPr>
            <w:tcW w:w="2018" w:type="dxa"/>
            <w:vMerge/>
            <w:tcBorders>
              <w:bottom w:val="single" w:sz="4" w:space="0" w:color="auto"/>
            </w:tcBorders>
            <w:shd w:val="clear" w:color="auto" w:fill="FABF8F" w:themeFill="accent6" w:themeFillTint="99"/>
            <w:vAlign w:val="center"/>
            <w:hideMark/>
          </w:tcPr>
          <w:p w:rsidR="009356C1" w:rsidRPr="00521986" w:rsidRDefault="009356C1" w:rsidP="00BE1465">
            <w:pPr>
              <w:spacing w:after="0"/>
              <w:ind w:firstLine="0"/>
              <w:jc w:val="left"/>
              <w:rPr>
                <w:rFonts w:ascii="Arial" w:hAnsi="Arial" w:cs="Arial"/>
                <w:color w:val="000000"/>
                <w:sz w:val="18"/>
                <w:szCs w:val="18"/>
                <w:lang w:val="es-ES" w:eastAsia="es-ES"/>
              </w:rPr>
            </w:pPr>
          </w:p>
        </w:tc>
        <w:tc>
          <w:tcPr>
            <w:tcW w:w="1059" w:type="dxa"/>
            <w:tcBorders>
              <w:top w:val="single" w:sz="2" w:space="0" w:color="auto"/>
              <w:bottom w:val="single" w:sz="4" w:space="0" w:color="auto"/>
            </w:tcBorders>
            <w:shd w:val="clear" w:color="auto" w:fill="FABF8F" w:themeFill="accent6" w:themeFillTint="99"/>
            <w:noWrap/>
            <w:vAlign w:val="center"/>
            <w:hideMark/>
          </w:tcPr>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 xml:space="preserve">Fondo </w:t>
            </w:r>
          </w:p>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medio</w:t>
            </w:r>
          </w:p>
        </w:tc>
        <w:tc>
          <w:tcPr>
            <w:tcW w:w="985"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9356C1" w:rsidRPr="00521986" w:rsidRDefault="00D60805" w:rsidP="00BE1465">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Número</w:t>
            </w:r>
            <w:r w:rsidR="009356C1" w:rsidRPr="00521986">
              <w:rPr>
                <w:rFonts w:ascii="Arial" w:hAnsi="Arial" w:cs="Arial"/>
                <w:color w:val="000000"/>
                <w:sz w:val="16"/>
                <w:szCs w:val="16"/>
                <w:lang w:val="es-ES" w:eastAsia="es-ES"/>
              </w:rPr>
              <w:t xml:space="preserve"> </w:t>
            </w:r>
          </w:p>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municipios</w:t>
            </w:r>
          </w:p>
        </w:tc>
        <w:tc>
          <w:tcPr>
            <w:tcW w:w="1059" w:type="dxa"/>
            <w:tcBorders>
              <w:top w:val="single" w:sz="2" w:space="0" w:color="auto"/>
              <w:left w:val="single" w:sz="2" w:space="0" w:color="auto"/>
              <w:bottom w:val="single" w:sz="4" w:space="0" w:color="auto"/>
            </w:tcBorders>
            <w:shd w:val="clear" w:color="auto" w:fill="FABF8F" w:themeFill="accent6" w:themeFillTint="99"/>
            <w:noWrap/>
            <w:vAlign w:val="center"/>
            <w:hideMark/>
          </w:tcPr>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 xml:space="preserve">Fondo </w:t>
            </w:r>
          </w:p>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medio</w:t>
            </w:r>
          </w:p>
        </w:tc>
        <w:tc>
          <w:tcPr>
            <w:tcW w:w="985" w:type="dxa"/>
            <w:tcBorders>
              <w:top w:val="single" w:sz="2" w:space="0" w:color="auto"/>
              <w:bottom w:val="single" w:sz="4" w:space="0" w:color="auto"/>
              <w:right w:val="single" w:sz="2" w:space="0" w:color="auto"/>
            </w:tcBorders>
            <w:shd w:val="clear" w:color="auto" w:fill="FABF8F" w:themeFill="accent6" w:themeFillTint="99"/>
            <w:noWrap/>
            <w:vAlign w:val="center"/>
            <w:hideMark/>
          </w:tcPr>
          <w:p w:rsidR="009356C1" w:rsidRPr="00521986" w:rsidRDefault="00D60805" w:rsidP="00BE1465">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Número</w:t>
            </w:r>
          </w:p>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municipios</w:t>
            </w:r>
          </w:p>
        </w:tc>
        <w:tc>
          <w:tcPr>
            <w:tcW w:w="1059"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9356C1" w:rsidRPr="00521986" w:rsidRDefault="009356C1" w:rsidP="00DB59A4">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Fondo</w:t>
            </w:r>
          </w:p>
          <w:p w:rsidR="009356C1" w:rsidRPr="00521986" w:rsidRDefault="009356C1" w:rsidP="00DB59A4">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 xml:space="preserve"> medio</w:t>
            </w:r>
          </w:p>
        </w:tc>
        <w:tc>
          <w:tcPr>
            <w:tcW w:w="1059"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9356C1" w:rsidRPr="00521986" w:rsidRDefault="00D60805" w:rsidP="00DB59A4">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Número</w:t>
            </w:r>
            <w:r w:rsidR="009356C1" w:rsidRPr="00521986">
              <w:rPr>
                <w:rFonts w:ascii="Arial" w:hAnsi="Arial" w:cs="Arial"/>
                <w:color w:val="000000"/>
                <w:sz w:val="16"/>
                <w:szCs w:val="16"/>
                <w:lang w:val="es-ES" w:eastAsia="es-ES"/>
              </w:rPr>
              <w:t xml:space="preserve"> </w:t>
            </w:r>
          </w:p>
          <w:p w:rsidR="009356C1" w:rsidRPr="00521986" w:rsidRDefault="009356C1" w:rsidP="00DB59A4">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municipios</w:t>
            </w:r>
          </w:p>
        </w:tc>
        <w:tc>
          <w:tcPr>
            <w:tcW w:w="1059" w:type="dxa"/>
            <w:tcBorders>
              <w:top w:val="single" w:sz="2" w:space="0" w:color="auto"/>
              <w:left w:val="single" w:sz="2" w:space="0" w:color="auto"/>
              <w:bottom w:val="single" w:sz="4" w:space="0" w:color="auto"/>
            </w:tcBorders>
            <w:shd w:val="clear" w:color="auto" w:fill="FABF8F" w:themeFill="accent6" w:themeFillTint="99"/>
            <w:noWrap/>
            <w:vAlign w:val="center"/>
            <w:hideMark/>
          </w:tcPr>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 xml:space="preserve">Fondo </w:t>
            </w:r>
          </w:p>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medio</w:t>
            </w:r>
          </w:p>
        </w:tc>
        <w:tc>
          <w:tcPr>
            <w:tcW w:w="985" w:type="dxa"/>
            <w:tcBorders>
              <w:top w:val="single" w:sz="2" w:space="0" w:color="auto"/>
              <w:bottom w:val="single" w:sz="4" w:space="0" w:color="auto"/>
              <w:right w:val="nil"/>
            </w:tcBorders>
            <w:shd w:val="clear" w:color="auto" w:fill="FABF8F" w:themeFill="accent6" w:themeFillTint="99"/>
            <w:noWrap/>
            <w:vAlign w:val="center"/>
            <w:hideMark/>
          </w:tcPr>
          <w:p w:rsidR="009356C1" w:rsidRPr="00521986" w:rsidRDefault="00D60805" w:rsidP="00BE1465">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Número</w:t>
            </w:r>
            <w:r w:rsidR="009356C1" w:rsidRPr="00521986">
              <w:rPr>
                <w:rFonts w:ascii="Arial" w:hAnsi="Arial" w:cs="Arial"/>
                <w:color w:val="000000"/>
                <w:sz w:val="16"/>
                <w:szCs w:val="16"/>
                <w:lang w:val="es-ES" w:eastAsia="es-ES"/>
              </w:rPr>
              <w:t xml:space="preserve"> </w:t>
            </w:r>
          </w:p>
          <w:p w:rsidR="009356C1" w:rsidRPr="00521986" w:rsidRDefault="009356C1" w:rsidP="00BE1465">
            <w:pPr>
              <w:spacing w:after="0"/>
              <w:ind w:firstLine="0"/>
              <w:jc w:val="right"/>
              <w:rPr>
                <w:rFonts w:ascii="Arial" w:hAnsi="Arial" w:cs="Arial"/>
                <w:color w:val="000000"/>
                <w:sz w:val="16"/>
                <w:szCs w:val="16"/>
                <w:lang w:val="es-ES" w:eastAsia="es-ES"/>
              </w:rPr>
            </w:pPr>
            <w:r w:rsidRPr="00521986">
              <w:rPr>
                <w:rFonts w:ascii="Arial" w:hAnsi="Arial" w:cs="Arial"/>
                <w:color w:val="000000"/>
                <w:sz w:val="16"/>
                <w:szCs w:val="16"/>
                <w:lang w:val="es-ES" w:eastAsia="es-ES"/>
              </w:rPr>
              <w:t>municipios</w:t>
            </w:r>
          </w:p>
        </w:tc>
      </w:tr>
      <w:tr w:rsidR="009356C1" w:rsidRPr="00521986" w:rsidTr="00D60805">
        <w:trPr>
          <w:trHeight w:val="198"/>
          <w:jc w:val="center"/>
        </w:trPr>
        <w:tc>
          <w:tcPr>
            <w:tcW w:w="2018" w:type="dxa"/>
            <w:tcBorders>
              <w:bottom w:val="single" w:sz="2" w:space="0" w:color="auto"/>
            </w:tcBorders>
            <w:shd w:val="clear" w:color="auto" w:fill="auto"/>
            <w:noWrap/>
            <w:vAlign w:val="center"/>
            <w:hideMark/>
          </w:tcPr>
          <w:p w:rsidR="009356C1" w:rsidRPr="00521986" w:rsidRDefault="009356C1" w:rsidP="00BE1465">
            <w:pPr>
              <w:spacing w:after="0"/>
              <w:ind w:firstLine="0"/>
              <w:jc w:val="left"/>
              <w:rPr>
                <w:rFonts w:ascii="Arial Narrow" w:hAnsi="Arial Narrow"/>
                <w:color w:val="000000"/>
                <w:lang w:val="es-ES" w:eastAsia="es-ES"/>
              </w:rPr>
            </w:pPr>
            <w:r w:rsidRPr="00521986">
              <w:rPr>
                <w:rFonts w:ascii="Arial Narrow" w:hAnsi="Arial Narrow"/>
                <w:color w:val="000000"/>
                <w:lang w:val="es-ES" w:eastAsia="es-ES"/>
              </w:rPr>
              <w:t>De 30</w:t>
            </w:r>
            <w:r>
              <w:rPr>
                <w:rFonts w:ascii="Arial Narrow" w:hAnsi="Arial Narrow"/>
                <w:color w:val="000000"/>
                <w:lang w:val="es-ES" w:eastAsia="es-ES"/>
              </w:rPr>
              <w:t>.</w:t>
            </w:r>
            <w:r w:rsidRPr="00521986">
              <w:rPr>
                <w:rFonts w:ascii="Arial Narrow" w:hAnsi="Arial Narrow"/>
                <w:color w:val="000000"/>
                <w:lang w:val="es-ES" w:eastAsia="es-ES"/>
              </w:rPr>
              <w:t>001 a 40</w:t>
            </w:r>
            <w:r>
              <w:rPr>
                <w:rFonts w:ascii="Arial Narrow" w:hAnsi="Arial Narrow"/>
                <w:color w:val="000000"/>
                <w:lang w:val="es-ES" w:eastAsia="es-ES"/>
              </w:rPr>
              <w:t>.</w:t>
            </w:r>
            <w:r w:rsidRPr="00521986">
              <w:rPr>
                <w:rFonts w:ascii="Arial Narrow" w:hAnsi="Arial Narrow"/>
                <w:color w:val="000000"/>
                <w:lang w:val="es-ES" w:eastAsia="es-ES"/>
              </w:rPr>
              <w:t>000</w:t>
            </w:r>
          </w:p>
        </w:tc>
        <w:tc>
          <w:tcPr>
            <w:tcW w:w="1059" w:type="dxa"/>
            <w:tcBorders>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10.776.408</w:t>
            </w:r>
          </w:p>
        </w:tc>
        <w:tc>
          <w:tcPr>
            <w:tcW w:w="985" w:type="dxa"/>
            <w:tcBorders>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c>
          <w:tcPr>
            <w:tcW w:w="1059" w:type="dxa"/>
            <w:tcBorders>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w:t>
            </w:r>
          </w:p>
        </w:tc>
        <w:tc>
          <w:tcPr>
            <w:tcW w:w="985" w:type="dxa"/>
            <w:tcBorders>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0</w:t>
            </w:r>
          </w:p>
        </w:tc>
        <w:tc>
          <w:tcPr>
            <w:tcW w:w="1059" w:type="dxa"/>
            <w:tcBorders>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19.853.164</w:t>
            </w:r>
          </w:p>
        </w:tc>
        <w:tc>
          <w:tcPr>
            <w:tcW w:w="1059" w:type="dxa"/>
            <w:tcBorders>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c>
          <w:tcPr>
            <w:tcW w:w="1059" w:type="dxa"/>
            <w:tcBorders>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27.583.605</w:t>
            </w:r>
          </w:p>
        </w:tc>
        <w:tc>
          <w:tcPr>
            <w:tcW w:w="985" w:type="dxa"/>
            <w:tcBorders>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 xml:space="preserve">De 18.000 a 23.000 </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4.908.430</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12.507.936</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12.085.353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13.773.528</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13.000 a 17.999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3.851.922</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10.600.237</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10.597.656</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6</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8.500 a 12.999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2.747.317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8.627.887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7.345.716</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7.407.781</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7</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7.000 a  8.499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2.130.129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5.179.944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5.923.347</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5.800 a  6.999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1.979.798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4.304.768</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4.346.273</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4.700 a  5.799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1.853.775</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3.688.071</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3.679.804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3.816.445</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4.000 a  4.699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1.232.128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r>
              <w:rPr>
                <w:rFonts w:ascii="Arial Narrow" w:hAnsi="Arial Narrow"/>
                <w:color w:val="000000"/>
                <w:lang w:val="es-ES" w:eastAsia="es-ES"/>
              </w:rPr>
              <w:t>.</w:t>
            </w:r>
            <w:r w:rsidRPr="00521986">
              <w:rPr>
                <w:rFonts w:ascii="Arial Narrow" w:hAnsi="Arial Narrow"/>
                <w:color w:val="000000"/>
                <w:lang w:val="es-ES" w:eastAsia="es-ES"/>
              </w:rPr>
              <w:t>952</w:t>
            </w:r>
            <w:r>
              <w:rPr>
                <w:rFonts w:ascii="Arial Narrow" w:hAnsi="Arial Narrow"/>
                <w:color w:val="000000"/>
                <w:lang w:val="es-ES" w:eastAsia="es-ES"/>
              </w:rPr>
              <w:t>.</w:t>
            </w:r>
            <w:r w:rsidRPr="00521986">
              <w:rPr>
                <w:rFonts w:ascii="Arial Narrow" w:hAnsi="Arial Narrow"/>
                <w:color w:val="000000"/>
                <w:lang w:val="es-ES" w:eastAsia="es-ES"/>
              </w:rPr>
              <w:t>723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2.908.796</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3.500 a  3.999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1.092.587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2.521.923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2.686.025</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3.000 a  3.499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1.097.974</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2.630.471</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2.218.031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2.500 a  2.999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879.437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10</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4.119.877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1.967.446</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2.032.062</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2.000 a  2.499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804.398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2.339.826</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1.583.964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1.469.377</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1.500 a  1.999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587.188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1.569.359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1.213.294</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6</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1.137.663</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6</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1.000 a  1.499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500.079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14</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1.218.617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7</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1.016.475</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14</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895.304</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500 a  999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297.554</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36</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1.143.425</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674.828</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540.308</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9</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400 a  499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191.564</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11</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433.439</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487.486</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386.033</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300 a  399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188.037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19</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876.300</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379.550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6</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310.391</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200 a  299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139.737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28</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245.988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339973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241.665</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8</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100 a  199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69.607</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53</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151.552</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5</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244.723</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191.282</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6</w:t>
            </w:r>
          </w:p>
        </w:tc>
      </w:tr>
      <w:tr w:rsidR="009356C1" w:rsidRPr="00521986" w:rsidTr="00D60805">
        <w:trPr>
          <w:trHeight w:val="198"/>
          <w:jc w:val="center"/>
        </w:trPr>
        <w:tc>
          <w:tcPr>
            <w:tcW w:w="2018" w:type="dxa"/>
            <w:tcBorders>
              <w:top w:val="single" w:sz="2" w:space="0" w:color="auto"/>
              <w:bottom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De 50 a 99</w:t>
            </w:r>
          </w:p>
        </w:tc>
        <w:tc>
          <w:tcPr>
            <w:tcW w:w="1059" w:type="dxa"/>
            <w:tcBorders>
              <w:top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45.198</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27</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1059" w:type="dxa"/>
            <w:tcBorders>
              <w:top w:val="single" w:sz="2" w:space="0" w:color="auto"/>
              <w:left w:val="single" w:sz="2" w:space="0" w:color="auto"/>
              <w:bottom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bottom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bottom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9356C1" w:rsidRPr="00521986" w:rsidTr="00D60805">
        <w:trPr>
          <w:trHeight w:val="198"/>
          <w:jc w:val="center"/>
        </w:trPr>
        <w:tc>
          <w:tcPr>
            <w:tcW w:w="2018" w:type="dxa"/>
            <w:tcBorders>
              <w:top w:val="single" w:sz="2" w:space="0" w:color="auto"/>
            </w:tcBorders>
            <w:shd w:val="clear" w:color="auto" w:fill="auto"/>
            <w:noWrap/>
            <w:vAlign w:val="center"/>
            <w:hideMark/>
          </w:tcPr>
          <w:p w:rsidR="009356C1" w:rsidRPr="00D03365" w:rsidRDefault="009356C1" w:rsidP="00BE1465">
            <w:pPr>
              <w:spacing w:after="0"/>
              <w:ind w:firstLine="0"/>
              <w:jc w:val="left"/>
              <w:rPr>
                <w:rFonts w:ascii="Arial Narrow" w:hAnsi="Arial Narrow"/>
                <w:color w:val="000000"/>
                <w:lang w:val="es-ES" w:eastAsia="es-ES"/>
              </w:rPr>
            </w:pPr>
            <w:r w:rsidRPr="00D03365">
              <w:rPr>
                <w:rFonts w:ascii="Arial Narrow" w:hAnsi="Arial Narrow"/>
                <w:color w:val="000000"/>
                <w:lang w:val="es-ES" w:eastAsia="es-ES"/>
              </w:rPr>
              <w:t>Hasta 49</w:t>
            </w:r>
          </w:p>
        </w:tc>
        <w:tc>
          <w:tcPr>
            <w:tcW w:w="1059" w:type="dxa"/>
            <w:tcBorders>
              <w:top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26.419</w:t>
            </w:r>
          </w:p>
        </w:tc>
        <w:tc>
          <w:tcPr>
            <w:tcW w:w="985" w:type="dxa"/>
            <w:tcBorders>
              <w:top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sidRPr="00521986">
              <w:rPr>
                <w:rFonts w:ascii="Arial Narrow" w:hAnsi="Arial Narrow"/>
                <w:color w:val="000000"/>
                <w:lang w:val="es-ES" w:eastAsia="es-ES"/>
              </w:rPr>
              <w:t>15</w:t>
            </w:r>
          </w:p>
        </w:tc>
        <w:tc>
          <w:tcPr>
            <w:tcW w:w="1059" w:type="dxa"/>
            <w:tcBorders>
              <w:top w:val="single" w:sz="2" w:space="0" w:color="auto"/>
              <w:lef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righ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1059" w:type="dxa"/>
            <w:tcBorders>
              <w:top w:val="single" w:sz="2" w:space="0" w:color="auto"/>
              <w:left w:val="single" w:sz="2" w:space="0" w:color="auto"/>
              <w:right w:val="single" w:sz="2" w:space="0" w:color="auto"/>
            </w:tcBorders>
            <w:vAlign w:val="center"/>
          </w:tcPr>
          <w:p w:rsidR="009356C1" w:rsidRPr="00521986" w:rsidRDefault="009356C1" w:rsidP="00DB59A4">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c>
          <w:tcPr>
            <w:tcW w:w="1059" w:type="dxa"/>
            <w:tcBorders>
              <w:top w:val="single" w:sz="2" w:space="0" w:color="auto"/>
              <w:left w:val="single" w:sz="2" w:space="0" w:color="auto"/>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r w:rsidRPr="00521986">
              <w:rPr>
                <w:rFonts w:ascii="Arial Narrow" w:hAnsi="Arial Narrow"/>
                <w:color w:val="000000"/>
                <w:lang w:val="es-ES" w:eastAsia="es-ES"/>
              </w:rPr>
              <w:t> </w:t>
            </w:r>
          </w:p>
        </w:tc>
        <w:tc>
          <w:tcPr>
            <w:tcW w:w="985" w:type="dxa"/>
            <w:tcBorders>
              <w:top w:val="single" w:sz="2" w:space="0" w:color="auto"/>
              <w:right w:val="nil"/>
            </w:tcBorders>
            <w:shd w:val="clear" w:color="auto" w:fill="auto"/>
            <w:noWrap/>
            <w:vAlign w:val="center"/>
            <w:hideMark/>
          </w:tcPr>
          <w:p w:rsidR="009356C1" w:rsidRPr="00521986" w:rsidRDefault="009356C1"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bl>
    <w:p w:rsidR="000F71B8" w:rsidRDefault="000F71B8" w:rsidP="00BE1465">
      <w:pPr>
        <w:pStyle w:val="texto"/>
        <w:tabs>
          <w:tab w:val="clear" w:pos="2835"/>
          <w:tab w:val="clear" w:pos="3969"/>
          <w:tab w:val="clear" w:pos="5103"/>
          <w:tab w:val="clear" w:pos="6237"/>
          <w:tab w:val="clear" w:pos="7371"/>
        </w:tabs>
        <w:spacing w:before="240"/>
        <w:rPr>
          <w:szCs w:val="26"/>
          <w:lang w:val="es-ES"/>
        </w:rPr>
      </w:pPr>
    </w:p>
    <w:p w:rsidR="000F71B8" w:rsidRDefault="000F71B8">
      <w:pPr>
        <w:spacing w:after="0"/>
        <w:ind w:firstLine="0"/>
        <w:jc w:val="left"/>
        <w:rPr>
          <w:spacing w:val="6"/>
          <w:sz w:val="26"/>
          <w:szCs w:val="26"/>
          <w:lang w:val="es-ES"/>
        </w:rPr>
      </w:pPr>
      <w:r>
        <w:rPr>
          <w:szCs w:val="26"/>
          <w:lang w:val="es-ES"/>
        </w:rPr>
        <w:br w:type="page"/>
      </w:r>
    </w:p>
    <w:p w:rsidR="00BE1465" w:rsidRDefault="00BE1465" w:rsidP="00BE1465">
      <w:pPr>
        <w:pStyle w:val="texto"/>
        <w:tabs>
          <w:tab w:val="clear" w:pos="2835"/>
          <w:tab w:val="clear" w:pos="3969"/>
          <w:tab w:val="clear" w:pos="5103"/>
          <w:tab w:val="clear" w:pos="6237"/>
          <w:tab w:val="clear" w:pos="7371"/>
        </w:tabs>
        <w:spacing w:before="240"/>
        <w:rPr>
          <w:szCs w:val="26"/>
          <w:lang w:val="es-ES"/>
        </w:rPr>
      </w:pPr>
      <w:r>
        <w:rPr>
          <w:szCs w:val="26"/>
          <w:lang w:val="es-ES"/>
        </w:rPr>
        <w:lastRenderedPageBreak/>
        <w:t xml:space="preserve">Como se observa, </w:t>
      </w:r>
      <w:r w:rsidR="00FB6DD2">
        <w:rPr>
          <w:szCs w:val="26"/>
          <w:lang w:val="es-ES"/>
        </w:rPr>
        <w:t>también</w:t>
      </w:r>
      <w:r>
        <w:rPr>
          <w:szCs w:val="26"/>
          <w:lang w:val="es-ES"/>
        </w:rPr>
        <w:t xml:space="preserve"> existen diferencias </w:t>
      </w:r>
      <w:r w:rsidR="007C215D">
        <w:rPr>
          <w:szCs w:val="26"/>
          <w:lang w:val="es-ES"/>
        </w:rPr>
        <w:t xml:space="preserve">muy </w:t>
      </w:r>
      <w:r>
        <w:rPr>
          <w:szCs w:val="26"/>
          <w:lang w:val="es-ES"/>
        </w:rPr>
        <w:t>relevantes en</w:t>
      </w:r>
      <w:r w:rsidR="00FB6DD2">
        <w:rPr>
          <w:szCs w:val="26"/>
          <w:lang w:val="es-ES"/>
        </w:rPr>
        <w:t xml:space="preserve"> el fondo percibido por</w:t>
      </w:r>
      <w:r>
        <w:rPr>
          <w:szCs w:val="26"/>
          <w:lang w:val="es-ES"/>
        </w:rPr>
        <w:t xml:space="preserve"> todos los tramos poblacionales entre Navarra y cualquiera de las provincias de la CAPV</w:t>
      </w:r>
      <w:r w:rsidR="007C215D">
        <w:rPr>
          <w:szCs w:val="26"/>
          <w:lang w:val="es-ES"/>
        </w:rPr>
        <w:t>,</w:t>
      </w:r>
      <w:r>
        <w:rPr>
          <w:szCs w:val="26"/>
          <w:lang w:val="es-ES"/>
        </w:rPr>
        <w:t xml:space="preserve"> con importes significativamente inferiores en el caso de la Comunidad Foral.</w:t>
      </w:r>
    </w:p>
    <w:p w:rsidR="00BE1465" w:rsidRPr="005C1BA0" w:rsidRDefault="00BE1465" w:rsidP="00FB6DD2">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Porcentaje que supone el fondo sobre los DRN</w:t>
      </w:r>
      <w:r w:rsidR="00FB6DD2">
        <w:rPr>
          <w:rFonts w:ascii="Arial" w:hAnsi="Arial"/>
          <w:i/>
          <w:iCs/>
          <w:color w:val="000000"/>
          <w:spacing w:val="10"/>
          <w:kern w:val="28"/>
          <w:sz w:val="25"/>
          <w:szCs w:val="26"/>
        </w:rPr>
        <w:t xml:space="preserve"> de los</w:t>
      </w:r>
      <w:r>
        <w:rPr>
          <w:rFonts w:ascii="Arial" w:hAnsi="Arial"/>
          <w:i/>
          <w:iCs/>
          <w:color w:val="000000"/>
          <w:spacing w:val="10"/>
          <w:kern w:val="28"/>
          <w:sz w:val="25"/>
          <w:szCs w:val="26"/>
        </w:rPr>
        <w:t xml:space="preserve"> capítulo</w:t>
      </w:r>
      <w:r w:rsidR="00FB6DD2">
        <w:rPr>
          <w:rFonts w:ascii="Arial" w:hAnsi="Arial"/>
          <w:i/>
          <w:iCs/>
          <w:color w:val="000000"/>
          <w:spacing w:val="10"/>
          <w:kern w:val="28"/>
          <w:sz w:val="25"/>
          <w:szCs w:val="26"/>
        </w:rPr>
        <w:t>s</w:t>
      </w:r>
      <w:r>
        <w:rPr>
          <w:rFonts w:ascii="Arial" w:hAnsi="Arial"/>
          <w:i/>
          <w:iCs/>
          <w:color w:val="000000"/>
          <w:spacing w:val="10"/>
          <w:kern w:val="28"/>
          <w:sz w:val="25"/>
          <w:szCs w:val="26"/>
        </w:rPr>
        <w:t xml:space="preserve"> 1 y 2 i</w:t>
      </w:r>
      <w:r>
        <w:rPr>
          <w:rFonts w:ascii="Arial" w:hAnsi="Arial"/>
          <w:i/>
          <w:iCs/>
          <w:color w:val="000000"/>
          <w:spacing w:val="10"/>
          <w:kern w:val="28"/>
          <w:sz w:val="25"/>
          <w:szCs w:val="26"/>
        </w:rPr>
        <w:t>n</w:t>
      </w:r>
      <w:r>
        <w:rPr>
          <w:rFonts w:ascii="Arial" w:hAnsi="Arial"/>
          <w:i/>
          <w:iCs/>
          <w:color w:val="000000"/>
          <w:spacing w:val="10"/>
          <w:kern w:val="28"/>
          <w:sz w:val="25"/>
          <w:szCs w:val="26"/>
        </w:rPr>
        <w:t>gresos</w:t>
      </w:r>
      <w:r w:rsidR="00FB6DD2">
        <w:rPr>
          <w:rFonts w:ascii="Arial" w:hAnsi="Arial"/>
          <w:i/>
          <w:iCs/>
          <w:color w:val="000000"/>
          <w:spacing w:val="10"/>
          <w:kern w:val="28"/>
          <w:sz w:val="25"/>
          <w:szCs w:val="26"/>
        </w:rPr>
        <w:t xml:space="preserve"> de la administración autonómica</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rPr>
          <w:szCs w:val="26"/>
        </w:rPr>
        <w:t>Hemos analizado el porcentaje que supone el fondo sobre los DRN del cap</w:t>
      </w:r>
      <w:r>
        <w:rPr>
          <w:szCs w:val="26"/>
        </w:rPr>
        <w:t>í</w:t>
      </w:r>
      <w:r>
        <w:rPr>
          <w:szCs w:val="26"/>
        </w:rPr>
        <w:t>tulo 1 y 2 de ingresos tanto en Navarra como en la CAPV, y el resultado es el siguiente:</w:t>
      </w:r>
    </w:p>
    <w:tbl>
      <w:tblPr>
        <w:tblW w:w="8777" w:type="dxa"/>
        <w:tblInd w:w="15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34"/>
        <w:gridCol w:w="694"/>
        <w:gridCol w:w="694"/>
        <w:gridCol w:w="694"/>
        <w:gridCol w:w="695"/>
        <w:gridCol w:w="694"/>
        <w:gridCol w:w="694"/>
        <w:gridCol w:w="695"/>
        <w:gridCol w:w="694"/>
        <w:gridCol w:w="694"/>
        <w:gridCol w:w="695"/>
      </w:tblGrid>
      <w:tr w:rsidR="00BE1465" w:rsidRPr="00870B9B" w:rsidTr="00E00A82">
        <w:trPr>
          <w:trHeight w:val="255"/>
        </w:trPr>
        <w:tc>
          <w:tcPr>
            <w:tcW w:w="1834" w:type="dxa"/>
            <w:shd w:val="clear" w:color="auto" w:fill="FABF8F" w:themeFill="accent6" w:themeFillTint="99"/>
          </w:tcPr>
          <w:p w:rsidR="00BE1465" w:rsidRPr="00870B9B" w:rsidRDefault="00BE1465" w:rsidP="00E00A82">
            <w:pPr>
              <w:pStyle w:val="texto"/>
              <w:tabs>
                <w:tab w:val="clear" w:pos="2835"/>
                <w:tab w:val="clear" w:pos="3969"/>
                <w:tab w:val="clear" w:pos="5103"/>
                <w:tab w:val="clear" w:pos="6237"/>
                <w:tab w:val="clear" w:pos="7371"/>
              </w:tabs>
              <w:spacing w:after="0"/>
              <w:ind w:left="-80" w:firstLine="0"/>
              <w:rPr>
                <w:rFonts w:ascii="Arial" w:hAnsi="Arial" w:cs="Arial"/>
                <w:sz w:val="18"/>
                <w:szCs w:val="18"/>
              </w:rPr>
            </w:pP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cs="Arial"/>
                <w:sz w:val="18"/>
                <w:szCs w:val="18"/>
              </w:rPr>
              <w:t>2009</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cs="Arial"/>
                <w:sz w:val="18"/>
                <w:szCs w:val="18"/>
              </w:rPr>
              <w:t>2010</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70B9B">
              <w:rPr>
                <w:rFonts w:ascii="Arial" w:hAnsi="Arial" w:cs="Arial"/>
                <w:sz w:val="18"/>
                <w:szCs w:val="18"/>
              </w:rPr>
              <w:t>2011</w:t>
            </w:r>
          </w:p>
        </w:tc>
        <w:tc>
          <w:tcPr>
            <w:tcW w:w="695"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70B9B">
              <w:rPr>
                <w:rFonts w:ascii="Arial" w:hAnsi="Arial" w:cs="Arial"/>
                <w:sz w:val="18"/>
                <w:szCs w:val="18"/>
              </w:rPr>
              <w:t>2012</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70B9B">
              <w:rPr>
                <w:rFonts w:ascii="Arial" w:hAnsi="Arial" w:cs="Arial"/>
                <w:sz w:val="18"/>
                <w:szCs w:val="18"/>
              </w:rPr>
              <w:t>2013</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70B9B">
              <w:rPr>
                <w:rFonts w:ascii="Arial" w:hAnsi="Arial" w:cs="Arial"/>
                <w:sz w:val="18"/>
                <w:szCs w:val="18"/>
              </w:rPr>
              <w:t>2014</w:t>
            </w:r>
          </w:p>
        </w:tc>
        <w:tc>
          <w:tcPr>
            <w:tcW w:w="695"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70B9B">
              <w:rPr>
                <w:rFonts w:ascii="Arial" w:hAnsi="Arial" w:cs="Arial"/>
                <w:sz w:val="18"/>
                <w:szCs w:val="18"/>
              </w:rPr>
              <w:t>2015</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70B9B">
              <w:rPr>
                <w:rFonts w:ascii="Arial" w:hAnsi="Arial" w:cs="Arial"/>
                <w:sz w:val="18"/>
                <w:szCs w:val="18"/>
              </w:rPr>
              <w:t>2016</w:t>
            </w:r>
          </w:p>
        </w:tc>
        <w:tc>
          <w:tcPr>
            <w:tcW w:w="694"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cs="Arial"/>
                <w:sz w:val="18"/>
                <w:szCs w:val="18"/>
              </w:rPr>
              <w:t>2017</w:t>
            </w:r>
          </w:p>
        </w:tc>
        <w:tc>
          <w:tcPr>
            <w:tcW w:w="695" w:type="dxa"/>
            <w:shd w:val="clear" w:color="auto" w:fill="FABF8F" w:themeFill="accent6" w:themeFillTint="99"/>
            <w:vAlign w:val="center"/>
          </w:tcPr>
          <w:p w:rsidR="00BE1465" w:rsidRPr="00870B9B"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Pr>
                <w:rFonts w:ascii="Arial" w:hAnsi="Arial" w:cs="Arial"/>
                <w:sz w:val="18"/>
                <w:szCs w:val="18"/>
              </w:rPr>
              <w:t>2018*</w:t>
            </w:r>
          </w:p>
        </w:tc>
      </w:tr>
      <w:tr w:rsidR="00BE1465" w:rsidRPr="005C1BA0" w:rsidTr="00E00A82">
        <w:trPr>
          <w:trHeight w:val="255"/>
        </w:trPr>
        <w:tc>
          <w:tcPr>
            <w:tcW w:w="1834" w:type="dxa"/>
            <w:vAlign w:val="center"/>
          </w:tcPr>
          <w:p w:rsidR="00BE1465" w:rsidRPr="005C1BA0" w:rsidRDefault="00BE1465" w:rsidP="00E00A82">
            <w:pPr>
              <w:pStyle w:val="texto"/>
              <w:tabs>
                <w:tab w:val="clear" w:pos="2835"/>
                <w:tab w:val="clear" w:pos="3969"/>
                <w:tab w:val="clear" w:pos="5103"/>
                <w:tab w:val="clear" w:pos="6237"/>
                <w:tab w:val="clear" w:pos="7371"/>
              </w:tabs>
              <w:spacing w:after="0"/>
              <w:ind w:left="-80" w:firstLine="0"/>
              <w:jc w:val="left"/>
              <w:rPr>
                <w:rFonts w:ascii="Arial" w:hAnsi="Arial" w:cs="Arial"/>
                <w:sz w:val="18"/>
                <w:szCs w:val="18"/>
              </w:rPr>
            </w:pPr>
            <w:r w:rsidRPr="005C1BA0">
              <w:rPr>
                <w:rFonts w:ascii="Arial" w:hAnsi="Arial" w:cs="Arial"/>
                <w:sz w:val="18"/>
                <w:szCs w:val="18"/>
              </w:rPr>
              <w:t xml:space="preserve">Navarra </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7,77</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7,95</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6,87</w:t>
            </w:r>
          </w:p>
        </w:tc>
        <w:tc>
          <w:tcPr>
            <w:tcW w:w="695"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7,63</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7,25</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7,06</w:t>
            </w:r>
          </w:p>
        </w:tc>
        <w:tc>
          <w:tcPr>
            <w:tcW w:w="695"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6,82</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6,58</w:t>
            </w:r>
          </w:p>
        </w:tc>
        <w:tc>
          <w:tcPr>
            <w:tcW w:w="694"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6,06</w:t>
            </w:r>
          </w:p>
        </w:tc>
        <w:tc>
          <w:tcPr>
            <w:tcW w:w="695" w:type="dxa"/>
            <w:vAlign w:val="center"/>
          </w:tcPr>
          <w:p w:rsidR="00BE1465" w:rsidRPr="008E6B08"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8E6B08">
              <w:rPr>
                <w:rFonts w:ascii="Arial" w:hAnsi="Arial" w:cs="Arial"/>
                <w:sz w:val="18"/>
                <w:szCs w:val="18"/>
              </w:rPr>
              <w:t>6,72</w:t>
            </w:r>
          </w:p>
        </w:tc>
      </w:tr>
      <w:tr w:rsidR="00BE1465" w:rsidRPr="00274FDB" w:rsidTr="00E00A82">
        <w:trPr>
          <w:trHeight w:val="255"/>
        </w:trPr>
        <w:tc>
          <w:tcPr>
            <w:tcW w:w="1834" w:type="dxa"/>
            <w:vAlign w:val="center"/>
          </w:tcPr>
          <w:p w:rsidR="00BE1465" w:rsidRPr="00274FDB" w:rsidRDefault="009356C1" w:rsidP="00E00A82">
            <w:pPr>
              <w:pStyle w:val="texto"/>
              <w:tabs>
                <w:tab w:val="clear" w:pos="2835"/>
                <w:tab w:val="clear" w:pos="3969"/>
                <w:tab w:val="clear" w:pos="5103"/>
                <w:tab w:val="clear" w:pos="6237"/>
                <w:tab w:val="clear" w:pos="7371"/>
              </w:tabs>
              <w:spacing w:after="0"/>
              <w:ind w:left="-80" w:firstLine="0"/>
              <w:jc w:val="left"/>
              <w:rPr>
                <w:rFonts w:ascii="Arial Narrow" w:hAnsi="Arial Narrow"/>
                <w:sz w:val="16"/>
                <w:szCs w:val="16"/>
              </w:rPr>
            </w:pPr>
            <w:r w:rsidRPr="00274FDB">
              <w:rPr>
                <w:rFonts w:ascii="Arial Narrow" w:hAnsi="Arial Narrow"/>
                <w:sz w:val="16"/>
                <w:szCs w:val="16"/>
              </w:rPr>
              <w:t>Araba/</w:t>
            </w:r>
            <w:r w:rsidR="00BE1465" w:rsidRPr="00274FDB">
              <w:rPr>
                <w:rFonts w:ascii="Arial Narrow" w:hAnsi="Arial Narrow"/>
                <w:sz w:val="16"/>
                <w:szCs w:val="16"/>
              </w:rPr>
              <w:t>Álava</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10,47</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11,96</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10,73</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11,64</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10,41</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11,26</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11,50</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10,80</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11,12</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10,65</w:t>
            </w:r>
          </w:p>
        </w:tc>
      </w:tr>
      <w:tr w:rsidR="00BE1465" w:rsidRPr="00274FDB" w:rsidTr="00E00A82">
        <w:trPr>
          <w:trHeight w:val="255"/>
        </w:trPr>
        <w:tc>
          <w:tcPr>
            <w:tcW w:w="1834" w:type="dxa"/>
            <w:vAlign w:val="center"/>
          </w:tcPr>
          <w:p w:rsidR="00BE1465" w:rsidRPr="00274FDB" w:rsidRDefault="009356C1" w:rsidP="00E00A82">
            <w:pPr>
              <w:pStyle w:val="texto"/>
              <w:tabs>
                <w:tab w:val="clear" w:pos="2835"/>
                <w:tab w:val="clear" w:pos="3969"/>
                <w:tab w:val="clear" w:pos="5103"/>
                <w:tab w:val="clear" w:pos="6237"/>
                <w:tab w:val="clear" w:pos="7371"/>
              </w:tabs>
              <w:spacing w:after="0"/>
              <w:ind w:left="-80" w:firstLine="0"/>
              <w:jc w:val="left"/>
              <w:rPr>
                <w:rFonts w:ascii="Arial Narrow" w:hAnsi="Arial Narrow"/>
                <w:sz w:val="16"/>
                <w:szCs w:val="16"/>
              </w:rPr>
            </w:pPr>
            <w:r w:rsidRPr="00274FDB">
              <w:rPr>
                <w:rFonts w:ascii="Arial Narrow" w:hAnsi="Arial Narrow"/>
                <w:sz w:val="16"/>
                <w:szCs w:val="16"/>
              </w:rPr>
              <w:t>Bizkaia</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12,91</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13,61</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13,21</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13,75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12,92</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12,73</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12,43</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12,45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11,90</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12,07</w:t>
            </w:r>
          </w:p>
        </w:tc>
      </w:tr>
      <w:tr w:rsidR="00BE1465" w:rsidRPr="00274FDB" w:rsidTr="00E00A82">
        <w:trPr>
          <w:trHeight w:val="255"/>
        </w:trPr>
        <w:tc>
          <w:tcPr>
            <w:tcW w:w="1834" w:type="dxa"/>
            <w:vAlign w:val="center"/>
          </w:tcPr>
          <w:p w:rsidR="00BE1465" w:rsidRPr="00274FDB" w:rsidRDefault="009356C1" w:rsidP="00E00A82">
            <w:pPr>
              <w:pStyle w:val="texto"/>
              <w:tabs>
                <w:tab w:val="clear" w:pos="2835"/>
                <w:tab w:val="clear" w:pos="3969"/>
                <w:tab w:val="clear" w:pos="5103"/>
                <w:tab w:val="clear" w:pos="6237"/>
                <w:tab w:val="clear" w:pos="7371"/>
              </w:tabs>
              <w:spacing w:after="0"/>
              <w:ind w:left="-80" w:firstLine="0"/>
              <w:jc w:val="left"/>
              <w:rPr>
                <w:rFonts w:ascii="Arial Narrow" w:hAnsi="Arial Narrow"/>
                <w:sz w:val="16"/>
                <w:szCs w:val="16"/>
              </w:rPr>
            </w:pPr>
            <w:r w:rsidRPr="00274FDB">
              <w:rPr>
                <w:rFonts w:ascii="Arial Narrow" w:hAnsi="Arial Narrow"/>
                <w:sz w:val="16"/>
                <w:szCs w:val="16"/>
              </w:rPr>
              <w:t>Gipuzkoa</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10,94</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11,87</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10,86</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11,54</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11,38</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11,72</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11,75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11,75</w:t>
            </w:r>
          </w:p>
        </w:tc>
        <w:tc>
          <w:tcPr>
            <w:tcW w:w="694"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11,10</w:t>
            </w:r>
          </w:p>
        </w:tc>
        <w:tc>
          <w:tcPr>
            <w:tcW w:w="695" w:type="dxa"/>
            <w:vAlign w:val="center"/>
          </w:tcPr>
          <w:p w:rsidR="00BE1465" w:rsidRPr="00274FDB" w:rsidRDefault="00BE1465" w:rsidP="00D60805">
            <w:pPr>
              <w:pStyle w:val="texto"/>
              <w:tabs>
                <w:tab w:val="clear" w:pos="2835"/>
                <w:tab w:val="clear" w:pos="3969"/>
                <w:tab w:val="clear" w:pos="5103"/>
                <w:tab w:val="clear" w:pos="6237"/>
                <w:tab w:val="clear" w:pos="7371"/>
              </w:tabs>
              <w:spacing w:after="0"/>
              <w:ind w:left="-122" w:firstLine="0"/>
              <w:jc w:val="right"/>
              <w:rPr>
                <w:rFonts w:ascii="Arial Narrow" w:hAnsi="Arial Narrow"/>
                <w:sz w:val="16"/>
                <w:szCs w:val="16"/>
              </w:rPr>
            </w:pPr>
            <w:r w:rsidRPr="00274FDB">
              <w:rPr>
                <w:rFonts w:ascii="Arial Narrow" w:hAnsi="Arial Narrow"/>
                <w:sz w:val="16"/>
                <w:szCs w:val="16"/>
              </w:rPr>
              <w:t>11,47</w:t>
            </w:r>
          </w:p>
        </w:tc>
      </w:tr>
      <w:tr w:rsidR="00BE1465" w:rsidRPr="005C1BA0" w:rsidTr="00E00A82">
        <w:trPr>
          <w:trHeight w:val="255"/>
        </w:trPr>
        <w:tc>
          <w:tcPr>
            <w:tcW w:w="1834" w:type="dxa"/>
            <w:tcBorders>
              <w:bottom w:val="single" w:sz="4" w:space="0" w:color="auto"/>
            </w:tcBorders>
            <w:vAlign w:val="center"/>
          </w:tcPr>
          <w:p w:rsidR="00BE1465" w:rsidRPr="005C1BA0" w:rsidRDefault="00BE1465" w:rsidP="00E00A82">
            <w:pPr>
              <w:pStyle w:val="texto"/>
              <w:tabs>
                <w:tab w:val="clear" w:pos="2835"/>
                <w:tab w:val="clear" w:pos="3969"/>
                <w:tab w:val="clear" w:pos="5103"/>
                <w:tab w:val="clear" w:pos="6237"/>
                <w:tab w:val="clear" w:pos="7371"/>
              </w:tabs>
              <w:spacing w:after="0"/>
              <w:ind w:left="-80" w:firstLine="0"/>
              <w:jc w:val="left"/>
              <w:rPr>
                <w:rFonts w:ascii="Arial" w:hAnsi="Arial" w:cs="Arial"/>
                <w:sz w:val="18"/>
                <w:szCs w:val="18"/>
              </w:rPr>
            </w:pPr>
            <w:r w:rsidRPr="005C1BA0">
              <w:rPr>
                <w:rFonts w:ascii="Arial" w:hAnsi="Arial" w:cs="Arial"/>
                <w:sz w:val="18"/>
                <w:szCs w:val="18"/>
              </w:rPr>
              <w:t xml:space="preserve">CAPV </w:t>
            </w:r>
            <w:r w:rsidRPr="005C1BA0">
              <w:rPr>
                <w:rFonts w:ascii="Arial" w:hAnsi="Arial" w:cs="Arial"/>
                <w:sz w:val="16"/>
                <w:szCs w:val="16"/>
              </w:rPr>
              <w:t>(en conjunto)</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11,44</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12,48</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11,60</w:t>
            </w:r>
          </w:p>
        </w:tc>
        <w:tc>
          <w:tcPr>
            <w:tcW w:w="695"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12,31</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11,57</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11,91</w:t>
            </w:r>
          </w:p>
        </w:tc>
        <w:tc>
          <w:tcPr>
            <w:tcW w:w="695"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11,90</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11,67</w:t>
            </w:r>
          </w:p>
        </w:tc>
        <w:tc>
          <w:tcPr>
            <w:tcW w:w="694"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11,37</w:t>
            </w:r>
          </w:p>
        </w:tc>
        <w:tc>
          <w:tcPr>
            <w:tcW w:w="695" w:type="dxa"/>
            <w:tcBorders>
              <w:bottom w:val="single" w:sz="4" w:space="0" w:color="auto"/>
            </w:tcBorders>
            <w:vAlign w:val="center"/>
          </w:tcPr>
          <w:p w:rsidR="00BE1465" w:rsidRPr="00B448A1" w:rsidRDefault="00BE1465" w:rsidP="00D60805">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B448A1">
              <w:rPr>
                <w:rFonts w:ascii="Arial" w:hAnsi="Arial" w:cs="Arial"/>
                <w:sz w:val="18"/>
                <w:szCs w:val="18"/>
              </w:rPr>
              <w:t>11,40</w:t>
            </w:r>
          </w:p>
        </w:tc>
      </w:tr>
    </w:tbl>
    <w:p w:rsidR="00E00A82" w:rsidRPr="000E7956" w:rsidRDefault="00E00A82" w:rsidP="00E00A82">
      <w:pPr>
        <w:pStyle w:val="texto"/>
        <w:tabs>
          <w:tab w:val="clear" w:pos="2835"/>
          <w:tab w:val="clear" w:pos="3969"/>
          <w:tab w:val="clear" w:pos="5103"/>
          <w:tab w:val="clear" w:pos="6237"/>
          <w:tab w:val="clear" w:pos="7371"/>
        </w:tabs>
        <w:spacing w:before="60" w:after="0"/>
        <w:ind w:left="112" w:firstLine="0"/>
        <w:jc w:val="left"/>
        <w:rPr>
          <w:rFonts w:ascii="Arial" w:hAnsi="Arial" w:cs="Arial"/>
          <w:sz w:val="16"/>
          <w:szCs w:val="16"/>
        </w:rPr>
      </w:pPr>
      <w:r w:rsidRPr="000E7956">
        <w:rPr>
          <w:rFonts w:ascii="Arial" w:hAnsi="Arial" w:cs="Arial"/>
          <w:sz w:val="16"/>
          <w:szCs w:val="16"/>
        </w:rPr>
        <w:t>* Las cifras indicadas se han obtenido sobre los DRN y cantidades aportadas al Estado provisionales hasta que no se aprueben definitivamente las cuentas de este ejercicio.</w:t>
      </w:r>
    </w:p>
    <w:p w:rsidR="00BE1465" w:rsidRDefault="00BE1465" w:rsidP="00BE1465">
      <w:pPr>
        <w:pStyle w:val="texto"/>
        <w:tabs>
          <w:tab w:val="clear" w:pos="2835"/>
          <w:tab w:val="clear" w:pos="3969"/>
          <w:tab w:val="clear" w:pos="5103"/>
          <w:tab w:val="clear" w:pos="6237"/>
          <w:tab w:val="clear" w:pos="7371"/>
        </w:tabs>
        <w:spacing w:before="200"/>
        <w:rPr>
          <w:szCs w:val="26"/>
        </w:rPr>
      </w:pPr>
      <w:r>
        <w:rPr>
          <w:szCs w:val="26"/>
        </w:rPr>
        <w:t>En 2018, en Navarra, el fondo representa el 6,72 por ciento de los DRN del capítulo 1 y 2</w:t>
      </w:r>
      <w:r w:rsidR="00FB6DD2">
        <w:rPr>
          <w:szCs w:val="26"/>
        </w:rPr>
        <w:t xml:space="preserve"> de ingresos de la administración foral</w:t>
      </w:r>
      <w:r>
        <w:rPr>
          <w:szCs w:val="26"/>
        </w:rPr>
        <w:t>, cantidad que es signific</w:t>
      </w:r>
      <w:r>
        <w:rPr>
          <w:szCs w:val="26"/>
        </w:rPr>
        <w:t>a</w:t>
      </w:r>
      <w:r>
        <w:rPr>
          <w:szCs w:val="26"/>
        </w:rPr>
        <w:t>tivamente menor a la de cualquier provincia de la CAPV donde alcanza el 11,40 por ciento de valor medio en ese año. Esta diferencia de valores se ma</w:t>
      </w:r>
      <w:r>
        <w:rPr>
          <w:szCs w:val="26"/>
        </w:rPr>
        <w:t>n</w:t>
      </w:r>
      <w:r>
        <w:rPr>
          <w:szCs w:val="26"/>
        </w:rPr>
        <w:t>tiene en todos los años del periodo revisado.</w:t>
      </w:r>
    </w:p>
    <w:p w:rsidR="00BE1465" w:rsidRPr="005C1BA0" w:rsidRDefault="00BE1465" w:rsidP="00E00A82">
      <w:pPr>
        <w:keepNext/>
        <w:spacing w:before="240" w:after="240"/>
        <w:ind w:firstLine="0"/>
        <w:rPr>
          <w:rFonts w:ascii="Arial" w:hAnsi="Arial"/>
          <w:i/>
          <w:iCs/>
          <w:color w:val="000000"/>
          <w:spacing w:val="10"/>
          <w:kern w:val="28"/>
          <w:sz w:val="25"/>
          <w:szCs w:val="26"/>
        </w:rPr>
      </w:pPr>
      <w:r>
        <w:rPr>
          <w:rFonts w:ascii="Arial" w:hAnsi="Arial"/>
          <w:i/>
          <w:iCs/>
          <w:color w:val="000000"/>
          <w:spacing w:val="10"/>
          <w:kern w:val="28"/>
          <w:sz w:val="25"/>
          <w:szCs w:val="26"/>
        </w:rPr>
        <w:t xml:space="preserve">Fórmula de reparto del </w:t>
      </w:r>
      <w:r w:rsidR="009356C1">
        <w:rPr>
          <w:rFonts w:ascii="Arial" w:hAnsi="Arial"/>
          <w:i/>
          <w:iCs/>
          <w:color w:val="000000"/>
          <w:spacing w:val="10"/>
          <w:kern w:val="28"/>
          <w:sz w:val="25"/>
          <w:szCs w:val="26"/>
        </w:rPr>
        <w:t>fondo</w:t>
      </w:r>
      <w:r>
        <w:rPr>
          <w:rFonts w:ascii="Arial" w:hAnsi="Arial"/>
          <w:i/>
          <w:iCs/>
          <w:color w:val="000000"/>
          <w:spacing w:val="10"/>
          <w:kern w:val="28"/>
          <w:sz w:val="25"/>
          <w:szCs w:val="26"/>
        </w:rPr>
        <w:t xml:space="preserve"> a las haciendas locales</w:t>
      </w:r>
    </w:p>
    <w:p w:rsidR="00BE1465" w:rsidRDefault="00BE1465" w:rsidP="00BE1465">
      <w:pPr>
        <w:pStyle w:val="texto"/>
        <w:tabs>
          <w:tab w:val="clear" w:pos="2835"/>
          <w:tab w:val="clear" w:pos="3969"/>
          <w:tab w:val="clear" w:pos="5103"/>
          <w:tab w:val="clear" w:pos="6237"/>
          <w:tab w:val="clear" w:pos="7371"/>
        </w:tabs>
        <w:spacing w:before="120"/>
        <w:rPr>
          <w:szCs w:val="26"/>
        </w:rPr>
      </w:pPr>
      <w:r>
        <w:rPr>
          <w:szCs w:val="26"/>
        </w:rPr>
        <w:t xml:space="preserve">La fórmula </w:t>
      </w:r>
      <w:r w:rsidR="00FB6DD2">
        <w:rPr>
          <w:szCs w:val="26"/>
        </w:rPr>
        <w:t>de reparto</w:t>
      </w:r>
      <w:r>
        <w:rPr>
          <w:szCs w:val="26"/>
        </w:rPr>
        <w:t xml:space="preserve"> </w:t>
      </w:r>
      <w:r w:rsidR="00FB6DD2">
        <w:rPr>
          <w:szCs w:val="26"/>
        </w:rPr>
        <w:t>d</w:t>
      </w:r>
      <w:r>
        <w:rPr>
          <w:szCs w:val="26"/>
        </w:rPr>
        <w:t xml:space="preserve">el </w:t>
      </w:r>
      <w:r w:rsidR="009356C1">
        <w:rPr>
          <w:szCs w:val="26"/>
        </w:rPr>
        <w:t>FTC</w:t>
      </w:r>
      <w:r>
        <w:rPr>
          <w:szCs w:val="26"/>
        </w:rPr>
        <w:t xml:space="preserve"> en Navarra ya ha sido descrita en el epígrafe II de este informe. </w:t>
      </w:r>
    </w:p>
    <w:p w:rsidR="00BE1465" w:rsidRDefault="00BE1465" w:rsidP="00BE1465">
      <w:pPr>
        <w:pStyle w:val="texto"/>
        <w:tabs>
          <w:tab w:val="clear" w:pos="2835"/>
          <w:tab w:val="clear" w:pos="3969"/>
          <w:tab w:val="clear" w:pos="5103"/>
          <w:tab w:val="clear" w:pos="6237"/>
          <w:tab w:val="clear" w:pos="7371"/>
        </w:tabs>
        <w:spacing w:before="120" w:after="240"/>
        <w:rPr>
          <w:szCs w:val="26"/>
        </w:rPr>
      </w:pPr>
      <w:r>
        <w:rPr>
          <w:szCs w:val="26"/>
        </w:rPr>
        <w:t xml:space="preserve">En </w:t>
      </w:r>
      <w:r w:rsidR="009356C1">
        <w:rPr>
          <w:szCs w:val="26"/>
        </w:rPr>
        <w:t>la CAPV</w:t>
      </w:r>
      <w:r>
        <w:rPr>
          <w:szCs w:val="26"/>
        </w:rPr>
        <w:t xml:space="preserve"> los criterios y variables de reparto utilizadas para la distribución del fondo difieren en función de la provincia que estemos considerando. </w:t>
      </w:r>
      <w:r w:rsidR="009356C1">
        <w:rPr>
          <w:szCs w:val="26"/>
        </w:rPr>
        <w:t>En el caso de Araba/Álava existe un FTC y por otro lado un fondo de transferencias de capital; sin embargo, en Bizkaia y Gipuzkoa el fondo es único. En todo caso, una vez que se</w:t>
      </w:r>
      <w:r>
        <w:rPr>
          <w:szCs w:val="26"/>
        </w:rPr>
        <w:t xml:space="preserve"> determina la cuantía del fondo para cada diputación, </w:t>
      </w:r>
      <w:r w:rsidR="000F71B8">
        <w:rPr>
          <w:szCs w:val="26"/>
        </w:rPr>
        <w:t>e</w:t>
      </w:r>
      <w:r>
        <w:rPr>
          <w:szCs w:val="26"/>
        </w:rPr>
        <w:t>ste se di</w:t>
      </w:r>
      <w:r>
        <w:rPr>
          <w:szCs w:val="26"/>
        </w:rPr>
        <w:t>s</w:t>
      </w:r>
      <w:r>
        <w:rPr>
          <w:szCs w:val="26"/>
        </w:rPr>
        <w:t>tribuye según los criterios expuestos en el cuadro de la página siguiente:</w:t>
      </w:r>
    </w:p>
    <w:p w:rsidR="00BE1465" w:rsidRDefault="00BE1465" w:rsidP="00BE1465">
      <w:pPr>
        <w:spacing w:after="0"/>
        <w:ind w:firstLine="0"/>
        <w:jc w:val="left"/>
        <w:rPr>
          <w:spacing w:val="6"/>
          <w:sz w:val="26"/>
          <w:szCs w:val="26"/>
        </w:rPr>
      </w:pPr>
      <w:r>
        <w:rPr>
          <w:szCs w:val="26"/>
        </w:rPr>
        <w:br w:type="page"/>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20"/>
        <w:gridCol w:w="40"/>
        <w:gridCol w:w="14"/>
        <w:gridCol w:w="6323"/>
      </w:tblGrid>
      <w:tr w:rsidR="00BE1465" w:rsidRPr="000C5F5C" w:rsidTr="00274FDB">
        <w:trPr>
          <w:trHeight w:val="198"/>
          <w:jc w:val="center"/>
        </w:trPr>
        <w:tc>
          <w:tcPr>
            <w:tcW w:w="8897" w:type="dxa"/>
            <w:gridSpan w:val="4"/>
            <w:tcBorders>
              <w:bottom w:val="single" w:sz="2" w:space="0" w:color="auto"/>
            </w:tcBorders>
            <w:shd w:val="clear" w:color="auto" w:fill="FABF8F" w:themeFill="accent6" w:themeFillTint="99"/>
            <w:vAlign w:val="center"/>
          </w:tcPr>
          <w:p w:rsidR="00BE1465" w:rsidRPr="000C5F5C" w:rsidRDefault="009356C1"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cs="Arial"/>
                <w:sz w:val="18"/>
                <w:szCs w:val="18"/>
              </w:rPr>
              <w:lastRenderedPageBreak/>
              <w:t>Araba/</w:t>
            </w:r>
            <w:r w:rsidR="00BE1465" w:rsidRPr="000C5F5C">
              <w:rPr>
                <w:rFonts w:ascii="Arial" w:hAnsi="Arial" w:cs="Arial"/>
                <w:sz w:val="18"/>
                <w:szCs w:val="18"/>
              </w:rPr>
              <w:t>Álava</w:t>
            </w:r>
          </w:p>
        </w:tc>
      </w:tr>
      <w:tr w:rsidR="00BE1465" w:rsidRPr="000C5F5C" w:rsidTr="00274FDB">
        <w:trPr>
          <w:trHeight w:val="198"/>
          <w:jc w:val="center"/>
        </w:trPr>
        <w:tc>
          <w:tcPr>
            <w:tcW w:w="2560" w:type="dxa"/>
            <w:gridSpan w:val="2"/>
            <w:tcBorders>
              <w:top w:val="single" w:sz="2" w:space="0" w:color="auto"/>
            </w:tcBorders>
            <w:shd w:val="clear" w:color="auto" w:fill="FABF8F" w:themeFill="accent6" w:themeFillTint="99"/>
            <w:vAlign w:val="center"/>
          </w:tcPr>
          <w:p w:rsidR="00BE1465" w:rsidRPr="000C5F5C" w:rsidRDefault="00BE1465" w:rsidP="00D60805">
            <w:pPr>
              <w:pStyle w:val="texto"/>
              <w:tabs>
                <w:tab w:val="clear" w:pos="2835"/>
                <w:tab w:val="clear" w:pos="3969"/>
                <w:tab w:val="clear" w:pos="5103"/>
                <w:tab w:val="clear" w:pos="6237"/>
                <w:tab w:val="clear" w:pos="7371"/>
              </w:tabs>
              <w:spacing w:after="0"/>
              <w:ind w:left="-40" w:right="-178" w:firstLine="0"/>
              <w:jc w:val="left"/>
              <w:rPr>
                <w:rFonts w:ascii="Arial" w:hAnsi="Arial" w:cs="Arial"/>
                <w:sz w:val="18"/>
                <w:szCs w:val="18"/>
              </w:rPr>
            </w:pPr>
            <w:r w:rsidRPr="000C5F5C">
              <w:rPr>
                <w:rFonts w:ascii="Arial" w:hAnsi="Arial" w:cs="Arial"/>
                <w:sz w:val="18"/>
                <w:szCs w:val="18"/>
              </w:rPr>
              <w:t>Dotación</w:t>
            </w:r>
          </w:p>
        </w:tc>
        <w:tc>
          <w:tcPr>
            <w:tcW w:w="6337" w:type="dxa"/>
            <w:gridSpan w:val="2"/>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0C5F5C">
              <w:rPr>
                <w:rFonts w:ascii="Arial" w:hAnsi="Arial" w:cs="Arial"/>
                <w:sz w:val="18"/>
                <w:szCs w:val="18"/>
              </w:rPr>
              <w:t>Criterios y variables de reparto</w:t>
            </w:r>
          </w:p>
        </w:tc>
      </w:tr>
      <w:tr w:rsidR="00BE1465" w:rsidRPr="000E7956" w:rsidTr="00D60805">
        <w:trPr>
          <w:trHeight w:val="198"/>
          <w:jc w:val="center"/>
        </w:trPr>
        <w:tc>
          <w:tcPr>
            <w:tcW w:w="2560" w:type="dxa"/>
            <w:gridSpan w:val="2"/>
            <w:vAlign w:val="center"/>
          </w:tcPr>
          <w:p w:rsidR="00BE1465" w:rsidRPr="000E7956" w:rsidRDefault="00DB59A4" w:rsidP="00D60805">
            <w:pPr>
              <w:pStyle w:val="texto"/>
              <w:tabs>
                <w:tab w:val="clear" w:pos="2835"/>
                <w:tab w:val="clear" w:pos="3969"/>
                <w:tab w:val="clear" w:pos="5103"/>
                <w:tab w:val="clear" w:pos="6237"/>
                <w:tab w:val="clear" w:pos="7371"/>
              </w:tabs>
              <w:spacing w:after="0"/>
              <w:ind w:left="-40" w:right="-178" w:firstLine="0"/>
              <w:jc w:val="left"/>
              <w:rPr>
                <w:rFonts w:ascii="Arial Narrow" w:hAnsi="Arial Narrow"/>
                <w:sz w:val="18"/>
                <w:szCs w:val="18"/>
              </w:rPr>
            </w:pPr>
            <w:r w:rsidRPr="000E7956">
              <w:rPr>
                <w:rFonts w:ascii="Arial Narrow" w:hAnsi="Arial Narrow"/>
                <w:sz w:val="18"/>
                <w:szCs w:val="18"/>
              </w:rPr>
              <w:t>FTC</w:t>
            </w:r>
            <w:r w:rsidR="00BE1465" w:rsidRPr="000E7956">
              <w:rPr>
                <w:rFonts w:ascii="Arial Narrow" w:hAnsi="Arial Narrow"/>
                <w:sz w:val="18"/>
                <w:szCs w:val="18"/>
              </w:rPr>
              <w:t>:</w:t>
            </w:r>
            <w:r w:rsidRPr="000E7956">
              <w:rPr>
                <w:rFonts w:ascii="Arial Narrow" w:hAnsi="Arial Narrow"/>
                <w:sz w:val="18"/>
                <w:szCs w:val="18"/>
              </w:rPr>
              <w:t xml:space="preserve"> </w:t>
            </w:r>
            <w:r w:rsidR="00BE1465" w:rsidRPr="000E7956">
              <w:rPr>
                <w:rFonts w:ascii="Arial Narrow" w:hAnsi="Arial Narrow"/>
                <w:sz w:val="18"/>
                <w:szCs w:val="18"/>
              </w:rPr>
              <w:t>52,8% recursos del territorio</w:t>
            </w:r>
            <w:r w:rsidRPr="000E7956">
              <w:rPr>
                <w:rFonts w:ascii="Arial Narrow" w:hAnsi="Arial Narrow"/>
                <w:sz w:val="18"/>
                <w:szCs w:val="18"/>
              </w:rPr>
              <w:t>*</w:t>
            </w:r>
            <w:r w:rsidR="00BE1465" w:rsidRPr="000E7956">
              <w:rPr>
                <w:rFonts w:ascii="Arial Narrow" w:hAnsi="Arial Narrow"/>
                <w:sz w:val="18"/>
                <w:szCs w:val="18"/>
              </w:rPr>
              <w:t xml:space="preserve"> </w:t>
            </w:r>
          </w:p>
        </w:tc>
        <w:tc>
          <w:tcPr>
            <w:tcW w:w="6337" w:type="dxa"/>
            <w:gridSpan w:val="2"/>
          </w:tcPr>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1º) Anualmente se determina la participación por los servicios traspasados de la diputación a las entidades locales (a).</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2º) Participación fija de 67.614 euros para cada cuadrilla (agrupación territorial de entes) (b).</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3º)  El resultado de la siguiente resta: 52,8% recursos – (a) – (b), se destina en un:</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426" w:hanging="283"/>
              <w:rPr>
                <w:rFonts w:ascii="Arial Narrow" w:hAnsi="Arial Narrow"/>
                <w:sz w:val="18"/>
                <w:szCs w:val="18"/>
              </w:rPr>
            </w:pPr>
            <w:r w:rsidRPr="000E7956">
              <w:rPr>
                <w:rFonts w:ascii="Arial Narrow" w:hAnsi="Arial Narrow"/>
                <w:sz w:val="18"/>
                <w:szCs w:val="18"/>
              </w:rPr>
              <w:t xml:space="preserve"> 27% como participación básica para municipios, concejos y cuadrillas para la financiación de determinados servicios que en su mayoría se distribuyen según la población (ponderación del 70%) e índice de dispersión de la población (ponderación del 30%).</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426" w:hanging="283"/>
              <w:rPr>
                <w:rFonts w:ascii="Arial Narrow" w:hAnsi="Arial Narrow"/>
                <w:sz w:val="18"/>
                <w:szCs w:val="18"/>
              </w:rPr>
            </w:pPr>
            <w:r w:rsidRPr="000E7956">
              <w:rPr>
                <w:rFonts w:ascii="Arial Narrow" w:hAnsi="Arial Narrow"/>
                <w:sz w:val="18"/>
                <w:szCs w:val="18"/>
              </w:rPr>
              <w:t>73% como participación complementaria para municipios según los siguientes parámetros:</w:t>
            </w:r>
          </w:p>
          <w:p w:rsidR="00BE1465" w:rsidRPr="000E7956" w:rsidRDefault="00BE1465" w:rsidP="00BE1465">
            <w:pPr>
              <w:pStyle w:val="texto"/>
              <w:numPr>
                <w:ilvl w:val="1"/>
                <w:numId w:val="17"/>
              </w:numPr>
              <w:tabs>
                <w:tab w:val="clear" w:pos="2835"/>
                <w:tab w:val="clear" w:pos="3969"/>
                <w:tab w:val="clear" w:pos="5103"/>
                <w:tab w:val="clear" w:pos="6237"/>
                <w:tab w:val="clear" w:pos="7371"/>
              </w:tabs>
              <w:spacing w:after="0"/>
              <w:ind w:left="710" w:hanging="284"/>
              <w:rPr>
                <w:rFonts w:ascii="Arial Narrow" w:hAnsi="Arial Narrow"/>
                <w:sz w:val="18"/>
                <w:szCs w:val="18"/>
              </w:rPr>
            </w:pPr>
            <w:r w:rsidRPr="000E7956">
              <w:rPr>
                <w:rFonts w:ascii="Arial Narrow" w:hAnsi="Arial Narrow"/>
                <w:sz w:val="18"/>
                <w:szCs w:val="18"/>
              </w:rPr>
              <w:t>Cuantía fija d</w:t>
            </w:r>
            <w:r w:rsidR="009356C1" w:rsidRPr="000E7956">
              <w:rPr>
                <w:rFonts w:ascii="Arial Narrow" w:hAnsi="Arial Narrow"/>
                <w:sz w:val="18"/>
                <w:szCs w:val="18"/>
              </w:rPr>
              <w:t>e 21.035 euros por ayuntamiento.</w:t>
            </w:r>
          </w:p>
          <w:p w:rsidR="009356C1" w:rsidRPr="000E7956" w:rsidRDefault="009356C1" w:rsidP="00BE1465">
            <w:pPr>
              <w:pStyle w:val="texto"/>
              <w:numPr>
                <w:ilvl w:val="1"/>
                <w:numId w:val="17"/>
              </w:numPr>
              <w:tabs>
                <w:tab w:val="clear" w:pos="2835"/>
                <w:tab w:val="clear" w:pos="3969"/>
                <w:tab w:val="clear" w:pos="5103"/>
                <w:tab w:val="clear" w:pos="6237"/>
                <w:tab w:val="clear" w:pos="7371"/>
              </w:tabs>
              <w:spacing w:after="0"/>
              <w:ind w:left="710" w:hanging="284"/>
              <w:rPr>
                <w:rFonts w:ascii="Arial Narrow" w:hAnsi="Arial Narrow"/>
                <w:sz w:val="18"/>
                <w:szCs w:val="18"/>
              </w:rPr>
            </w:pPr>
            <w:r w:rsidRPr="000E7956">
              <w:rPr>
                <w:rFonts w:ascii="Arial Narrow" w:hAnsi="Arial Narrow"/>
                <w:sz w:val="18"/>
                <w:szCs w:val="18"/>
              </w:rPr>
              <w:t>Del 73% a repartir se detrae la cantidad asignada según el punto anterior y el resultado se distribuye según los siguientes criterios:</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sidRPr="000E7956">
              <w:rPr>
                <w:rFonts w:ascii="Arial Narrow" w:hAnsi="Arial Narrow"/>
                <w:sz w:val="18"/>
                <w:szCs w:val="18"/>
              </w:rPr>
              <w:t>El 59% según la población.</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sidRPr="000E7956">
              <w:rPr>
                <w:rFonts w:ascii="Arial Narrow" w:hAnsi="Arial Narrow"/>
                <w:sz w:val="18"/>
                <w:szCs w:val="18"/>
              </w:rPr>
              <w:t>El 12,25% según la población solo para municipios con población s</w:t>
            </w:r>
            <w:r w:rsidRPr="000E7956">
              <w:rPr>
                <w:rFonts w:ascii="Arial Narrow" w:hAnsi="Arial Narrow"/>
                <w:sz w:val="18"/>
                <w:szCs w:val="18"/>
              </w:rPr>
              <w:t>u</w:t>
            </w:r>
            <w:r w:rsidRPr="000E7956">
              <w:rPr>
                <w:rFonts w:ascii="Arial Narrow" w:hAnsi="Arial Narrow"/>
                <w:sz w:val="18"/>
                <w:szCs w:val="18"/>
              </w:rPr>
              <w:t>perior a 1.000 habitantes.</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sidRPr="000E7956">
              <w:rPr>
                <w:rFonts w:ascii="Arial Narrow" w:hAnsi="Arial Narrow"/>
                <w:sz w:val="18"/>
                <w:szCs w:val="18"/>
              </w:rPr>
              <w:t>El 9,5% según la población solo para municipios con población sup</w:t>
            </w:r>
            <w:r w:rsidRPr="000E7956">
              <w:rPr>
                <w:rFonts w:ascii="Arial Narrow" w:hAnsi="Arial Narrow"/>
                <w:sz w:val="18"/>
                <w:szCs w:val="18"/>
              </w:rPr>
              <w:t>e</w:t>
            </w:r>
            <w:r w:rsidRPr="000E7956">
              <w:rPr>
                <w:rFonts w:ascii="Arial Narrow" w:hAnsi="Arial Narrow"/>
                <w:sz w:val="18"/>
                <w:szCs w:val="18"/>
              </w:rPr>
              <w:t>rior a 5.000 habitantes.</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sidRPr="000E7956">
              <w:rPr>
                <w:rFonts w:ascii="Arial Narrow" w:hAnsi="Arial Narrow"/>
                <w:sz w:val="18"/>
                <w:szCs w:val="18"/>
              </w:rPr>
              <w:t>El 9,25% según la población solo para municipios con población sup</w:t>
            </w:r>
            <w:r w:rsidRPr="000E7956">
              <w:rPr>
                <w:rFonts w:ascii="Arial Narrow" w:hAnsi="Arial Narrow"/>
                <w:sz w:val="18"/>
                <w:szCs w:val="18"/>
              </w:rPr>
              <w:t>e</w:t>
            </w:r>
            <w:r w:rsidRPr="000E7956">
              <w:rPr>
                <w:rFonts w:ascii="Arial Narrow" w:hAnsi="Arial Narrow"/>
                <w:sz w:val="18"/>
                <w:szCs w:val="18"/>
              </w:rPr>
              <w:t>rior a 15.000 habitantes.</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sidRPr="000E7956">
              <w:rPr>
                <w:rFonts w:ascii="Arial Narrow" w:hAnsi="Arial Narrow"/>
                <w:sz w:val="18"/>
                <w:szCs w:val="18"/>
              </w:rPr>
              <w:t>El 5% según la población ponderada por el esfuerzo fiscal solo para municipios con población superior a 50.000 habitantes.</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sidRPr="000E7956">
              <w:rPr>
                <w:rFonts w:ascii="Arial Narrow" w:hAnsi="Arial Narrow"/>
                <w:sz w:val="18"/>
                <w:szCs w:val="18"/>
              </w:rPr>
              <w:t>El 3% para Vitoria.</w:t>
            </w:r>
          </w:p>
          <w:p w:rsidR="00BE1465" w:rsidRPr="000E7956" w:rsidRDefault="00BE1465" w:rsidP="009356C1">
            <w:pPr>
              <w:pStyle w:val="texto"/>
              <w:numPr>
                <w:ilvl w:val="1"/>
                <w:numId w:val="22"/>
              </w:numPr>
              <w:tabs>
                <w:tab w:val="clear" w:pos="2835"/>
                <w:tab w:val="clear" w:pos="3969"/>
                <w:tab w:val="clear" w:pos="5103"/>
                <w:tab w:val="clear" w:pos="6237"/>
                <w:tab w:val="clear" w:pos="7371"/>
              </w:tabs>
              <w:spacing w:after="0"/>
              <w:ind w:left="1026" w:hanging="283"/>
              <w:rPr>
                <w:rFonts w:ascii="Arial Narrow" w:hAnsi="Arial Narrow"/>
                <w:sz w:val="18"/>
                <w:szCs w:val="18"/>
              </w:rPr>
            </w:pPr>
            <w:r w:rsidRPr="000E7956">
              <w:rPr>
                <w:rFonts w:ascii="Arial Narrow" w:hAnsi="Arial Narrow"/>
                <w:sz w:val="18"/>
                <w:szCs w:val="18"/>
              </w:rPr>
              <w:t>El 2% para el Fondo de Estabilización</w:t>
            </w:r>
          </w:p>
        </w:tc>
      </w:tr>
      <w:tr w:rsidR="00BE1465" w:rsidRPr="000C5F5C" w:rsidTr="00274FDB">
        <w:trPr>
          <w:trHeight w:val="198"/>
          <w:jc w:val="center"/>
        </w:trPr>
        <w:tc>
          <w:tcPr>
            <w:tcW w:w="8897" w:type="dxa"/>
            <w:gridSpan w:val="4"/>
            <w:tcBorders>
              <w:bottom w:val="single" w:sz="4" w:space="0" w:color="auto"/>
            </w:tcBorders>
            <w:shd w:val="clear" w:color="auto" w:fill="auto"/>
          </w:tcPr>
          <w:p w:rsidR="00BE1465" w:rsidRPr="000C5F5C" w:rsidRDefault="00BE1465"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r>
      <w:tr w:rsidR="00BE1465" w:rsidRPr="000C5F5C" w:rsidTr="00274FDB">
        <w:trPr>
          <w:trHeight w:val="198"/>
          <w:jc w:val="center"/>
        </w:trPr>
        <w:tc>
          <w:tcPr>
            <w:tcW w:w="8897" w:type="dxa"/>
            <w:gridSpan w:val="4"/>
            <w:tcBorders>
              <w:bottom w:val="single" w:sz="2" w:space="0" w:color="auto"/>
            </w:tcBorders>
            <w:shd w:val="clear" w:color="auto" w:fill="FABF8F" w:themeFill="accent6" w:themeFillTint="99"/>
            <w:vAlign w:val="center"/>
          </w:tcPr>
          <w:p w:rsidR="00BE1465" w:rsidRPr="000C5F5C" w:rsidRDefault="004D39F0"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cs="Arial"/>
                <w:sz w:val="18"/>
                <w:szCs w:val="18"/>
              </w:rPr>
              <w:t>Gipuzkoa</w:t>
            </w:r>
          </w:p>
        </w:tc>
      </w:tr>
      <w:tr w:rsidR="00BE1465" w:rsidRPr="000C5F5C" w:rsidTr="00274FDB">
        <w:trPr>
          <w:trHeight w:val="198"/>
          <w:jc w:val="center"/>
        </w:trPr>
        <w:tc>
          <w:tcPr>
            <w:tcW w:w="2520" w:type="dxa"/>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0C5F5C">
              <w:rPr>
                <w:rFonts w:ascii="Arial" w:hAnsi="Arial" w:cs="Arial"/>
                <w:sz w:val="18"/>
                <w:szCs w:val="18"/>
              </w:rPr>
              <w:t>Dotación</w:t>
            </w:r>
          </w:p>
        </w:tc>
        <w:tc>
          <w:tcPr>
            <w:tcW w:w="6377" w:type="dxa"/>
            <w:gridSpan w:val="3"/>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0C5F5C">
              <w:rPr>
                <w:rFonts w:ascii="Arial" w:hAnsi="Arial" w:cs="Arial"/>
                <w:sz w:val="18"/>
                <w:szCs w:val="18"/>
              </w:rPr>
              <w:t>Criterios y variables de reparto</w:t>
            </w:r>
          </w:p>
        </w:tc>
      </w:tr>
      <w:tr w:rsidR="00BE1465" w:rsidRPr="000E7956" w:rsidTr="00D60805">
        <w:trPr>
          <w:trHeight w:val="198"/>
          <w:jc w:val="center"/>
        </w:trPr>
        <w:tc>
          <w:tcPr>
            <w:tcW w:w="2520" w:type="dxa"/>
            <w:vAlign w:val="center"/>
          </w:tcPr>
          <w:p w:rsidR="00BE1465" w:rsidRPr="000E7956" w:rsidRDefault="00BE1465" w:rsidP="00BE1465">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0E7956">
              <w:rPr>
                <w:rFonts w:ascii="Arial Narrow" w:hAnsi="Arial Narrow"/>
                <w:sz w:val="18"/>
                <w:szCs w:val="18"/>
              </w:rPr>
              <w:t>58% recursos del territorio</w:t>
            </w:r>
          </w:p>
        </w:tc>
        <w:tc>
          <w:tcPr>
            <w:tcW w:w="6377" w:type="dxa"/>
            <w:gridSpan w:val="3"/>
          </w:tcPr>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El importe del fondo se reparte según los siguientes parámetros:</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90% según la población.</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3,5% según la población ponderada por el esfuerzo fiscal.</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3% según la población ponderada por el inverso de renta municipal.</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2,15% para San Sebastián.</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1,2% para municipios de menos de 1.100 habitantes que se reparte según los siguientes importes fijos por estrato poblacional:</w:t>
            </w:r>
          </w:p>
          <w:p w:rsidR="00BE1465" w:rsidRPr="000E7956" w:rsidRDefault="00BE1465" w:rsidP="00BE1465">
            <w:pPr>
              <w:pStyle w:val="Default"/>
              <w:ind w:left="709"/>
              <w:rPr>
                <w:rFonts w:ascii="Arial Narrow" w:hAnsi="Arial Narrow"/>
                <w:sz w:val="18"/>
                <w:szCs w:val="18"/>
              </w:rPr>
            </w:pPr>
            <w:r w:rsidRPr="000E7956">
              <w:rPr>
                <w:rFonts w:ascii="Arial Narrow" w:hAnsi="Arial Narrow"/>
                <w:sz w:val="18"/>
                <w:szCs w:val="18"/>
              </w:rPr>
              <w:t>84.142 euros hasta 200 habitantes.</w:t>
            </w:r>
          </w:p>
          <w:p w:rsidR="00BE1465" w:rsidRPr="000E7956" w:rsidRDefault="00BE1465" w:rsidP="00BE1465">
            <w:pPr>
              <w:pStyle w:val="Default"/>
              <w:ind w:left="709"/>
              <w:rPr>
                <w:rFonts w:ascii="Arial Narrow" w:hAnsi="Arial Narrow"/>
                <w:sz w:val="18"/>
                <w:szCs w:val="18"/>
              </w:rPr>
            </w:pPr>
            <w:r w:rsidRPr="000E7956">
              <w:rPr>
                <w:rFonts w:ascii="Arial Narrow" w:hAnsi="Arial Narrow"/>
                <w:sz w:val="18"/>
                <w:szCs w:val="18"/>
              </w:rPr>
              <w:t>72.122 euros de 201 a 400 habitantes.</w:t>
            </w:r>
          </w:p>
          <w:p w:rsidR="00BE1465" w:rsidRPr="000E7956" w:rsidRDefault="00BE1465" w:rsidP="00BE1465">
            <w:pPr>
              <w:pStyle w:val="Default"/>
              <w:ind w:left="709"/>
              <w:rPr>
                <w:rFonts w:ascii="Arial Narrow" w:hAnsi="Arial Narrow"/>
                <w:sz w:val="18"/>
                <w:szCs w:val="18"/>
              </w:rPr>
            </w:pPr>
            <w:r w:rsidRPr="000E7956">
              <w:rPr>
                <w:rFonts w:ascii="Arial Narrow" w:hAnsi="Arial Narrow"/>
                <w:sz w:val="18"/>
                <w:szCs w:val="18"/>
              </w:rPr>
              <w:t>60.101 euros de 401 a 600 habitantes.</w:t>
            </w:r>
          </w:p>
          <w:p w:rsidR="00BE1465" w:rsidRPr="000E7956" w:rsidRDefault="00BE1465" w:rsidP="00BE1465">
            <w:pPr>
              <w:pStyle w:val="Default"/>
              <w:ind w:left="709"/>
              <w:rPr>
                <w:rFonts w:ascii="Arial Narrow" w:hAnsi="Arial Narrow"/>
                <w:sz w:val="18"/>
                <w:szCs w:val="18"/>
              </w:rPr>
            </w:pPr>
            <w:r w:rsidRPr="000E7956">
              <w:rPr>
                <w:rFonts w:ascii="Arial Narrow" w:hAnsi="Arial Narrow"/>
                <w:sz w:val="18"/>
                <w:szCs w:val="18"/>
              </w:rPr>
              <w:t>36.061 euros de 601 a 1.000 habitantes.</w:t>
            </w:r>
          </w:p>
          <w:p w:rsidR="00BE1465" w:rsidRPr="000E7956" w:rsidRDefault="00BE1465" w:rsidP="00BE1465">
            <w:pPr>
              <w:pStyle w:val="Default"/>
              <w:ind w:left="709"/>
              <w:rPr>
                <w:rFonts w:ascii="Arial Narrow" w:hAnsi="Arial Narrow"/>
                <w:sz w:val="18"/>
                <w:szCs w:val="18"/>
              </w:rPr>
            </w:pPr>
            <w:r w:rsidRPr="000E7956">
              <w:rPr>
                <w:rFonts w:ascii="Arial Narrow" w:hAnsi="Arial Narrow"/>
                <w:sz w:val="18"/>
                <w:szCs w:val="18"/>
              </w:rPr>
              <w:t xml:space="preserve">24.041 euros de 1.001 a 1.100 habitantes. </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 xml:space="preserve">0,15% para financiación de EUDEL </w:t>
            </w:r>
          </w:p>
        </w:tc>
      </w:tr>
      <w:tr w:rsidR="00BE1465" w:rsidRPr="000C5F5C" w:rsidTr="00274FDB">
        <w:trPr>
          <w:trHeight w:val="198"/>
          <w:jc w:val="center"/>
        </w:trPr>
        <w:tc>
          <w:tcPr>
            <w:tcW w:w="8897" w:type="dxa"/>
            <w:gridSpan w:val="4"/>
            <w:tcBorders>
              <w:bottom w:val="single" w:sz="4" w:space="0" w:color="auto"/>
            </w:tcBorders>
            <w:shd w:val="clear" w:color="auto" w:fill="auto"/>
          </w:tcPr>
          <w:p w:rsidR="00BE1465" w:rsidRPr="000C5F5C" w:rsidRDefault="00BE1465"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r>
      <w:tr w:rsidR="00BE1465" w:rsidRPr="000C5F5C" w:rsidTr="00274FDB">
        <w:trPr>
          <w:trHeight w:val="198"/>
          <w:jc w:val="center"/>
        </w:trPr>
        <w:tc>
          <w:tcPr>
            <w:tcW w:w="8897" w:type="dxa"/>
            <w:gridSpan w:val="4"/>
            <w:tcBorders>
              <w:bottom w:val="single" w:sz="2" w:space="0" w:color="auto"/>
            </w:tcBorders>
            <w:shd w:val="clear" w:color="auto" w:fill="FABF8F" w:themeFill="accent6" w:themeFillTint="99"/>
            <w:vAlign w:val="center"/>
          </w:tcPr>
          <w:p w:rsidR="00BE1465" w:rsidRPr="000C5F5C" w:rsidRDefault="004D39F0" w:rsidP="00BE1465">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cs="Arial"/>
                <w:sz w:val="18"/>
                <w:szCs w:val="18"/>
              </w:rPr>
              <w:t>Bizkaia</w:t>
            </w:r>
          </w:p>
        </w:tc>
      </w:tr>
      <w:tr w:rsidR="00BE1465" w:rsidRPr="007334AA" w:rsidTr="00274FDB">
        <w:trPr>
          <w:trHeight w:val="198"/>
          <w:jc w:val="center"/>
        </w:trPr>
        <w:tc>
          <w:tcPr>
            <w:tcW w:w="2574" w:type="dxa"/>
            <w:gridSpan w:val="3"/>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0C5F5C">
              <w:rPr>
                <w:rFonts w:ascii="Arial" w:hAnsi="Arial" w:cs="Arial"/>
                <w:sz w:val="18"/>
                <w:szCs w:val="18"/>
              </w:rPr>
              <w:t>Dotación</w:t>
            </w:r>
          </w:p>
        </w:tc>
        <w:tc>
          <w:tcPr>
            <w:tcW w:w="6323" w:type="dxa"/>
            <w:tcBorders>
              <w:top w:val="single" w:sz="2" w:space="0" w:color="auto"/>
            </w:tcBorders>
            <w:shd w:val="clear" w:color="auto" w:fill="FABF8F" w:themeFill="accent6" w:themeFillTint="99"/>
            <w:vAlign w:val="center"/>
          </w:tcPr>
          <w:p w:rsidR="00BE1465" w:rsidRPr="000C5F5C" w:rsidRDefault="00BE1465"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0C5F5C">
              <w:rPr>
                <w:rFonts w:ascii="Arial" w:hAnsi="Arial" w:cs="Arial"/>
                <w:sz w:val="18"/>
                <w:szCs w:val="18"/>
              </w:rPr>
              <w:t>Criterios y variables de reparto</w:t>
            </w:r>
          </w:p>
        </w:tc>
      </w:tr>
      <w:tr w:rsidR="00BE1465" w:rsidRPr="000E7956" w:rsidTr="00D60805">
        <w:trPr>
          <w:trHeight w:val="198"/>
          <w:jc w:val="center"/>
        </w:trPr>
        <w:tc>
          <w:tcPr>
            <w:tcW w:w="2574" w:type="dxa"/>
            <w:gridSpan w:val="3"/>
            <w:tcBorders>
              <w:bottom w:val="single" w:sz="4" w:space="0" w:color="auto"/>
            </w:tcBorders>
            <w:vAlign w:val="center"/>
          </w:tcPr>
          <w:p w:rsidR="00BE1465" w:rsidRPr="000E7956" w:rsidRDefault="00BE1465" w:rsidP="00BE1465">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0E7956">
              <w:rPr>
                <w:rFonts w:ascii="Arial Narrow" w:hAnsi="Arial Narrow"/>
                <w:sz w:val="18"/>
                <w:szCs w:val="18"/>
              </w:rPr>
              <w:t>56% recursos del territorio</w:t>
            </w:r>
          </w:p>
        </w:tc>
        <w:tc>
          <w:tcPr>
            <w:tcW w:w="6323" w:type="dxa"/>
            <w:tcBorders>
              <w:bottom w:val="single" w:sz="4" w:space="0" w:color="auto"/>
            </w:tcBorders>
          </w:tcPr>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1º) 38% aproximadamente para Bilbao.</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2º) 0,15% para financiación de EUDEL.</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3º) 0,75% para imprevistos.</w:t>
            </w:r>
          </w:p>
          <w:p w:rsidR="00BE1465" w:rsidRPr="000E7956" w:rsidRDefault="00BE1465" w:rsidP="00BE1465">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0E7956">
              <w:rPr>
                <w:rFonts w:ascii="Arial Narrow" w:hAnsi="Arial Narrow"/>
                <w:sz w:val="18"/>
                <w:szCs w:val="18"/>
              </w:rPr>
              <w:t>4º) El importe restante se distribuye según los siguientes parámetros:</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Importe fijo por ayuntamiento de 81.137 euros.</w:t>
            </w:r>
          </w:p>
          <w:p w:rsidR="00BE1465" w:rsidRPr="000E7956" w:rsidRDefault="00BE1465" w:rsidP="00BE1465">
            <w:pPr>
              <w:pStyle w:val="texto"/>
              <w:numPr>
                <w:ilvl w:val="0"/>
                <w:numId w:val="15"/>
              </w:numPr>
              <w:tabs>
                <w:tab w:val="clear" w:pos="2835"/>
                <w:tab w:val="clear" w:pos="3969"/>
                <w:tab w:val="clear" w:pos="5103"/>
                <w:tab w:val="clear" w:pos="6237"/>
                <w:tab w:val="clear" w:pos="7371"/>
              </w:tabs>
              <w:spacing w:after="0"/>
              <w:ind w:left="568" w:hanging="142"/>
              <w:rPr>
                <w:rFonts w:ascii="Arial Narrow" w:hAnsi="Arial Narrow"/>
                <w:sz w:val="18"/>
                <w:szCs w:val="18"/>
              </w:rPr>
            </w:pPr>
            <w:r w:rsidRPr="000E7956">
              <w:rPr>
                <w:rFonts w:ascii="Arial Narrow" w:hAnsi="Arial Narrow"/>
                <w:sz w:val="18"/>
                <w:szCs w:val="18"/>
              </w:rPr>
              <w:t>El resto se reparte de acuerdo a las siguientes pautas:</w:t>
            </w:r>
          </w:p>
          <w:p w:rsidR="00BE1465" w:rsidRPr="000E7956" w:rsidRDefault="00BE1465" w:rsidP="00BE1465">
            <w:pPr>
              <w:pStyle w:val="texto"/>
              <w:numPr>
                <w:ilvl w:val="1"/>
                <w:numId w:val="18"/>
              </w:numPr>
              <w:tabs>
                <w:tab w:val="clear" w:pos="2835"/>
                <w:tab w:val="clear" w:pos="3969"/>
                <w:tab w:val="clear" w:pos="5103"/>
                <w:tab w:val="clear" w:pos="6237"/>
                <w:tab w:val="clear" w:pos="7371"/>
              </w:tabs>
              <w:spacing w:after="0"/>
              <w:ind w:left="993" w:hanging="283"/>
              <w:rPr>
                <w:rFonts w:ascii="Arial Narrow" w:hAnsi="Arial Narrow"/>
                <w:sz w:val="18"/>
                <w:szCs w:val="18"/>
              </w:rPr>
            </w:pPr>
            <w:r w:rsidRPr="000E7956">
              <w:rPr>
                <w:rFonts w:ascii="Arial Narrow" w:hAnsi="Arial Narrow"/>
                <w:sz w:val="18"/>
                <w:szCs w:val="18"/>
              </w:rPr>
              <w:t>80% según la población.</w:t>
            </w:r>
          </w:p>
          <w:p w:rsidR="00BE1465" w:rsidRPr="000E7956" w:rsidRDefault="00BE1465" w:rsidP="00BE1465">
            <w:pPr>
              <w:pStyle w:val="texto"/>
              <w:numPr>
                <w:ilvl w:val="1"/>
                <w:numId w:val="18"/>
              </w:numPr>
              <w:tabs>
                <w:tab w:val="clear" w:pos="2835"/>
                <w:tab w:val="clear" w:pos="3969"/>
                <w:tab w:val="clear" w:pos="5103"/>
                <w:tab w:val="clear" w:pos="6237"/>
                <w:tab w:val="clear" w:pos="7371"/>
              </w:tabs>
              <w:spacing w:after="0"/>
              <w:ind w:left="993" w:hanging="283"/>
              <w:rPr>
                <w:rFonts w:ascii="Arial Narrow" w:hAnsi="Arial Narrow"/>
                <w:sz w:val="18"/>
                <w:szCs w:val="18"/>
              </w:rPr>
            </w:pPr>
            <w:r w:rsidRPr="000E7956">
              <w:rPr>
                <w:rFonts w:ascii="Arial Narrow" w:hAnsi="Arial Narrow"/>
                <w:sz w:val="18"/>
                <w:szCs w:val="18"/>
              </w:rPr>
              <w:t>13% según la población ponderada por el esfuerzo fiscal.</w:t>
            </w:r>
          </w:p>
          <w:p w:rsidR="00BE1465" w:rsidRPr="000E7956" w:rsidRDefault="00BE1465" w:rsidP="00BE1465">
            <w:pPr>
              <w:pStyle w:val="texto"/>
              <w:numPr>
                <w:ilvl w:val="1"/>
                <w:numId w:val="18"/>
              </w:numPr>
              <w:tabs>
                <w:tab w:val="clear" w:pos="2835"/>
                <w:tab w:val="clear" w:pos="3969"/>
                <w:tab w:val="clear" w:pos="5103"/>
                <w:tab w:val="clear" w:pos="6237"/>
                <w:tab w:val="clear" w:pos="7371"/>
              </w:tabs>
              <w:spacing w:after="0"/>
              <w:ind w:left="993" w:hanging="283"/>
              <w:rPr>
                <w:rFonts w:ascii="Arial Narrow" w:hAnsi="Arial Narrow"/>
                <w:sz w:val="18"/>
                <w:szCs w:val="18"/>
              </w:rPr>
            </w:pPr>
            <w:r w:rsidRPr="000E7956">
              <w:rPr>
                <w:rFonts w:ascii="Arial Narrow" w:hAnsi="Arial Narrow"/>
                <w:sz w:val="18"/>
                <w:szCs w:val="18"/>
              </w:rPr>
              <w:t>7% según unos indicadores de gasto en función de:</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sidRPr="000E7956">
              <w:rPr>
                <w:rFonts w:ascii="Arial Narrow" w:hAnsi="Arial Narrow"/>
                <w:sz w:val="18"/>
                <w:szCs w:val="18"/>
              </w:rPr>
              <w:t>60% unidades escolares.</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sidRPr="000E7956">
              <w:rPr>
                <w:rFonts w:ascii="Arial Narrow" w:hAnsi="Arial Narrow"/>
                <w:sz w:val="18"/>
                <w:szCs w:val="18"/>
              </w:rPr>
              <w:t>18% tasa de paro.</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sidRPr="000E7956">
              <w:rPr>
                <w:rFonts w:ascii="Arial Narrow" w:hAnsi="Arial Narrow"/>
                <w:sz w:val="18"/>
                <w:szCs w:val="18"/>
              </w:rPr>
              <w:t>18% dispersión municipal.</w:t>
            </w:r>
          </w:p>
          <w:p w:rsidR="00BE1465" w:rsidRPr="000E7956" w:rsidRDefault="00BE1465" w:rsidP="00BE1465">
            <w:pPr>
              <w:pStyle w:val="texto"/>
              <w:numPr>
                <w:ilvl w:val="1"/>
                <w:numId w:val="15"/>
              </w:numPr>
              <w:tabs>
                <w:tab w:val="clear" w:pos="2835"/>
                <w:tab w:val="clear" w:pos="3969"/>
                <w:tab w:val="clear" w:pos="5103"/>
                <w:tab w:val="clear" w:pos="6237"/>
                <w:tab w:val="clear" w:pos="7371"/>
              </w:tabs>
              <w:spacing w:after="0"/>
              <w:ind w:left="1277" w:hanging="284"/>
              <w:rPr>
                <w:rFonts w:ascii="Arial Narrow" w:hAnsi="Arial Narrow"/>
                <w:sz w:val="18"/>
                <w:szCs w:val="18"/>
              </w:rPr>
            </w:pPr>
            <w:r w:rsidRPr="000E7956">
              <w:rPr>
                <w:rFonts w:ascii="Arial Narrow" w:hAnsi="Arial Narrow"/>
                <w:sz w:val="18"/>
                <w:szCs w:val="18"/>
              </w:rPr>
              <w:t>4% existencia de playas.</w:t>
            </w:r>
          </w:p>
        </w:tc>
      </w:tr>
    </w:tbl>
    <w:p w:rsidR="004D18A9" w:rsidRPr="000E7956" w:rsidRDefault="004D18A9" w:rsidP="004D18A9">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r w:rsidRPr="000E7956">
        <w:rPr>
          <w:rFonts w:ascii="Arial" w:hAnsi="Arial" w:cs="Arial"/>
          <w:sz w:val="16"/>
          <w:szCs w:val="16"/>
        </w:rPr>
        <w:t>* Araba/Álava destina además un 4,2 por ciento de los recursos del territorio a transferencias de capital finalistas</w:t>
      </w:r>
      <w:r>
        <w:rPr>
          <w:rFonts w:ascii="Arial" w:hAnsi="Arial" w:cs="Arial"/>
          <w:sz w:val="16"/>
          <w:szCs w:val="16"/>
        </w:rPr>
        <w:t>.</w:t>
      </w:r>
    </w:p>
    <w:p w:rsidR="00BE1465" w:rsidRPr="009F1936" w:rsidRDefault="00BE1465" w:rsidP="00BE1465">
      <w:pPr>
        <w:pStyle w:val="texto"/>
        <w:tabs>
          <w:tab w:val="clear" w:pos="2835"/>
          <w:tab w:val="clear" w:pos="3969"/>
          <w:tab w:val="clear" w:pos="5103"/>
          <w:tab w:val="clear" w:pos="6237"/>
          <w:tab w:val="clear" w:pos="7371"/>
        </w:tabs>
        <w:spacing w:before="240"/>
        <w:rPr>
          <w:i/>
          <w:sz w:val="22"/>
          <w:szCs w:val="22"/>
        </w:rPr>
      </w:pPr>
      <w:r>
        <w:rPr>
          <w:szCs w:val="26"/>
        </w:rPr>
        <w:lastRenderedPageBreak/>
        <w:t>Como se observa, existen diferencias significativas entre las propias provi</w:t>
      </w:r>
      <w:r>
        <w:rPr>
          <w:szCs w:val="26"/>
        </w:rPr>
        <w:t>n</w:t>
      </w:r>
      <w:r>
        <w:rPr>
          <w:szCs w:val="26"/>
        </w:rPr>
        <w:t>cias de la CAPV, y entre ellas y Navarra, si bien existen algunos puntos coinc</w:t>
      </w:r>
      <w:r>
        <w:rPr>
          <w:szCs w:val="26"/>
        </w:rPr>
        <w:t>i</w:t>
      </w:r>
      <w:r>
        <w:rPr>
          <w:szCs w:val="26"/>
        </w:rPr>
        <w:t>dentes entre los que destacamos la asignación de un importe fijo para las cap</w:t>
      </w:r>
      <w:r>
        <w:rPr>
          <w:szCs w:val="26"/>
        </w:rPr>
        <w:t>i</w:t>
      </w:r>
      <w:r>
        <w:rPr>
          <w:szCs w:val="26"/>
        </w:rPr>
        <w:t>tales de provincia, y la consideración de la población como una variable fu</w:t>
      </w:r>
      <w:r>
        <w:rPr>
          <w:szCs w:val="26"/>
        </w:rPr>
        <w:t>n</w:t>
      </w:r>
      <w:r>
        <w:rPr>
          <w:szCs w:val="26"/>
        </w:rPr>
        <w:t xml:space="preserve">damental para el reparto del fondo. </w:t>
      </w:r>
    </w:p>
    <w:p w:rsidR="00BE1465" w:rsidRPr="00EF2E8C" w:rsidRDefault="00BE1465" w:rsidP="00BE1465">
      <w:pPr>
        <w:pStyle w:val="texto"/>
        <w:tabs>
          <w:tab w:val="clear" w:pos="2835"/>
          <w:tab w:val="clear" w:pos="3969"/>
          <w:tab w:val="clear" w:pos="5103"/>
          <w:tab w:val="clear" w:pos="6237"/>
          <w:tab w:val="clear" w:pos="7371"/>
        </w:tabs>
        <w:spacing w:before="120" w:after="240"/>
        <w:rPr>
          <w:szCs w:val="26"/>
        </w:rPr>
      </w:pPr>
      <w:r>
        <w:rPr>
          <w:szCs w:val="26"/>
        </w:rPr>
        <w:t xml:space="preserve">Al respecto, señalamos que la normativa de </w:t>
      </w:r>
      <w:r w:rsidR="004D39F0">
        <w:rPr>
          <w:szCs w:val="26"/>
        </w:rPr>
        <w:t>Gipuzkoa</w:t>
      </w:r>
      <w:r>
        <w:rPr>
          <w:szCs w:val="26"/>
        </w:rPr>
        <w:t xml:space="preserve"> establece que el 90 por ciento del fondo se </w:t>
      </w:r>
      <w:r w:rsidRPr="00EF2E8C">
        <w:rPr>
          <w:szCs w:val="26"/>
        </w:rPr>
        <w:t>distribu</w:t>
      </w:r>
      <w:r>
        <w:rPr>
          <w:szCs w:val="26"/>
        </w:rPr>
        <w:t>irá</w:t>
      </w:r>
      <w:r w:rsidRPr="00EF2E8C">
        <w:rPr>
          <w:szCs w:val="26"/>
        </w:rPr>
        <w:t xml:space="preserve"> en proporción directa a </w:t>
      </w:r>
      <w:r>
        <w:rPr>
          <w:szCs w:val="26"/>
        </w:rPr>
        <w:t>la población, sin que</w:t>
      </w:r>
      <w:r w:rsidRPr="00EF2E8C">
        <w:rPr>
          <w:szCs w:val="26"/>
        </w:rPr>
        <w:t xml:space="preserve"> ningún municipio pueda percibir por idénticos conceptos una cantidad menor a su inmediato</w:t>
      </w:r>
      <w:r>
        <w:rPr>
          <w:szCs w:val="26"/>
        </w:rPr>
        <w:t xml:space="preserve"> inferior en número de ha</w:t>
      </w:r>
      <w:r w:rsidRPr="00EF2E8C">
        <w:rPr>
          <w:szCs w:val="26"/>
        </w:rPr>
        <w:t>bitantes.</w:t>
      </w:r>
      <w:r>
        <w:rPr>
          <w:szCs w:val="26"/>
        </w:rPr>
        <w:t xml:space="preserve"> Entendemos que este criterio es razonable, si bien en el caso de Navarra no se </w:t>
      </w:r>
      <w:r w:rsidR="00FA5370">
        <w:rPr>
          <w:szCs w:val="26"/>
        </w:rPr>
        <w:t>aplica</w:t>
      </w:r>
      <w:r>
        <w:rPr>
          <w:szCs w:val="26"/>
        </w:rPr>
        <w:t xml:space="preserve"> por el sistema de garantía establecido en la normativa</w:t>
      </w:r>
      <w:r w:rsidR="00DB59A4">
        <w:rPr>
          <w:szCs w:val="26"/>
        </w:rPr>
        <w:t>,</w:t>
      </w:r>
      <w:r w:rsidR="00FA5370">
        <w:rPr>
          <w:szCs w:val="26"/>
        </w:rPr>
        <w:t xml:space="preserve"> motivando que existan incoherencias de las cuales mostramos algunos ejemplos a continuación</w:t>
      </w:r>
      <w:r>
        <w:rPr>
          <w:szCs w:val="26"/>
        </w:rPr>
        <w:t>:</w:t>
      </w:r>
    </w:p>
    <w:tbl>
      <w:tblPr>
        <w:tblW w:w="8848"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826"/>
        <w:gridCol w:w="1755"/>
        <w:gridCol w:w="1756"/>
        <w:gridCol w:w="1755"/>
        <w:gridCol w:w="1756"/>
      </w:tblGrid>
      <w:tr w:rsidR="001A0C83" w:rsidRPr="00711FCD" w:rsidTr="001A0C83">
        <w:trPr>
          <w:trHeight w:val="255"/>
        </w:trPr>
        <w:tc>
          <w:tcPr>
            <w:tcW w:w="1826" w:type="dxa"/>
            <w:tcBorders>
              <w:bottom w:val="single" w:sz="4" w:space="0" w:color="auto"/>
            </w:tcBorders>
            <w:shd w:val="clear" w:color="auto" w:fill="FABF8F" w:themeFill="accent6" w:themeFillTint="99"/>
            <w:vAlign w:val="center"/>
          </w:tcPr>
          <w:p w:rsidR="001A0C83" w:rsidRPr="00EF2E8C" w:rsidRDefault="001A0C83" w:rsidP="00BE146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EF2E8C">
              <w:rPr>
                <w:rFonts w:ascii="Arial" w:hAnsi="Arial" w:cs="Arial"/>
                <w:sz w:val="18"/>
                <w:szCs w:val="18"/>
              </w:rPr>
              <w:t>Municipio</w:t>
            </w:r>
          </w:p>
        </w:tc>
        <w:tc>
          <w:tcPr>
            <w:tcW w:w="1755" w:type="dxa"/>
            <w:tcBorders>
              <w:bottom w:val="single" w:sz="4" w:space="0" w:color="auto"/>
              <w:right w:val="nil"/>
            </w:tcBorders>
            <w:shd w:val="clear" w:color="auto" w:fill="FABF8F" w:themeFill="accent6" w:themeFillTint="99"/>
            <w:vAlign w:val="center"/>
          </w:tcPr>
          <w:p w:rsidR="001A0C83" w:rsidRDefault="001A0C83" w:rsidP="001A0C8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F2E8C">
              <w:rPr>
                <w:rFonts w:ascii="Arial" w:hAnsi="Arial" w:cs="Arial"/>
                <w:sz w:val="18"/>
                <w:szCs w:val="18"/>
              </w:rPr>
              <w:t xml:space="preserve">Población </w:t>
            </w:r>
          </w:p>
          <w:p w:rsidR="001A0C83" w:rsidRPr="00EF2E8C" w:rsidRDefault="001A0C83" w:rsidP="001A0C8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01-01-2017</w:t>
            </w:r>
          </w:p>
        </w:tc>
        <w:tc>
          <w:tcPr>
            <w:tcW w:w="1756" w:type="dxa"/>
            <w:tcBorders>
              <w:left w:val="nil"/>
              <w:bottom w:val="single" w:sz="4" w:space="0" w:color="auto"/>
              <w:right w:val="nil"/>
            </w:tcBorders>
            <w:shd w:val="clear" w:color="auto" w:fill="FABF8F" w:themeFill="accent6" w:themeFillTint="99"/>
            <w:noWrap/>
            <w:vAlign w:val="center"/>
          </w:tcPr>
          <w:p w:rsidR="001A0C83" w:rsidRPr="00EF2E8C" w:rsidRDefault="001A0C83" w:rsidP="005963F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EF2E8C">
              <w:rPr>
                <w:rFonts w:ascii="Arial" w:hAnsi="Arial" w:cs="Arial"/>
                <w:sz w:val="18"/>
                <w:szCs w:val="18"/>
              </w:rPr>
              <w:t>Fondo 201</w:t>
            </w:r>
            <w:r w:rsidR="005963F9">
              <w:rPr>
                <w:rFonts w:ascii="Arial" w:hAnsi="Arial" w:cs="Arial"/>
                <w:sz w:val="18"/>
                <w:szCs w:val="18"/>
              </w:rPr>
              <w:t>7</w:t>
            </w:r>
          </w:p>
        </w:tc>
        <w:tc>
          <w:tcPr>
            <w:tcW w:w="1755" w:type="dxa"/>
            <w:tcBorders>
              <w:left w:val="nil"/>
              <w:bottom w:val="single" w:sz="4" w:space="0" w:color="auto"/>
              <w:right w:val="nil"/>
            </w:tcBorders>
            <w:shd w:val="clear" w:color="auto" w:fill="FABF8F" w:themeFill="accent6" w:themeFillTint="99"/>
          </w:tcPr>
          <w:p w:rsidR="001A0C83" w:rsidRPr="00EF2E8C" w:rsidRDefault="005963F9" w:rsidP="004B557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 xml:space="preserve">Ingresos </w:t>
            </w:r>
            <w:r w:rsidR="004B557E">
              <w:rPr>
                <w:rFonts w:ascii="Arial" w:hAnsi="Arial" w:cs="Arial"/>
                <w:sz w:val="18"/>
                <w:szCs w:val="18"/>
              </w:rPr>
              <w:t>c</w:t>
            </w:r>
            <w:r>
              <w:rPr>
                <w:rFonts w:ascii="Arial" w:hAnsi="Arial" w:cs="Arial"/>
                <w:sz w:val="18"/>
                <w:szCs w:val="18"/>
              </w:rPr>
              <w:t>tes. 2017 sin FTC</w:t>
            </w:r>
          </w:p>
        </w:tc>
        <w:tc>
          <w:tcPr>
            <w:tcW w:w="1756" w:type="dxa"/>
            <w:tcBorders>
              <w:left w:val="nil"/>
              <w:bottom w:val="single" w:sz="4" w:space="0" w:color="auto"/>
              <w:right w:val="nil"/>
            </w:tcBorders>
            <w:shd w:val="clear" w:color="auto" w:fill="FABF8F" w:themeFill="accent6" w:themeFillTint="99"/>
          </w:tcPr>
          <w:p w:rsidR="001A0C83" w:rsidRPr="00EF2E8C" w:rsidRDefault="005963F9" w:rsidP="004B557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ICIO</w:t>
            </w:r>
            <w:r w:rsidR="004B557E">
              <w:rPr>
                <w:rFonts w:ascii="Arial" w:hAnsi="Arial" w:cs="Arial"/>
                <w:sz w:val="18"/>
                <w:szCs w:val="18"/>
              </w:rPr>
              <w:t xml:space="preserve"> y p</w:t>
            </w:r>
            <w:r>
              <w:rPr>
                <w:rFonts w:ascii="Arial" w:hAnsi="Arial" w:cs="Arial"/>
                <w:sz w:val="18"/>
                <w:szCs w:val="18"/>
              </w:rPr>
              <w:t>lusvalías 2017</w:t>
            </w: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Egüés</w:t>
            </w:r>
          </w:p>
        </w:tc>
        <w:tc>
          <w:tcPr>
            <w:tcW w:w="1755" w:type="dxa"/>
            <w:tcBorders>
              <w:bottom w:val="single" w:sz="2" w:space="0" w:color="auto"/>
              <w:right w:val="nil"/>
            </w:tcBorders>
            <w:vAlign w:val="center"/>
          </w:tcPr>
          <w:p w:rsidR="001A0C83" w:rsidRPr="00274FDB" w:rsidRDefault="001A0C83" w:rsidP="00BE1465">
            <w:pPr>
              <w:spacing w:after="0"/>
              <w:ind w:firstLine="0"/>
              <w:jc w:val="right"/>
              <w:rPr>
                <w:rFonts w:ascii="Arial Narrow" w:hAnsi="Arial Narrow" w:cs="Arial"/>
                <w:lang w:val="es-ES" w:eastAsia="es-ES"/>
              </w:rPr>
            </w:pPr>
            <w:r w:rsidRPr="00274FDB">
              <w:rPr>
                <w:rFonts w:ascii="Arial Narrow" w:hAnsi="Arial Narrow" w:cs="Arial"/>
                <w:lang w:val="es-ES" w:eastAsia="es-ES"/>
              </w:rPr>
              <w:t>20.417</w:t>
            </w:r>
          </w:p>
        </w:tc>
        <w:tc>
          <w:tcPr>
            <w:tcW w:w="1756" w:type="dxa"/>
            <w:tcBorders>
              <w:left w:val="nil"/>
              <w:bottom w:val="single" w:sz="2" w:space="0" w:color="auto"/>
              <w:right w:val="nil"/>
            </w:tcBorders>
            <w:shd w:val="clear" w:color="auto" w:fill="auto"/>
            <w:noWrap/>
            <w:vAlign w:val="center"/>
            <w:hideMark/>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3.485.677</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9.307.346</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1.395.371</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Barañáin</w:t>
            </w:r>
          </w:p>
        </w:tc>
        <w:tc>
          <w:tcPr>
            <w:tcW w:w="1755" w:type="dxa"/>
            <w:tcBorders>
              <w:top w:val="single" w:sz="2" w:space="0" w:color="auto"/>
              <w:right w:val="nil"/>
            </w:tcBorders>
            <w:vAlign w:val="center"/>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20.124</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5.</w:t>
            </w:r>
            <w:r w:rsidR="005963F9">
              <w:rPr>
                <w:rFonts w:ascii="Arial Narrow" w:hAnsi="Arial Narrow" w:cs="Arial"/>
                <w:lang w:val="es-ES" w:eastAsia="es-ES"/>
              </w:rPr>
              <w:t>692.907</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9.867.256</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470.539</w:t>
            </w:r>
          </w:p>
        </w:tc>
      </w:tr>
      <w:tr w:rsidR="001A0C83" w:rsidRPr="00274FDB" w:rsidTr="001A0C83">
        <w:trPr>
          <w:trHeight w:val="198"/>
        </w:trPr>
        <w:tc>
          <w:tcPr>
            <w:tcW w:w="1826" w:type="dxa"/>
            <w:tcBorders>
              <w:bottom w:val="single" w:sz="4"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
        </w:tc>
        <w:tc>
          <w:tcPr>
            <w:tcW w:w="1755" w:type="dxa"/>
            <w:tcBorders>
              <w:bottom w:val="single" w:sz="4" w:space="0" w:color="auto"/>
              <w:right w:val="nil"/>
            </w:tcBorders>
            <w:vAlign w:val="center"/>
          </w:tcPr>
          <w:p w:rsidR="001A0C83" w:rsidRPr="00274FDB" w:rsidRDefault="001A0C83" w:rsidP="00BE1465">
            <w:pPr>
              <w:spacing w:after="0"/>
              <w:ind w:firstLine="0"/>
              <w:jc w:val="right"/>
              <w:rPr>
                <w:rFonts w:ascii="Arial Narrow" w:hAnsi="Arial Narrow" w:cs="Arial"/>
                <w:lang w:val="es-ES" w:eastAsia="es-ES"/>
              </w:rPr>
            </w:pPr>
          </w:p>
        </w:tc>
        <w:tc>
          <w:tcPr>
            <w:tcW w:w="1756" w:type="dxa"/>
            <w:tcBorders>
              <w:left w:val="nil"/>
              <w:bottom w:val="single" w:sz="4" w:space="0" w:color="auto"/>
              <w:right w:val="nil"/>
            </w:tcBorders>
            <w:shd w:val="clear" w:color="auto" w:fill="auto"/>
            <w:noWrap/>
            <w:vAlign w:val="center"/>
            <w:hideMark/>
          </w:tcPr>
          <w:p w:rsidR="001A0C83" w:rsidRPr="00274FDB" w:rsidRDefault="001A0C83" w:rsidP="00BE1465">
            <w:pPr>
              <w:spacing w:after="0"/>
              <w:ind w:firstLine="0"/>
              <w:jc w:val="right"/>
              <w:rPr>
                <w:rFonts w:ascii="Arial Narrow" w:hAnsi="Arial Narrow" w:cs="Arial"/>
                <w:lang w:val="es-ES" w:eastAsia="es-ES"/>
              </w:rPr>
            </w:pPr>
          </w:p>
        </w:tc>
        <w:tc>
          <w:tcPr>
            <w:tcW w:w="1755"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lang w:val="es-ES" w:eastAsia="es-ES"/>
              </w:rPr>
            </w:pPr>
          </w:p>
        </w:tc>
        <w:tc>
          <w:tcPr>
            <w:tcW w:w="1756"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lang w:val="es-ES" w:eastAsia="es-ES"/>
              </w:rPr>
            </w:pP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Zizur Mayor</w:t>
            </w:r>
          </w:p>
        </w:tc>
        <w:tc>
          <w:tcPr>
            <w:tcW w:w="1755" w:type="dxa"/>
            <w:tcBorders>
              <w:bottom w:val="single" w:sz="2" w:space="0" w:color="auto"/>
              <w:right w:val="nil"/>
            </w:tcBorders>
            <w:vAlign w:val="center"/>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14.686</w:t>
            </w:r>
          </w:p>
        </w:tc>
        <w:tc>
          <w:tcPr>
            <w:tcW w:w="1756" w:type="dxa"/>
            <w:tcBorders>
              <w:left w:val="nil"/>
              <w:bottom w:val="single" w:sz="2" w:space="0" w:color="auto"/>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3.</w:t>
            </w:r>
            <w:r w:rsidR="005963F9">
              <w:rPr>
                <w:rFonts w:ascii="Arial Narrow" w:hAnsi="Arial Narrow" w:cs="Arial"/>
                <w:lang w:val="es-ES" w:eastAsia="es-ES"/>
              </w:rPr>
              <w:t>453.185</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8.214.271</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843.476</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Estella</w:t>
            </w:r>
          </w:p>
        </w:tc>
        <w:tc>
          <w:tcPr>
            <w:tcW w:w="1755" w:type="dxa"/>
            <w:tcBorders>
              <w:top w:val="single" w:sz="2" w:space="0" w:color="auto"/>
              <w:right w:val="nil"/>
            </w:tcBorders>
            <w:vAlign w:val="center"/>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13.707</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3.</w:t>
            </w:r>
            <w:r w:rsidR="005963F9">
              <w:rPr>
                <w:rFonts w:ascii="Arial Narrow" w:hAnsi="Arial Narrow" w:cs="Arial"/>
                <w:lang w:val="es-ES" w:eastAsia="es-ES"/>
              </w:rPr>
              <w:t>757.294</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7.845.741</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848.886</w:t>
            </w:r>
          </w:p>
        </w:tc>
      </w:tr>
      <w:tr w:rsidR="001A0C83" w:rsidRPr="00274FDB" w:rsidTr="001A0C83">
        <w:trPr>
          <w:trHeight w:val="198"/>
        </w:trPr>
        <w:tc>
          <w:tcPr>
            <w:tcW w:w="1826" w:type="dxa"/>
            <w:tcBorders>
              <w:bottom w:val="single" w:sz="4"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
        </w:tc>
        <w:tc>
          <w:tcPr>
            <w:tcW w:w="1755" w:type="dxa"/>
            <w:tcBorders>
              <w:bottom w:val="single" w:sz="4" w:space="0" w:color="auto"/>
              <w:right w:val="nil"/>
            </w:tcBorders>
            <w:vAlign w:val="center"/>
          </w:tcPr>
          <w:p w:rsidR="001A0C83" w:rsidRPr="00274FDB" w:rsidRDefault="001A0C83" w:rsidP="00BE1465">
            <w:pPr>
              <w:spacing w:after="0"/>
              <w:ind w:firstLine="0"/>
              <w:jc w:val="right"/>
              <w:rPr>
                <w:rFonts w:ascii="Arial Narrow" w:hAnsi="Arial Narrow" w:cs="Arial"/>
                <w:lang w:val="es-ES" w:eastAsia="es-ES"/>
              </w:rPr>
            </w:pPr>
          </w:p>
        </w:tc>
        <w:tc>
          <w:tcPr>
            <w:tcW w:w="1756" w:type="dxa"/>
            <w:tcBorders>
              <w:left w:val="nil"/>
              <w:bottom w:val="single" w:sz="4" w:space="0" w:color="auto"/>
              <w:right w:val="nil"/>
            </w:tcBorders>
            <w:shd w:val="clear" w:color="auto" w:fill="auto"/>
            <w:noWrap/>
            <w:vAlign w:val="center"/>
            <w:hideMark/>
          </w:tcPr>
          <w:p w:rsidR="001A0C83" w:rsidRPr="00274FDB" w:rsidRDefault="001A0C83" w:rsidP="00BE1465">
            <w:pPr>
              <w:spacing w:after="0"/>
              <w:ind w:firstLine="0"/>
              <w:jc w:val="right"/>
              <w:rPr>
                <w:rFonts w:ascii="Arial Narrow" w:hAnsi="Arial Narrow" w:cs="Arial"/>
                <w:lang w:val="es-ES" w:eastAsia="es-ES"/>
              </w:rPr>
            </w:pPr>
          </w:p>
        </w:tc>
        <w:tc>
          <w:tcPr>
            <w:tcW w:w="1755"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lang w:val="es-ES" w:eastAsia="es-ES"/>
              </w:rPr>
            </w:pPr>
          </w:p>
        </w:tc>
        <w:tc>
          <w:tcPr>
            <w:tcW w:w="1756"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lang w:val="es-ES" w:eastAsia="es-ES"/>
              </w:rPr>
            </w:pP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Ansoáin</w:t>
            </w:r>
          </w:p>
        </w:tc>
        <w:tc>
          <w:tcPr>
            <w:tcW w:w="1755" w:type="dxa"/>
            <w:tcBorders>
              <w:bottom w:val="single" w:sz="2" w:space="0" w:color="auto"/>
              <w:right w:val="nil"/>
            </w:tcBorders>
            <w:vAlign w:val="center"/>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10.752</w:t>
            </w:r>
          </w:p>
        </w:tc>
        <w:tc>
          <w:tcPr>
            <w:tcW w:w="1756" w:type="dxa"/>
            <w:tcBorders>
              <w:left w:val="nil"/>
              <w:bottom w:val="single" w:sz="2" w:space="0" w:color="auto"/>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2.</w:t>
            </w:r>
            <w:r w:rsidR="005963F9">
              <w:rPr>
                <w:rFonts w:ascii="Arial Narrow" w:hAnsi="Arial Narrow" w:cs="Arial"/>
                <w:lang w:val="es-ES" w:eastAsia="es-ES"/>
              </w:rPr>
              <w:t>595.819</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5.738.941</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562.208</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Tafalla</w:t>
            </w:r>
          </w:p>
        </w:tc>
        <w:tc>
          <w:tcPr>
            <w:tcW w:w="1755" w:type="dxa"/>
            <w:tcBorders>
              <w:top w:val="single" w:sz="2" w:space="0" w:color="auto"/>
              <w:right w:val="nil"/>
            </w:tcBorders>
            <w:vAlign w:val="center"/>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10.</w:t>
            </w:r>
            <w:r w:rsidR="005963F9">
              <w:rPr>
                <w:rFonts w:ascii="Arial Narrow" w:hAnsi="Arial Narrow" w:cs="Arial"/>
                <w:lang w:val="es-ES" w:eastAsia="es-ES"/>
              </w:rPr>
              <w:t>638</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3.</w:t>
            </w:r>
            <w:r w:rsidR="005963F9">
              <w:rPr>
                <w:rFonts w:ascii="Arial Narrow" w:hAnsi="Arial Narrow" w:cs="Arial"/>
                <w:lang w:val="es-ES" w:eastAsia="es-ES"/>
              </w:rPr>
              <w:t>081.344</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6.623.004</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325.601</w:t>
            </w:r>
          </w:p>
        </w:tc>
      </w:tr>
      <w:tr w:rsidR="001A0C83" w:rsidRPr="00274FDB" w:rsidTr="001A0C83">
        <w:trPr>
          <w:trHeight w:val="198"/>
        </w:trPr>
        <w:tc>
          <w:tcPr>
            <w:tcW w:w="1826" w:type="dxa"/>
            <w:tcBorders>
              <w:bottom w:val="single" w:sz="4"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
        </w:tc>
        <w:tc>
          <w:tcPr>
            <w:tcW w:w="1755" w:type="dxa"/>
            <w:tcBorders>
              <w:bottom w:val="single" w:sz="4" w:space="0" w:color="auto"/>
              <w:right w:val="nil"/>
            </w:tcBorders>
            <w:vAlign w:val="center"/>
          </w:tcPr>
          <w:p w:rsidR="001A0C83" w:rsidRPr="00274FDB" w:rsidRDefault="001A0C83" w:rsidP="00BE1465">
            <w:pPr>
              <w:spacing w:after="0"/>
              <w:ind w:firstLine="0"/>
              <w:jc w:val="right"/>
              <w:rPr>
                <w:rFonts w:ascii="Arial Narrow" w:hAnsi="Arial Narrow" w:cs="Arial"/>
                <w:lang w:val="es-ES" w:eastAsia="es-ES"/>
              </w:rPr>
            </w:pPr>
          </w:p>
        </w:tc>
        <w:tc>
          <w:tcPr>
            <w:tcW w:w="1756" w:type="dxa"/>
            <w:tcBorders>
              <w:left w:val="nil"/>
              <w:bottom w:val="single" w:sz="4" w:space="0" w:color="auto"/>
              <w:right w:val="nil"/>
            </w:tcBorders>
            <w:shd w:val="clear" w:color="auto" w:fill="auto"/>
            <w:noWrap/>
            <w:vAlign w:val="center"/>
            <w:hideMark/>
          </w:tcPr>
          <w:p w:rsidR="001A0C83" w:rsidRPr="00274FDB" w:rsidRDefault="001A0C83" w:rsidP="00BE1465">
            <w:pPr>
              <w:spacing w:after="0"/>
              <w:ind w:firstLine="0"/>
              <w:jc w:val="right"/>
              <w:rPr>
                <w:rFonts w:ascii="Arial Narrow" w:hAnsi="Arial Narrow" w:cs="Arial"/>
                <w:lang w:val="es-ES" w:eastAsia="es-ES"/>
              </w:rPr>
            </w:pPr>
          </w:p>
        </w:tc>
        <w:tc>
          <w:tcPr>
            <w:tcW w:w="1755"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lang w:val="es-ES" w:eastAsia="es-ES"/>
              </w:rPr>
            </w:pPr>
          </w:p>
        </w:tc>
        <w:tc>
          <w:tcPr>
            <w:tcW w:w="1756" w:type="dxa"/>
            <w:tcBorders>
              <w:left w:val="nil"/>
              <w:bottom w:val="single" w:sz="4" w:space="0" w:color="auto"/>
              <w:right w:val="nil"/>
            </w:tcBorders>
          </w:tcPr>
          <w:p w:rsidR="001A0C83" w:rsidRPr="00274FDB" w:rsidRDefault="001A0C83" w:rsidP="00BE1465">
            <w:pPr>
              <w:spacing w:after="0"/>
              <w:ind w:firstLine="0"/>
              <w:jc w:val="right"/>
              <w:rPr>
                <w:rFonts w:ascii="Arial Narrow" w:hAnsi="Arial Narrow" w:cs="Arial"/>
                <w:lang w:val="es-ES" w:eastAsia="es-ES"/>
              </w:rPr>
            </w:pPr>
          </w:p>
        </w:tc>
      </w:tr>
      <w:tr w:rsidR="001A0C83" w:rsidRPr="00274FDB" w:rsidTr="001A0C83">
        <w:trPr>
          <w:trHeight w:val="198"/>
        </w:trPr>
        <w:tc>
          <w:tcPr>
            <w:tcW w:w="1826" w:type="dxa"/>
            <w:tcBorders>
              <w:bottom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Aranguren</w:t>
            </w:r>
          </w:p>
        </w:tc>
        <w:tc>
          <w:tcPr>
            <w:tcW w:w="1755" w:type="dxa"/>
            <w:tcBorders>
              <w:bottom w:val="single" w:sz="2" w:space="0" w:color="auto"/>
              <w:right w:val="nil"/>
            </w:tcBorders>
            <w:vAlign w:val="center"/>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10.</w:t>
            </w:r>
            <w:r w:rsidR="005963F9">
              <w:rPr>
                <w:rFonts w:ascii="Arial Narrow" w:hAnsi="Arial Narrow" w:cs="Arial"/>
                <w:lang w:val="es-ES" w:eastAsia="es-ES"/>
              </w:rPr>
              <w:t>239</w:t>
            </w:r>
          </w:p>
        </w:tc>
        <w:tc>
          <w:tcPr>
            <w:tcW w:w="1756" w:type="dxa"/>
            <w:tcBorders>
              <w:left w:val="nil"/>
              <w:bottom w:val="single" w:sz="2" w:space="0" w:color="auto"/>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1</w:t>
            </w:r>
            <w:r w:rsidR="005963F9">
              <w:rPr>
                <w:rFonts w:ascii="Arial Narrow" w:hAnsi="Arial Narrow" w:cs="Arial"/>
                <w:lang w:val="es-ES" w:eastAsia="es-ES"/>
              </w:rPr>
              <w:t>.817.953</w:t>
            </w:r>
          </w:p>
        </w:tc>
        <w:tc>
          <w:tcPr>
            <w:tcW w:w="1755"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7.996.172</w:t>
            </w:r>
          </w:p>
        </w:tc>
        <w:tc>
          <w:tcPr>
            <w:tcW w:w="1756" w:type="dxa"/>
            <w:tcBorders>
              <w:left w:val="nil"/>
              <w:bottom w:val="single" w:sz="2" w:space="0" w:color="auto"/>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1.990.427</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Berriozar</w:t>
            </w:r>
          </w:p>
        </w:tc>
        <w:tc>
          <w:tcPr>
            <w:tcW w:w="1755" w:type="dxa"/>
            <w:tcBorders>
              <w:top w:val="single" w:sz="2" w:space="0" w:color="auto"/>
              <w:right w:val="nil"/>
            </w:tcBorders>
            <w:vAlign w:val="center"/>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9.874</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2.</w:t>
            </w:r>
            <w:r w:rsidR="005963F9">
              <w:rPr>
                <w:rFonts w:ascii="Arial Narrow" w:hAnsi="Arial Narrow" w:cs="Arial"/>
                <w:lang w:val="es-ES" w:eastAsia="es-ES"/>
              </w:rPr>
              <w:t>370.405</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3.771.328</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262.488</w:t>
            </w:r>
          </w:p>
        </w:tc>
      </w:tr>
      <w:tr w:rsidR="001A0C83" w:rsidRPr="00274FDB" w:rsidTr="001A0C83">
        <w:trPr>
          <w:trHeight w:val="198"/>
        </w:trPr>
        <w:tc>
          <w:tcPr>
            <w:tcW w:w="1826" w:type="dxa"/>
            <w:tcBorders>
              <w:top w:val="single" w:sz="2" w:space="0" w:color="auto"/>
            </w:tcBorders>
            <w:vAlign w:val="center"/>
          </w:tcPr>
          <w:p w:rsidR="001A0C83" w:rsidRPr="00274FDB" w:rsidRDefault="001A0C83" w:rsidP="00BE1465">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274FDB">
              <w:rPr>
                <w:rFonts w:ascii="Arial Narrow" w:hAnsi="Arial Narrow"/>
                <w:sz w:val="20"/>
                <w:szCs w:val="20"/>
              </w:rPr>
              <w:t>Villava</w:t>
            </w:r>
          </w:p>
        </w:tc>
        <w:tc>
          <w:tcPr>
            <w:tcW w:w="1755" w:type="dxa"/>
            <w:tcBorders>
              <w:top w:val="single" w:sz="2" w:space="0" w:color="auto"/>
              <w:right w:val="nil"/>
            </w:tcBorders>
            <w:vAlign w:val="center"/>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10.</w:t>
            </w:r>
            <w:r w:rsidR="005963F9">
              <w:rPr>
                <w:rFonts w:ascii="Arial Narrow" w:hAnsi="Arial Narrow" w:cs="Arial"/>
                <w:lang w:val="es-ES" w:eastAsia="es-ES"/>
              </w:rPr>
              <w:t>217</w:t>
            </w:r>
          </w:p>
        </w:tc>
        <w:tc>
          <w:tcPr>
            <w:tcW w:w="1756" w:type="dxa"/>
            <w:tcBorders>
              <w:top w:val="single" w:sz="2" w:space="0" w:color="auto"/>
              <w:left w:val="nil"/>
              <w:right w:val="nil"/>
            </w:tcBorders>
            <w:shd w:val="clear" w:color="auto" w:fill="auto"/>
            <w:noWrap/>
            <w:vAlign w:val="center"/>
            <w:hideMark/>
          </w:tcPr>
          <w:p w:rsidR="001A0C83" w:rsidRPr="00274FDB" w:rsidRDefault="001A0C83" w:rsidP="005963F9">
            <w:pPr>
              <w:spacing w:after="0"/>
              <w:ind w:firstLine="0"/>
              <w:jc w:val="right"/>
              <w:rPr>
                <w:rFonts w:ascii="Arial Narrow" w:hAnsi="Arial Narrow" w:cs="Arial"/>
                <w:lang w:val="es-ES" w:eastAsia="es-ES"/>
              </w:rPr>
            </w:pPr>
            <w:r w:rsidRPr="00274FDB">
              <w:rPr>
                <w:rFonts w:ascii="Arial Narrow" w:hAnsi="Arial Narrow" w:cs="Arial"/>
                <w:lang w:val="es-ES" w:eastAsia="es-ES"/>
              </w:rPr>
              <w:t>2.</w:t>
            </w:r>
            <w:r w:rsidR="005963F9">
              <w:rPr>
                <w:rFonts w:ascii="Arial Narrow" w:hAnsi="Arial Narrow" w:cs="Arial"/>
                <w:lang w:val="es-ES" w:eastAsia="es-ES"/>
              </w:rPr>
              <w:t>728.711</w:t>
            </w:r>
          </w:p>
        </w:tc>
        <w:tc>
          <w:tcPr>
            <w:tcW w:w="1755"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6.052.304</w:t>
            </w:r>
          </w:p>
        </w:tc>
        <w:tc>
          <w:tcPr>
            <w:tcW w:w="1756" w:type="dxa"/>
            <w:tcBorders>
              <w:top w:val="single" w:sz="2" w:space="0" w:color="auto"/>
              <w:left w:val="nil"/>
              <w:right w:val="nil"/>
            </w:tcBorders>
          </w:tcPr>
          <w:p w:rsidR="001A0C83" w:rsidRPr="00274FDB" w:rsidRDefault="005963F9" w:rsidP="00BE1465">
            <w:pPr>
              <w:spacing w:after="0"/>
              <w:ind w:firstLine="0"/>
              <w:jc w:val="right"/>
              <w:rPr>
                <w:rFonts w:ascii="Arial Narrow" w:hAnsi="Arial Narrow" w:cs="Arial"/>
                <w:lang w:val="es-ES" w:eastAsia="es-ES"/>
              </w:rPr>
            </w:pPr>
            <w:r>
              <w:rPr>
                <w:rFonts w:ascii="Arial Narrow" w:hAnsi="Arial Narrow" w:cs="Arial"/>
                <w:lang w:val="es-ES" w:eastAsia="es-ES"/>
              </w:rPr>
              <w:t>760.217</w:t>
            </w:r>
          </w:p>
        </w:tc>
      </w:tr>
    </w:tbl>
    <w:p w:rsidR="004B557E" w:rsidRDefault="004B557E" w:rsidP="00DB59A4">
      <w:pPr>
        <w:pStyle w:val="texto"/>
        <w:spacing w:before="240"/>
      </w:pPr>
      <w:bookmarkStart w:id="42" w:name="_Toc2849160"/>
      <w:r>
        <w:t>Existen diferencias significativas entre el fondo recibido por municipios de similar población, si bien, en algunos casos, la diferencia entre los ingresos c</w:t>
      </w:r>
      <w:r>
        <w:t>o</w:t>
      </w:r>
      <w:r>
        <w:t>rrientes y el ICIO y plusvalías también es relevante.</w:t>
      </w:r>
      <w:r w:rsidR="00EC0E21">
        <w:t xml:space="preserve"> Así, por ejemplo, Villava o Berriozar perciben un importe correspondiente al fondo superior a Aranguren, pero sus ingresos corrientes (sin considerar el FTC) y los derivados de ICIO y plusvalías son inferiores a los de este municipio. </w:t>
      </w:r>
    </w:p>
    <w:p w:rsidR="00DB59A4" w:rsidRPr="004B557E" w:rsidRDefault="00DB59A4" w:rsidP="004B557E">
      <w:pPr>
        <w:pStyle w:val="texto"/>
      </w:pPr>
      <w:r w:rsidRPr="004B557E">
        <w:t xml:space="preserve">Asimismo, hemos verificado que en Gipuzkoa y Bizkaia la evolución de la población y de la cuantía del fondo va en el mismo sentido, circunstancia que parece </w:t>
      </w:r>
      <w:r w:rsidR="00A95EE7" w:rsidRPr="004B557E">
        <w:t xml:space="preserve">lógica y adecuada, si bien en Navarra, como ya hemos citado, este hecho no se produce por </w:t>
      </w:r>
      <w:r w:rsidR="00903003" w:rsidRPr="004B557E">
        <w:t>el sistema de garantía previsto en la normativa.</w:t>
      </w:r>
    </w:p>
    <w:p w:rsidR="00BE1465" w:rsidRPr="00F377C9" w:rsidRDefault="00BE1465" w:rsidP="00BE1465">
      <w:pPr>
        <w:pStyle w:val="atitulo2"/>
        <w:spacing w:before="240" w:after="120"/>
      </w:pPr>
      <w:bookmarkStart w:id="43" w:name="_Toc4486943"/>
      <w:r w:rsidRPr="00F377C9">
        <w:t>I</w:t>
      </w:r>
      <w:r>
        <w:t>V</w:t>
      </w:r>
      <w:r w:rsidRPr="00F377C9">
        <w:t>.</w:t>
      </w:r>
      <w:r>
        <w:t>4</w:t>
      </w:r>
      <w:r w:rsidRPr="00F377C9">
        <w:t xml:space="preserve">. </w:t>
      </w:r>
      <w:r>
        <w:t>Conclusión final y recomendaciones</w:t>
      </w:r>
      <w:bookmarkEnd w:id="42"/>
      <w:bookmarkEnd w:id="43"/>
      <w:r w:rsidRPr="00F377C9">
        <w:t xml:space="preserve"> </w:t>
      </w:r>
    </w:p>
    <w:bookmarkEnd w:id="38"/>
    <w:bookmarkEnd w:id="39"/>
    <w:bookmarkEnd w:id="40"/>
    <w:bookmarkEnd w:id="41"/>
    <w:p w:rsidR="00BE1465" w:rsidRDefault="00BE1465" w:rsidP="00BE1465">
      <w:pPr>
        <w:pStyle w:val="texto"/>
      </w:pPr>
      <w:r w:rsidRPr="00D62BBF">
        <w:t xml:space="preserve">En </w:t>
      </w:r>
      <w:r w:rsidRPr="00D62BBF">
        <w:rPr>
          <w:b/>
        </w:rPr>
        <w:t>definitiva</w:t>
      </w:r>
      <w:r w:rsidRPr="00D62BBF">
        <w:t xml:space="preserve">, </w:t>
      </w:r>
      <w:r w:rsidR="00903003">
        <w:t>en Navarra, en el periodo 2009-2018 el fondo se ha determ</w:t>
      </w:r>
      <w:r w:rsidR="00903003">
        <w:t>i</w:t>
      </w:r>
      <w:r w:rsidR="00903003">
        <w:t>nado y repartido conforme a los criterios establecidos en la normativa</w:t>
      </w:r>
      <w:r w:rsidR="00A95EE7">
        <w:t>.</w:t>
      </w:r>
    </w:p>
    <w:p w:rsidR="00BE1465" w:rsidRDefault="00F92DDF" w:rsidP="00BE1465">
      <w:pPr>
        <w:pStyle w:val="texto"/>
      </w:pPr>
      <w:r>
        <w:t>El sistema de garantía previsto en la normativa para gestionar el FTC</w:t>
      </w:r>
      <w:r w:rsidR="00960E77">
        <w:t xml:space="preserve"> hace que se distribuya aproximadamente tan solo un uno por ciento del mismo en base a la fórmula, lo que resta utilidad a la misma; la aplicación de este sistema</w:t>
      </w:r>
      <w:r>
        <w:t xml:space="preserve"> </w:t>
      </w:r>
      <w:r>
        <w:lastRenderedPageBreak/>
        <w:t>h</w:t>
      </w:r>
      <w:r w:rsidR="00BE1465">
        <w:t>a perjudicado, en general, a aquellas entidades que han experimentado un i</w:t>
      </w:r>
      <w:r w:rsidR="00BE1465">
        <w:t>n</w:t>
      </w:r>
      <w:r w:rsidR="00BE1465">
        <w:t xml:space="preserve">cremento significativo de la población, si bien </w:t>
      </w:r>
      <w:r w:rsidR="00960E77">
        <w:t>sus</w:t>
      </w:r>
      <w:r w:rsidR="00BE1465">
        <w:t xml:space="preserve"> ingresos corrientes</w:t>
      </w:r>
      <w:r>
        <w:t xml:space="preserve"> </w:t>
      </w:r>
      <w:r w:rsidR="00BE1465">
        <w:t>también han experimentado un crecimiento relevante.</w:t>
      </w:r>
    </w:p>
    <w:p w:rsidR="00BE1465" w:rsidRDefault="00BE1465" w:rsidP="00BE1465">
      <w:pPr>
        <w:pStyle w:val="texto"/>
      </w:pPr>
      <w:r w:rsidRPr="00D62BBF">
        <w:t xml:space="preserve"> </w:t>
      </w:r>
      <w:r>
        <w:t xml:space="preserve">La </w:t>
      </w:r>
      <w:r w:rsidR="00F92DDF">
        <w:t xml:space="preserve">ley foral de </w:t>
      </w:r>
      <w:r>
        <w:t>reforma de la administración local aprobada recientemente propone cambios tanto en la determinación del fondo como en su distribución</w:t>
      </w:r>
      <w:r w:rsidR="00F92DDF">
        <w:t>,</w:t>
      </w:r>
      <w:r>
        <w:t xml:space="preserve"> estando ésta condicionada</w:t>
      </w:r>
      <w:r w:rsidR="00960E77">
        <w:t>, en parte,</w:t>
      </w:r>
      <w:r>
        <w:t xml:space="preserve"> a la</w:t>
      </w:r>
      <w:r w:rsidR="00960E77">
        <w:t xml:space="preserve"> atribución competencial que se realice de determinados servicios</w:t>
      </w:r>
      <w:r w:rsidR="00441981">
        <w:t>, como la educación infantil de 0 a 3 años</w:t>
      </w:r>
      <w:r w:rsidR="00960E77">
        <w:t>, y a la</w:t>
      </w:r>
      <w:r>
        <w:t xml:space="preserve"> o</w:t>
      </w:r>
      <w:r>
        <w:t>b</w:t>
      </w:r>
      <w:r>
        <w:t>tención de unos módulos de financiación de los servicios que a la fecha de r</w:t>
      </w:r>
      <w:r>
        <w:t>e</w:t>
      </w:r>
      <w:r>
        <w:t>dacción de este informe no están calculados.</w:t>
      </w:r>
      <w:r w:rsidR="002B0779">
        <w:t xml:space="preserve"> Esta Cámara considera que estas modificaciones son razonables y adecuadas para repartir el FTC de acuerdo a criterios de equidad, justicia y proporcionalidad.</w:t>
      </w:r>
    </w:p>
    <w:p w:rsidR="00BE1465" w:rsidRPr="009F1936" w:rsidRDefault="00F92DDF" w:rsidP="00BE1465">
      <w:pPr>
        <w:pStyle w:val="texto"/>
        <w:tabs>
          <w:tab w:val="clear" w:pos="2835"/>
          <w:tab w:val="clear" w:pos="3969"/>
          <w:tab w:val="clear" w:pos="5103"/>
          <w:tab w:val="clear" w:pos="6237"/>
          <w:tab w:val="clear" w:pos="7371"/>
        </w:tabs>
        <w:spacing w:before="120"/>
        <w:rPr>
          <w:i/>
          <w:sz w:val="22"/>
          <w:szCs w:val="22"/>
        </w:rPr>
      </w:pPr>
      <w:r>
        <w:t>L</w:t>
      </w:r>
      <w:r w:rsidR="00BE1465">
        <w:t>a dotación del fondo en Navarra ha sido significativamente menor</w:t>
      </w:r>
      <w:r>
        <w:t xml:space="preserve"> que en la CAPV</w:t>
      </w:r>
      <w:r w:rsidR="00BE1465">
        <w:t xml:space="preserve"> y los criterios distributivos </w:t>
      </w:r>
      <w:r w:rsidR="002B0779">
        <w:t xml:space="preserve">del FTC </w:t>
      </w:r>
      <w:r w:rsidR="00BE1465">
        <w:t>difieren</w:t>
      </w:r>
      <w:r>
        <w:t xml:space="preserve"> entre las dos comunidades, e incluso entre las tres provincias de la CAPV</w:t>
      </w:r>
      <w:r w:rsidR="00BE1465" w:rsidRPr="009F1936">
        <w:rPr>
          <w:i/>
          <w:sz w:val="22"/>
          <w:szCs w:val="22"/>
        </w:rPr>
        <w:t>.</w:t>
      </w:r>
    </w:p>
    <w:p w:rsidR="00BE1465" w:rsidRPr="0053547C" w:rsidRDefault="00BE1465" w:rsidP="00BE1465">
      <w:pPr>
        <w:pStyle w:val="texto"/>
        <w:rPr>
          <w:i/>
        </w:rPr>
      </w:pPr>
      <w:r>
        <w:t xml:space="preserve">Teniendo en cuenta las conclusiones del trabajo realizado </w:t>
      </w:r>
      <w:r w:rsidRPr="0053547C">
        <w:rPr>
          <w:i/>
        </w:rPr>
        <w:t>recomendamos:</w:t>
      </w:r>
    </w:p>
    <w:p w:rsidR="002B0779" w:rsidRDefault="002B0779"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3547C">
        <w:rPr>
          <w:rFonts w:cs="Arial"/>
          <w:i/>
        </w:rPr>
        <w:t>Acometer los cambios propuestos en la normativa recientemente aprobada para gestionar el fondo de participación de las haciendas locales en los trib</w:t>
      </w:r>
      <w:r w:rsidRPr="0053547C">
        <w:rPr>
          <w:rFonts w:cs="Arial"/>
          <w:i/>
        </w:rPr>
        <w:t>u</w:t>
      </w:r>
      <w:r w:rsidRPr="0053547C">
        <w:rPr>
          <w:rFonts w:cs="Arial"/>
          <w:i/>
        </w:rPr>
        <w:t>tos de Navarra</w:t>
      </w:r>
      <w:r w:rsidR="00960E77">
        <w:rPr>
          <w:rFonts w:cs="Arial"/>
          <w:i/>
        </w:rPr>
        <w:t xml:space="preserve"> con la colaboración de las entidades locales</w:t>
      </w:r>
      <w:r w:rsidRPr="0053547C">
        <w:rPr>
          <w:rFonts w:cs="Arial"/>
          <w:i/>
        </w:rPr>
        <w:t>.</w:t>
      </w:r>
    </w:p>
    <w:p w:rsidR="00960E77" w:rsidRPr="0053547C" w:rsidRDefault="00960E77"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Establecer la atribución competencial de aquellos servicios que no está contemplada en la Ley foral de reforma de la administración local.</w:t>
      </w:r>
    </w:p>
    <w:p w:rsidR="00BE1465" w:rsidRPr="0053547C"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3547C">
        <w:rPr>
          <w:rFonts w:cs="Arial"/>
          <w:i/>
        </w:rPr>
        <w:t>Realizar una revisión de las variables incluidas en la fórmula de reparto</w:t>
      </w:r>
      <w:r w:rsidR="004D39F0" w:rsidRPr="0053547C">
        <w:rPr>
          <w:rFonts w:cs="Arial"/>
          <w:i/>
        </w:rPr>
        <w:t xml:space="preserve"> del FTC</w:t>
      </w:r>
      <w:r w:rsidRPr="0053547C">
        <w:rPr>
          <w:rFonts w:cs="Arial"/>
          <w:i/>
        </w:rPr>
        <w:t xml:space="preserve"> y de sus ponderaciones teniendo en cuenta información </w:t>
      </w:r>
      <w:r w:rsidR="00F92DDF">
        <w:rPr>
          <w:rFonts w:cs="Arial"/>
          <w:i/>
        </w:rPr>
        <w:t>actualizada</w:t>
      </w:r>
      <w:r w:rsidRPr="0053547C">
        <w:rPr>
          <w:rFonts w:cs="Arial"/>
          <w:i/>
        </w:rPr>
        <w:t xml:space="preserve"> sobre </w:t>
      </w:r>
      <w:r w:rsidR="004D39F0" w:rsidRPr="0053547C">
        <w:rPr>
          <w:rFonts w:cs="Arial"/>
          <w:i/>
        </w:rPr>
        <w:t>los gastos e ingresos</w:t>
      </w:r>
      <w:r w:rsidRPr="0053547C">
        <w:rPr>
          <w:rFonts w:cs="Arial"/>
          <w:i/>
        </w:rPr>
        <w:t xml:space="preserve"> de las entidades locales.</w:t>
      </w:r>
    </w:p>
    <w:p w:rsidR="00BE1465" w:rsidRPr="0053547C" w:rsidRDefault="00960E77"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Contemplar la opción de i</w:t>
      </w:r>
      <w:r w:rsidR="00BE1465" w:rsidRPr="0053547C">
        <w:rPr>
          <w:rFonts w:cs="Arial"/>
          <w:i/>
        </w:rPr>
        <w:t xml:space="preserve">ntroducir las modificaciones necesarias en la fórmula de reparto del </w:t>
      </w:r>
      <w:r w:rsidR="002B0779" w:rsidRPr="0053547C">
        <w:rPr>
          <w:rFonts w:cs="Arial"/>
          <w:i/>
        </w:rPr>
        <w:t>FTC</w:t>
      </w:r>
      <w:r w:rsidR="00BE1465" w:rsidRPr="0053547C">
        <w:rPr>
          <w:rFonts w:cs="Arial"/>
          <w:i/>
        </w:rPr>
        <w:t xml:space="preserve"> </w:t>
      </w:r>
      <w:r w:rsidR="004D39F0" w:rsidRPr="0053547C">
        <w:rPr>
          <w:rFonts w:cs="Arial"/>
          <w:i/>
        </w:rPr>
        <w:t>para que</w:t>
      </w:r>
      <w:r w:rsidR="00BE1465" w:rsidRPr="0053547C">
        <w:rPr>
          <w:rFonts w:cs="Arial"/>
          <w:i/>
        </w:rPr>
        <w:t xml:space="preserve"> </w:t>
      </w:r>
      <w:r w:rsidR="002B0779" w:rsidRPr="0053547C">
        <w:rPr>
          <w:rFonts w:cs="Arial"/>
          <w:i/>
        </w:rPr>
        <w:t xml:space="preserve">en la asignación del fondo por el criterio de población, </w:t>
      </w:r>
      <w:r w:rsidR="00BE1465" w:rsidRPr="0053547C">
        <w:rPr>
          <w:rFonts w:cs="Arial"/>
          <w:i/>
        </w:rPr>
        <w:t>ningún municipio pueda percibir</w:t>
      </w:r>
      <w:r w:rsidR="002B0779" w:rsidRPr="0053547C">
        <w:rPr>
          <w:rFonts w:cs="Arial"/>
          <w:i/>
        </w:rPr>
        <w:t xml:space="preserve"> por conceptos idénticos</w:t>
      </w:r>
      <w:r w:rsidR="00BE1465" w:rsidRPr="0053547C">
        <w:rPr>
          <w:rFonts w:cs="Arial"/>
          <w:i/>
        </w:rPr>
        <w:t xml:space="preserve"> una cantidad menor a su inmediato inferior en número de habitantes.</w:t>
      </w:r>
    </w:p>
    <w:p w:rsidR="002B0779" w:rsidRPr="0053547C" w:rsidRDefault="002B0779"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3547C">
        <w:rPr>
          <w:rFonts w:cs="Arial"/>
          <w:i/>
        </w:rPr>
        <w:t>Analizar la posibilidad de establecer una cuantía fija de financiación por municipio.</w:t>
      </w:r>
    </w:p>
    <w:p w:rsidR="00BE1465" w:rsidRPr="0053547C" w:rsidRDefault="002B0779"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3547C">
        <w:rPr>
          <w:rFonts w:cs="Arial"/>
          <w:i/>
        </w:rPr>
        <w:t xml:space="preserve">Valorar la conveniencia de </w:t>
      </w:r>
      <w:r w:rsidR="00E74472">
        <w:rPr>
          <w:rFonts w:cs="Arial"/>
          <w:i/>
        </w:rPr>
        <w:t>mantene</w:t>
      </w:r>
      <w:r w:rsidRPr="0053547C">
        <w:rPr>
          <w:rFonts w:cs="Arial"/>
          <w:i/>
        </w:rPr>
        <w:t>r el sistema de garantía previsto a</w:t>
      </w:r>
      <w:r w:rsidRPr="0053547C">
        <w:rPr>
          <w:rFonts w:cs="Arial"/>
          <w:i/>
        </w:rPr>
        <w:t>c</w:t>
      </w:r>
      <w:r w:rsidRPr="0053547C">
        <w:rPr>
          <w:rFonts w:cs="Arial"/>
          <w:i/>
        </w:rPr>
        <w:t>tualmente tras la implantación de los cambios propuestos en la normativa.</w:t>
      </w:r>
    </w:p>
    <w:bookmarkEnd w:id="20"/>
    <w:bookmarkEnd w:id="21"/>
    <w:p w:rsidR="00214906" w:rsidRPr="00FA784F" w:rsidRDefault="00214906" w:rsidP="00214906">
      <w:pPr>
        <w:pStyle w:val="texto"/>
        <w:spacing w:before="240"/>
      </w:pPr>
      <w:r w:rsidRPr="00FA784F">
        <w:t>Informe que se emite a propuesta de la auditora Karen Moreno Orduña, re</w:t>
      </w:r>
      <w:r w:rsidRPr="00FA784F">
        <w:t>s</w:t>
      </w:r>
      <w:r w:rsidRPr="00FA784F">
        <w:t>ponsable de la realización de este trabajo, una vez cumplimentados los trámites previstos por la normativa vigente.</w:t>
      </w:r>
    </w:p>
    <w:p w:rsidR="00214906" w:rsidRPr="00FA784F" w:rsidRDefault="00214906" w:rsidP="00214906">
      <w:pPr>
        <w:pStyle w:val="texto"/>
        <w:spacing w:after="0"/>
        <w:ind w:firstLine="0"/>
        <w:jc w:val="center"/>
        <w:rPr>
          <w:szCs w:val="26"/>
        </w:rPr>
      </w:pPr>
      <w:r w:rsidRPr="00FA784F">
        <w:rPr>
          <w:szCs w:val="26"/>
        </w:rPr>
        <w:t xml:space="preserve">Pamplona, a </w:t>
      </w:r>
      <w:r w:rsidR="005D5DE6">
        <w:rPr>
          <w:szCs w:val="26"/>
        </w:rPr>
        <w:t>26</w:t>
      </w:r>
      <w:r>
        <w:rPr>
          <w:szCs w:val="26"/>
        </w:rPr>
        <w:t xml:space="preserve"> de marzo</w:t>
      </w:r>
      <w:r w:rsidRPr="00FA784F">
        <w:rPr>
          <w:szCs w:val="26"/>
        </w:rPr>
        <w:t xml:space="preserve"> de 201</w:t>
      </w:r>
      <w:r>
        <w:rPr>
          <w:szCs w:val="26"/>
        </w:rPr>
        <w:t>9</w:t>
      </w:r>
    </w:p>
    <w:p w:rsidR="00274FDB" w:rsidRDefault="00214906" w:rsidP="00214906">
      <w:pPr>
        <w:pStyle w:val="texto"/>
        <w:tabs>
          <w:tab w:val="clear" w:pos="2835"/>
          <w:tab w:val="clear" w:pos="3969"/>
          <w:tab w:val="clear" w:pos="5103"/>
          <w:tab w:val="clear" w:pos="6237"/>
          <w:tab w:val="clear" w:pos="7371"/>
          <w:tab w:val="left" w:pos="480"/>
          <w:tab w:val="num" w:pos="720"/>
          <w:tab w:val="num" w:pos="1320"/>
        </w:tabs>
        <w:ind w:left="289" w:firstLine="0"/>
        <w:jc w:val="center"/>
        <w:sectPr w:rsidR="00274FDB" w:rsidSect="00C27D23">
          <w:footerReference w:type="default" r:id="rId16"/>
          <w:pgSz w:w="11907" w:h="16840" w:code="9"/>
          <w:pgMar w:top="2109" w:right="1559" w:bottom="1644" w:left="1559" w:header="369" w:footer="136" w:gutter="0"/>
          <w:cols w:space="720"/>
          <w:docGrid w:linePitch="360"/>
        </w:sectPr>
      </w:pPr>
      <w:r w:rsidRPr="00FA784F">
        <w:rPr>
          <w:szCs w:val="26"/>
          <w:lang w:val="es-ES"/>
        </w:rPr>
        <w:t xml:space="preserve">La presidenta, </w:t>
      </w:r>
      <w:r>
        <w:rPr>
          <w:szCs w:val="26"/>
          <w:lang w:val="es-ES"/>
        </w:rPr>
        <w:t xml:space="preserve">Asunción Olaechea </w:t>
      </w:r>
      <w:r>
        <w:t>Estang</w:t>
      </w:r>
      <w:r w:rsidR="00BE1465">
        <w:t>a</w:t>
      </w:r>
      <w:bookmarkStart w:id="44" w:name="_Toc474745512"/>
      <w:bookmarkStart w:id="45" w:name="_Toc2861966"/>
      <w:bookmarkStart w:id="46" w:name="_Toc2849161"/>
      <w:bookmarkStart w:id="47" w:name="_Toc255540"/>
      <w:bookmarkStart w:id="48" w:name="_Toc476295560"/>
      <w:bookmarkStart w:id="49" w:name="_Toc476391668"/>
      <w:bookmarkStart w:id="50" w:name="_Toc476411474"/>
      <w:bookmarkStart w:id="51" w:name="_Toc476729686"/>
      <w:bookmarkStart w:id="52" w:name="_Toc476821445"/>
      <w:bookmarkStart w:id="53" w:name="_Toc477171884"/>
    </w:p>
    <w:p w:rsidR="00F85F5D" w:rsidRDefault="00F85F5D" w:rsidP="00274FDB">
      <w:pPr>
        <w:pStyle w:val="texto"/>
        <w:tabs>
          <w:tab w:val="clear" w:pos="2835"/>
          <w:tab w:val="clear" w:pos="3969"/>
          <w:tab w:val="clear" w:pos="5103"/>
          <w:tab w:val="clear" w:pos="6237"/>
          <w:tab w:val="clear" w:pos="7371"/>
          <w:tab w:val="left" w:pos="480"/>
          <w:tab w:val="num" w:pos="720"/>
          <w:tab w:val="num" w:pos="1320"/>
        </w:tabs>
        <w:ind w:left="289" w:firstLine="0"/>
        <w:jc w:val="center"/>
        <w:rPr>
          <w:rFonts w:eastAsiaTheme="minorHAnsi"/>
          <w:sz w:val="36"/>
          <w:szCs w:val="36"/>
        </w:rPr>
      </w:pPr>
    </w:p>
    <w:p w:rsidR="00F85F5D" w:rsidRDefault="00F85F5D" w:rsidP="00F85F5D">
      <w:pPr>
        <w:pStyle w:val="atitulo1"/>
        <w:jc w:val="right"/>
        <w:rPr>
          <w:rFonts w:eastAsiaTheme="minorHAnsi"/>
          <w:sz w:val="36"/>
          <w:szCs w:val="36"/>
        </w:rPr>
      </w:pPr>
    </w:p>
    <w:p w:rsidR="00F85F5D" w:rsidRDefault="00F85F5D" w:rsidP="00F85F5D">
      <w:pPr>
        <w:pStyle w:val="atitulo1"/>
        <w:jc w:val="right"/>
        <w:rPr>
          <w:rFonts w:eastAsiaTheme="minorHAnsi"/>
          <w:sz w:val="36"/>
          <w:szCs w:val="36"/>
        </w:rPr>
      </w:pPr>
    </w:p>
    <w:p w:rsidR="00F85F5D" w:rsidRDefault="00F85F5D" w:rsidP="00F85F5D">
      <w:pPr>
        <w:pStyle w:val="atitulo1"/>
        <w:jc w:val="right"/>
        <w:rPr>
          <w:rFonts w:eastAsiaTheme="minorHAnsi"/>
          <w:sz w:val="36"/>
          <w:szCs w:val="36"/>
        </w:rPr>
      </w:pPr>
    </w:p>
    <w:p w:rsidR="00F85F5D" w:rsidRDefault="00F85F5D" w:rsidP="00F85F5D">
      <w:pPr>
        <w:pStyle w:val="atitulo1"/>
        <w:jc w:val="right"/>
        <w:rPr>
          <w:rFonts w:eastAsiaTheme="minorHAnsi"/>
          <w:sz w:val="36"/>
          <w:szCs w:val="36"/>
        </w:rPr>
      </w:pPr>
    </w:p>
    <w:p w:rsidR="00F85F5D" w:rsidRDefault="00F85F5D" w:rsidP="00F85F5D">
      <w:pPr>
        <w:pStyle w:val="atitulo1"/>
        <w:jc w:val="right"/>
        <w:rPr>
          <w:rFonts w:eastAsiaTheme="minorHAnsi"/>
          <w:sz w:val="36"/>
          <w:szCs w:val="36"/>
        </w:rPr>
      </w:pPr>
    </w:p>
    <w:p w:rsidR="00274FDB" w:rsidRDefault="00F85F5D" w:rsidP="00274FDB">
      <w:pPr>
        <w:pStyle w:val="atitulo1"/>
        <w:jc w:val="right"/>
        <w:rPr>
          <w:rFonts w:eastAsiaTheme="minorHAnsi"/>
          <w:sz w:val="36"/>
          <w:szCs w:val="36"/>
        </w:rPr>
        <w:sectPr w:rsidR="00274FDB" w:rsidSect="00274FDB">
          <w:type w:val="oddPage"/>
          <w:pgSz w:w="11907" w:h="16840" w:code="9"/>
          <w:pgMar w:top="2109" w:right="1559" w:bottom="1644" w:left="1559" w:header="369" w:footer="136" w:gutter="0"/>
          <w:cols w:space="720"/>
          <w:docGrid w:linePitch="360"/>
        </w:sectPr>
      </w:pPr>
      <w:bookmarkStart w:id="54" w:name="_Toc4486944"/>
      <w:r w:rsidRPr="00EC14AE">
        <w:rPr>
          <w:rFonts w:eastAsiaTheme="minorHAnsi"/>
          <w:sz w:val="36"/>
          <w:szCs w:val="36"/>
        </w:rPr>
        <w:t>Anexos</w:t>
      </w:r>
      <w:bookmarkEnd w:id="44"/>
      <w:bookmarkEnd w:id="45"/>
      <w:bookmarkEnd w:id="54"/>
    </w:p>
    <w:p w:rsidR="00BE1465" w:rsidRPr="00255118" w:rsidRDefault="00BE1465" w:rsidP="00BE1465">
      <w:pPr>
        <w:pStyle w:val="atitulo2"/>
      </w:pPr>
      <w:bookmarkStart w:id="55" w:name="_Toc4486945"/>
      <w:r w:rsidRPr="00255118">
        <w:lastRenderedPageBreak/>
        <w:t xml:space="preserve">Anexo </w:t>
      </w:r>
      <w:r>
        <w:t>1</w:t>
      </w:r>
      <w:r w:rsidRPr="00255118">
        <w:t xml:space="preserve">. </w:t>
      </w:r>
      <w:r>
        <w:t>Normativa básica aplicable a la gestión del fondo 2009-2019</w:t>
      </w:r>
      <w:bookmarkEnd w:id="46"/>
      <w:bookmarkEnd w:id="55"/>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19/2008, de 20 de noviembre, por la que se establece la cuantía y fórmula de reparto del fondo de participación de las haciendas locales en los tributos de Navarra, para los ejercicios presupuestarios de 2009 a 2012.</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 xml:space="preserve"> Ley Foral 18/2011, de 30 de noviembre, por la que se modifica la dotación del fondo de participación de las haciendas locales en los tributos de Navarra, para los ejercicios 2011 y 2012.</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20/2012, de 26 de diciembre, por la que se establecen la cuantía y la fórmula de reparto del fondo de participación de las haciendas locales en los tributos de Navarra por transferencias corrientes para los ejercicios presupuestarios de 2013 y 2014.</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17/2014, de 25 de septiembre, por la que se modifica la Ley Foral 20/2012, de 26 de diciembre, por la que se establecen la cuantía y la fórmula de r</w:t>
      </w:r>
      <w:r w:rsidRPr="00DC54B0">
        <w:rPr>
          <w:rFonts w:ascii="Arial" w:hAnsi="Arial" w:cs="Arial"/>
          <w:sz w:val="22"/>
          <w:szCs w:val="22"/>
        </w:rPr>
        <w:t>e</w:t>
      </w:r>
      <w:r w:rsidRPr="00DC54B0">
        <w:rPr>
          <w:rFonts w:ascii="Arial" w:hAnsi="Arial" w:cs="Arial"/>
          <w:sz w:val="22"/>
          <w:szCs w:val="22"/>
        </w:rPr>
        <w:t xml:space="preserve">parto del fondo de participación de las haciendas locales en los tributos de Navarra por transferencias corrientes para los ejercicios presupuestarios de 2013 y 2014. </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21/2014, de 12 de noviembre, por la que se establece la cuantía y r</w:t>
      </w:r>
      <w:r w:rsidRPr="00DC54B0">
        <w:rPr>
          <w:rFonts w:ascii="Arial" w:hAnsi="Arial" w:cs="Arial"/>
          <w:sz w:val="22"/>
          <w:szCs w:val="22"/>
        </w:rPr>
        <w:t>e</w:t>
      </w:r>
      <w:r w:rsidRPr="00DC54B0">
        <w:rPr>
          <w:rFonts w:ascii="Arial" w:hAnsi="Arial" w:cs="Arial"/>
          <w:sz w:val="22"/>
          <w:szCs w:val="22"/>
        </w:rPr>
        <w:t>parto del fondo de participación de las haciendas locales en los tributos de Navarra por transferencias corrientes para los ejercicios presupuestarios de 2015 y 2016.</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30/2014, de 24 de diciembre, por la que se modifica la Ley Foral 20/2012, de 26 de diciembre, por la que se establecen la cuantía y la fórmula de r</w:t>
      </w:r>
      <w:r w:rsidRPr="00DC54B0">
        <w:rPr>
          <w:rFonts w:ascii="Arial" w:hAnsi="Arial" w:cs="Arial"/>
          <w:sz w:val="22"/>
          <w:szCs w:val="22"/>
        </w:rPr>
        <w:t>e</w:t>
      </w:r>
      <w:r w:rsidRPr="00DC54B0">
        <w:rPr>
          <w:rFonts w:ascii="Arial" w:hAnsi="Arial" w:cs="Arial"/>
          <w:sz w:val="22"/>
          <w:szCs w:val="22"/>
        </w:rPr>
        <w:t>parto del fondo de participación de las haciendas locales en los tributos de Navarra por transferencias corrientes para los ejercicios presupuestarios de 2013 y 2014.</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24/2015, de 28 de diciembre, por la que se modifica la Ley Foral 21/2014, de 12 de noviembre, por la que se establece la cuantía y reparto del fondo de participación de las haciendas locales en los tributos de Navarra por transfere</w:t>
      </w:r>
      <w:r w:rsidRPr="00DC54B0">
        <w:rPr>
          <w:rFonts w:ascii="Arial" w:hAnsi="Arial" w:cs="Arial"/>
          <w:sz w:val="22"/>
          <w:szCs w:val="22"/>
        </w:rPr>
        <w:t>n</w:t>
      </w:r>
      <w:r w:rsidRPr="00DC54B0">
        <w:rPr>
          <w:rFonts w:ascii="Arial" w:hAnsi="Arial" w:cs="Arial"/>
          <w:sz w:val="22"/>
          <w:szCs w:val="22"/>
        </w:rPr>
        <w:t>cias corrientes para los ejercicios presupuestarios de 2015 y 2016.</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21/2016, de 21 de diciembre, por la que se establece la cuantía y r</w:t>
      </w:r>
      <w:r w:rsidRPr="00DC54B0">
        <w:rPr>
          <w:rFonts w:ascii="Arial" w:hAnsi="Arial" w:cs="Arial"/>
          <w:sz w:val="22"/>
          <w:szCs w:val="22"/>
        </w:rPr>
        <w:t>e</w:t>
      </w:r>
      <w:r w:rsidRPr="00DC54B0">
        <w:rPr>
          <w:rFonts w:ascii="Arial" w:hAnsi="Arial" w:cs="Arial"/>
          <w:sz w:val="22"/>
          <w:szCs w:val="22"/>
        </w:rPr>
        <w:t>parto del fondo de participación de las haciendas locales en los tributos de Navarra por transferencias corrientes para el ejercicio presupuestario de 2017.</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Ley Foral 18/2017, de 27 de diciembre,  por la que se establece la cuantía y r</w:t>
      </w:r>
      <w:r w:rsidRPr="00DC54B0">
        <w:rPr>
          <w:rFonts w:ascii="Arial" w:hAnsi="Arial" w:cs="Arial"/>
          <w:sz w:val="22"/>
          <w:szCs w:val="22"/>
        </w:rPr>
        <w:t>e</w:t>
      </w:r>
      <w:r w:rsidRPr="00DC54B0">
        <w:rPr>
          <w:rFonts w:ascii="Arial" w:hAnsi="Arial" w:cs="Arial"/>
          <w:sz w:val="22"/>
          <w:szCs w:val="22"/>
        </w:rPr>
        <w:t>parto del fondo de participación de las haciendas locales en los tributos de Navarra por transferencias corrientes para los años 2018 y 2019.</w:t>
      </w:r>
    </w:p>
    <w:p w:rsidR="00274FDB" w:rsidRPr="00DC54B0" w:rsidRDefault="00BE1465" w:rsidP="00274FDB">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sectPr w:rsidR="00274FDB" w:rsidRPr="00DC54B0" w:rsidSect="00274FDB">
          <w:type w:val="oddPage"/>
          <w:pgSz w:w="11907" w:h="16840" w:code="9"/>
          <w:pgMar w:top="2109" w:right="1559" w:bottom="1644" w:left="1559" w:header="369" w:footer="136" w:gutter="0"/>
          <w:cols w:space="720"/>
          <w:docGrid w:linePitch="360"/>
        </w:sectPr>
      </w:pPr>
      <w:r w:rsidRPr="00DC54B0">
        <w:rPr>
          <w:rFonts w:ascii="Arial" w:hAnsi="Arial" w:cs="Arial"/>
          <w:sz w:val="22"/>
          <w:szCs w:val="22"/>
        </w:rPr>
        <w:t>Ley Foral 4/2019, de 4 de febrero, de reforma de la administración local de N</w:t>
      </w:r>
      <w:r w:rsidRPr="00DC54B0">
        <w:rPr>
          <w:rFonts w:ascii="Arial" w:hAnsi="Arial" w:cs="Arial"/>
          <w:sz w:val="22"/>
          <w:szCs w:val="22"/>
        </w:rPr>
        <w:t>a</w:t>
      </w:r>
      <w:r w:rsidRPr="00DC54B0">
        <w:rPr>
          <w:rFonts w:ascii="Arial" w:hAnsi="Arial" w:cs="Arial"/>
          <w:sz w:val="22"/>
          <w:szCs w:val="22"/>
        </w:rPr>
        <w:t>varra.</w:t>
      </w:r>
      <w:bookmarkStart w:id="56" w:name="_Toc2849162"/>
    </w:p>
    <w:p w:rsidR="00BE1465" w:rsidRPr="00255118" w:rsidRDefault="00274FDB" w:rsidP="00274FDB">
      <w:pPr>
        <w:pStyle w:val="atitulo2"/>
      </w:pPr>
      <w:r w:rsidRPr="00255118">
        <w:lastRenderedPageBreak/>
        <w:t xml:space="preserve"> </w:t>
      </w:r>
      <w:bookmarkStart w:id="57" w:name="_Toc4486946"/>
      <w:r w:rsidR="00BE1465" w:rsidRPr="00255118">
        <w:t xml:space="preserve">Anexo </w:t>
      </w:r>
      <w:r w:rsidR="00BE1465">
        <w:t>2</w:t>
      </w:r>
      <w:r w:rsidR="00BE1465" w:rsidRPr="00255118">
        <w:t xml:space="preserve">. </w:t>
      </w:r>
      <w:r w:rsidR="00BE1465">
        <w:t>Leyenda de los componentes de la fórmula de reparto del fo</w:t>
      </w:r>
      <w:r w:rsidR="00BE1465">
        <w:t>n</w:t>
      </w:r>
      <w:r w:rsidR="00BE1465">
        <w:t>do de participación de las haciendas locales en los tributos de Navarra</w:t>
      </w:r>
      <w:bookmarkEnd w:id="47"/>
      <w:bookmarkEnd w:id="56"/>
      <w:bookmarkEnd w:id="57"/>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FTC es el índice de reparto de cada municipio.</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PPOB es el porcentaje que representa la población de cada municipio sobre la suma de la población para el total de Navarra, excluida Pamplona.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PURB es el porcentaje que representa la superficie urbana neta de cada mun</w:t>
      </w:r>
      <w:r w:rsidRPr="00DC54B0">
        <w:rPr>
          <w:rFonts w:ascii="Arial" w:hAnsi="Arial" w:cs="Arial"/>
          <w:sz w:val="22"/>
          <w:szCs w:val="22"/>
        </w:rPr>
        <w:t>i</w:t>
      </w:r>
      <w:r w:rsidRPr="00DC54B0">
        <w:rPr>
          <w:rFonts w:ascii="Arial" w:hAnsi="Arial" w:cs="Arial"/>
          <w:sz w:val="22"/>
          <w:szCs w:val="22"/>
        </w:rPr>
        <w:t>cipio sobre la suma de la superficie urbana neta para el total de Navarra, excluida Pamplona. Se entiende por superficie urbana neta la resultante de la diferencia e</w:t>
      </w:r>
      <w:r w:rsidRPr="00DC54B0">
        <w:rPr>
          <w:rFonts w:ascii="Arial" w:hAnsi="Arial" w:cs="Arial"/>
          <w:sz w:val="22"/>
          <w:szCs w:val="22"/>
        </w:rPr>
        <w:t>n</w:t>
      </w:r>
      <w:r w:rsidRPr="00DC54B0">
        <w:rPr>
          <w:rFonts w:ascii="Arial" w:hAnsi="Arial" w:cs="Arial"/>
          <w:sz w:val="22"/>
          <w:szCs w:val="22"/>
        </w:rPr>
        <w:t>tre la extensión según plano (superficie gráfica), y su extensión como suma de pa</w:t>
      </w:r>
      <w:r w:rsidRPr="00DC54B0">
        <w:rPr>
          <w:rFonts w:ascii="Arial" w:hAnsi="Arial" w:cs="Arial"/>
          <w:sz w:val="22"/>
          <w:szCs w:val="22"/>
        </w:rPr>
        <w:t>r</w:t>
      </w:r>
      <w:r w:rsidRPr="00DC54B0">
        <w:rPr>
          <w:rFonts w:ascii="Arial" w:hAnsi="Arial" w:cs="Arial"/>
          <w:sz w:val="22"/>
          <w:szCs w:val="22"/>
        </w:rPr>
        <w:t>cela (superficie alfanumérica).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PMA65 es el porcentaje que representa la población con edad igual o superior a 65 años de cada municipio sobre la suma de la población con edad igual o superior a 65 años para el total de Navarra, excluida Pamplona.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PPINM es el porcentaje que representa la población inmigrante de cada munic</w:t>
      </w:r>
      <w:r w:rsidRPr="00DC54B0">
        <w:rPr>
          <w:rFonts w:ascii="Arial" w:hAnsi="Arial" w:cs="Arial"/>
          <w:sz w:val="22"/>
          <w:szCs w:val="22"/>
        </w:rPr>
        <w:t>i</w:t>
      </w:r>
      <w:r w:rsidRPr="00DC54B0">
        <w:rPr>
          <w:rFonts w:ascii="Arial" w:hAnsi="Arial" w:cs="Arial"/>
          <w:sz w:val="22"/>
          <w:szCs w:val="22"/>
        </w:rPr>
        <w:t>pio sobre la suma de la población inmigrante para el total de Navarra, excluida Pamplona.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PINVDISP es el porcentaje que representa el inverso del índice de concentr</w:t>
      </w:r>
      <w:r w:rsidRPr="00DC54B0">
        <w:rPr>
          <w:rFonts w:ascii="Arial" w:hAnsi="Arial" w:cs="Arial"/>
          <w:sz w:val="22"/>
          <w:szCs w:val="22"/>
        </w:rPr>
        <w:t>a</w:t>
      </w:r>
      <w:r w:rsidRPr="00DC54B0">
        <w:rPr>
          <w:rFonts w:ascii="Arial" w:hAnsi="Arial" w:cs="Arial"/>
          <w:sz w:val="22"/>
          <w:szCs w:val="22"/>
        </w:rPr>
        <w:t>ción de población, calculado por la suma de los cuadrados de los porcentajes que representa la población de cada núcleo habitado de un municipio sobre la población total del mismo, sobre la suma de los inversos del índice de concentración de pobl</w:t>
      </w:r>
      <w:r w:rsidRPr="00DC54B0">
        <w:rPr>
          <w:rFonts w:ascii="Arial" w:hAnsi="Arial" w:cs="Arial"/>
          <w:sz w:val="22"/>
          <w:szCs w:val="22"/>
        </w:rPr>
        <w:t>a</w:t>
      </w:r>
      <w:r w:rsidRPr="00DC54B0">
        <w:rPr>
          <w:rFonts w:ascii="Arial" w:hAnsi="Arial" w:cs="Arial"/>
          <w:sz w:val="22"/>
          <w:szCs w:val="22"/>
        </w:rPr>
        <w:t>ción para el total de Navarra excluido Pamplona.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PSUP es el porcentaje que representa la superficie total de cada municipio s</w:t>
      </w:r>
      <w:r w:rsidRPr="00DC54B0">
        <w:rPr>
          <w:rFonts w:ascii="Arial" w:hAnsi="Arial" w:cs="Arial"/>
          <w:sz w:val="22"/>
          <w:szCs w:val="22"/>
        </w:rPr>
        <w:t>o</w:t>
      </w:r>
      <w:r w:rsidRPr="00DC54B0">
        <w:rPr>
          <w:rFonts w:ascii="Arial" w:hAnsi="Arial" w:cs="Arial"/>
          <w:sz w:val="22"/>
          <w:szCs w:val="22"/>
        </w:rPr>
        <w:t>bre la suma de la superficie para el total de Navarra, excluida Pamplona.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PCTU es el porcentaje que representa la base liquidable urbana ajustada de la contribución territorial de cada municipio sobre la suma de bases liquidables ajust</w:t>
      </w:r>
      <w:r w:rsidRPr="00DC54B0">
        <w:rPr>
          <w:rFonts w:ascii="Arial" w:hAnsi="Arial" w:cs="Arial"/>
          <w:sz w:val="22"/>
          <w:szCs w:val="22"/>
        </w:rPr>
        <w:t>a</w:t>
      </w:r>
      <w:r w:rsidRPr="00DC54B0">
        <w:rPr>
          <w:rFonts w:ascii="Arial" w:hAnsi="Arial" w:cs="Arial"/>
          <w:sz w:val="22"/>
          <w:szCs w:val="22"/>
        </w:rPr>
        <w:t>das de dicho tributo para el total de Navarra, excluida Pamplona. Las bases se aju</w:t>
      </w:r>
      <w:r w:rsidRPr="00DC54B0">
        <w:rPr>
          <w:rFonts w:ascii="Arial" w:hAnsi="Arial" w:cs="Arial"/>
          <w:sz w:val="22"/>
          <w:szCs w:val="22"/>
        </w:rPr>
        <w:t>s</w:t>
      </w:r>
      <w:r w:rsidRPr="00DC54B0">
        <w:rPr>
          <w:rFonts w:ascii="Arial" w:hAnsi="Arial" w:cs="Arial"/>
          <w:sz w:val="22"/>
          <w:szCs w:val="22"/>
        </w:rPr>
        <w:t>tan a valores de mercado mediante un coeficiente corrector que aumenta los valores en función del alejamiento que presentan respecto al valor de mercado. Este coef</w:t>
      </w:r>
      <w:r w:rsidRPr="00DC54B0">
        <w:rPr>
          <w:rFonts w:ascii="Arial" w:hAnsi="Arial" w:cs="Arial"/>
          <w:sz w:val="22"/>
          <w:szCs w:val="22"/>
        </w:rPr>
        <w:t>i</w:t>
      </w:r>
      <w:r w:rsidRPr="00DC54B0">
        <w:rPr>
          <w:rFonts w:ascii="Arial" w:hAnsi="Arial" w:cs="Arial"/>
          <w:sz w:val="22"/>
          <w:szCs w:val="22"/>
        </w:rPr>
        <w:t>ciente corrector será el fijado para las viviendas por el Servicio de Riqueza Territ</w:t>
      </w:r>
      <w:r w:rsidRPr="00DC54B0">
        <w:rPr>
          <w:rFonts w:ascii="Arial" w:hAnsi="Arial" w:cs="Arial"/>
          <w:sz w:val="22"/>
          <w:szCs w:val="22"/>
        </w:rPr>
        <w:t>o</w:t>
      </w:r>
      <w:r w:rsidRPr="00DC54B0">
        <w:rPr>
          <w:rFonts w:ascii="Arial" w:hAnsi="Arial" w:cs="Arial"/>
          <w:sz w:val="22"/>
          <w:szCs w:val="22"/>
        </w:rPr>
        <w:t>rial del Departamento de Economía y Hacienda.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PCTR es el porcentaje que representa la base liquidable rústica de la contrib</w:t>
      </w:r>
      <w:r w:rsidRPr="00DC54B0">
        <w:rPr>
          <w:rFonts w:ascii="Arial" w:hAnsi="Arial" w:cs="Arial"/>
          <w:sz w:val="22"/>
          <w:szCs w:val="22"/>
        </w:rPr>
        <w:t>u</w:t>
      </w:r>
      <w:r w:rsidRPr="00DC54B0">
        <w:rPr>
          <w:rFonts w:ascii="Arial" w:hAnsi="Arial" w:cs="Arial"/>
          <w:sz w:val="22"/>
          <w:szCs w:val="22"/>
        </w:rPr>
        <w:t>ción territorial de cada municipio sobre la suma de Bases liquidables rústicas para el total de Navarra, excluida Pamplona.</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PIAE es el porcentaje que representa la cuota base del impuesto de actividades económicas de cada municipio sobre la suma de la cuota del impuesto de activid</w:t>
      </w:r>
      <w:r w:rsidRPr="00DC54B0">
        <w:rPr>
          <w:rFonts w:ascii="Arial" w:hAnsi="Arial" w:cs="Arial"/>
          <w:sz w:val="22"/>
          <w:szCs w:val="22"/>
        </w:rPr>
        <w:t>a</w:t>
      </w:r>
      <w:r w:rsidRPr="00DC54B0">
        <w:rPr>
          <w:rFonts w:ascii="Arial" w:hAnsi="Arial" w:cs="Arial"/>
          <w:sz w:val="22"/>
          <w:szCs w:val="22"/>
        </w:rPr>
        <w:t>des económicas para el total de Navarra, excluido el municipio de Pamplona, defin</w:t>
      </w:r>
      <w:r w:rsidRPr="00DC54B0">
        <w:rPr>
          <w:rFonts w:ascii="Arial" w:hAnsi="Arial" w:cs="Arial"/>
          <w:sz w:val="22"/>
          <w:szCs w:val="22"/>
        </w:rPr>
        <w:t>i</w:t>
      </w:r>
      <w:r w:rsidRPr="00DC54B0">
        <w:rPr>
          <w:rFonts w:ascii="Arial" w:hAnsi="Arial" w:cs="Arial"/>
          <w:sz w:val="22"/>
          <w:szCs w:val="22"/>
        </w:rPr>
        <w:t>da la cuota base como la suma de las cuotas municipales, territoriales y nacionales, excluido el recargo municipal.</w:t>
      </w:r>
    </w:p>
    <w:p w:rsidR="00BE1465"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PIVTM es el porcentaje que representa los derechos liquidados del impuesto sobre vehículos de tracción mecánica de cada municipio sobre los derechos liquid</w:t>
      </w:r>
      <w:r w:rsidRPr="00DC54B0">
        <w:rPr>
          <w:rFonts w:ascii="Arial" w:hAnsi="Arial" w:cs="Arial"/>
          <w:sz w:val="22"/>
          <w:szCs w:val="22"/>
        </w:rPr>
        <w:t>a</w:t>
      </w:r>
      <w:r w:rsidRPr="00DC54B0">
        <w:rPr>
          <w:rFonts w:ascii="Arial" w:hAnsi="Arial" w:cs="Arial"/>
          <w:sz w:val="22"/>
          <w:szCs w:val="22"/>
        </w:rPr>
        <w:t>dos totales de este impuesto para Navarra, excluida Pamplona.</w:t>
      </w:r>
    </w:p>
    <w:p w:rsidR="00F85F5D" w:rsidRPr="00DC54B0"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DC54B0">
        <w:rPr>
          <w:rFonts w:ascii="Arial" w:hAnsi="Arial" w:cs="Arial"/>
          <w:sz w:val="22"/>
          <w:szCs w:val="22"/>
        </w:rPr>
        <w:t xml:space="preserve">PVCC es el porcentaje que representa el valor catastral del comunal de cada municipio sobre el total de valores de los municipios de Navarra, excluido Pamplona. </w:t>
      </w:r>
      <w:r w:rsidRPr="00DC54B0">
        <w:rPr>
          <w:rFonts w:ascii="Arial" w:hAnsi="Arial" w:cs="Arial"/>
          <w:sz w:val="22"/>
          <w:szCs w:val="22"/>
        </w:rPr>
        <w:lastRenderedPageBreak/>
        <w:t>En el caso de los municipios en cuyo término se encuentren enclavados concejos sólo se tiene en cuenta el valor del comunal que no está ubicado en concejos</w:t>
      </w:r>
      <w:r w:rsidR="0053547C" w:rsidRPr="00DC54B0">
        <w:rPr>
          <w:rFonts w:ascii="Arial" w:hAnsi="Arial" w:cs="Arial"/>
          <w:sz w:val="22"/>
          <w:szCs w:val="22"/>
        </w:rPr>
        <w:t>.</w:t>
      </w:r>
    </w:p>
    <w:p w:rsidR="00BE1465" w:rsidRPr="0053547C" w:rsidRDefault="00BE1465" w:rsidP="0053547C">
      <w:pPr>
        <w:pStyle w:val="texto"/>
        <w:tabs>
          <w:tab w:val="clear" w:pos="2835"/>
          <w:tab w:val="clear" w:pos="3969"/>
          <w:tab w:val="clear" w:pos="5103"/>
          <w:tab w:val="clear" w:pos="6237"/>
          <w:tab w:val="clear" w:pos="7371"/>
          <w:tab w:val="left" w:pos="480"/>
          <w:tab w:val="num" w:pos="600"/>
          <w:tab w:val="num" w:pos="720"/>
          <w:tab w:val="num" w:pos="1320"/>
        </w:tabs>
        <w:ind w:firstLine="0"/>
        <w:rPr>
          <w:rFonts w:ascii="Arial" w:hAnsi="Arial" w:cs="Arial"/>
          <w:sz w:val="24"/>
        </w:rPr>
      </w:pPr>
    </w:p>
    <w:p w:rsidR="00BE1465" w:rsidRPr="0053547C" w:rsidRDefault="00BE1465" w:rsidP="0053547C">
      <w:pPr>
        <w:pStyle w:val="texto"/>
        <w:numPr>
          <w:ilvl w:val="0"/>
          <w:numId w:val="21"/>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sectPr w:rsidR="00BE1465" w:rsidRPr="0053547C" w:rsidSect="00274FDB">
          <w:type w:val="oddPage"/>
          <w:pgSz w:w="11907" w:h="16840" w:code="9"/>
          <w:pgMar w:top="2109" w:right="1559" w:bottom="1644" w:left="1559" w:header="369" w:footer="136" w:gutter="0"/>
          <w:cols w:space="720"/>
          <w:docGrid w:linePitch="360"/>
        </w:sectPr>
      </w:pPr>
    </w:p>
    <w:p w:rsidR="00BE1465" w:rsidRDefault="00BE1465" w:rsidP="00BE1465">
      <w:pPr>
        <w:pStyle w:val="atitulo2"/>
      </w:pPr>
      <w:bookmarkStart w:id="58" w:name="_Toc2849163"/>
      <w:bookmarkStart w:id="59" w:name="_Toc4486947"/>
      <w:r>
        <w:lastRenderedPageBreak/>
        <w:t>Anexo 3</w:t>
      </w:r>
      <w:r w:rsidRPr="001301A7">
        <w:t xml:space="preserve">. </w:t>
      </w:r>
      <w:bookmarkEnd w:id="48"/>
      <w:bookmarkEnd w:id="49"/>
      <w:bookmarkEnd w:id="50"/>
      <w:bookmarkEnd w:id="51"/>
      <w:bookmarkEnd w:id="52"/>
      <w:bookmarkEnd w:id="53"/>
      <w:r>
        <w:t>Evolución indicadores por municipio 2009-2017</w:t>
      </w:r>
      <w:bookmarkEnd w:id="58"/>
      <w:bookmarkEnd w:id="59"/>
    </w:p>
    <w:p w:rsidR="0053547C" w:rsidRPr="0053547C" w:rsidRDefault="0053547C" w:rsidP="0053547C">
      <w:pPr>
        <w:spacing w:after="120"/>
        <w:ind w:left="57" w:firstLine="0"/>
        <w:jc w:val="center"/>
        <w:rPr>
          <w:rFonts w:ascii="Arial" w:hAnsi="Arial" w:cs="Arial"/>
          <w:b/>
          <w:bCs/>
          <w:lang w:val="es-ES" w:eastAsia="es-ES"/>
        </w:rPr>
      </w:pPr>
      <w:r w:rsidRPr="0053547C">
        <w:rPr>
          <w:rFonts w:ascii="Arial" w:hAnsi="Arial" w:cs="Arial"/>
          <w:b/>
          <w:bCs/>
          <w:lang w:val="es-ES" w:eastAsia="es-ES"/>
        </w:rPr>
        <w:t>Pamplona</w:t>
      </w:r>
    </w:p>
    <w:tbl>
      <w:tblPr>
        <w:tblW w:w="13652"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74"/>
        <w:gridCol w:w="1147"/>
        <w:gridCol w:w="1148"/>
        <w:gridCol w:w="1148"/>
        <w:gridCol w:w="1148"/>
        <w:gridCol w:w="1148"/>
        <w:gridCol w:w="1147"/>
        <w:gridCol w:w="1148"/>
        <w:gridCol w:w="1148"/>
        <w:gridCol w:w="1148"/>
        <w:gridCol w:w="1148"/>
      </w:tblGrid>
      <w:tr w:rsidR="00BE1465" w:rsidRPr="00EB61AA" w:rsidTr="004858A6">
        <w:trPr>
          <w:trHeight w:val="255"/>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47"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47"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4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48" w:type="dxa"/>
            <w:tcBorders>
              <w:bottom w:val="single" w:sz="4" w:space="0" w:color="auto"/>
            </w:tcBorders>
            <w:shd w:val="clear" w:color="auto" w:fill="FABF8F" w:themeFill="accent6" w:themeFillTint="99"/>
            <w:vAlign w:val="center"/>
          </w:tcPr>
          <w:p w:rsidR="0053547C" w:rsidRDefault="00274FDB" w:rsidP="00BE146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w:t>
            </w:r>
            <w:r w:rsidR="00BE1465">
              <w:rPr>
                <w:rFonts w:ascii="Arial" w:hAnsi="Arial" w:cs="Arial"/>
                <w:bCs/>
                <w:sz w:val="18"/>
                <w:szCs w:val="18"/>
                <w:lang w:val="es-ES" w:eastAsia="es-ES"/>
              </w:rPr>
              <w:t>ar</w:t>
            </w:r>
            <w:r w:rsidR="004858A6">
              <w:rPr>
                <w:rFonts w:ascii="Arial" w:hAnsi="Arial" w:cs="Arial"/>
                <w:bCs/>
                <w:sz w:val="18"/>
                <w:szCs w:val="18"/>
                <w:lang w:val="es-ES" w:eastAsia="es-ES"/>
              </w:rPr>
              <w:t>iación</w:t>
            </w:r>
            <w:r w:rsidR="00BE1465">
              <w:rPr>
                <w:rFonts w:ascii="Arial" w:hAnsi="Arial" w:cs="Arial"/>
                <w:bCs/>
                <w:sz w:val="18"/>
                <w:szCs w:val="18"/>
                <w:lang w:val="es-ES" w:eastAsia="es-ES"/>
              </w:rPr>
              <w:t xml:space="preserve"> </w:t>
            </w:r>
          </w:p>
          <w:p w:rsidR="00BE1465" w:rsidRPr="00EB61AA" w:rsidRDefault="00BE1465" w:rsidP="00BE146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2017/2009</w:t>
            </w:r>
          </w:p>
        </w:tc>
      </w:tr>
      <w:tr w:rsidR="00BE1465" w:rsidRPr="0053547C" w:rsidTr="004858A6">
        <w:trPr>
          <w:trHeight w:val="198"/>
          <w:jc w:val="center"/>
        </w:trPr>
        <w:tc>
          <w:tcPr>
            <w:tcW w:w="2174" w:type="dxa"/>
            <w:tcBorders>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lang w:val="es-ES" w:eastAsia="es-ES"/>
              </w:rPr>
            </w:pPr>
            <w:r w:rsidRPr="0053547C">
              <w:rPr>
                <w:rFonts w:ascii="Arial Narrow" w:hAnsi="Arial Narrow"/>
                <w:color w:val="000000"/>
                <w:lang w:val="es-ES" w:eastAsia="es-ES"/>
              </w:rPr>
              <w:t>Fondo transferencias (FT)</w:t>
            </w:r>
          </w:p>
        </w:tc>
        <w:tc>
          <w:tcPr>
            <w:tcW w:w="1147"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74.118.323</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74.637.151</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75.156.174</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75.631.318</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77.219.575</w:t>
            </w:r>
          </w:p>
        </w:tc>
        <w:tc>
          <w:tcPr>
            <w:tcW w:w="1147"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78.763.967</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78.763.967</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80.260.482</w:t>
            </w:r>
          </w:p>
        </w:tc>
        <w:tc>
          <w:tcPr>
            <w:tcW w:w="1148" w:type="dxa"/>
            <w:tcBorders>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81.303.866</w:t>
            </w:r>
          </w:p>
        </w:tc>
        <w:tc>
          <w:tcPr>
            <w:tcW w:w="1148" w:type="dxa"/>
            <w:tcBorders>
              <w:bottom w:val="single" w:sz="2" w:space="0" w:color="auto"/>
            </w:tcBorders>
            <w:vAlign w:val="center"/>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10</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lang w:val="es-ES" w:eastAsia="es-ES"/>
              </w:rPr>
            </w:pPr>
            <w:r w:rsidRPr="0053547C">
              <w:rPr>
                <w:rFonts w:ascii="Arial Narrow" w:hAnsi="Arial Narrow"/>
                <w:color w:val="000000"/>
                <w:lang w:val="es-ES" w:eastAsia="es-ES"/>
              </w:rPr>
              <w:t>Gastos de funcionamiento</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183.076.921</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175.070.476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173.822.154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163.660.202</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169.664.213</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169.898.662</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170.438.867</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174.507.642</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178.456.623</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-3</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lang w:val="es-ES" w:eastAsia="es-ES"/>
              </w:rPr>
            </w:pPr>
            <w:r w:rsidRPr="0053547C">
              <w:rPr>
                <w:rFonts w:ascii="Arial Narrow" w:hAnsi="Arial Narrow"/>
                <w:color w:val="000000"/>
                <w:lang w:val="es-ES" w:eastAsia="es-ES"/>
              </w:rPr>
              <w:t>Ingresos corrientes (sin FT)</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125.562.473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114.331.308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119.151.183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113.114.804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111.950.207</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113.147.961</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117.726.706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124.404.888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119.676.594</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-5</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lang w:val="es-ES" w:eastAsia="es-ES"/>
              </w:rPr>
            </w:pPr>
            <w:r w:rsidRPr="0053547C">
              <w:rPr>
                <w:rFonts w:ascii="Arial Narrow" w:hAnsi="Arial Narrow"/>
                <w:color w:val="000000"/>
                <w:lang w:val="es-ES" w:eastAsia="es-ES"/>
              </w:rPr>
              <w:t>Ingresos tributarios</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91.136.364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84.010.398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93.386.796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86.190.374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85.812.150</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85.868.370</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88.778.944</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94.928.067</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90.211.488</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w:t>
            </w:r>
          </w:p>
        </w:tc>
      </w:tr>
      <w:tr w:rsidR="00BE1465" w:rsidRPr="0053547C"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lang w:val="es-ES" w:eastAsia="es-ES"/>
              </w:rPr>
            </w:pPr>
            <w:r w:rsidRPr="0053547C">
              <w:rPr>
                <w:rFonts w:ascii="Arial Narrow" w:hAnsi="Arial Narrow"/>
                <w:color w:val="000000"/>
                <w:lang w:val="es-ES" w:eastAsia="es-ES"/>
              </w:rPr>
              <w:t>Ahorro bruto</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16.603.875</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13.897.983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20.485.203</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25.085.919</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19.505.568</w:t>
            </w:r>
          </w:p>
        </w:tc>
        <w:tc>
          <w:tcPr>
            <w:tcW w:w="1147"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22.013.266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26.051.806</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30.157.728</w:t>
            </w:r>
          </w:p>
        </w:tc>
        <w:tc>
          <w:tcPr>
            <w:tcW w:w="1148" w:type="dxa"/>
            <w:tcBorders>
              <w:top w:val="single" w:sz="2" w:space="0" w:color="auto"/>
              <w:bottom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22.523.838</w:t>
            </w:r>
          </w:p>
        </w:tc>
        <w:tc>
          <w:tcPr>
            <w:tcW w:w="1148" w:type="dxa"/>
            <w:tcBorders>
              <w:top w:val="single" w:sz="2" w:space="0" w:color="auto"/>
              <w:bottom w:val="single" w:sz="2" w:space="0" w:color="auto"/>
            </w:tcBorders>
            <w:vAlign w:val="center"/>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36</w:t>
            </w:r>
          </w:p>
        </w:tc>
      </w:tr>
      <w:tr w:rsidR="00BE1465" w:rsidRPr="0053547C" w:rsidTr="004858A6">
        <w:trPr>
          <w:trHeight w:val="198"/>
          <w:jc w:val="center"/>
        </w:trPr>
        <w:tc>
          <w:tcPr>
            <w:tcW w:w="2174" w:type="dxa"/>
            <w:tcBorders>
              <w:top w:val="single" w:sz="2" w:space="0" w:color="auto"/>
            </w:tcBorders>
            <w:shd w:val="clear" w:color="auto" w:fill="auto"/>
            <w:noWrap/>
            <w:vAlign w:val="center"/>
            <w:hideMark/>
          </w:tcPr>
          <w:p w:rsidR="00BE1465" w:rsidRPr="0053547C" w:rsidRDefault="00BE1465" w:rsidP="00BE1465">
            <w:pPr>
              <w:spacing w:after="0"/>
              <w:ind w:firstLine="0"/>
              <w:jc w:val="left"/>
              <w:rPr>
                <w:rFonts w:ascii="Arial Narrow" w:hAnsi="Arial Narrow"/>
                <w:color w:val="000000"/>
                <w:lang w:val="es-ES" w:eastAsia="es-ES"/>
              </w:rPr>
            </w:pPr>
            <w:r w:rsidRPr="0053547C">
              <w:rPr>
                <w:rFonts w:ascii="Arial Narrow" w:hAnsi="Arial Narrow"/>
                <w:color w:val="000000"/>
                <w:lang w:val="es-ES" w:eastAsia="es-ES"/>
              </w:rPr>
              <w:t>Población</w:t>
            </w:r>
          </w:p>
        </w:tc>
        <w:tc>
          <w:tcPr>
            <w:tcW w:w="1147"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198.491</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197.488</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197.932</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197.604</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196.955</w:t>
            </w:r>
          </w:p>
        </w:tc>
        <w:tc>
          <w:tcPr>
            <w:tcW w:w="1147"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196.166</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195.853</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195.650</w:t>
            </w:r>
          </w:p>
        </w:tc>
        <w:tc>
          <w:tcPr>
            <w:tcW w:w="1148" w:type="dxa"/>
            <w:tcBorders>
              <w:top w:val="single" w:sz="2" w:space="0" w:color="auto"/>
            </w:tcBorders>
            <w:shd w:val="clear" w:color="auto" w:fill="auto"/>
            <w:noWrap/>
            <w:vAlign w:val="center"/>
            <w:hideMark/>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197.138</w:t>
            </w:r>
          </w:p>
        </w:tc>
        <w:tc>
          <w:tcPr>
            <w:tcW w:w="1148" w:type="dxa"/>
            <w:tcBorders>
              <w:top w:val="single" w:sz="2" w:space="0" w:color="auto"/>
            </w:tcBorders>
            <w:vAlign w:val="center"/>
          </w:tcPr>
          <w:p w:rsidR="00BE1465" w:rsidRPr="0053547C" w:rsidRDefault="00BE1465" w:rsidP="00BE1465">
            <w:pPr>
              <w:spacing w:after="0"/>
              <w:ind w:firstLine="0"/>
              <w:jc w:val="right"/>
              <w:rPr>
                <w:rFonts w:ascii="Arial Narrow" w:hAnsi="Arial Narrow"/>
                <w:color w:val="000000"/>
                <w:lang w:val="es-ES" w:eastAsia="es-ES"/>
              </w:rPr>
            </w:pPr>
            <w:r w:rsidRPr="0053547C">
              <w:rPr>
                <w:rFonts w:ascii="Arial Narrow" w:hAnsi="Arial Narrow"/>
                <w:color w:val="000000"/>
                <w:lang w:val="es-ES" w:eastAsia="es-ES"/>
              </w:rPr>
              <w:t>-1</w:t>
            </w:r>
          </w:p>
        </w:tc>
      </w:tr>
    </w:tbl>
    <w:p w:rsidR="00BE1465" w:rsidRDefault="00BE1465" w:rsidP="00BE1465">
      <w:pPr>
        <w:pStyle w:val="texto"/>
        <w:jc w:val="center"/>
        <w:rPr>
          <w:noProof/>
          <w:lang w:val="es-ES" w:eastAsia="es-ES"/>
        </w:rPr>
      </w:pPr>
    </w:p>
    <w:p w:rsidR="00BE1465" w:rsidRPr="001301A7" w:rsidRDefault="00BE1465" w:rsidP="0053547C">
      <w:pPr>
        <w:pStyle w:val="texto"/>
        <w:jc w:val="center"/>
      </w:pPr>
      <w:r>
        <w:rPr>
          <w:noProof/>
          <w:lang w:val="es-ES" w:eastAsia="es-ES"/>
        </w:rPr>
        <w:drawing>
          <wp:inline distT="0" distB="0" distL="0" distR="0" wp14:anchorId="45AD8DFF" wp14:editId="2E2D3D6A">
            <wp:extent cx="5612130" cy="3170555"/>
            <wp:effectExtent l="0" t="0" r="26670" b="1079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1465" w:rsidRDefault="00BE1465" w:rsidP="00BE1465">
      <w:pPr>
        <w:pStyle w:val="atitulo2"/>
        <w:spacing w:after="0"/>
        <w:rPr>
          <w:lang w:val="es-ES"/>
        </w:rPr>
      </w:pPr>
    </w:p>
    <w:p w:rsidR="004858A6" w:rsidRPr="004858A6" w:rsidRDefault="004858A6" w:rsidP="004858A6">
      <w:pPr>
        <w:spacing w:after="120"/>
        <w:ind w:left="57" w:firstLine="0"/>
        <w:jc w:val="center"/>
        <w:rPr>
          <w:rFonts w:ascii="Arial" w:hAnsi="Arial" w:cs="Arial"/>
          <w:b/>
          <w:bCs/>
          <w:lang w:val="es-ES" w:eastAsia="es-ES"/>
        </w:rPr>
      </w:pPr>
      <w:r w:rsidRPr="004858A6">
        <w:rPr>
          <w:rFonts w:ascii="Arial" w:hAnsi="Arial" w:cs="Arial"/>
          <w:b/>
          <w:bCs/>
          <w:lang w:val="es-ES" w:eastAsia="es-ES"/>
        </w:rPr>
        <w:t>Tudela</w:t>
      </w:r>
    </w:p>
    <w:tbl>
      <w:tblPr>
        <w:tblW w:w="13172"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68"/>
        <w:gridCol w:w="1100"/>
        <w:gridCol w:w="1100"/>
        <w:gridCol w:w="1101"/>
        <w:gridCol w:w="1100"/>
        <w:gridCol w:w="1101"/>
        <w:gridCol w:w="1100"/>
        <w:gridCol w:w="1100"/>
        <w:gridCol w:w="1101"/>
        <w:gridCol w:w="1100"/>
        <w:gridCol w:w="1101"/>
      </w:tblGrid>
      <w:tr w:rsidR="00BE1465" w:rsidRPr="00EB61AA" w:rsidTr="004858A6">
        <w:trPr>
          <w:trHeight w:val="198"/>
        </w:trPr>
        <w:tc>
          <w:tcPr>
            <w:tcW w:w="216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01" w:type="dxa"/>
            <w:tcBorders>
              <w:bottom w:val="single" w:sz="4" w:space="0" w:color="auto"/>
            </w:tcBorders>
            <w:shd w:val="clear" w:color="auto" w:fill="FABF8F" w:themeFill="accent6" w:themeFillTint="99"/>
            <w:vAlign w:val="center"/>
          </w:tcPr>
          <w:p w:rsidR="00BE1465" w:rsidRPr="00EB61AA" w:rsidRDefault="00274FDB" w:rsidP="004858A6">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4858A6" w:rsidTr="004858A6">
        <w:trPr>
          <w:trHeight w:val="198"/>
        </w:trPr>
        <w:tc>
          <w:tcPr>
            <w:tcW w:w="2168" w:type="dxa"/>
            <w:tcBorders>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lang w:val="es-ES" w:eastAsia="es-ES"/>
              </w:rPr>
            </w:pPr>
            <w:r w:rsidRPr="004858A6">
              <w:rPr>
                <w:rFonts w:ascii="Arial Narrow" w:hAnsi="Arial Narrow"/>
                <w:color w:val="000000"/>
                <w:lang w:val="es-ES" w:eastAsia="es-ES"/>
              </w:rPr>
              <w:t>Fondo transferencias (FT)</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9.285.049</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9.285.049</w:t>
            </w:r>
          </w:p>
        </w:tc>
        <w:tc>
          <w:tcPr>
            <w:tcW w:w="1101"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9.168.771</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9.168.771</w:t>
            </w:r>
          </w:p>
        </w:tc>
        <w:tc>
          <w:tcPr>
            <w:tcW w:w="1101"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9.168.771</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9.214.828</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9.214.828</w:t>
            </w:r>
          </w:p>
        </w:tc>
        <w:tc>
          <w:tcPr>
            <w:tcW w:w="1101"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9.389.910</w:t>
            </w:r>
          </w:p>
        </w:tc>
        <w:tc>
          <w:tcPr>
            <w:tcW w:w="1100" w:type="dxa"/>
            <w:tcBorders>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9.511.978</w:t>
            </w:r>
          </w:p>
        </w:tc>
        <w:tc>
          <w:tcPr>
            <w:tcW w:w="1101" w:type="dxa"/>
            <w:tcBorders>
              <w:bottom w:val="single" w:sz="2" w:space="0" w:color="auto"/>
            </w:tcBorders>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lang w:val="es-ES" w:eastAsia="es-ES"/>
              </w:rPr>
            </w:pPr>
            <w:r w:rsidRPr="004858A6">
              <w:rPr>
                <w:rFonts w:ascii="Arial Narrow" w:hAnsi="Arial Narrow"/>
                <w:color w:val="000000"/>
                <w:lang w:val="es-ES" w:eastAsia="es-ES"/>
              </w:rPr>
              <w:t>Gastos de funcionamiento</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38.279.577</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33.896.344</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33.092.644</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29.216.256</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29.120.467</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29.836.180</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30.288.217</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30.262.407</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30.953.703</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-19</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lang w:val="es-ES" w:eastAsia="es-ES"/>
              </w:rPr>
            </w:pPr>
            <w:r w:rsidRPr="004858A6">
              <w:rPr>
                <w:rFonts w:ascii="Arial Narrow" w:hAnsi="Arial Narrow"/>
                <w:color w:val="000000"/>
                <w:lang w:val="es-ES" w:eastAsia="es-ES"/>
              </w:rPr>
              <w:t>Ingresos corrientes (sin FT)</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28.823.739</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26.981.323</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25.087.628</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25.367.447</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25.499.470</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25.889.804</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26.837.054</w:t>
            </w:r>
          </w:p>
        </w:tc>
        <w:tc>
          <w:tcPr>
            <w:tcW w:w="1101"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28.177.778</w:t>
            </w:r>
          </w:p>
        </w:tc>
        <w:tc>
          <w:tcPr>
            <w:tcW w:w="1100"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27.994.454</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lang w:val="es-ES" w:eastAsia="es-ES"/>
              </w:rPr>
            </w:pPr>
            <w:r w:rsidRPr="004858A6">
              <w:rPr>
                <w:rFonts w:ascii="Arial Narrow" w:hAnsi="Arial Narrow"/>
                <w:color w:val="000000"/>
                <w:lang w:val="es-ES" w:eastAsia="es-ES"/>
              </w:rPr>
              <w:t>Ingresos tributarios</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19.853.775</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20.641.537</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20.109.457</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20.907.285</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20.807.113</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21.038.930</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22.116.700</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22.634.794</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22.100.237</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11</w:t>
            </w:r>
          </w:p>
        </w:tc>
      </w:tr>
      <w:tr w:rsidR="00BE1465" w:rsidRPr="004858A6"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lang w:val="es-ES" w:eastAsia="es-ES"/>
              </w:rPr>
            </w:pPr>
            <w:r w:rsidRPr="004858A6">
              <w:rPr>
                <w:rFonts w:ascii="Arial Narrow" w:hAnsi="Arial Narrow"/>
                <w:color w:val="000000"/>
                <w:lang w:val="es-ES" w:eastAsia="es-ES"/>
              </w:rPr>
              <w:t>Ahorro bruto</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-170.789</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2.370.028</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1.163.755</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5.319.962</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5.547.775</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5.268.452</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5.763.665</w:t>
            </w:r>
          </w:p>
        </w:tc>
        <w:tc>
          <w:tcPr>
            <w:tcW w:w="1101"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7.305.281</w:t>
            </w:r>
          </w:p>
        </w:tc>
        <w:tc>
          <w:tcPr>
            <w:tcW w:w="1100" w:type="dxa"/>
            <w:tcBorders>
              <w:top w:val="single" w:sz="2" w:space="0" w:color="auto"/>
              <w:bottom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6.552.729</w:t>
            </w:r>
          </w:p>
        </w:tc>
        <w:tc>
          <w:tcPr>
            <w:tcW w:w="1101" w:type="dxa"/>
            <w:tcBorders>
              <w:top w:val="single" w:sz="2" w:space="0" w:color="auto"/>
              <w:bottom w:val="single" w:sz="2" w:space="0" w:color="auto"/>
            </w:tcBorders>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3.937</w:t>
            </w:r>
          </w:p>
        </w:tc>
      </w:tr>
      <w:tr w:rsidR="00BE1465" w:rsidRPr="004858A6" w:rsidTr="004858A6">
        <w:trPr>
          <w:trHeight w:val="198"/>
        </w:trPr>
        <w:tc>
          <w:tcPr>
            <w:tcW w:w="2168" w:type="dxa"/>
            <w:tcBorders>
              <w:top w:val="single" w:sz="2" w:space="0" w:color="auto"/>
            </w:tcBorders>
            <w:shd w:val="clear" w:color="auto" w:fill="auto"/>
            <w:noWrap/>
            <w:vAlign w:val="center"/>
            <w:hideMark/>
          </w:tcPr>
          <w:p w:rsidR="00BE1465" w:rsidRPr="004858A6" w:rsidRDefault="00BE1465" w:rsidP="00BE1465">
            <w:pPr>
              <w:spacing w:after="0"/>
              <w:ind w:firstLine="0"/>
              <w:jc w:val="left"/>
              <w:rPr>
                <w:rFonts w:ascii="Arial Narrow" w:hAnsi="Arial Narrow"/>
                <w:color w:val="000000"/>
                <w:lang w:val="es-ES" w:eastAsia="es-ES"/>
              </w:rPr>
            </w:pPr>
            <w:r w:rsidRPr="004858A6">
              <w:rPr>
                <w:rFonts w:ascii="Arial Narrow" w:hAnsi="Arial Narrow"/>
                <w:color w:val="000000"/>
                <w:lang w:val="es-ES" w:eastAsia="es-ES"/>
              </w:rPr>
              <w:t>Población</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34.717</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35.268</w:t>
            </w:r>
          </w:p>
        </w:tc>
        <w:tc>
          <w:tcPr>
            <w:tcW w:w="1101"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35.429</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35.358</w:t>
            </w:r>
          </w:p>
        </w:tc>
        <w:tc>
          <w:tcPr>
            <w:tcW w:w="1101"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35.369</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35.062</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35.388</w:t>
            </w:r>
          </w:p>
        </w:tc>
        <w:tc>
          <w:tcPr>
            <w:tcW w:w="1101"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35.170</w:t>
            </w:r>
          </w:p>
        </w:tc>
        <w:tc>
          <w:tcPr>
            <w:tcW w:w="1100" w:type="dxa"/>
            <w:tcBorders>
              <w:top w:val="single" w:sz="2" w:space="0" w:color="auto"/>
            </w:tcBorders>
            <w:shd w:val="clear" w:color="auto" w:fill="auto"/>
            <w:noWrap/>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35.298</w:t>
            </w:r>
          </w:p>
        </w:tc>
        <w:tc>
          <w:tcPr>
            <w:tcW w:w="1101" w:type="dxa"/>
            <w:tcBorders>
              <w:top w:val="single" w:sz="2" w:space="0" w:color="auto"/>
            </w:tcBorders>
            <w:vAlign w:val="center"/>
          </w:tcPr>
          <w:p w:rsidR="00BE1465" w:rsidRPr="004858A6" w:rsidRDefault="00BE1465" w:rsidP="00BE1465">
            <w:pPr>
              <w:spacing w:after="0"/>
              <w:ind w:firstLine="0"/>
              <w:jc w:val="right"/>
              <w:rPr>
                <w:rFonts w:ascii="Arial Narrow" w:hAnsi="Arial Narrow"/>
                <w:color w:val="000000"/>
                <w:lang w:val="es-ES" w:eastAsia="es-ES"/>
              </w:rPr>
            </w:pPr>
            <w:r w:rsidRPr="004858A6">
              <w:rPr>
                <w:rFonts w:ascii="Arial Narrow" w:hAnsi="Arial Narrow"/>
                <w:color w:val="000000"/>
                <w:lang w:val="es-ES" w:eastAsia="es-ES"/>
              </w:rPr>
              <w:t>2</w:t>
            </w:r>
          </w:p>
        </w:tc>
      </w:tr>
    </w:tbl>
    <w:p w:rsidR="00BE1465" w:rsidRDefault="00BE1465" w:rsidP="00BE1465">
      <w:pPr>
        <w:pStyle w:val="atitulo2"/>
        <w:spacing w:after="0"/>
        <w:rPr>
          <w:lang w:val="es-ES"/>
        </w:rPr>
      </w:pPr>
    </w:p>
    <w:p w:rsidR="00BE1465" w:rsidRDefault="00BE1465" w:rsidP="00BE1465">
      <w:pPr>
        <w:pStyle w:val="texto"/>
        <w:jc w:val="center"/>
        <w:rPr>
          <w:lang w:val="es-ES"/>
        </w:rPr>
      </w:pPr>
      <w:r>
        <w:rPr>
          <w:noProof/>
          <w:lang w:val="es-ES" w:eastAsia="es-ES"/>
        </w:rPr>
        <w:drawing>
          <wp:inline distT="0" distB="0" distL="0" distR="0" wp14:anchorId="1899D3D1" wp14:editId="605FB744">
            <wp:extent cx="5612130" cy="3082290"/>
            <wp:effectExtent l="0" t="0" r="26670" b="2286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1465" w:rsidRDefault="00BE1465" w:rsidP="00BE1465">
      <w:pPr>
        <w:spacing w:after="0"/>
        <w:ind w:firstLine="0"/>
        <w:jc w:val="left"/>
        <w:rPr>
          <w:rFonts w:ascii="Arial" w:hAnsi="Arial"/>
          <w:bCs/>
          <w:iCs/>
          <w:color w:val="000000"/>
          <w:spacing w:val="10"/>
          <w:kern w:val="28"/>
          <w:sz w:val="25"/>
          <w:szCs w:val="26"/>
          <w:lang w:val="es-ES"/>
        </w:rPr>
      </w:pPr>
      <w:r>
        <w:rPr>
          <w:lang w:val="es-ES"/>
        </w:rPr>
        <w:br w:type="page"/>
      </w:r>
    </w:p>
    <w:p w:rsidR="00BE1465" w:rsidRDefault="00BE1465" w:rsidP="00BE1465">
      <w:pPr>
        <w:pStyle w:val="atitulo2"/>
        <w:spacing w:after="0"/>
        <w:rPr>
          <w:lang w:val="es-ES"/>
        </w:rPr>
      </w:pPr>
    </w:p>
    <w:p w:rsidR="004858A6" w:rsidRPr="004858A6" w:rsidRDefault="004858A6" w:rsidP="004858A6">
      <w:pPr>
        <w:spacing w:after="120"/>
        <w:ind w:left="57" w:firstLine="0"/>
        <w:jc w:val="center"/>
        <w:rPr>
          <w:rFonts w:ascii="Arial" w:hAnsi="Arial" w:cs="Arial"/>
          <w:b/>
          <w:bCs/>
          <w:lang w:val="es-ES" w:eastAsia="es-ES"/>
        </w:rPr>
      </w:pPr>
      <w:r w:rsidRPr="004858A6">
        <w:rPr>
          <w:rFonts w:ascii="Arial" w:hAnsi="Arial" w:cs="Arial"/>
          <w:b/>
          <w:bCs/>
          <w:lang w:val="es-ES" w:eastAsia="es-ES"/>
        </w:rPr>
        <w:t>Barañáin</w:t>
      </w:r>
    </w:p>
    <w:tbl>
      <w:tblPr>
        <w:tblW w:w="13172"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68"/>
        <w:gridCol w:w="1100"/>
        <w:gridCol w:w="1100"/>
        <w:gridCol w:w="1101"/>
        <w:gridCol w:w="1100"/>
        <w:gridCol w:w="1101"/>
        <w:gridCol w:w="1100"/>
        <w:gridCol w:w="1100"/>
        <w:gridCol w:w="1101"/>
        <w:gridCol w:w="1100"/>
        <w:gridCol w:w="1101"/>
      </w:tblGrid>
      <w:tr w:rsidR="00BE1465" w:rsidRPr="00EB61AA" w:rsidTr="004858A6">
        <w:trPr>
          <w:trHeight w:val="198"/>
        </w:trPr>
        <w:tc>
          <w:tcPr>
            <w:tcW w:w="216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01"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00"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01" w:type="dxa"/>
            <w:tcBorders>
              <w:bottom w:val="single" w:sz="4" w:space="0" w:color="auto"/>
            </w:tcBorders>
            <w:shd w:val="clear" w:color="auto" w:fill="FABF8F" w:themeFill="accent6" w:themeFillTint="99"/>
            <w:vAlign w:val="center"/>
          </w:tcPr>
          <w:p w:rsidR="00BE1465" w:rsidRPr="00EB61AA" w:rsidRDefault="00274FDB" w:rsidP="004858A6">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4858A6">
        <w:trPr>
          <w:trHeight w:val="198"/>
        </w:trPr>
        <w:tc>
          <w:tcPr>
            <w:tcW w:w="2168"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5.585.005</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5.585.005</w:t>
            </w:r>
          </w:p>
        </w:tc>
        <w:tc>
          <w:tcPr>
            <w:tcW w:w="1101"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5.515.063</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5.515.063</w:t>
            </w:r>
          </w:p>
        </w:tc>
        <w:tc>
          <w:tcPr>
            <w:tcW w:w="1101"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5.515.063</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5.515.063</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5.515.063</w:t>
            </w:r>
          </w:p>
        </w:tc>
        <w:tc>
          <w:tcPr>
            <w:tcW w:w="1101"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5.619.849</w:t>
            </w:r>
          </w:p>
        </w:tc>
        <w:tc>
          <w:tcPr>
            <w:tcW w:w="1100" w:type="dxa"/>
            <w:tcBorders>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5.692.907</w:t>
            </w:r>
          </w:p>
        </w:tc>
        <w:tc>
          <w:tcPr>
            <w:tcW w:w="1101" w:type="dxa"/>
            <w:tcBorders>
              <w:bottom w:val="single" w:sz="2" w:space="0" w:color="auto"/>
            </w:tcBorders>
            <w:vAlign w:val="center"/>
          </w:tcPr>
          <w:p w:rsidR="00BE1465" w:rsidRPr="00734A2B"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14.696.302</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14.193.923</w:t>
            </w:r>
          </w:p>
        </w:tc>
        <w:tc>
          <w:tcPr>
            <w:tcW w:w="1101"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13.901.799</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13.428.604</w:t>
            </w:r>
          </w:p>
        </w:tc>
        <w:tc>
          <w:tcPr>
            <w:tcW w:w="1101"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13.536.051</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13.494.982</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13.445.811</w:t>
            </w:r>
          </w:p>
        </w:tc>
        <w:tc>
          <w:tcPr>
            <w:tcW w:w="1101"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13.747.333</w:t>
            </w:r>
          </w:p>
        </w:tc>
        <w:tc>
          <w:tcPr>
            <w:tcW w:w="1100" w:type="dxa"/>
            <w:tcBorders>
              <w:top w:val="single" w:sz="2" w:space="0" w:color="auto"/>
              <w:bottom w:val="single" w:sz="2" w:space="0" w:color="auto"/>
            </w:tcBorders>
            <w:shd w:val="clear" w:color="auto" w:fill="auto"/>
            <w:noWrap/>
            <w:vAlign w:val="center"/>
            <w:hideMark/>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14.075.394</w:t>
            </w:r>
          </w:p>
        </w:tc>
        <w:tc>
          <w:tcPr>
            <w:tcW w:w="1101" w:type="dxa"/>
            <w:tcBorders>
              <w:top w:val="single" w:sz="2" w:space="0" w:color="auto"/>
              <w:bottom w:val="single" w:sz="2" w:space="0" w:color="auto"/>
            </w:tcBorders>
            <w:vAlign w:val="center"/>
          </w:tcPr>
          <w:p w:rsidR="00BE1465" w:rsidRPr="00734A2B"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9.482.784</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9.563.647</w:t>
            </w:r>
          </w:p>
        </w:tc>
        <w:tc>
          <w:tcPr>
            <w:tcW w:w="1101"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9.221.880</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9.364.258</w:t>
            </w:r>
          </w:p>
        </w:tc>
        <w:tc>
          <w:tcPr>
            <w:tcW w:w="1101"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8.966.780</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13.302.560</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10.005.671</w:t>
            </w:r>
          </w:p>
        </w:tc>
        <w:tc>
          <w:tcPr>
            <w:tcW w:w="1101"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9.994.472</w:t>
            </w:r>
          </w:p>
        </w:tc>
        <w:tc>
          <w:tcPr>
            <w:tcW w:w="1100"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9.867.256</w:t>
            </w:r>
          </w:p>
        </w:tc>
        <w:tc>
          <w:tcPr>
            <w:tcW w:w="1101"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6.917.749</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7.191.178</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7.104.894</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7.232.547</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7.140.195</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7.492.944</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8.165.874</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7.946.215</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7.794.874</w:t>
            </w:r>
          </w:p>
        </w:tc>
        <w:tc>
          <w:tcPr>
            <w:tcW w:w="1101" w:type="dxa"/>
            <w:tcBorders>
              <w:top w:val="single" w:sz="2" w:space="0" w:color="auto"/>
              <w:bottom w:val="single" w:sz="2" w:space="0" w:color="auto"/>
            </w:tcBorders>
            <w:vAlign w:val="center"/>
          </w:tcPr>
          <w:p w:rsidR="00BE1465" w:rsidRPr="00734A2B"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13</w:t>
            </w:r>
          </w:p>
        </w:tc>
      </w:tr>
      <w:tr w:rsidR="00BE1465" w:rsidRPr="00EB61AA" w:rsidTr="004858A6">
        <w:trPr>
          <w:trHeight w:val="198"/>
        </w:trPr>
        <w:tc>
          <w:tcPr>
            <w:tcW w:w="2168"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371.487</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954.728</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835.143</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1.450.717</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945.791</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5.322.641</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2.074.923</w:t>
            </w:r>
          </w:p>
        </w:tc>
        <w:tc>
          <w:tcPr>
            <w:tcW w:w="1101"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1.866.987</w:t>
            </w:r>
          </w:p>
        </w:tc>
        <w:tc>
          <w:tcPr>
            <w:tcW w:w="1100" w:type="dxa"/>
            <w:tcBorders>
              <w:top w:val="single" w:sz="2" w:space="0" w:color="auto"/>
              <w:bottom w:val="single" w:sz="2" w:space="0" w:color="auto"/>
            </w:tcBorders>
            <w:shd w:val="clear" w:color="auto" w:fill="auto"/>
            <w:noWrap/>
            <w:vAlign w:val="center"/>
          </w:tcPr>
          <w:p w:rsidR="00BE1465" w:rsidRPr="00734A2B" w:rsidRDefault="00BE1465" w:rsidP="00BE1465">
            <w:pPr>
              <w:spacing w:after="0"/>
              <w:ind w:firstLine="0"/>
              <w:jc w:val="right"/>
              <w:rPr>
                <w:rFonts w:ascii="Arial Narrow" w:hAnsi="Arial Narrow"/>
                <w:color w:val="000000"/>
                <w:lang w:val="es-ES" w:eastAsia="es-ES"/>
              </w:rPr>
            </w:pPr>
            <w:r w:rsidRPr="00734A2B">
              <w:rPr>
                <w:rFonts w:ascii="Arial Narrow" w:hAnsi="Arial Narrow"/>
                <w:color w:val="000000"/>
                <w:lang w:val="es-ES" w:eastAsia="es-ES"/>
              </w:rPr>
              <w:t>1.484.769</w:t>
            </w:r>
          </w:p>
        </w:tc>
        <w:tc>
          <w:tcPr>
            <w:tcW w:w="1101" w:type="dxa"/>
            <w:tcBorders>
              <w:top w:val="single" w:sz="2" w:space="0" w:color="auto"/>
              <w:bottom w:val="single" w:sz="2" w:space="0" w:color="auto"/>
            </w:tcBorders>
            <w:vAlign w:val="center"/>
          </w:tcPr>
          <w:p w:rsidR="00BE1465" w:rsidRPr="00734A2B"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300</w:t>
            </w:r>
          </w:p>
        </w:tc>
      </w:tr>
      <w:tr w:rsidR="00BE1465" w:rsidRPr="00EB61AA" w:rsidTr="004858A6">
        <w:trPr>
          <w:trHeight w:val="198"/>
        </w:trPr>
        <w:tc>
          <w:tcPr>
            <w:tcW w:w="2168"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22.110</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21.705</w:t>
            </w:r>
          </w:p>
        </w:tc>
        <w:tc>
          <w:tcPr>
            <w:tcW w:w="1101"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21.552</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21.444</w:t>
            </w:r>
          </w:p>
        </w:tc>
        <w:tc>
          <w:tcPr>
            <w:tcW w:w="1101"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21.120</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20.458</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20.475</w:t>
            </w:r>
          </w:p>
        </w:tc>
        <w:tc>
          <w:tcPr>
            <w:tcW w:w="1101"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20.325</w:t>
            </w:r>
          </w:p>
        </w:tc>
        <w:tc>
          <w:tcPr>
            <w:tcW w:w="1100"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20.124</w:t>
            </w:r>
          </w:p>
        </w:tc>
        <w:tc>
          <w:tcPr>
            <w:tcW w:w="1101" w:type="dxa"/>
            <w:tcBorders>
              <w:top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-9</w:t>
            </w:r>
          </w:p>
        </w:tc>
      </w:tr>
    </w:tbl>
    <w:p w:rsidR="00BE1465" w:rsidRDefault="00BE1465" w:rsidP="00BE1465">
      <w:pPr>
        <w:pStyle w:val="atitulo2"/>
        <w:spacing w:after="0"/>
        <w:rPr>
          <w:lang w:val="es-ES"/>
        </w:rPr>
      </w:pPr>
    </w:p>
    <w:p w:rsidR="00BE1465" w:rsidRDefault="00BE1465" w:rsidP="00BE1465">
      <w:pPr>
        <w:pStyle w:val="texto"/>
        <w:jc w:val="center"/>
        <w:rPr>
          <w:lang w:val="es-ES"/>
        </w:rPr>
      </w:pPr>
      <w:r>
        <w:rPr>
          <w:noProof/>
          <w:lang w:val="es-ES" w:eastAsia="es-ES"/>
        </w:rPr>
        <w:drawing>
          <wp:inline distT="0" distB="0" distL="0" distR="0" wp14:anchorId="53068A56" wp14:editId="3CF5EEE4">
            <wp:extent cx="5612130" cy="3075940"/>
            <wp:effectExtent l="0" t="0" r="26670" b="1016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1465" w:rsidRDefault="00BE1465" w:rsidP="00BE1465">
      <w:pPr>
        <w:spacing w:after="0"/>
        <w:ind w:firstLine="0"/>
        <w:jc w:val="left"/>
        <w:rPr>
          <w:rFonts w:ascii="Arial" w:hAnsi="Arial"/>
          <w:bCs/>
          <w:iCs/>
          <w:color w:val="000000"/>
          <w:spacing w:val="10"/>
          <w:kern w:val="28"/>
          <w:sz w:val="25"/>
          <w:szCs w:val="26"/>
          <w:lang w:val="es-ES"/>
        </w:rPr>
      </w:pPr>
      <w:r>
        <w:rPr>
          <w:lang w:val="es-ES"/>
        </w:rPr>
        <w:br w:type="page"/>
      </w:r>
    </w:p>
    <w:p w:rsidR="00BE1465" w:rsidRDefault="00BE1465" w:rsidP="00BE1465">
      <w:pPr>
        <w:pStyle w:val="atitulo2"/>
        <w:spacing w:after="0"/>
        <w:rPr>
          <w:lang w:val="es-ES"/>
        </w:rPr>
      </w:pPr>
    </w:p>
    <w:p w:rsidR="004858A6" w:rsidRPr="004858A6" w:rsidRDefault="004858A6" w:rsidP="004858A6">
      <w:pPr>
        <w:spacing w:after="120"/>
        <w:ind w:left="57" w:firstLine="0"/>
        <w:jc w:val="center"/>
        <w:rPr>
          <w:rFonts w:ascii="Arial" w:hAnsi="Arial" w:cs="Arial"/>
          <w:b/>
          <w:bCs/>
          <w:lang w:val="es-ES" w:eastAsia="es-ES"/>
        </w:rPr>
      </w:pPr>
      <w:r w:rsidRPr="004858A6">
        <w:rPr>
          <w:rFonts w:ascii="Arial" w:hAnsi="Arial" w:cs="Arial"/>
          <w:b/>
          <w:bCs/>
          <w:lang w:val="es-ES" w:eastAsia="es-ES"/>
        </w:rPr>
        <w:t>Burlada</w:t>
      </w:r>
    </w:p>
    <w:tbl>
      <w:tblPr>
        <w:tblW w:w="13332"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74"/>
        <w:gridCol w:w="1115"/>
        <w:gridCol w:w="1116"/>
        <w:gridCol w:w="1116"/>
        <w:gridCol w:w="1116"/>
        <w:gridCol w:w="1116"/>
        <w:gridCol w:w="1115"/>
        <w:gridCol w:w="1116"/>
        <w:gridCol w:w="1116"/>
        <w:gridCol w:w="1116"/>
        <w:gridCol w:w="1116"/>
      </w:tblGrid>
      <w:tr w:rsidR="00BE1465" w:rsidRPr="00EB61AA" w:rsidTr="004858A6">
        <w:trPr>
          <w:trHeight w:val="198"/>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16" w:type="dxa"/>
            <w:tcBorders>
              <w:bottom w:val="single" w:sz="4" w:space="0" w:color="auto"/>
            </w:tcBorders>
            <w:shd w:val="clear" w:color="auto" w:fill="FABF8F" w:themeFill="accent6" w:themeFillTint="99"/>
          </w:tcPr>
          <w:p w:rsidR="00BE1465" w:rsidRPr="00EB61AA" w:rsidRDefault="00274FDB" w:rsidP="004858A6">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w:t>
            </w:r>
            <w:r w:rsidR="00BE1465">
              <w:rPr>
                <w:rFonts w:ascii="Arial" w:hAnsi="Arial" w:cs="Arial"/>
                <w:bCs/>
                <w:sz w:val="18"/>
                <w:szCs w:val="18"/>
                <w:lang w:val="es-ES" w:eastAsia="es-ES"/>
              </w:rPr>
              <w:t>ar</w:t>
            </w:r>
            <w:r w:rsidR="004858A6">
              <w:rPr>
                <w:rFonts w:ascii="Arial" w:hAnsi="Arial" w:cs="Arial"/>
                <w:bCs/>
                <w:sz w:val="18"/>
                <w:szCs w:val="18"/>
                <w:lang w:val="es-ES" w:eastAsia="es-ES"/>
              </w:rPr>
              <w:t>iación</w:t>
            </w:r>
            <w:r w:rsidR="00BE1465">
              <w:rPr>
                <w:rFonts w:ascii="Arial" w:hAnsi="Arial" w:cs="Arial"/>
                <w:bCs/>
                <w:sz w:val="18"/>
                <w:szCs w:val="18"/>
                <w:lang w:val="es-ES" w:eastAsia="es-ES"/>
              </w:rPr>
              <w:t xml:space="preserve"> 2017/2009</w:t>
            </w:r>
          </w:p>
        </w:tc>
      </w:tr>
      <w:tr w:rsidR="00BE1465" w:rsidRPr="00EB61AA" w:rsidTr="004858A6">
        <w:trPr>
          <w:trHeight w:val="198"/>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15"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4.873.010</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4.873.010</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4.811.985</w:t>
            </w:r>
          </w:p>
        </w:tc>
        <w:tc>
          <w:tcPr>
            <w:tcW w:w="1115"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4.811.985</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4.903.412</w:t>
            </w:r>
          </w:p>
        </w:tc>
        <w:tc>
          <w:tcPr>
            <w:tcW w:w="1116" w:type="dxa"/>
            <w:tcBorders>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4.967.157</w:t>
            </w:r>
          </w:p>
        </w:tc>
        <w:tc>
          <w:tcPr>
            <w:tcW w:w="1116" w:type="dxa"/>
            <w:tcBorders>
              <w:bottom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15.129.527</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15.032.075</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15.773.376</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15.005.086</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15.150.785</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15.370.320</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15.447.981</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14.835.975</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14.697.399</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10.962.738</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11.740.064</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11.914.694</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11.310.671</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10.606.522</w:t>
            </w:r>
          </w:p>
        </w:tc>
        <w:tc>
          <w:tcPr>
            <w:tcW w:w="1115"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11.286.814</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10.615.186</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10.313.140</w:t>
            </w:r>
          </w:p>
        </w:tc>
        <w:tc>
          <w:tcPr>
            <w:tcW w:w="1116" w:type="dxa"/>
            <w:tcBorders>
              <w:top w:val="single" w:sz="2" w:space="0" w:color="auto"/>
              <w:bottom w:val="single" w:sz="2" w:space="0" w:color="auto"/>
            </w:tcBorders>
            <w:shd w:val="clear" w:color="auto" w:fill="auto"/>
            <w:noWrap/>
            <w:vAlign w:val="center"/>
            <w:hideMark/>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10.556.061</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7.546.588</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7.614.732</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7.848.086</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7.605.008</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7.015.817</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7.921.185</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7.179.849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7.287.849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7.567.490</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0,3</w:t>
            </w:r>
          </w:p>
        </w:tc>
      </w:tr>
      <w:tr w:rsidR="00BE1465" w:rsidRPr="00EB61AA" w:rsidTr="004858A6">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706.221</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1.580.999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953.303</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1.117.569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267.722</w:t>
            </w:r>
          </w:p>
        </w:tc>
        <w:tc>
          <w:tcPr>
            <w:tcW w:w="1115"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728.479</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-20.811</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380.577</w:t>
            </w:r>
          </w:p>
        </w:tc>
        <w:tc>
          <w:tcPr>
            <w:tcW w:w="1116" w:type="dxa"/>
            <w:tcBorders>
              <w:top w:val="single" w:sz="2" w:space="0" w:color="auto"/>
              <w:bottom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825.819</w:t>
            </w:r>
          </w:p>
        </w:tc>
        <w:tc>
          <w:tcPr>
            <w:tcW w:w="1116" w:type="dxa"/>
            <w:tcBorders>
              <w:top w:val="single" w:sz="2" w:space="0" w:color="auto"/>
              <w:bottom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17</w:t>
            </w:r>
          </w:p>
        </w:tc>
      </w:tr>
      <w:tr w:rsidR="00BE1465" w:rsidRPr="00EB61AA" w:rsidTr="004858A6">
        <w:trPr>
          <w:trHeight w:val="198"/>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15"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18.595</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18.389</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18.195</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18.162</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18.248</w:t>
            </w:r>
          </w:p>
        </w:tc>
        <w:tc>
          <w:tcPr>
            <w:tcW w:w="1115"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18.237</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18.336</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18.338</w:t>
            </w:r>
          </w:p>
        </w:tc>
        <w:tc>
          <w:tcPr>
            <w:tcW w:w="1116" w:type="dxa"/>
            <w:tcBorders>
              <w:top w:val="single" w:sz="2" w:space="0" w:color="auto"/>
            </w:tcBorders>
            <w:shd w:val="clear" w:color="auto" w:fill="auto"/>
            <w:noWrap/>
            <w:vAlign w:val="center"/>
          </w:tcPr>
          <w:p w:rsidR="00BE1465" w:rsidRPr="00657D5E" w:rsidRDefault="00BE1465" w:rsidP="00BE1465">
            <w:pPr>
              <w:spacing w:after="0"/>
              <w:ind w:firstLine="0"/>
              <w:jc w:val="right"/>
              <w:rPr>
                <w:rFonts w:ascii="Arial Narrow" w:hAnsi="Arial Narrow"/>
                <w:color w:val="000000"/>
                <w:lang w:val="es-ES" w:eastAsia="es-ES"/>
              </w:rPr>
            </w:pPr>
            <w:r w:rsidRPr="00657D5E">
              <w:rPr>
                <w:rFonts w:ascii="Arial Narrow" w:hAnsi="Arial Narrow"/>
                <w:color w:val="000000"/>
                <w:lang w:val="es-ES" w:eastAsia="es-ES"/>
              </w:rPr>
              <w:t>18.591</w:t>
            </w:r>
          </w:p>
        </w:tc>
        <w:tc>
          <w:tcPr>
            <w:tcW w:w="1116" w:type="dxa"/>
            <w:tcBorders>
              <w:top w:val="single" w:sz="2" w:space="0" w:color="auto"/>
            </w:tcBorders>
            <w:vAlign w:val="center"/>
          </w:tcPr>
          <w:p w:rsidR="00BE1465" w:rsidRPr="00657D5E" w:rsidRDefault="00BE1465" w:rsidP="00BE1465">
            <w:pPr>
              <w:spacing w:after="0"/>
              <w:ind w:firstLine="0"/>
              <w:jc w:val="right"/>
              <w:rPr>
                <w:rFonts w:ascii="Arial Narrow" w:hAnsi="Arial Narrow"/>
                <w:color w:val="000000"/>
                <w:lang w:val="es-ES" w:eastAsia="es-ES"/>
              </w:rPr>
            </w:pPr>
            <w:r>
              <w:rPr>
                <w:rFonts w:ascii="Arial Narrow" w:hAnsi="Arial Narrow"/>
                <w:color w:val="000000"/>
                <w:lang w:val="es-ES" w:eastAsia="es-ES"/>
              </w:rPr>
              <w:t>-</w:t>
            </w:r>
          </w:p>
        </w:tc>
      </w:tr>
    </w:tbl>
    <w:p w:rsidR="00BE1465" w:rsidRDefault="00BE1465" w:rsidP="00BE1465">
      <w:pPr>
        <w:pStyle w:val="atitulo2"/>
        <w:spacing w:after="0"/>
        <w:rPr>
          <w:lang w:val="es-ES"/>
        </w:rPr>
      </w:pPr>
    </w:p>
    <w:p w:rsidR="00BE1465" w:rsidRDefault="00BE1465" w:rsidP="00BE1465">
      <w:pPr>
        <w:pStyle w:val="texto"/>
        <w:jc w:val="center"/>
        <w:rPr>
          <w:lang w:val="es-ES"/>
        </w:rPr>
      </w:pPr>
      <w:r>
        <w:rPr>
          <w:noProof/>
          <w:lang w:val="es-ES" w:eastAsia="es-ES"/>
        </w:rPr>
        <w:drawing>
          <wp:inline distT="0" distB="0" distL="0" distR="0" wp14:anchorId="41DA7F03" wp14:editId="76477C4A">
            <wp:extent cx="5612130" cy="3075940"/>
            <wp:effectExtent l="0" t="0" r="26670" b="1016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E1465" w:rsidRDefault="00BE1465" w:rsidP="00BE1465">
      <w:pPr>
        <w:spacing w:after="0"/>
        <w:ind w:firstLine="0"/>
        <w:jc w:val="left"/>
        <w:rPr>
          <w:rFonts w:ascii="Arial" w:hAnsi="Arial"/>
          <w:bCs/>
          <w:iCs/>
          <w:color w:val="000000"/>
          <w:spacing w:val="10"/>
          <w:kern w:val="28"/>
          <w:sz w:val="25"/>
          <w:szCs w:val="26"/>
          <w:lang w:val="es-ES"/>
        </w:rPr>
      </w:pPr>
      <w:r>
        <w:rPr>
          <w:lang w:val="es-ES"/>
        </w:rPr>
        <w:br w:type="page"/>
      </w:r>
    </w:p>
    <w:p w:rsidR="00BE1465" w:rsidRDefault="00BE1465" w:rsidP="00BE1465">
      <w:pPr>
        <w:pStyle w:val="atitulo2"/>
        <w:spacing w:after="0"/>
        <w:rPr>
          <w:lang w:val="es-ES"/>
        </w:rPr>
      </w:pPr>
    </w:p>
    <w:p w:rsidR="004858A6" w:rsidRPr="004858A6" w:rsidRDefault="004858A6" w:rsidP="004858A6">
      <w:pPr>
        <w:spacing w:after="120"/>
        <w:ind w:left="57" w:firstLine="0"/>
        <w:jc w:val="center"/>
        <w:rPr>
          <w:rFonts w:ascii="Arial" w:hAnsi="Arial" w:cs="Arial"/>
          <w:b/>
          <w:bCs/>
          <w:lang w:val="es-ES" w:eastAsia="es-ES"/>
        </w:rPr>
      </w:pPr>
      <w:r w:rsidRPr="004858A6">
        <w:rPr>
          <w:rFonts w:ascii="Arial" w:hAnsi="Arial" w:cs="Arial"/>
          <w:b/>
          <w:bCs/>
          <w:lang w:val="es-ES" w:eastAsia="es-ES"/>
        </w:rPr>
        <w:t>Valle de Egüés</w:t>
      </w:r>
    </w:p>
    <w:tbl>
      <w:tblPr>
        <w:tblW w:w="13332"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15"/>
        <w:gridCol w:w="1116"/>
        <w:gridCol w:w="1116"/>
        <w:gridCol w:w="1116"/>
        <w:gridCol w:w="1116"/>
        <w:gridCol w:w="1115"/>
        <w:gridCol w:w="1116"/>
        <w:gridCol w:w="1116"/>
        <w:gridCol w:w="1116"/>
        <w:gridCol w:w="1116"/>
      </w:tblGrid>
      <w:tr w:rsidR="00BE1465" w:rsidRPr="00EB61AA" w:rsidTr="004858A6">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15"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16"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16" w:type="dxa"/>
            <w:tcBorders>
              <w:bottom w:val="single" w:sz="4" w:space="0" w:color="auto"/>
            </w:tcBorders>
            <w:shd w:val="clear" w:color="auto" w:fill="FABF8F" w:themeFill="accent6" w:themeFillTint="99"/>
          </w:tcPr>
          <w:p w:rsidR="00BE1465" w:rsidRPr="00EB61AA" w:rsidRDefault="00274FDB" w:rsidP="004858A6">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4858A6">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15"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1.669.635</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1.761.823</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2.275.493</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2.410.746</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2.916.180</w:t>
            </w:r>
          </w:p>
        </w:tc>
        <w:tc>
          <w:tcPr>
            <w:tcW w:w="1115"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3.376.786</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3.376.786</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3.440.945</w:t>
            </w:r>
          </w:p>
        </w:tc>
        <w:tc>
          <w:tcPr>
            <w:tcW w:w="1116" w:type="dxa"/>
            <w:tcBorders>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3.485.677</w:t>
            </w:r>
          </w:p>
        </w:tc>
        <w:tc>
          <w:tcPr>
            <w:tcW w:w="1116" w:type="dxa"/>
            <w:tcBorders>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109</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7.098.986</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7.517.914</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8.265.137</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8.335.168</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9.100.890</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8.999.301</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9.531.939</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9.885.695</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10.363.693</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46</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5.875.794</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7.138.666</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6.063.155</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5.588.719</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6.774.996</w:t>
            </w:r>
          </w:p>
        </w:tc>
        <w:tc>
          <w:tcPr>
            <w:tcW w:w="1115"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7.154.002</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7.609.041</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8.400.397</w:t>
            </w:r>
          </w:p>
        </w:tc>
        <w:tc>
          <w:tcPr>
            <w:tcW w:w="1116" w:type="dxa"/>
            <w:tcBorders>
              <w:top w:val="single" w:sz="2" w:space="0" w:color="auto"/>
              <w:bottom w:val="single" w:sz="2" w:space="0" w:color="auto"/>
            </w:tcBorders>
            <w:shd w:val="clear" w:color="auto" w:fill="auto"/>
            <w:noWrap/>
            <w:vAlign w:val="center"/>
            <w:hideMark/>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9.307.346</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58</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4.737.008</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5.645.400</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4.681.711</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4.439.642</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5.301.139</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5.850.949</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6.131.832</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6.923.920</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7.707.705</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63</w:t>
            </w:r>
          </w:p>
        </w:tc>
      </w:tr>
      <w:tr w:rsidR="00BE1465" w:rsidRPr="00EB61AA" w:rsidTr="004858A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446.443</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1.382.575</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73.510</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-335.703</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590.285</w:t>
            </w:r>
          </w:p>
        </w:tc>
        <w:tc>
          <w:tcPr>
            <w:tcW w:w="1115"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1.531.487</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1.453.888</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1.955.646</w:t>
            </w:r>
          </w:p>
        </w:tc>
        <w:tc>
          <w:tcPr>
            <w:tcW w:w="1116"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2.429.330</w:t>
            </w:r>
          </w:p>
        </w:tc>
        <w:tc>
          <w:tcPr>
            <w:tcW w:w="1116"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444</w:t>
            </w:r>
          </w:p>
        </w:tc>
      </w:tr>
      <w:tr w:rsidR="00BE1465" w:rsidRPr="00EB61AA" w:rsidTr="004858A6">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15"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10.787</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14.354</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16.222</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17.450</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18.414</w:t>
            </w:r>
          </w:p>
        </w:tc>
        <w:tc>
          <w:tcPr>
            <w:tcW w:w="1115"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19.014</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19.603</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20.046</w:t>
            </w:r>
          </w:p>
        </w:tc>
        <w:tc>
          <w:tcPr>
            <w:tcW w:w="1116"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20.417</w:t>
            </w:r>
          </w:p>
        </w:tc>
        <w:tc>
          <w:tcPr>
            <w:tcW w:w="1116" w:type="dxa"/>
            <w:tcBorders>
              <w:top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89</w:t>
            </w:r>
          </w:p>
        </w:tc>
      </w:tr>
    </w:tbl>
    <w:p w:rsidR="00BE1465" w:rsidRDefault="00BE1465" w:rsidP="00BE1465">
      <w:pPr>
        <w:pStyle w:val="atitulo2"/>
        <w:spacing w:after="0"/>
        <w:rPr>
          <w:lang w:val="es-ES"/>
        </w:rPr>
      </w:pPr>
    </w:p>
    <w:p w:rsidR="00BE1465" w:rsidRDefault="00BE1465" w:rsidP="00BE1465">
      <w:pPr>
        <w:pStyle w:val="texto"/>
        <w:jc w:val="center"/>
        <w:rPr>
          <w:lang w:val="es-ES"/>
        </w:rPr>
      </w:pPr>
      <w:r>
        <w:rPr>
          <w:noProof/>
          <w:lang w:val="es-ES" w:eastAsia="es-ES"/>
        </w:rPr>
        <w:drawing>
          <wp:inline distT="0" distB="0" distL="0" distR="0" wp14:anchorId="2F7819CC" wp14:editId="2D8264C7">
            <wp:extent cx="5612130" cy="3075940"/>
            <wp:effectExtent l="0" t="0" r="26670" b="1016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1465" w:rsidRDefault="00BE1465" w:rsidP="00BE1465">
      <w:pPr>
        <w:spacing w:after="0"/>
        <w:ind w:firstLine="0"/>
        <w:jc w:val="left"/>
        <w:rPr>
          <w:spacing w:val="6"/>
          <w:sz w:val="26"/>
          <w:szCs w:val="24"/>
          <w:lang w:val="es-ES"/>
        </w:rPr>
      </w:pPr>
      <w:r>
        <w:rPr>
          <w:lang w:val="es-ES"/>
        </w:rPr>
        <w:br w:type="page"/>
      </w:r>
    </w:p>
    <w:p w:rsidR="00BE1465" w:rsidRDefault="00BE1465" w:rsidP="00BE1465">
      <w:pPr>
        <w:spacing w:after="0"/>
        <w:ind w:firstLine="0"/>
        <w:rPr>
          <w:lang w:val="es-ES"/>
        </w:rPr>
      </w:pPr>
    </w:p>
    <w:p w:rsidR="00C27D23" w:rsidRPr="00C27D23" w:rsidRDefault="00C27D23" w:rsidP="00C27D23">
      <w:pPr>
        <w:spacing w:after="120"/>
        <w:ind w:left="57" w:firstLine="0"/>
        <w:jc w:val="center"/>
        <w:rPr>
          <w:rFonts w:ascii="Arial" w:hAnsi="Arial" w:cs="Arial"/>
          <w:b/>
          <w:bCs/>
          <w:lang w:val="es-ES" w:eastAsia="es-ES"/>
        </w:rPr>
      </w:pPr>
      <w:r w:rsidRPr="00C27D23">
        <w:rPr>
          <w:rFonts w:ascii="Arial" w:hAnsi="Arial" w:cs="Arial"/>
          <w:b/>
          <w:bCs/>
          <w:lang w:val="es-ES" w:eastAsia="es-ES"/>
        </w:rPr>
        <w:t>Zizur Mayor</w:t>
      </w:r>
    </w:p>
    <w:tbl>
      <w:tblPr>
        <w:tblW w:w="13461"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C27D23">
        <w:trPr>
          <w:trHeight w:val="198"/>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C27D23">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C27D23">
        <w:trPr>
          <w:trHeight w:val="198"/>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3.306.684</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3.306.684</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3.265.274</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3.265.274</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3.289.946</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3.345.309</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3.345.309</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3.408.870</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3.453.185</w:t>
            </w:r>
          </w:p>
        </w:tc>
        <w:tc>
          <w:tcPr>
            <w:tcW w:w="1129" w:type="dxa"/>
            <w:tcBorders>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4</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11.443.162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11.555.522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11.268.540</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11.760.185</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11.378.582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11.428.055</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11.448.892</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11.320.558</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11.100.013</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8.015.680</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8.639.378</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10.266.189</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8.256.354</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8.018.641</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8.044.880</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8.846.574</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8.199.950</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8.214.271</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5.351.586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5.905.753</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8.097.650</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5.687.241</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6.021.695</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6.282.450</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6.754.927</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6.361.479</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6.426.610</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20</w:t>
            </w:r>
          </w:p>
        </w:tc>
      </w:tr>
      <w:tr w:rsidR="00BE1465" w:rsidRPr="00EB61AA" w:rsidTr="00C27D23">
        <w:trPr>
          <w:trHeight w:val="198"/>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-120.798</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390.541</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2.262.924</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-238.556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-69.996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-37.866</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742.991</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288.262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567.443</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-570</w:t>
            </w:r>
          </w:p>
        </w:tc>
      </w:tr>
      <w:tr w:rsidR="00BE1465" w:rsidRPr="00EB61AA" w:rsidTr="00C27D23">
        <w:trPr>
          <w:trHeight w:val="198"/>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13.345</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13.316</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13.871</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14.084</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14.120</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14.253</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14.493</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14.612</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14.686</w:t>
            </w:r>
          </w:p>
        </w:tc>
        <w:tc>
          <w:tcPr>
            <w:tcW w:w="1129" w:type="dxa"/>
            <w:tcBorders>
              <w:top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10</w:t>
            </w:r>
          </w:p>
        </w:tc>
      </w:tr>
    </w:tbl>
    <w:p w:rsidR="00BE1465" w:rsidRDefault="00BE1465" w:rsidP="00BE1465">
      <w:pPr>
        <w:spacing w:after="0"/>
        <w:ind w:firstLine="0"/>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7E60EC92" wp14:editId="6760ABC6">
            <wp:extent cx="5612130" cy="3075940"/>
            <wp:effectExtent l="0" t="0" r="26670" b="1016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C27D23" w:rsidRPr="00C27D23" w:rsidRDefault="00C27D23" w:rsidP="00C27D23">
      <w:pPr>
        <w:spacing w:after="120"/>
        <w:ind w:left="55" w:firstLine="0"/>
        <w:jc w:val="center"/>
        <w:rPr>
          <w:rFonts w:ascii="Arial" w:hAnsi="Arial" w:cs="Arial"/>
          <w:b/>
          <w:bCs/>
          <w:lang w:val="es-ES" w:eastAsia="es-ES"/>
        </w:rPr>
      </w:pPr>
      <w:r w:rsidRPr="00C27D23">
        <w:rPr>
          <w:rFonts w:ascii="Arial" w:hAnsi="Arial" w:cs="Arial"/>
          <w:b/>
          <w:bCs/>
          <w:lang w:val="es-ES" w:eastAsia="es-ES"/>
        </w:rPr>
        <w:t>Estella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C27D23">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C27D23">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C27D23" w:rsidTr="00C27D23">
        <w:trPr>
          <w:trHeight w:val="198"/>
          <w:jc w:val="center"/>
        </w:trPr>
        <w:tc>
          <w:tcPr>
            <w:tcW w:w="2174" w:type="dxa"/>
            <w:tcBorders>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lang w:val="es-ES" w:eastAsia="es-ES"/>
              </w:rPr>
            </w:pPr>
            <w:r w:rsidRPr="00C27D23">
              <w:rPr>
                <w:rFonts w:ascii="Arial Narrow" w:hAnsi="Arial Narrow"/>
                <w:color w:val="000000"/>
                <w:lang w:val="es-ES" w:eastAsia="es-ES"/>
              </w:rPr>
              <w:t>Fondo transferencias (FT)</w:t>
            </w:r>
          </w:p>
        </w:tc>
        <w:tc>
          <w:tcPr>
            <w:tcW w:w="1128"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3.685.157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3.686.079</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3.639.917</w:t>
            </w:r>
          </w:p>
        </w:tc>
        <w:tc>
          <w:tcPr>
            <w:tcW w:w="1128"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3.639.917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3.639.917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3.639.917</w:t>
            </w:r>
          </w:p>
        </w:tc>
        <w:tc>
          <w:tcPr>
            <w:tcW w:w="1128"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3.639.917</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3.709.076</w:t>
            </w:r>
          </w:p>
        </w:tc>
        <w:tc>
          <w:tcPr>
            <w:tcW w:w="1129" w:type="dxa"/>
            <w:tcBorders>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3.757.294</w:t>
            </w:r>
          </w:p>
        </w:tc>
        <w:tc>
          <w:tcPr>
            <w:tcW w:w="1129" w:type="dxa"/>
            <w:tcBorders>
              <w:bottom w:val="single" w:sz="2" w:space="0" w:color="auto"/>
            </w:tcBorders>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2</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lang w:val="es-ES" w:eastAsia="es-ES"/>
              </w:rPr>
            </w:pPr>
            <w:r w:rsidRPr="00C27D23">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10.567.738</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10.367.630</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10.222.824</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9.204.749</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9.547.779</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9.943.525</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9.531.029</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9.713.721</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9.802.901</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-7</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lang w:val="es-ES" w:eastAsia="es-ES"/>
              </w:rPr>
            </w:pPr>
            <w:r w:rsidRPr="00C27D23">
              <w:rPr>
                <w:rFonts w:ascii="Arial Narrow" w:hAnsi="Arial Narrow"/>
                <w:color w:val="000000"/>
                <w:lang w:val="es-ES" w:eastAsia="es-ES"/>
              </w:rPr>
              <w:t>Ingresos corrientes (sin FT)</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9.160.248</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8.081.281</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8.060.458</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6.912.013</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7.416.527</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7.666.060</w:t>
            </w:r>
          </w:p>
        </w:tc>
        <w:tc>
          <w:tcPr>
            <w:tcW w:w="1128"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8.969.794</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7.840.167</w:t>
            </w:r>
          </w:p>
        </w:tc>
        <w:tc>
          <w:tcPr>
            <w:tcW w:w="1129"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7.845.741</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-14</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lang w:val="es-ES" w:eastAsia="es-ES"/>
              </w:rPr>
            </w:pPr>
            <w:r w:rsidRPr="00C27D23">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6.147.558</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5.722.444</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5.545.017</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5.559.761</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5.673.660</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5.763.350</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7.167.476</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5.940.163</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5.978.309</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w:t>
            </w:r>
          </w:p>
        </w:tc>
      </w:tr>
      <w:tr w:rsidR="00BE1465" w:rsidRPr="00C27D23"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lang w:val="es-ES" w:eastAsia="es-ES"/>
              </w:rPr>
            </w:pPr>
            <w:r w:rsidRPr="00C27D23">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2.277.666</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1.399.729</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1.477.552</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1.347.181</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1.508.665</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1.362.453</w:t>
            </w:r>
          </w:p>
        </w:tc>
        <w:tc>
          <w:tcPr>
            <w:tcW w:w="1128"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3.078.682</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1.835.521</w:t>
            </w:r>
          </w:p>
        </w:tc>
        <w:tc>
          <w:tcPr>
            <w:tcW w:w="1129" w:type="dxa"/>
            <w:tcBorders>
              <w:top w:val="single" w:sz="2" w:space="0" w:color="auto"/>
              <w:bottom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1.800.134</w:t>
            </w:r>
          </w:p>
        </w:tc>
        <w:tc>
          <w:tcPr>
            <w:tcW w:w="1129" w:type="dxa"/>
            <w:tcBorders>
              <w:top w:val="single" w:sz="2" w:space="0" w:color="auto"/>
              <w:bottom w:val="single" w:sz="2" w:space="0" w:color="auto"/>
            </w:tcBorders>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-21</w:t>
            </w:r>
          </w:p>
        </w:tc>
      </w:tr>
      <w:tr w:rsidR="00BE1465" w:rsidRPr="00C27D23" w:rsidTr="00C27D23">
        <w:trPr>
          <w:trHeight w:val="198"/>
          <w:jc w:val="center"/>
        </w:trPr>
        <w:tc>
          <w:tcPr>
            <w:tcW w:w="2174" w:type="dxa"/>
            <w:tcBorders>
              <w:top w:val="single" w:sz="2" w:space="0" w:color="auto"/>
            </w:tcBorders>
            <w:shd w:val="clear" w:color="auto" w:fill="auto"/>
            <w:noWrap/>
            <w:vAlign w:val="center"/>
            <w:hideMark/>
          </w:tcPr>
          <w:p w:rsidR="00BE1465" w:rsidRPr="00C27D23" w:rsidRDefault="00BE1465" w:rsidP="00BE1465">
            <w:pPr>
              <w:spacing w:after="0"/>
              <w:ind w:firstLine="0"/>
              <w:jc w:val="left"/>
              <w:rPr>
                <w:rFonts w:ascii="Arial Narrow" w:hAnsi="Arial Narrow"/>
                <w:color w:val="000000"/>
                <w:lang w:val="es-ES" w:eastAsia="es-ES"/>
              </w:rPr>
            </w:pPr>
            <w:r w:rsidRPr="00C27D23">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14.238</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14.207</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14.251</w:t>
            </w:r>
          </w:p>
        </w:tc>
        <w:tc>
          <w:tcPr>
            <w:tcW w:w="1128"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14.138</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13.947</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13.695</w:t>
            </w:r>
          </w:p>
        </w:tc>
        <w:tc>
          <w:tcPr>
            <w:tcW w:w="1128"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13.702</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13.668</w:t>
            </w:r>
          </w:p>
        </w:tc>
        <w:tc>
          <w:tcPr>
            <w:tcW w:w="1129" w:type="dxa"/>
            <w:tcBorders>
              <w:top w:val="single" w:sz="2" w:space="0" w:color="auto"/>
            </w:tcBorders>
            <w:shd w:val="clear" w:color="auto" w:fill="auto"/>
            <w:noWrap/>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13.707</w:t>
            </w:r>
          </w:p>
        </w:tc>
        <w:tc>
          <w:tcPr>
            <w:tcW w:w="1129" w:type="dxa"/>
            <w:tcBorders>
              <w:top w:val="single" w:sz="2" w:space="0" w:color="auto"/>
            </w:tcBorders>
            <w:vAlign w:val="center"/>
          </w:tcPr>
          <w:p w:rsidR="00BE1465" w:rsidRPr="00C27D23" w:rsidRDefault="00BE1465" w:rsidP="00BE1465">
            <w:pPr>
              <w:spacing w:after="0"/>
              <w:ind w:firstLine="0"/>
              <w:jc w:val="right"/>
              <w:rPr>
                <w:rFonts w:ascii="Arial Narrow" w:hAnsi="Arial Narrow"/>
                <w:color w:val="000000"/>
                <w:lang w:val="es-ES" w:eastAsia="es-ES"/>
              </w:rPr>
            </w:pPr>
            <w:r w:rsidRPr="00C27D23">
              <w:rPr>
                <w:rFonts w:ascii="Arial Narrow" w:hAnsi="Arial Narrow"/>
                <w:color w:val="000000"/>
                <w:lang w:val="es-ES" w:eastAsia="es-ES"/>
              </w:rPr>
              <w:t>-4</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02AACC2F" wp14:editId="6D67E736">
            <wp:extent cx="5612130" cy="3075940"/>
            <wp:effectExtent l="0" t="0" r="26670" b="1016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C27D23" w:rsidRPr="00C27D23" w:rsidRDefault="00C27D23" w:rsidP="00C27D23">
      <w:pPr>
        <w:spacing w:after="120"/>
        <w:ind w:left="55" w:firstLine="0"/>
        <w:jc w:val="center"/>
        <w:rPr>
          <w:rFonts w:ascii="Arial" w:hAnsi="Arial" w:cs="Arial"/>
          <w:b/>
          <w:bCs/>
          <w:lang w:val="es-ES" w:eastAsia="es-ES"/>
        </w:rPr>
      </w:pPr>
      <w:r w:rsidRPr="00C27D23">
        <w:rPr>
          <w:rFonts w:ascii="Arial" w:hAnsi="Arial" w:cs="Arial"/>
          <w:b/>
          <w:bCs/>
          <w:lang w:val="es-ES" w:eastAsia="es-ES"/>
        </w:rPr>
        <w:t>Aranguren</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C27D23">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C27D23">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C27D23">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1.503.301</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1.516.997</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1.497.999</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1.521.370</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1.633.106</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1.761.160</w:t>
            </w:r>
          </w:p>
        </w:tc>
        <w:tc>
          <w:tcPr>
            <w:tcW w:w="1128"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1.761.161</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1.794.623</w:t>
            </w:r>
          </w:p>
        </w:tc>
        <w:tc>
          <w:tcPr>
            <w:tcW w:w="1129" w:type="dxa"/>
            <w:tcBorders>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1.817.953</w:t>
            </w:r>
          </w:p>
        </w:tc>
        <w:tc>
          <w:tcPr>
            <w:tcW w:w="1129" w:type="dxa"/>
            <w:tcBorders>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21</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8.009.878</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8.297.041</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8.261.890</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8.578.603</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7.719.385</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7.551.684</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7.653.686</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7.746.663</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8.176.678</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8.111.327</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7.440.357</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7.219.764</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7.404.289</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6.712.147</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7.056.705</w:t>
            </w:r>
          </w:p>
        </w:tc>
        <w:tc>
          <w:tcPr>
            <w:tcW w:w="1128"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6.630.515</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7.208.964</w:t>
            </w:r>
          </w:p>
        </w:tc>
        <w:tc>
          <w:tcPr>
            <w:tcW w:w="1129" w:type="dxa"/>
            <w:tcBorders>
              <w:top w:val="single" w:sz="2" w:space="0" w:color="auto"/>
              <w:bottom w:val="single" w:sz="2" w:space="0" w:color="auto"/>
            </w:tcBorders>
            <w:shd w:val="clear" w:color="auto" w:fill="auto"/>
            <w:noWrap/>
            <w:vAlign w:val="center"/>
            <w:hideMark/>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7.996.172</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6.993.222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5.600.706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6.176.231</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6.490.726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5.969.132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6.260.037</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5.877.997</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6.231.265</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7.140.628</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w:t>
            </w:r>
          </w:p>
        </w:tc>
      </w:tr>
      <w:tr w:rsidR="00BE1465" w:rsidRPr="00EB61AA" w:rsidTr="00C27D23">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1.604.750</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660.312</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455.873</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347.056</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625.868</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1.266.181</w:t>
            </w:r>
          </w:p>
        </w:tc>
        <w:tc>
          <w:tcPr>
            <w:tcW w:w="1128"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737.990</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1.256.923</w:t>
            </w:r>
          </w:p>
        </w:tc>
        <w:tc>
          <w:tcPr>
            <w:tcW w:w="1129" w:type="dxa"/>
            <w:tcBorders>
              <w:top w:val="single" w:sz="2" w:space="0" w:color="auto"/>
              <w:bottom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1.637.447</w:t>
            </w:r>
          </w:p>
        </w:tc>
        <w:tc>
          <w:tcPr>
            <w:tcW w:w="1129" w:type="dxa"/>
            <w:tcBorders>
              <w:top w:val="single" w:sz="2" w:space="0" w:color="auto"/>
              <w:bottom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2</w:t>
            </w:r>
          </w:p>
        </w:tc>
      </w:tr>
      <w:tr w:rsidR="00BE1465" w:rsidRPr="00EB61AA" w:rsidTr="00C27D23">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7.139</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7.317</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7.586</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8.092</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8.579</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8.982</w:t>
            </w:r>
          </w:p>
        </w:tc>
        <w:tc>
          <w:tcPr>
            <w:tcW w:w="1128"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9.398</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9.801</w:t>
            </w:r>
          </w:p>
        </w:tc>
        <w:tc>
          <w:tcPr>
            <w:tcW w:w="1129" w:type="dxa"/>
            <w:tcBorders>
              <w:top w:val="single" w:sz="2" w:space="0" w:color="auto"/>
            </w:tcBorders>
            <w:shd w:val="clear" w:color="auto" w:fill="auto"/>
            <w:noWrap/>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10.239</w:t>
            </w:r>
          </w:p>
        </w:tc>
        <w:tc>
          <w:tcPr>
            <w:tcW w:w="1129" w:type="dxa"/>
            <w:tcBorders>
              <w:top w:val="single" w:sz="2" w:space="0" w:color="auto"/>
            </w:tcBorders>
            <w:vAlign w:val="center"/>
          </w:tcPr>
          <w:p w:rsidR="00BE1465" w:rsidRPr="00EA32EC" w:rsidRDefault="00BE1465" w:rsidP="00BE1465">
            <w:pPr>
              <w:spacing w:after="0"/>
              <w:ind w:firstLine="0"/>
              <w:jc w:val="right"/>
              <w:rPr>
                <w:rFonts w:ascii="Arial Narrow" w:hAnsi="Arial Narrow"/>
                <w:color w:val="000000"/>
                <w:lang w:val="es-ES" w:eastAsia="es-ES"/>
              </w:rPr>
            </w:pPr>
            <w:r w:rsidRPr="00EA32EC">
              <w:rPr>
                <w:rFonts w:ascii="Arial Narrow" w:hAnsi="Arial Narrow"/>
                <w:color w:val="000000"/>
                <w:lang w:val="es-ES" w:eastAsia="es-ES"/>
              </w:rPr>
              <w:t>43</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461DEF0A" wp14:editId="05683D1C">
            <wp:extent cx="5612130" cy="3075940"/>
            <wp:effectExtent l="0" t="0" r="26670" b="1016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0A55B6" w:rsidRPr="000A55B6" w:rsidRDefault="000A55B6" w:rsidP="000A55B6">
      <w:pPr>
        <w:spacing w:after="120"/>
        <w:ind w:left="55" w:firstLine="0"/>
        <w:jc w:val="center"/>
        <w:rPr>
          <w:rFonts w:ascii="Arial" w:hAnsi="Arial" w:cs="Arial"/>
          <w:b/>
          <w:bCs/>
          <w:lang w:val="es-ES" w:eastAsia="es-ES"/>
        </w:rPr>
      </w:pPr>
      <w:r w:rsidRPr="000A55B6">
        <w:rPr>
          <w:rFonts w:ascii="Arial" w:hAnsi="Arial" w:cs="Arial"/>
          <w:b/>
          <w:bCs/>
          <w:lang w:val="es-ES" w:eastAsia="es-ES"/>
        </w:rPr>
        <w:t>Tafalla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0A55B6" w:rsidTr="000A55B6">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left"/>
              <w:rPr>
                <w:rFonts w:ascii="Arial" w:hAnsi="Arial" w:cs="Arial"/>
                <w:sz w:val="18"/>
                <w:szCs w:val="18"/>
                <w:lang w:val="es-ES" w:eastAsia="es-ES"/>
              </w:rPr>
            </w:pPr>
            <w:r w:rsidRPr="000A55B6">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0A55B6" w:rsidRDefault="00BE1465" w:rsidP="00BE1465">
            <w:pPr>
              <w:spacing w:after="0"/>
              <w:ind w:firstLine="0"/>
              <w:jc w:val="right"/>
              <w:rPr>
                <w:rFonts w:ascii="Arial" w:hAnsi="Arial" w:cs="Arial"/>
                <w:bCs/>
                <w:sz w:val="18"/>
                <w:szCs w:val="18"/>
                <w:lang w:val="es-ES" w:eastAsia="es-ES"/>
              </w:rPr>
            </w:pPr>
            <w:r w:rsidRPr="000A55B6">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0A55B6" w:rsidRDefault="00274FDB" w:rsidP="000A55B6">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sidRPr="000A55B6">
              <w:rPr>
                <w:rFonts w:ascii="Arial" w:hAnsi="Arial" w:cs="Arial"/>
                <w:bCs/>
                <w:sz w:val="18"/>
                <w:szCs w:val="18"/>
                <w:lang w:val="es-ES" w:eastAsia="es-ES"/>
              </w:rPr>
              <w:t xml:space="preserve"> 2017/2009</w:t>
            </w:r>
          </w:p>
        </w:tc>
      </w:tr>
      <w:tr w:rsidR="00BE1465" w:rsidRPr="00EB61AA" w:rsidTr="000A55B6">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3.018.075</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3.020.497</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2.982.671</w:t>
            </w:r>
          </w:p>
        </w:tc>
        <w:tc>
          <w:tcPr>
            <w:tcW w:w="1128"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2.985.084</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2.985.084</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2.985.084</w:t>
            </w:r>
          </w:p>
        </w:tc>
        <w:tc>
          <w:tcPr>
            <w:tcW w:w="1128"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2.985.084</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3.041.800</w:t>
            </w:r>
          </w:p>
        </w:tc>
        <w:tc>
          <w:tcPr>
            <w:tcW w:w="1129" w:type="dxa"/>
            <w:tcBorders>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3.081.344</w:t>
            </w:r>
          </w:p>
        </w:tc>
        <w:tc>
          <w:tcPr>
            <w:tcW w:w="1129" w:type="dxa"/>
            <w:tcBorders>
              <w:bottom w:val="single" w:sz="2" w:space="0" w:color="auto"/>
            </w:tcBorders>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2</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9.679.692</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9.798.037</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9.469.990</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8.883.201</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9.126.580</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8.756.476</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8.769.641</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8.844.009</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8.820.621</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-9</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7.924.971</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8.070.643</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7.383.896</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7.034.629</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6.922.946</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6.658.698</w:t>
            </w:r>
          </w:p>
        </w:tc>
        <w:tc>
          <w:tcPr>
            <w:tcW w:w="1128"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6.678.828</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6.756.505</w:t>
            </w:r>
          </w:p>
        </w:tc>
        <w:tc>
          <w:tcPr>
            <w:tcW w:w="1129" w:type="dxa"/>
            <w:tcBorders>
              <w:top w:val="single" w:sz="2" w:space="0" w:color="auto"/>
              <w:bottom w:val="single" w:sz="2" w:space="0" w:color="auto"/>
            </w:tcBorders>
            <w:shd w:val="clear" w:color="auto" w:fill="auto"/>
            <w:noWrap/>
            <w:vAlign w:val="center"/>
            <w:hideMark/>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6.623.004</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-16</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5.452.266</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5.474.701</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5.088.915</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5.061.137</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4.846.683</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4.767.622</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4.771.291</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4.928.649</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4.923.877</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-10</w:t>
            </w:r>
          </w:p>
        </w:tc>
      </w:tr>
      <w:tr w:rsidR="00BE1465" w:rsidRPr="00EB61AA" w:rsidTr="000A55B6">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1.263.355</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1.293.103</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896.576</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1.136.512</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781.450</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887.306</w:t>
            </w:r>
          </w:p>
        </w:tc>
        <w:tc>
          <w:tcPr>
            <w:tcW w:w="1128"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894.271</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954.296</w:t>
            </w:r>
          </w:p>
        </w:tc>
        <w:tc>
          <w:tcPr>
            <w:tcW w:w="1129" w:type="dxa"/>
            <w:tcBorders>
              <w:top w:val="single" w:sz="2" w:space="0" w:color="auto"/>
              <w:bottom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883.726</w:t>
            </w:r>
          </w:p>
        </w:tc>
        <w:tc>
          <w:tcPr>
            <w:tcW w:w="1129" w:type="dxa"/>
            <w:tcBorders>
              <w:top w:val="single" w:sz="2" w:space="0" w:color="auto"/>
              <w:bottom w:val="single" w:sz="2" w:space="0" w:color="auto"/>
            </w:tcBorders>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-30</w:t>
            </w:r>
          </w:p>
        </w:tc>
      </w:tr>
      <w:tr w:rsidR="00BE1465" w:rsidRPr="00EB61AA" w:rsidTr="000A55B6">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11.394</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11.413</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11.390</w:t>
            </w:r>
          </w:p>
        </w:tc>
        <w:tc>
          <w:tcPr>
            <w:tcW w:w="1128"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11.256</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11.201</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10.966</w:t>
            </w:r>
          </w:p>
        </w:tc>
        <w:tc>
          <w:tcPr>
            <w:tcW w:w="1128"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10.809</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10.660</w:t>
            </w:r>
          </w:p>
        </w:tc>
        <w:tc>
          <w:tcPr>
            <w:tcW w:w="1129" w:type="dxa"/>
            <w:tcBorders>
              <w:top w:val="single" w:sz="2" w:space="0" w:color="auto"/>
            </w:tcBorders>
            <w:shd w:val="clear" w:color="auto" w:fill="auto"/>
            <w:noWrap/>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10.638</w:t>
            </w:r>
          </w:p>
        </w:tc>
        <w:tc>
          <w:tcPr>
            <w:tcW w:w="1129" w:type="dxa"/>
            <w:tcBorders>
              <w:top w:val="single" w:sz="2" w:space="0" w:color="auto"/>
            </w:tcBorders>
            <w:vAlign w:val="center"/>
          </w:tcPr>
          <w:p w:rsidR="00BE1465" w:rsidRPr="000A55B6" w:rsidRDefault="00BE1465" w:rsidP="00BE1465">
            <w:pPr>
              <w:spacing w:after="0"/>
              <w:ind w:firstLine="0"/>
              <w:jc w:val="right"/>
              <w:rPr>
                <w:rFonts w:ascii="Arial Narrow" w:hAnsi="Arial Narrow"/>
                <w:color w:val="000000"/>
                <w:lang w:val="es-ES" w:eastAsia="es-ES"/>
              </w:rPr>
            </w:pPr>
            <w:r w:rsidRPr="000A55B6">
              <w:rPr>
                <w:rFonts w:ascii="Arial Narrow" w:hAnsi="Arial Narrow"/>
                <w:color w:val="000000"/>
                <w:lang w:val="es-ES" w:eastAsia="es-ES"/>
              </w:rPr>
              <w:t>-7</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0AFD12EC" wp14:editId="29CBA09B">
            <wp:extent cx="5612130" cy="3075940"/>
            <wp:effectExtent l="0" t="0" r="26670" b="1016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0A55B6" w:rsidRPr="000A55B6" w:rsidRDefault="000A55B6" w:rsidP="000A55B6">
      <w:pPr>
        <w:spacing w:after="120"/>
        <w:ind w:left="55" w:firstLine="0"/>
        <w:jc w:val="center"/>
        <w:rPr>
          <w:rFonts w:ascii="Arial" w:hAnsi="Arial" w:cs="Arial"/>
          <w:b/>
          <w:bCs/>
          <w:lang w:val="es-ES" w:eastAsia="es-ES"/>
        </w:rPr>
      </w:pPr>
      <w:r w:rsidRPr="000A55B6">
        <w:rPr>
          <w:rFonts w:ascii="Arial" w:hAnsi="Arial" w:cs="Arial"/>
          <w:b/>
          <w:bCs/>
          <w:lang w:val="es-ES" w:eastAsia="es-ES"/>
        </w:rPr>
        <w:t>Ansoáin</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0A55B6">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2.312.435</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2.323.637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2.294.538</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2.314.294</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2.414.398</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2.514.726</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2.514.726</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2.562.506</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2.595.819</w:t>
            </w:r>
          </w:p>
        </w:tc>
        <w:tc>
          <w:tcPr>
            <w:tcW w:w="1129" w:type="dxa"/>
            <w:tcBorders>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8.029.110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8.073.977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8.180.004</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7.812.000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7.179.346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6.643.546</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6.682.207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6.940.798</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7.341.057</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5.081.023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5.408.640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5.358.818</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4.972.431</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4.638.525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5.174.493</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5.145.865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5.181.592</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5.738.941</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13</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4.190.699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4.350.064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4.650.243</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4.369.376</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4.116.092</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4.634.818</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4.631.269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4.641.973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5.066.508</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21</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-635.653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-341.700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-526.648</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-525.274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-126.423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1.045.673</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978.384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803.300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993.702</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-256</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10.500</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10.603</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10.776</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10.938</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10.976</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10.861</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10.830</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10.817</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10.752</w:t>
            </w:r>
          </w:p>
        </w:tc>
        <w:tc>
          <w:tcPr>
            <w:tcW w:w="1129" w:type="dxa"/>
            <w:tcBorders>
              <w:top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w:t>
            </w:r>
          </w:p>
        </w:tc>
      </w:tr>
    </w:tbl>
    <w:p w:rsidR="00BE1465" w:rsidRDefault="00BE1465" w:rsidP="00BE1465">
      <w:pPr>
        <w:spacing w:after="0"/>
        <w:ind w:firstLine="0"/>
        <w:jc w:val="left"/>
        <w:rPr>
          <w:lang w:val="es-ES"/>
        </w:rPr>
      </w:pPr>
    </w:p>
    <w:p w:rsidR="00BE1465" w:rsidRDefault="00BE1465" w:rsidP="00BE1465">
      <w:pPr>
        <w:spacing w:after="0"/>
        <w:jc w:val="center"/>
        <w:rPr>
          <w:lang w:val="es-ES"/>
        </w:rPr>
      </w:pPr>
      <w:r>
        <w:rPr>
          <w:noProof/>
          <w:lang w:val="es-ES" w:eastAsia="es-ES"/>
        </w:rPr>
        <w:drawing>
          <wp:inline distT="0" distB="0" distL="0" distR="0" wp14:anchorId="03DD2EFB" wp14:editId="57601066">
            <wp:extent cx="5612130" cy="3075940"/>
            <wp:effectExtent l="0" t="0" r="26670" b="1016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jc w:val="left"/>
        <w:rPr>
          <w:lang w:val="es-ES"/>
        </w:rPr>
      </w:pPr>
    </w:p>
    <w:p w:rsidR="002A2E35" w:rsidRPr="002A2E35" w:rsidRDefault="002A2E35" w:rsidP="002A2E35">
      <w:pPr>
        <w:spacing w:after="120"/>
        <w:ind w:left="55" w:firstLine="0"/>
        <w:jc w:val="center"/>
        <w:rPr>
          <w:rFonts w:ascii="Arial" w:hAnsi="Arial" w:cs="Arial"/>
          <w:b/>
          <w:bCs/>
          <w:lang w:val="es-ES" w:eastAsia="es-ES"/>
        </w:rPr>
      </w:pPr>
      <w:r w:rsidRPr="002A2E35">
        <w:rPr>
          <w:rFonts w:ascii="Arial" w:hAnsi="Arial" w:cs="Arial"/>
          <w:b/>
          <w:bCs/>
          <w:lang w:val="es-ES" w:eastAsia="es-ES"/>
        </w:rPr>
        <w:t>Villava</w:t>
      </w:r>
    </w:p>
    <w:tbl>
      <w:tblPr>
        <w:tblW w:w="13461"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255"/>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2A2E35">
        <w:trPr>
          <w:trHeight w:val="255"/>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2.676.991</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2.676.991</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2.643.467</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2.643.467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2.643.467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2.643.467</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2.643.467</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2.693.693</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2.728.711</w:t>
            </w:r>
          </w:p>
        </w:tc>
        <w:tc>
          <w:tcPr>
            <w:tcW w:w="1129" w:type="dxa"/>
            <w:tcBorders>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7.350.895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7.160.803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7.000.181</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6.855.927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6.991.765</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6.760.853</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6.964.876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7.220.169</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7.366.139</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0,2</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5.069.650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5.067.574</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5.182.875</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5.151.226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5.361.609</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5.462.195</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5.594.277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5.567.973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6.052.304</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19</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3.286.829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3.343.547</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3.606.093</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3.616.309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3.836.920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4.023.708</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4.075.793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3.989.840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4.328.290</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32</w:t>
            </w:r>
          </w:p>
        </w:tc>
      </w:tr>
      <w:tr w:rsidR="00BE1465" w:rsidRPr="00EB61AA" w:rsidTr="002A2E35">
        <w:trPr>
          <w:trHeight w:val="255"/>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395.746</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583.762</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826.160</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938.766</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1.013.310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1.344.809</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1.272.869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1.041.497</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1.414.876</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258</w:t>
            </w:r>
          </w:p>
        </w:tc>
      </w:tr>
      <w:tr w:rsidR="00BE1465" w:rsidRPr="00EB61AA" w:rsidTr="002A2E35">
        <w:trPr>
          <w:trHeight w:val="255"/>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10.642</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10.568</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10.487</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10.496</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10.308</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10.211</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10.265</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10.317</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10.217</w:t>
            </w:r>
          </w:p>
        </w:tc>
        <w:tc>
          <w:tcPr>
            <w:tcW w:w="1129" w:type="dxa"/>
            <w:tcBorders>
              <w:top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w:t>
            </w:r>
          </w:p>
        </w:tc>
      </w:tr>
    </w:tbl>
    <w:p w:rsidR="00BE1465" w:rsidRDefault="00BE1465" w:rsidP="00BE1465">
      <w:pPr>
        <w:spacing w:after="0"/>
        <w:jc w:val="left"/>
        <w:rPr>
          <w:lang w:val="es-ES"/>
        </w:rPr>
      </w:pPr>
    </w:p>
    <w:p w:rsidR="00BE1465" w:rsidRDefault="00BE1465" w:rsidP="00BE1465">
      <w:pPr>
        <w:spacing w:after="0"/>
        <w:jc w:val="center"/>
        <w:rPr>
          <w:lang w:val="es-ES"/>
        </w:rPr>
      </w:pPr>
      <w:r>
        <w:rPr>
          <w:noProof/>
          <w:lang w:val="es-ES" w:eastAsia="es-ES"/>
        </w:rPr>
        <w:drawing>
          <wp:inline distT="0" distB="0" distL="0" distR="0" wp14:anchorId="1B620242" wp14:editId="19FD525B">
            <wp:extent cx="5612130" cy="3075940"/>
            <wp:effectExtent l="0" t="0" r="26670" b="1016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jc w:val="left"/>
        <w:rPr>
          <w:lang w:val="es-ES"/>
        </w:rPr>
      </w:pPr>
    </w:p>
    <w:p w:rsidR="002A2E35" w:rsidRPr="002A2E35" w:rsidRDefault="002A2E35" w:rsidP="002A2E35">
      <w:pPr>
        <w:spacing w:after="120"/>
        <w:ind w:left="55" w:firstLine="0"/>
        <w:jc w:val="center"/>
        <w:rPr>
          <w:rFonts w:ascii="Arial" w:hAnsi="Arial" w:cs="Arial"/>
          <w:b/>
          <w:bCs/>
          <w:lang w:val="es-ES" w:eastAsia="es-ES"/>
        </w:rPr>
      </w:pPr>
      <w:r w:rsidRPr="002A2E35">
        <w:rPr>
          <w:rFonts w:ascii="Arial" w:hAnsi="Arial" w:cs="Arial"/>
          <w:b/>
          <w:bCs/>
          <w:lang w:val="es-ES" w:eastAsia="es-ES"/>
        </w:rPr>
        <w:t>Berriozar</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2.026.044</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2.052.635</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2.058.275</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2.074.851</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2.186.762</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2.296.354</w:t>
            </w:r>
          </w:p>
        </w:tc>
        <w:tc>
          <w:tcPr>
            <w:tcW w:w="1128"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2.296.354</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2.339.985</w:t>
            </w:r>
          </w:p>
        </w:tc>
        <w:tc>
          <w:tcPr>
            <w:tcW w:w="1129" w:type="dxa"/>
            <w:tcBorders>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2.370.405</w:t>
            </w:r>
          </w:p>
        </w:tc>
        <w:tc>
          <w:tcPr>
            <w:tcW w:w="1129" w:type="dxa"/>
            <w:tcBorders>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17</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6.515.248</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6.261.647</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6.315.468</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6.097.744</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5.788.573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5.507.154</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5.426.263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5.479.233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5.613.041</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-14</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5.731.090</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5.106.836</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4.331.660</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3.985.122</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4.021.872</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3.519.427</w:t>
            </w:r>
          </w:p>
        </w:tc>
        <w:tc>
          <w:tcPr>
            <w:tcW w:w="1128"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3.668.939</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3.626.813</w:t>
            </w:r>
          </w:p>
        </w:tc>
        <w:tc>
          <w:tcPr>
            <w:tcW w:w="1129" w:type="dxa"/>
            <w:tcBorders>
              <w:top w:val="single" w:sz="2" w:space="0" w:color="auto"/>
              <w:bottom w:val="single" w:sz="2" w:space="0" w:color="auto"/>
            </w:tcBorders>
            <w:shd w:val="clear" w:color="auto" w:fill="auto"/>
            <w:noWrap/>
            <w:vAlign w:val="center"/>
            <w:hideMark/>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3.771.328</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-34</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4.249.220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3.803.608</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3.276.977</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3.137.549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3.198.973</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2.884.111</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3.108.831</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3.027.389</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3.092.939</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-27</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1.241.885</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897.824</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74.467</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-37.771</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420.060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308.627</w:t>
            </w:r>
          </w:p>
        </w:tc>
        <w:tc>
          <w:tcPr>
            <w:tcW w:w="1128"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539.030</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487.565</w:t>
            </w:r>
          </w:p>
        </w:tc>
        <w:tc>
          <w:tcPr>
            <w:tcW w:w="1129" w:type="dxa"/>
            <w:tcBorders>
              <w:top w:val="single" w:sz="2" w:space="0" w:color="auto"/>
              <w:bottom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528.691</w:t>
            </w:r>
          </w:p>
        </w:tc>
        <w:tc>
          <w:tcPr>
            <w:tcW w:w="1129" w:type="dxa"/>
            <w:tcBorders>
              <w:top w:val="single" w:sz="2" w:space="0" w:color="auto"/>
              <w:bottom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-57</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9.020</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9.034</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8.931</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9.449</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9.605</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9.625</w:t>
            </w:r>
          </w:p>
        </w:tc>
        <w:tc>
          <w:tcPr>
            <w:tcW w:w="1128"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9.625</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9.756</w:t>
            </w:r>
          </w:p>
        </w:tc>
        <w:tc>
          <w:tcPr>
            <w:tcW w:w="1129" w:type="dxa"/>
            <w:tcBorders>
              <w:top w:val="single" w:sz="2" w:space="0" w:color="auto"/>
            </w:tcBorders>
            <w:shd w:val="clear" w:color="auto" w:fill="auto"/>
            <w:noWrap/>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9.874</w:t>
            </w:r>
          </w:p>
        </w:tc>
        <w:tc>
          <w:tcPr>
            <w:tcW w:w="1129" w:type="dxa"/>
            <w:tcBorders>
              <w:top w:val="single" w:sz="2" w:space="0" w:color="auto"/>
            </w:tcBorders>
            <w:vAlign w:val="center"/>
          </w:tcPr>
          <w:p w:rsidR="00BE1465" w:rsidRPr="00602EEF" w:rsidRDefault="00BE1465" w:rsidP="00BE1465">
            <w:pPr>
              <w:spacing w:after="0"/>
              <w:ind w:firstLine="0"/>
              <w:jc w:val="right"/>
              <w:rPr>
                <w:rFonts w:ascii="Arial Narrow" w:hAnsi="Arial Narrow"/>
                <w:color w:val="000000"/>
                <w:lang w:val="es-ES" w:eastAsia="es-ES"/>
              </w:rPr>
            </w:pPr>
            <w:r w:rsidRPr="00602EEF">
              <w:rPr>
                <w:rFonts w:ascii="Arial Narrow" w:hAnsi="Arial Narrow"/>
                <w:color w:val="000000"/>
                <w:lang w:val="es-ES" w:eastAsia="es-ES"/>
              </w:rPr>
              <w:t>9</w:t>
            </w:r>
          </w:p>
        </w:tc>
      </w:tr>
    </w:tbl>
    <w:p w:rsidR="00BE1465" w:rsidRDefault="00BE1465" w:rsidP="00BE1465">
      <w:pPr>
        <w:spacing w:after="0"/>
        <w:jc w:val="left"/>
        <w:rPr>
          <w:lang w:val="es-ES"/>
        </w:rPr>
      </w:pPr>
    </w:p>
    <w:p w:rsidR="00BE1465" w:rsidRDefault="00BE1465" w:rsidP="00BE1465">
      <w:pPr>
        <w:spacing w:after="0"/>
        <w:jc w:val="center"/>
        <w:rPr>
          <w:lang w:val="es-ES"/>
        </w:rPr>
      </w:pPr>
      <w:r>
        <w:rPr>
          <w:noProof/>
          <w:lang w:val="es-ES" w:eastAsia="es-ES"/>
        </w:rPr>
        <w:drawing>
          <wp:inline distT="0" distB="0" distL="0" distR="0" wp14:anchorId="70902A5B" wp14:editId="65B5D347">
            <wp:extent cx="5612130" cy="3075940"/>
            <wp:effectExtent l="0" t="0" r="26670" b="1016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jc w:val="left"/>
        <w:rPr>
          <w:lang w:val="es-ES"/>
        </w:rPr>
      </w:pPr>
    </w:p>
    <w:p w:rsidR="002A2E35" w:rsidRPr="002A2E35" w:rsidRDefault="002A2E35" w:rsidP="002A2E35">
      <w:pPr>
        <w:spacing w:after="120"/>
        <w:ind w:left="55" w:firstLine="0"/>
        <w:jc w:val="center"/>
        <w:rPr>
          <w:rFonts w:ascii="Arial" w:hAnsi="Arial" w:cs="Arial"/>
          <w:b/>
          <w:bCs/>
          <w:lang w:val="es-ES" w:eastAsia="es-ES"/>
        </w:rPr>
      </w:pPr>
      <w:r w:rsidRPr="002A2E35">
        <w:rPr>
          <w:rFonts w:ascii="Arial" w:hAnsi="Arial" w:cs="Arial"/>
          <w:b/>
          <w:bCs/>
          <w:lang w:val="es-ES" w:eastAsia="es-ES"/>
        </w:rPr>
        <w:t>Noáin (Valle Elorz)</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1.303.336</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1.328.082</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1.468.645</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1.475.752</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1.510.533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1.576.178</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1.576.178</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1.606.125</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1.627.005</w:t>
            </w:r>
          </w:p>
        </w:tc>
        <w:tc>
          <w:tcPr>
            <w:tcW w:w="1129" w:type="dxa"/>
            <w:tcBorders>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25</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7.068.794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7.172.038</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6.944.660</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7.001.274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7.112.571</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7.064.032</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7.153.520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7.196.455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7.236.315</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6.356.955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6.601.926</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5.955.868</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6.235.640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6.538.110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6.201.519</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6.178.823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6.781.847</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6.317.071</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4.824.011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4.963.391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4.545.506</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4.727.843</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5.138.478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4.686.140</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4.769.724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5.315.552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4.814.235</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-0,2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591.497</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757.970</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479.853</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710.118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936.072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713.664</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601.481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1.191.517</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707.761</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20</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6.806</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7.119</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7.415</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7.566</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7.808</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7.837</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7.892</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8.012</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8.115</w:t>
            </w:r>
          </w:p>
        </w:tc>
        <w:tc>
          <w:tcPr>
            <w:tcW w:w="1129" w:type="dxa"/>
            <w:tcBorders>
              <w:top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19</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sidRPr="001E6881">
        <w:rPr>
          <w:noProof/>
          <w:lang w:val="es-ES" w:eastAsia="es-ES"/>
        </w:rPr>
        <w:drawing>
          <wp:inline distT="0" distB="0" distL="0" distR="0" wp14:anchorId="16C27520" wp14:editId="3D141B4D">
            <wp:extent cx="5612130" cy="3075940"/>
            <wp:effectExtent l="0" t="0" r="26670" b="1016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BE1465" w:rsidRDefault="00BE1465" w:rsidP="00BE1465">
      <w:pPr>
        <w:spacing w:after="0"/>
        <w:ind w:firstLine="0"/>
        <w:jc w:val="left"/>
        <w:rPr>
          <w:lang w:val="es-ES"/>
        </w:rPr>
      </w:pPr>
    </w:p>
    <w:p w:rsidR="002A2E35" w:rsidRPr="002A2E35" w:rsidRDefault="002A2E35" w:rsidP="002A2E35">
      <w:pPr>
        <w:spacing w:after="120"/>
        <w:ind w:left="55" w:firstLine="0"/>
        <w:jc w:val="center"/>
        <w:rPr>
          <w:rFonts w:ascii="Arial" w:hAnsi="Arial" w:cs="Arial"/>
          <w:b/>
          <w:bCs/>
          <w:lang w:val="es-ES" w:eastAsia="es-ES"/>
        </w:rPr>
      </w:pPr>
      <w:r w:rsidRPr="002A2E35">
        <w:rPr>
          <w:rFonts w:ascii="Arial" w:hAnsi="Arial" w:cs="Arial"/>
          <w:b/>
          <w:bCs/>
          <w:lang w:val="es-ES" w:eastAsia="es-ES"/>
        </w:rPr>
        <w:t>Huarte</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1.036.978</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1.066.998</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1.081.965</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1.119.651</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1.237.746</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1.331.457</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1.331.457</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1.356.755</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1.374.393</w:t>
            </w:r>
          </w:p>
        </w:tc>
        <w:tc>
          <w:tcPr>
            <w:tcW w:w="1129" w:type="dxa"/>
            <w:tcBorders>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33</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5.480.684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5.905.103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5.556.851</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5.491.729</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6.032.902</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5.490.830</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5.756.715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6.724.520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6.715.586</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23</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4.571.547</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5.448.300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4.900.778</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5.351.685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5.749.241</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5.467.616</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5.560.584</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6.700.350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6.619.443</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45</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3.685.607</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4.362.651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3.966.275</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4.230.244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4.418.392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4.374.271</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4.410.109</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5.384.371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5.372.539</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46</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127.842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610.195</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425.891</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979.608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954.084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1.308.243</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1.135.326</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1.332.585</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1.278.249</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900</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5.858</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6.095</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6.309</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6.543</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6.781</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6.941</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6.776</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6.895</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6.917</w:t>
            </w:r>
          </w:p>
        </w:tc>
        <w:tc>
          <w:tcPr>
            <w:tcW w:w="1129" w:type="dxa"/>
            <w:tcBorders>
              <w:top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18</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60CF5450" wp14:editId="0CE25882">
            <wp:extent cx="5612130" cy="3075940"/>
            <wp:effectExtent l="0" t="0" r="26670" b="1016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2A2E35" w:rsidRPr="002A2E35" w:rsidRDefault="002A2E35" w:rsidP="002A2E35">
      <w:pPr>
        <w:spacing w:after="120"/>
        <w:ind w:left="55" w:firstLine="0"/>
        <w:jc w:val="center"/>
        <w:rPr>
          <w:rFonts w:ascii="Arial" w:hAnsi="Arial" w:cs="Arial"/>
          <w:b/>
          <w:bCs/>
          <w:lang w:val="es-ES" w:eastAsia="es-ES"/>
        </w:rPr>
      </w:pPr>
      <w:r w:rsidRPr="002A2E35">
        <w:rPr>
          <w:rFonts w:ascii="Arial" w:hAnsi="Arial" w:cs="Arial"/>
          <w:b/>
          <w:bCs/>
          <w:lang w:val="es-ES" w:eastAsia="es-ES"/>
        </w:rPr>
        <w:t>Berrioplano</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2A2E3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558.051</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586.692</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665.066</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714.889</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888.543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1.058.443</w:t>
            </w:r>
          </w:p>
        </w:tc>
        <w:tc>
          <w:tcPr>
            <w:tcW w:w="1128"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1.058.443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1.078.553</w:t>
            </w:r>
          </w:p>
        </w:tc>
        <w:tc>
          <w:tcPr>
            <w:tcW w:w="1129" w:type="dxa"/>
            <w:tcBorders>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1.092.574</w:t>
            </w:r>
          </w:p>
        </w:tc>
        <w:tc>
          <w:tcPr>
            <w:tcW w:w="1129" w:type="dxa"/>
            <w:tcBorders>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96</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4.162.487</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4.086.223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3.715.403</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3.610.566</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3.367.792</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3.583.883</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3.592.508</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3.543.815</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3.850.812</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3.710.688</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3.754.371</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3.304.371</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3.677.840</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3.794.023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4.204.226</w:t>
            </w:r>
          </w:p>
        </w:tc>
        <w:tc>
          <w:tcPr>
            <w:tcW w:w="1128"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4.072.113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4.341.593</w:t>
            </w:r>
          </w:p>
        </w:tc>
        <w:tc>
          <w:tcPr>
            <w:tcW w:w="1129" w:type="dxa"/>
            <w:tcBorders>
              <w:top w:val="single" w:sz="2" w:space="0" w:color="auto"/>
              <w:bottom w:val="single" w:sz="2" w:space="0" w:color="auto"/>
            </w:tcBorders>
            <w:shd w:val="clear" w:color="auto" w:fill="auto"/>
            <w:noWrap/>
            <w:vAlign w:val="center"/>
            <w:hideMark/>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4.912.167</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3.097.822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3.154.005</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2.824.136</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2.918.370</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3.089.441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3.406.001</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3.216.382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3.316.033</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3.786.304</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22</w:t>
            </w:r>
          </w:p>
        </w:tc>
      </w:tr>
      <w:tr w:rsidR="00BE1465" w:rsidRPr="00EB61AA" w:rsidTr="002A2E3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106.252</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254.839</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254.035</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782.164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1.314.774</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1.678.786</w:t>
            </w:r>
          </w:p>
        </w:tc>
        <w:tc>
          <w:tcPr>
            <w:tcW w:w="1128"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1.538.048</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1.876.331</w:t>
            </w:r>
          </w:p>
        </w:tc>
        <w:tc>
          <w:tcPr>
            <w:tcW w:w="1129" w:type="dxa"/>
            <w:tcBorders>
              <w:top w:val="single" w:sz="2" w:space="0" w:color="auto"/>
              <w:bottom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2.153.930</w:t>
            </w:r>
          </w:p>
        </w:tc>
        <w:tc>
          <w:tcPr>
            <w:tcW w:w="1129" w:type="dxa"/>
            <w:tcBorders>
              <w:top w:val="single" w:sz="2" w:space="0" w:color="auto"/>
              <w:bottom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1927</w:t>
            </w:r>
          </w:p>
        </w:tc>
      </w:tr>
      <w:tr w:rsidR="00BE1465" w:rsidRPr="00EB61AA" w:rsidTr="002A2E3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4.344</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4.852</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5.366</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5.971</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6.325</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6.444</w:t>
            </w:r>
          </w:p>
        </w:tc>
        <w:tc>
          <w:tcPr>
            <w:tcW w:w="1128"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6.527</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6.731</w:t>
            </w:r>
          </w:p>
        </w:tc>
        <w:tc>
          <w:tcPr>
            <w:tcW w:w="1129" w:type="dxa"/>
            <w:tcBorders>
              <w:top w:val="single" w:sz="2" w:space="0" w:color="auto"/>
            </w:tcBorders>
            <w:shd w:val="clear" w:color="auto" w:fill="auto"/>
            <w:noWrap/>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6.872</w:t>
            </w:r>
          </w:p>
        </w:tc>
        <w:tc>
          <w:tcPr>
            <w:tcW w:w="1129" w:type="dxa"/>
            <w:tcBorders>
              <w:top w:val="single" w:sz="2" w:space="0" w:color="auto"/>
            </w:tcBorders>
            <w:vAlign w:val="center"/>
          </w:tcPr>
          <w:p w:rsidR="00BE1465" w:rsidRPr="00B6214C" w:rsidRDefault="00BE1465" w:rsidP="00BE1465">
            <w:pPr>
              <w:spacing w:after="0"/>
              <w:ind w:firstLine="0"/>
              <w:jc w:val="right"/>
              <w:rPr>
                <w:rFonts w:ascii="Arial Narrow" w:hAnsi="Arial Narrow"/>
                <w:color w:val="000000"/>
                <w:lang w:val="es-ES" w:eastAsia="es-ES"/>
              </w:rPr>
            </w:pPr>
            <w:r w:rsidRPr="00B6214C">
              <w:rPr>
                <w:rFonts w:ascii="Arial Narrow" w:hAnsi="Arial Narrow"/>
                <w:color w:val="000000"/>
                <w:lang w:val="es-ES" w:eastAsia="es-ES"/>
              </w:rPr>
              <w:t>58</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6DBE4019" wp14:editId="36ADFEE9">
            <wp:extent cx="5612130" cy="3075940"/>
            <wp:effectExtent l="0" t="0" r="26670" b="10160"/>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rPr>
          <w:lang w:val="es-ES"/>
        </w:rPr>
      </w:pPr>
    </w:p>
    <w:p w:rsidR="002A2E35" w:rsidRPr="002A2E35" w:rsidRDefault="002A2E35" w:rsidP="002A2E35">
      <w:pPr>
        <w:spacing w:after="120"/>
        <w:ind w:left="55" w:firstLine="0"/>
        <w:jc w:val="center"/>
        <w:rPr>
          <w:rFonts w:ascii="Arial" w:hAnsi="Arial" w:cs="Arial"/>
          <w:b/>
          <w:bCs/>
          <w:lang w:val="es-ES" w:eastAsia="es-ES"/>
        </w:rPr>
      </w:pPr>
      <w:r w:rsidRPr="002A2E35">
        <w:rPr>
          <w:rFonts w:ascii="Arial" w:hAnsi="Arial" w:cs="Arial"/>
          <w:b/>
          <w:bCs/>
          <w:lang w:val="es-ES" w:eastAsia="es-ES"/>
        </w:rPr>
        <w:t>Falces</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2A2E35">
        <w:trPr>
          <w:trHeight w:val="255"/>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2A2E3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2A2E35">
        <w:trPr>
          <w:trHeight w:val="255"/>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636.141</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637.620</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633.364</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634.758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634.758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634.758</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634.758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646.818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655.227</w:t>
            </w:r>
          </w:p>
        </w:tc>
        <w:tc>
          <w:tcPr>
            <w:tcW w:w="1129" w:type="dxa"/>
            <w:tcBorders>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3</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2.263.147</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2.179.195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2.052.212</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2.257.413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2.054.347</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2.338.488</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2.343.692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2.596.578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2.241.495</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2.071.475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2.061.695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2.019.483</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2.148.403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2.328.175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2.344.976</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2.352.042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2.436.530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2.187.374</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1.057.708</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1.131.636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1.182.276</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1.138.288</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1.304.345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1.347.573</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1.457.187</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1.377.285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1.343.378</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27</w:t>
            </w:r>
          </w:p>
        </w:tc>
      </w:tr>
      <w:tr w:rsidR="00BE1465" w:rsidRPr="00EB61AA" w:rsidTr="002A2E3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444.469</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520.120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600.635</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525.747</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908.586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641.246</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643.108</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486.770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601.106</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35</w:t>
            </w:r>
          </w:p>
        </w:tc>
      </w:tr>
      <w:tr w:rsidR="00BE1465" w:rsidRPr="00EB61AA" w:rsidTr="002A2E35">
        <w:trPr>
          <w:trHeight w:val="255"/>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2.641</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2.650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2.637</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2.559</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2.501</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2.443</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2.390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2.335</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2.313</w:t>
            </w:r>
          </w:p>
        </w:tc>
        <w:tc>
          <w:tcPr>
            <w:tcW w:w="1129" w:type="dxa"/>
            <w:tcBorders>
              <w:top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-12</w:t>
            </w:r>
          </w:p>
        </w:tc>
      </w:tr>
    </w:tbl>
    <w:p w:rsidR="00BE1465" w:rsidRDefault="00BE1465" w:rsidP="00BE1465">
      <w:pPr>
        <w:spacing w:after="0"/>
        <w:jc w:val="left"/>
        <w:rPr>
          <w:lang w:val="es-ES"/>
        </w:rPr>
      </w:pPr>
    </w:p>
    <w:p w:rsidR="00BE1465" w:rsidRDefault="00BE1465" w:rsidP="00BE1465">
      <w:pPr>
        <w:spacing w:after="0"/>
        <w:jc w:val="center"/>
        <w:rPr>
          <w:lang w:val="es-ES"/>
        </w:rPr>
      </w:pPr>
      <w:r>
        <w:rPr>
          <w:noProof/>
          <w:lang w:val="es-ES" w:eastAsia="es-ES"/>
        </w:rPr>
        <w:drawing>
          <wp:inline distT="0" distB="0" distL="0" distR="0" wp14:anchorId="73B2D25D" wp14:editId="2E3D2E86">
            <wp:extent cx="5612130" cy="3075940"/>
            <wp:effectExtent l="0" t="0" r="26670" b="1016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404D4B" w:rsidRPr="00404D4B" w:rsidRDefault="00404D4B" w:rsidP="00404D4B">
      <w:pPr>
        <w:spacing w:after="120"/>
        <w:ind w:left="55" w:firstLine="0"/>
        <w:jc w:val="center"/>
        <w:rPr>
          <w:rFonts w:ascii="Arial" w:hAnsi="Arial" w:cs="Arial"/>
          <w:b/>
          <w:bCs/>
          <w:lang w:val="es-ES" w:eastAsia="es-ES"/>
        </w:rPr>
      </w:pPr>
      <w:r w:rsidRPr="00404D4B">
        <w:rPr>
          <w:rFonts w:ascii="Arial" w:hAnsi="Arial" w:cs="Arial"/>
          <w:b/>
          <w:bCs/>
          <w:lang w:val="es-ES" w:eastAsia="es-ES"/>
        </w:rPr>
        <w:t>Andosilla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404D4B">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787.552</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799.013</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801.390</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814.407</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841.280</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853.571</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853.571</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869.789</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881.097</w:t>
            </w:r>
          </w:p>
        </w:tc>
        <w:tc>
          <w:tcPr>
            <w:tcW w:w="1129" w:type="dxa"/>
            <w:tcBorders>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12</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1.730.649</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1.857.125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1.893.664</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1.708.908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1.668.552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1.548.543</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1.587.241</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1.528.838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1.563.990</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-10</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1.430.918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1.328.173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1.336.674</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1.533.540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1.434.926</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1.562.773</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1.360.474</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1.506.603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1.461.454</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1.046.607</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1.080.453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1.107.829</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1.277.910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1.203.019</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1.180.004</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1.141.763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1.275.453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1.204.730</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487.821</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270.061</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244.400</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639.039</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607.654</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867.802</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626.805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847.554</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778.561</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60%</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2.996</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3.039</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3.031</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2.950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2.883</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2.779</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2.753</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2.772</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2.718</w:t>
            </w:r>
          </w:p>
        </w:tc>
        <w:tc>
          <w:tcPr>
            <w:tcW w:w="1129" w:type="dxa"/>
            <w:tcBorders>
              <w:top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-9</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47A550C7" wp14:editId="2C18ADAC">
            <wp:extent cx="5612130" cy="3075940"/>
            <wp:effectExtent l="0" t="0" r="26670" b="10160"/>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404D4B" w:rsidRPr="00404D4B" w:rsidRDefault="00404D4B" w:rsidP="00404D4B">
      <w:pPr>
        <w:spacing w:after="120"/>
        <w:ind w:left="55" w:firstLine="0"/>
        <w:jc w:val="center"/>
        <w:rPr>
          <w:rFonts w:ascii="Arial" w:hAnsi="Arial" w:cs="Arial"/>
          <w:b/>
          <w:bCs/>
          <w:lang w:val="es-ES" w:eastAsia="es-ES"/>
        </w:rPr>
      </w:pPr>
      <w:r w:rsidRPr="00404D4B">
        <w:rPr>
          <w:rFonts w:ascii="Arial" w:hAnsi="Arial" w:cs="Arial"/>
          <w:b/>
          <w:bCs/>
          <w:lang w:val="es-ES" w:eastAsia="es-ES"/>
        </w:rPr>
        <w:t>Esteribar</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404D4B" w:rsidRDefault="00274FDB" w:rsidP="00404D4B">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p>
          <w:p w:rsidR="00BE1465" w:rsidRPr="00EB61AA" w:rsidRDefault="00BE1465" w:rsidP="00404D4B">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591.624</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599.398</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606.661</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617.636</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651.459</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680.250</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680.250</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693.175</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702.186</w:t>
            </w:r>
          </w:p>
        </w:tc>
        <w:tc>
          <w:tcPr>
            <w:tcW w:w="1129" w:type="dxa"/>
            <w:tcBorders>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1.839.421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1.900.334</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1.968.530</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2.155.269</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2.212.866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2.215.995</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2.315.440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2.185.405</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2.221.644</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1.747.425</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1.744.236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1.907.305</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1.997.971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2.158.881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1.922.064</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2.109.811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2.040.530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1.887.715</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8%</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1.134.968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986.739</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1.265.727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1.087.552</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1.349.217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1.138.665</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1.160.657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1.122.649</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1.210.796</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7%</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499.628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443.300</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545.436</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460.338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597.474</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386.320</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474.621</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548.300</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368.257</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-26%</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2.105</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2.202</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2.341</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2.432</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2.428</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2.509</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2.598</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2.590</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2.629</w:t>
            </w:r>
          </w:p>
        </w:tc>
        <w:tc>
          <w:tcPr>
            <w:tcW w:w="1129" w:type="dxa"/>
            <w:tcBorders>
              <w:top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25%</w:t>
            </w:r>
          </w:p>
        </w:tc>
      </w:tr>
    </w:tbl>
    <w:p w:rsidR="00BE1465" w:rsidRDefault="00BE1465" w:rsidP="00BE1465">
      <w:pPr>
        <w:spacing w:after="0"/>
        <w:ind w:firstLine="0"/>
        <w:jc w:val="left"/>
        <w:rPr>
          <w:lang w:val="es-ES"/>
        </w:rPr>
      </w:pPr>
    </w:p>
    <w:p w:rsidR="00BE1465" w:rsidRDefault="00F85F5D" w:rsidP="00BE1465">
      <w:pPr>
        <w:spacing w:after="0"/>
        <w:ind w:firstLine="0"/>
        <w:jc w:val="center"/>
        <w:rPr>
          <w:lang w:val="es-ES"/>
        </w:rPr>
      </w:pPr>
      <w:r>
        <w:rPr>
          <w:noProof/>
          <w:lang w:val="es-ES" w:eastAsia="es-ES"/>
        </w:rPr>
        <w:drawing>
          <wp:inline distT="0" distB="0" distL="0" distR="0" wp14:anchorId="76EAA40A" wp14:editId="22A41E1A">
            <wp:extent cx="5612130" cy="3075940"/>
            <wp:effectExtent l="0" t="0" r="26670" b="1016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rPr>
          <w:lang w:val="es-ES"/>
        </w:rPr>
      </w:pPr>
    </w:p>
    <w:p w:rsidR="00404D4B" w:rsidRPr="00404D4B" w:rsidRDefault="00404D4B" w:rsidP="00404D4B">
      <w:pPr>
        <w:spacing w:after="120"/>
        <w:ind w:left="55" w:firstLine="0"/>
        <w:jc w:val="center"/>
        <w:rPr>
          <w:rFonts w:ascii="Arial" w:hAnsi="Arial" w:cs="Arial"/>
          <w:b/>
          <w:bCs/>
          <w:lang w:val="es-ES" w:eastAsia="es-ES"/>
        </w:rPr>
      </w:pPr>
      <w:r w:rsidRPr="00404D4B">
        <w:rPr>
          <w:rFonts w:ascii="Arial" w:hAnsi="Arial" w:cs="Arial"/>
          <w:b/>
          <w:bCs/>
          <w:lang w:val="es-ES" w:eastAsia="es-ES"/>
        </w:rPr>
        <w:t>Ayegui</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404D4B">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408.504</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415.691</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418.849</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430.619</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469.299</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511.341</w:t>
            </w:r>
          </w:p>
        </w:tc>
        <w:tc>
          <w:tcPr>
            <w:tcW w:w="1128"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511.341</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521.056</w:t>
            </w:r>
          </w:p>
        </w:tc>
        <w:tc>
          <w:tcPr>
            <w:tcW w:w="1129" w:type="dxa"/>
            <w:tcBorders>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527.830</w:t>
            </w:r>
          </w:p>
        </w:tc>
        <w:tc>
          <w:tcPr>
            <w:tcW w:w="1129" w:type="dxa"/>
            <w:tcBorders>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29%</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920.887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1.061.846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997.546</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966.037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994.430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1.019.556</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1.020.629</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1.108.160</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1.101.688</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20%</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614.119</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804.057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773.885</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865.001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768.757</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694.090</w:t>
            </w:r>
          </w:p>
        </w:tc>
        <w:tc>
          <w:tcPr>
            <w:tcW w:w="1128"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747.996</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914.041</w:t>
            </w:r>
          </w:p>
        </w:tc>
        <w:tc>
          <w:tcPr>
            <w:tcW w:w="1129" w:type="dxa"/>
            <w:tcBorders>
              <w:top w:val="single" w:sz="2" w:space="0" w:color="auto"/>
              <w:bottom w:val="single" w:sz="2" w:space="0" w:color="auto"/>
            </w:tcBorders>
            <w:shd w:val="clear" w:color="auto" w:fill="auto"/>
            <w:noWrap/>
            <w:vAlign w:val="center"/>
            <w:hideMark/>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842.965</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37%</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480.347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668.298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569.537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645.744</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546.707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524.917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567.854</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675.675</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574.788</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20%</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101.736</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157.902</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195.187</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329.583</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243.627</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185.874</w:t>
            </w:r>
          </w:p>
        </w:tc>
        <w:tc>
          <w:tcPr>
            <w:tcW w:w="1128"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238.708</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326.936</w:t>
            </w:r>
          </w:p>
        </w:tc>
        <w:tc>
          <w:tcPr>
            <w:tcW w:w="1129" w:type="dxa"/>
            <w:tcBorders>
              <w:top w:val="single" w:sz="2" w:space="0" w:color="auto"/>
              <w:bottom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269.106</w:t>
            </w:r>
          </w:p>
        </w:tc>
        <w:tc>
          <w:tcPr>
            <w:tcW w:w="1129" w:type="dxa"/>
            <w:tcBorders>
              <w:top w:val="single" w:sz="2" w:space="0" w:color="auto"/>
              <w:bottom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165%</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1.667</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1.742</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1.932</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2.026</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2.133</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2.191</w:t>
            </w:r>
          </w:p>
        </w:tc>
        <w:tc>
          <w:tcPr>
            <w:tcW w:w="1128"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2.217</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2.241</w:t>
            </w:r>
          </w:p>
        </w:tc>
        <w:tc>
          <w:tcPr>
            <w:tcW w:w="1129" w:type="dxa"/>
            <w:tcBorders>
              <w:top w:val="single" w:sz="2" w:space="0" w:color="auto"/>
            </w:tcBorders>
            <w:shd w:val="clear" w:color="auto" w:fill="auto"/>
            <w:noWrap/>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2.346</w:t>
            </w:r>
          </w:p>
        </w:tc>
        <w:tc>
          <w:tcPr>
            <w:tcW w:w="1129" w:type="dxa"/>
            <w:tcBorders>
              <w:top w:val="single" w:sz="2" w:space="0" w:color="auto"/>
            </w:tcBorders>
            <w:vAlign w:val="center"/>
          </w:tcPr>
          <w:p w:rsidR="00BE1465" w:rsidRPr="000D769A" w:rsidRDefault="00BE1465" w:rsidP="00BE1465">
            <w:pPr>
              <w:spacing w:after="0"/>
              <w:ind w:firstLine="0"/>
              <w:jc w:val="right"/>
              <w:rPr>
                <w:rFonts w:ascii="Arial Narrow" w:hAnsi="Arial Narrow"/>
                <w:color w:val="000000"/>
                <w:lang w:val="es-ES" w:eastAsia="es-ES"/>
              </w:rPr>
            </w:pPr>
            <w:r w:rsidRPr="000D769A">
              <w:rPr>
                <w:rFonts w:ascii="Arial Narrow" w:hAnsi="Arial Narrow"/>
                <w:color w:val="000000"/>
                <w:lang w:val="es-ES" w:eastAsia="es-ES"/>
              </w:rPr>
              <w:t>41%</w:t>
            </w:r>
          </w:p>
        </w:tc>
      </w:tr>
    </w:tbl>
    <w:p w:rsidR="00BE1465" w:rsidRDefault="00BE1465" w:rsidP="00BE1465">
      <w:pPr>
        <w:spacing w:after="0"/>
        <w:ind w:firstLine="0"/>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61BDE5B0" wp14:editId="4D217F75">
            <wp:extent cx="5612130" cy="3075940"/>
            <wp:effectExtent l="0" t="0" r="7620" b="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spacing w:after="0"/>
        <w:ind w:firstLine="0"/>
        <w:jc w:val="left"/>
        <w:rPr>
          <w:lang w:val="es-ES"/>
        </w:rPr>
      </w:pPr>
    </w:p>
    <w:p w:rsidR="00404D4B" w:rsidRPr="00404D4B" w:rsidRDefault="00404D4B" w:rsidP="00404D4B">
      <w:pPr>
        <w:spacing w:after="120"/>
        <w:ind w:left="55" w:firstLine="0"/>
        <w:jc w:val="center"/>
        <w:rPr>
          <w:rFonts w:ascii="Arial" w:hAnsi="Arial" w:cs="Arial"/>
          <w:b/>
          <w:bCs/>
          <w:lang w:val="es-ES" w:eastAsia="es-ES"/>
        </w:rPr>
      </w:pPr>
      <w:r w:rsidRPr="00404D4B">
        <w:rPr>
          <w:rFonts w:ascii="Arial" w:hAnsi="Arial" w:cs="Arial"/>
          <w:b/>
          <w:bCs/>
          <w:lang w:val="es-ES" w:eastAsia="es-ES"/>
        </w:rPr>
        <w:t>Olazti/Olazagutía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404D4B">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404D4B">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404D4B">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416.666</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416.666</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411.448</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411.448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411.448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411.448</w:t>
            </w:r>
          </w:p>
        </w:tc>
        <w:tc>
          <w:tcPr>
            <w:tcW w:w="1128"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411.448</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419.266</w:t>
            </w:r>
          </w:p>
        </w:tc>
        <w:tc>
          <w:tcPr>
            <w:tcW w:w="1129" w:type="dxa"/>
            <w:tcBorders>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424.716</w:t>
            </w:r>
          </w:p>
        </w:tc>
        <w:tc>
          <w:tcPr>
            <w:tcW w:w="1129" w:type="dxa"/>
            <w:tcBorders>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1.509.498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1.370.308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1.285.856</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1.363.038</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1.380.590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1.465.456</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1.581.055</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1.377.680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1.825.351</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21</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1.667.636</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1.363.772</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1.380.277</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1.339.853</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1.376.447</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1.536.258</w:t>
            </w:r>
          </w:p>
        </w:tc>
        <w:tc>
          <w:tcPr>
            <w:tcW w:w="1128"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1.772.461</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1.379.310</w:t>
            </w:r>
          </w:p>
        </w:tc>
        <w:tc>
          <w:tcPr>
            <w:tcW w:w="1129" w:type="dxa"/>
            <w:tcBorders>
              <w:top w:val="single" w:sz="2" w:space="0" w:color="auto"/>
              <w:bottom w:val="single" w:sz="2" w:space="0" w:color="auto"/>
            </w:tcBorders>
            <w:shd w:val="clear" w:color="auto" w:fill="auto"/>
            <w:noWrap/>
            <w:vAlign w:val="center"/>
            <w:hideMark/>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1.381.923</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-17</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933.895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869.136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856.205</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798.020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874.194</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997.073</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1.431.800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824.390</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966.096</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3</w:t>
            </w:r>
          </w:p>
        </w:tc>
      </w:tr>
      <w:tr w:rsidR="00BE1465" w:rsidRPr="00EB61AA" w:rsidTr="00404D4B">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574.803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410.131</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505.869</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388.262</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407.305</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482.250</w:t>
            </w:r>
          </w:p>
        </w:tc>
        <w:tc>
          <w:tcPr>
            <w:tcW w:w="1128"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602.853</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420.896</w:t>
            </w:r>
          </w:p>
        </w:tc>
        <w:tc>
          <w:tcPr>
            <w:tcW w:w="1129" w:type="dxa"/>
            <w:tcBorders>
              <w:top w:val="single" w:sz="2" w:space="0" w:color="auto"/>
              <w:bottom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-18.712</w:t>
            </w:r>
          </w:p>
        </w:tc>
        <w:tc>
          <w:tcPr>
            <w:tcW w:w="1129" w:type="dxa"/>
            <w:tcBorders>
              <w:top w:val="single" w:sz="2" w:space="0" w:color="auto"/>
              <w:bottom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-103</w:t>
            </w:r>
          </w:p>
        </w:tc>
      </w:tr>
      <w:tr w:rsidR="00BE1465" w:rsidRPr="00EB61AA" w:rsidTr="00404D4B">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1.737</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1.719</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1.696</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1.662</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1.627</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1.552</w:t>
            </w:r>
          </w:p>
        </w:tc>
        <w:tc>
          <w:tcPr>
            <w:tcW w:w="1128"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1.520</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1.522</w:t>
            </w:r>
          </w:p>
        </w:tc>
        <w:tc>
          <w:tcPr>
            <w:tcW w:w="1129" w:type="dxa"/>
            <w:tcBorders>
              <w:top w:val="single" w:sz="2" w:space="0" w:color="auto"/>
            </w:tcBorders>
            <w:shd w:val="clear" w:color="auto" w:fill="auto"/>
            <w:noWrap/>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1.518</w:t>
            </w:r>
          </w:p>
        </w:tc>
        <w:tc>
          <w:tcPr>
            <w:tcW w:w="1129" w:type="dxa"/>
            <w:tcBorders>
              <w:top w:val="single" w:sz="2" w:space="0" w:color="auto"/>
            </w:tcBorders>
            <w:vAlign w:val="center"/>
          </w:tcPr>
          <w:p w:rsidR="00BE1465" w:rsidRPr="003649A2" w:rsidRDefault="00BE1465" w:rsidP="00BE1465">
            <w:pPr>
              <w:spacing w:after="0"/>
              <w:ind w:firstLine="0"/>
              <w:jc w:val="right"/>
              <w:rPr>
                <w:rFonts w:ascii="Arial Narrow" w:hAnsi="Arial Narrow"/>
                <w:color w:val="000000"/>
                <w:lang w:val="es-ES" w:eastAsia="es-ES"/>
              </w:rPr>
            </w:pPr>
            <w:r w:rsidRPr="003649A2">
              <w:rPr>
                <w:rFonts w:ascii="Arial Narrow" w:hAnsi="Arial Narrow"/>
                <w:color w:val="000000"/>
                <w:lang w:val="es-ES" w:eastAsia="es-ES"/>
              </w:rPr>
              <w:t>-13</w:t>
            </w:r>
          </w:p>
        </w:tc>
      </w:tr>
    </w:tbl>
    <w:p w:rsidR="00BE1465" w:rsidRDefault="00BE1465" w:rsidP="00BE1465">
      <w:pPr>
        <w:spacing w:after="0"/>
        <w:ind w:firstLine="0"/>
        <w:jc w:val="left"/>
        <w:rPr>
          <w:lang w:val="es-ES"/>
        </w:rPr>
      </w:pPr>
    </w:p>
    <w:p w:rsidR="00BE1465" w:rsidRDefault="00BE1465" w:rsidP="00BE1465">
      <w:pPr>
        <w:spacing w:after="0"/>
        <w:ind w:firstLine="0"/>
        <w:jc w:val="center"/>
        <w:rPr>
          <w:lang w:val="es-ES"/>
        </w:rPr>
      </w:pPr>
      <w:r>
        <w:rPr>
          <w:noProof/>
          <w:lang w:val="es-ES" w:eastAsia="es-ES"/>
        </w:rPr>
        <w:drawing>
          <wp:inline distT="0" distB="0" distL="0" distR="0" wp14:anchorId="057A8881" wp14:editId="48D37236">
            <wp:extent cx="5612130" cy="3075940"/>
            <wp:effectExtent l="0" t="0" r="762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E1465" w:rsidRDefault="00BE1465" w:rsidP="00BE1465">
      <w:pPr>
        <w:spacing w:after="0"/>
        <w:ind w:firstLine="0"/>
        <w:jc w:val="left"/>
        <w:rPr>
          <w:lang w:val="es-ES"/>
        </w:rPr>
      </w:pPr>
      <w:r>
        <w:rPr>
          <w:lang w:val="es-ES"/>
        </w:rPr>
        <w:br w:type="page"/>
      </w:r>
    </w:p>
    <w:p w:rsidR="00BE1465" w:rsidRPr="001B23B5" w:rsidRDefault="00BE1465" w:rsidP="001B23B5">
      <w:pPr>
        <w:spacing w:after="120"/>
        <w:ind w:left="55" w:firstLine="0"/>
        <w:jc w:val="center"/>
        <w:rPr>
          <w:rFonts w:ascii="Arial" w:hAnsi="Arial" w:cs="Arial"/>
          <w:b/>
          <w:bCs/>
          <w:lang w:val="es-ES" w:eastAsia="es-ES"/>
        </w:rPr>
      </w:pPr>
    </w:p>
    <w:p w:rsidR="00B60945" w:rsidRPr="001B23B5" w:rsidRDefault="00B60945" w:rsidP="001B23B5">
      <w:pPr>
        <w:spacing w:after="120"/>
        <w:ind w:left="55" w:firstLine="0"/>
        <w:jc w:val="center"/>
        <w:rPr>
          <w:rFonts w:ascii="Arial" w:hAnsi="Arial" w:cs="Arial"/>
          <w:b/>
          <w:bCs/>
          <w:lang w:val="es-ES" w:eastAsia="es-ES"/>
        </w:rPr>
      </w:pPr>
      <w:r w:rsidRPr="001B23B5">
        <w:rPr>
          <w:rFonts w:ascii="Arial" w:hAnsi="Arial" w:cs="Arial"/>
          <w:b/>
          <w:bCs/>
          <w:lang w:val="es-ES" w:eastAsia="es-ES"/>
        </w:rPr>
        <w:t>Lekunberri</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B6094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429.834</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440.299</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434.785</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447.551</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481.622</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512.971</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512.968</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522.717</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529.513</w:t>
            </w:r>
          </w:p>
        </w:tc>
        <w:tc>
          <w:tcPr>
            <w:tcW w:w="1129" w:type="dxa"/>
            <w:tcBorders>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2.419.828</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2.249.813</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2.216.452</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2.059.870</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1.994.299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2.075.496</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2.158.045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2.138.225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2.160.409</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-11</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1.999.191</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1.986.307</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2.011.456</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1.884.800</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1.841.373</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2.228.404</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2.268.962</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2.085.913</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2.193.844</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10</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1.305.628</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1.342.906</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1.391.290</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1.329.069</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1.433.871</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1.712.981</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1.757.507</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1.554.744</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1.560.940</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20</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9.196</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176.793</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229.789</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272.481</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328.696</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665.880</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623.885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470.405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562.948</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6021</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1.386</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1.432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1.473</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1.463</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1.486</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1.469</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1.483</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1.452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1.502</w:t>
            </w:r>
          </w:p>
        </w:tc>
        <w:tc>
          <w:tcPr>
            <w:tcW w:w="1129" w:type="dxa"/>
            <w:tcBorders>
              <w:top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w:t>
            </w:r>
          </w:p>
        </w:tc>
      </w:tr>
    </w:tbl>
    <w:p w:rsidR="00BE1465" w:rsidRDefault="00BE1465" w:rsidP="00BE1465">
      <w:pPr>
        <w:tabs>
          <w:tab w:val="left" w:pos="7515"/>
        </w:tabs>
        <w:rPr>
          <w:lang w:val="es-ES"/>
        </w:rPr>
      </w:pPr>
    </w:p>
    <w:p w:rsidR="00BE1465" w:rsidRDefault="00BE1465" w:rsidP="00BE1465">
      <w:pPr>
        <w:tabs>
          <w:tab w:val="left" w:pos="7515"/>
        </w:tabs>
        <w:jc w:val="center"/>
        <w:rPr>
          <w:lang w:val="es-ES"/>
        </w:rPr>
      </w:pPr>
      <w:r>
        <w:rPr>
          <w:noProof/>
          <w:lang w:val="es-ES" w:eastAsia="es-ES"/>
        </w:rPr>
        <w:drawing>
          <wp:inline distT="0" distB="0" distL="0" distR="0" wp14:anchorId="326F814D" wp14:editId="7AC026BC">
            <wp:extent cx="5612130" cy="3075940"/>
            <wp:effectExtent l="0" t="0" r="762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tabs>
          <w:tab w:val="left" w:pos="7515"/>
        </w:tabs>
        <w:jc w:val="center"/>
        <w:rPr>
          <w:lang w:val="es-ES"/>
        </w:rPr>
      </w:pPr>
    </w:p>
    <w:p w:rsidR="001B23B5" w:rsidRPr="001B23B5" w:rsidRDefault="001B23B5" w:rsidP="001B23B5">
      <w:pPr>
        <w:spacing w:after="120"/>
        <w:ind w:left="55" w:firstLine="0"/>
        <w:jc w:val="center"/>
        <w:rPr>
          <w:rFonts w:ascii="Arial" w:hAnsi="Arial" w:cs="Arial"/>
          <w:b/>
          <w:bCs/>
          <w:lang w:val="es-ES" w:eastAsia="es-ES"/>
        </w:rPr>
      </w:pPr>
      <w:r w:rsidRPr="001B23B5">
        <w:rPr>
          <w:rFonts w:ascii="Arial" w:hAnsi="Arial" w:cs="Arial"/>
          <w:b/>
          <w:bCs/>
          <w:lang w:val="es-ES" w:eastAsia="es-ES"/>
        </w:rPr>
        <w:t>Iza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306.153</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314.167</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362.130</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368.039</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379.589</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390.406</w:t>
            </w:r>
          </w:p>
        </w:tc>
        <w:tc>
          <w:tcPr>
            <w:tcW w:w="1128"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390.406</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397.824</w:t>
            </w:r>
          </w:p>
        </w:tc>
        <w:tc>
          <w:tcPr>
            <w:tcW w:w="1129" w:type="dxa"/>
            <w:tcBorders>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402.996</w:t>
            </w:r>
          </w:p>
        </w:tc>
        <w:tc>
          <w:tcPr>
            <w:tcW w:w="1129" w:type="dxa"/>
            <w:tcBorders>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32</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659.159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783.310</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918.666</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734.789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771.739</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822.204</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898.911</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880.065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894.432</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36</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744.198</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584.842</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740.008</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802.392</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747.635</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876.288</w:t>
            </w:r>
          </w:p>
        </w:tc>
        <w:tc>
          <w:tcPr>
            <w:tcW w:w="1128"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806.308</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765.511</w:t>
            </w:r>
          </w:p>
        </w:tc>
        <w:tc>
          <w:tcPr>
            <w:tcW w:w="1129" w:type="dxa"/>
            <w:tcBorders>
              <w:top w:val="single" w:sz="2" w:space="0" w:color="auto"/>
              <w:bottom w:val="single" w:sz="2" w:space="0" w:color="auto"/>
            </w:tcBorders>
            <w:shd w:val="clear" w:color="auto" w:fill="auto"/>
            <w:noWrap/>
            <w:vAlign w:val="center"/>
            <w:hideMark/>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725.087</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602.825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431.584</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472.492</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488.202</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521.715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531.591</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493.515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483.725</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499.646</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-17</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391.192</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115.698</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183.472</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435.641</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355.484</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444.490</w:t>
            </w:r>
          </w:p>
        </w:tc>
        <w:tc>
          <w:tcPr>
            <w:tcW w:w="1128"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297.803</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283.270</w:t>
            </w:r>
          </w:p>
        </w:tc>
        <w:tc>
          <w:tcPr>
            <w:tcW w:w="1129" w:type="dxa"/>
            <w:tcBorders>
              <w:top w:val="single" w:sz="2" w:space="0" w:color="auto"/>
              <w:bottom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233.651</w:t>
            </w:r>
          </w:p>
        </w:tc>
        <w:tc>
          <w:tcPr>
            <w:tcW w:w="1129" w:type="dxa"/>
            <w:tcBorders>
              <w:top w:val="single" w:sz="2" w:space="0" w:color="auto"/>
              <w:bottom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-40</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982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1.042</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1.093</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1.134</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1.131</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1.156</w:t>
            </w:r>
          </w:p>
        </w:tc>
        <w:tc>
          <w:tcPr>
            <w:tcW w:w="1128"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1.171</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1.213</w:t>
            </w:r>
          </w:p>
        </w:tc>
        <w:tc>
          <w:tcPr>
            <w:tcW w:w="1129" w:type="dxa"/>
            <w:tcBorders>
              <w:top w:val="single" w:sz="2" w:space="0" w:color="auto"/>
            </w:tcBorders>
            <w:shd w:val="clear" w:color="auto" w:fill="auto"/>
            <w:noWrap/>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1.192</w:t>
            </w:r>
          </w:p>
        </w:tc>
        <w:tc>
          <w:tcPr>
            <w:tcW w:w="1129" w:type="dxa"/>
            <w:tcBorders>
              <w:top w:val="single" w:sz="2" w:space="0" w:color="auto"/>
            </w:tcBorders>
            <w:vAlign w:val="center"/>
          </w:tcPr>
          <w:p w:rsidR="00BE1465" w:rsidRPr="00073E5C" w:rsidRDefault="00BE1465" w:rsidP="00BE1465">
            <w:pPr>
              <w:spacing w:after="0"/>
              <w:ind w:firstLine="0"/>
              <w:jc w:val="right"/>
              <w:rPr>
                <w:rFonts w:ascii="Arial Narrow" w:hAnsi="Arial Narrow"/>
                <w:color w:val="000000"/>
                <w:lang w:val="es-ES" w:eastAsia="es-ES"/>
              </w:rPr>
            </w:pPr>
            <w:r w:rsidRPr="00073E5C">
              <w:rPr>
                <w:rFonts w:ascii="Arial Narrow" w:hAnsi="Arial Narrow"/>
                <w:color w:val="000000"/>
                <w:lang w:val="es-ES" w:eastAsia="es-ES"/>
              </w:rPr>
              <w:t>21</w:t>
            </w:r>
          </w:p>
        </w:tc>
      </w:tr>
    </w:tbl>
    <w:p w:rsidR="00BE1465" w:rsidRDefault="00BE1465" w:rsidP="00BE1465">
      <w:pPr>
        <w:tabs>
          <w:tab w:val="left" w:pos="7515"/>
        </w:tabs>
        <w:jc w:val="left"/>
        <w:rPr>
          <w:lang w:val="es-ES"/>
        </w:rPr>
      </w:pPr>
    </w:p>
    <w:p w:rsidR="00BE1465" w:rsidRDefault="00BE1465" w:rsidP="00BE1465">
      <w:pPr>
        <w:tabs>
          <w:tab w:val="left" w:pos="7515"/>
        </w:tabs>
        <w:jc w:val="center"/>
        <w:rPr>
          <w:lang w:val="es-ES"/>
        </w:rPr>
      </w:pPr>
      <w:r>
        <w:rPr>
          <w:noProof/>
          <w:lang w:val="es-ES" w:eastAsia="es-ES"/>
        </w:rPr>
        <w:drawing>
          <wp:inline distT="0" distB="0" distL="0" distR="0" wp14:anchorId="35B240F8" wp14:editId="12734343">
            <wp:extent cx="5612130" cy="3075940"/>
            <wp:effectExtent l="0" t="0" r="762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tabs>
          <w:tab w:val="left" w:pos="7515"/>
        </w:tabs>
        <w:jc w:val="left"/>
        <w:rPr>
          <w:lang w:val="es-ES"/>
        </w:rPr>
      </w:pPr>
    </w:p>
    <w:p w:rsidR="001B23B5" w:rsidRPr="001B23B5" w:rsidRDefault="001B23B5" w:rsidP="001B23B5">
      <w:pPr>
        <w:spacing w:after="120"/>
        <w:ind w:left="55" w:firstLine="0"/>
        <w:jc w:val="center"/>
        <w:rPr>
          <w:rFonts w:ascii="Arial" w:hAnsi="Arial" w:cs="Arial"/>
          <w:b/>
          <w:bCs/>
          <w:lang w:val="es-ES" w:eastAsia="es-ES"/>
        </w:rPr>
      </w:pPr>
      <w:r w:rsidRPr="001B23B5">
        <w:rPr>
          <w:rFonts w:ascii="Arial" w:hAnsi="Arial" w:cs="Arial"/>
          <w:b/>
          <w:bCs/>
          <w:lang w:val="es-ES" w:eastAsia="es-ES"/>
        </w:rPr>
        <w:t>Villatuerta</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324.444</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324.444</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331.017</w:t>
            </w:r>
          </w:p>
        </w:tc>
        <w:tc>
          <w:tcPr>
            <w:tcW w:w="1128"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331.017</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331.017</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331.017</w:t>
            </w:r>
          </w:p>
        </w:tc>
        <w:tc>
          <w:tcPr>
            <w:tcW w:w="1128"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331.017</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337.306</w:t>
            </w:r>
          </w:p>
        </w:tc>
        <w:tc>
          <w:tcPr>
            <w:tcW w:w="1129"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341.691</w:t>
            </w:r>
          </w:p>
        </w:tc>
        <w:tc>
          <w:tcPr>
            <w:tcW w:w="1129" w:type="dxa"/>
            <w:tcBorders>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5%</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733.688</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953.108</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763.209</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724.520</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788.118</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777.277</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778.925</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760.063</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713.817</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885.364</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870.726</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784.839</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806.912</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926.584</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824.770</w:t>
            </w:r>
          </w:p>
        </w:tc>
        <w:tc>
          <w:tcPr>
            <w:tcW w:w="1128"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872.483</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867.653</w:t>
            </w:r>
          </w:p>
        </w:tc>
        <w:tc>
          <w:tcPr>
            <w:tcW w:w="1129"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808.783</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-9%</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720.937</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765.429</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667.097</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642.476</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778.379</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707.938</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747.649</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737.072</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709.496</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476.120</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242.062</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352.647</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413.410</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469.483</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378.510</w:t>
            </w:r>
          </w:p>
        </w:tc>
        <w:tc>
          <w:tcPr>
            <w:tcW w:w="1128"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424.575</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444.896</w:t>
            </w:r>
          </w:p>
        </w:tc>
        <w:tc>
          <w:tcPr>
            <w:tcW w:w="1129"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436.657</w:t>
            </w:r>
          </w:p>
        </w:tc>
        <w:tc>
          <w:tcPr>
            <w:tcW w:w="1129"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1.069</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1.099</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1.122</w:t>
            </w:r>
          </w:p>
        </w:tc>
        <w:tc>
          <w:tcPr>
            <w:tcW w:w="1128"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1.137</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1.145</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1.128</w:t>
            </w:r>
          </w:p>
        </w:tc>
        <w:tc>
          <w:tcPr>
            <w:tcW w:w="1128"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1.137</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1.154</w:t>
            </w:r>
          </w:p>
        </w:tc>
        <w:tc>
          <w:tcPr>
            <w:tcW w:w="1129"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1.178</w:t>
            </w:r>
          </w:p>
        </w:tc>
        <w:tc>
          <w:tcPr>
            <w:tcW w:w="1129" w:type="dxa"/>
            <w:tcBorders>
              <w:top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w:t>
            </w:r>
          </w:p>
        </w:tc>
      </w:tr>
    </w:tbl>
    <w:p w:rsidR="00BE1465" w:rsidRDefault="00BE1465" w:rsidP="00BE1465">
      <w:pPr>
        <w:tabs>
          <w:tab w:val="left" w:pos="7515"/>
        </w:tabs>
        <w:jc w:val="left"/>
        <w:rPr>
          <w:lang w:val="es-ES"/>
        </w:rPr>
      </w:pPr>
    </w:p>
    <w:p w:rsidR="00BE1465" w:rsidRDefault="00BE1465" w:rsidP="00BE1465">
      <w:pPr>
        <w:tabs>
          <w:tab w:val="left" w:pos="7515"/>
        </w:tabs>
        <w:jc w:val="center"/>
        <w:rPr>
          <w:lang w:val="es-ES"/>
        </w:rPr>
      </w:pPr>
      <w:r>
        <w:rPr>
          <w:noProof/>
          <w:lang w:val="es-ES" w:eastAsia="es-ES"/>
        </w:rPr>
        <w:drawing>
          <wp:inline distT="0" distB="0" distL="0" distR="0" wp14:anchorId="29D225B6" wp14:editId="7DFD9081">
            <wp:extent cx="5612130" cy="3075940"/>
            <wp:effectExtent l="0" t="0" r="762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E1465" w:rsidRDefault="00BE1465" w:rsidP="00BE1465">
      <w:pPr>
        <w:spacing w:after="0"/>
        <w:ind w:firstLine="0"/>
        <w:jc w:val="left"/>
        <w:rPr>
          <w:lang w:val="es-ES"/>
        </w:rPr>
      </w:pPr>
      <w:r>
        <w:rPr>
          <w:lang w:val="es-ES"/>
        </w:rPr>
        <w:br w:type="page"/>
      </w:r>
    </w:p>
    <w:p w:rsidR="00BE1465" w:rsidRDefault="00BE1465" w:rsidP="00BE1465">
      <w:pPr>
        <w:tabs>
          <w:tab w:val="left" w:pos="7515"/>
        </w:tabs>
        <w:jc w:val="left"/>
        <w:rPr>
          <w:lang w:val="es-ES"/>
        </w:rPr>
      </w:pPr>
    </w:p>
    <w:p w:rsidR="001B23B5" w:rsidRPr="001B23B5" w:rsidRDefault="001B23B5" w:rsidP="001B23B5">
      <w:pPr>
        <w:spacing w:after="120"/>
        <w:ind w:left="55" w:firstLine="0"/>
        <w:jc w:val="center"/>
        <w:rPr>
          <w:rFonts w:ascii="Arial" w:hAnsi="Arial" w:cs="Arial"/>
          <w:b/>
          <w:bCs/>
          <w:lang w:val="es-ES" w:eastAsia="es-ES"/>
        </w:rPr>
      </w:pPr>
      <w:r w:rsidRPr="001B23B5">
        <w:rPr>
          <w:rFonts w:ascii="Arial" w:hAnsi="Arial" w:cs="Arial"/>
          <w:b/>
          <w:bCs/>
          <w:lang w:val="es-ES" w:eastAsia="es-ES"/>
        </w:rPr>
        <w:t>Mañeru</w:t>
      </w:r>
    </w:p>
    <w:tbl>
      <w:tblPr>
        <w:tblW w:w="13461"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74"/>
        <w:gridCol w:w="1144"/>
        <w:gridCol w:w="1144"/>
        <w:gridCol w:w="1144"/>
        <w:gridCol w:w="1144"/>
        <w:gridCol w:w="1144"/>
        <w:gridCol w:w="1144"/>
        <w:gridCol w:w="1144"/>
        <w:gridCol w:w="1144"/>
        <w:gridCol w:w="1144"/>
        <w:gridCol w:w="991"/>
      </w:tblGrid>
      <w:tr w:rsidR="00BE1465" w:rsidRPr="00EB61AA" w:rsidTr="001B23B5">
        <w:trPr>
          <w:trHeight w:val="198"/>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4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991"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w:t>
            </w:r>
            <w:r>
              <w:rPr>
                <w:rFonts w:ascii="Arial" w:hAnsi="Arial" w:cs="Arial"/>
                <w:bCs/>
                <w:sz w:val="18"/>
                <w:szCs w:val="18"/>
                <w:lang w:val="es-ES" w:eastAsia="es-ES"/>
              </w:rPr>
              <w:t>a</w:t>
            </w:r>
            <w:r>
              <w:rPr>
                <w:rFonts w:ascii="Arial" w:hAnsi="Arial" w:cs="Arial"/>
                <w:bCs/>
                <w:sz w:val="18"/>
                <w:szCs w:val="18"/>
                <w:lang w:val="es-ES" w:eastAsia="es-ES"/>
              </w:rPr>
              <w:t>ción</w:t>
            </w:r>
            <w:r w:rsidR="00BE1465">
              <w:rPr>
                <w:rFonts w:ascii="Arial" w:hAnsi="Arial" w:cs="Arial"/>
                <w:bCs/>
                <w:sz w:val="18"/>
                <w:szCs w:val="18"/>
                <w:lang w:val="es-ES" w:eastAsia="es-ES"/>
              </w:rPr>
              <w:t xml:space="preserve"> 2017/2009</w:t>
            </w:r>
          </w:p>
        </w:tc>
      </w:tr>
      <w:tr w:rsidR="00BE1465" w:rsidRPr="00EB61AA" w:rsidTr="001B23B5">
        <w:trPr>
          <w:trHeight w:val="198"/>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101.305</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101.345</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100.208</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101.689</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107.670</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110.993</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110.993</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113.101</w:t>
            </w:r>
          </w:p>
        </w:tc>
        <w:tc>
          <w:tcPr>
            <w:tcW w:w="1144" w:type="dxa"/>
            <w:tcBorders>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114.572</w:t>
            </w:r>
          </w:p>
        </w:tc>
        <w:tc>
          <w:tcPr>
            <w:tcW w:w="991" w:type="dxa"/>
            <w:tcBorders>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13</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248.866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267.546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286.775</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282.310</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268.573</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251.216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286.487</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273.498</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294.955</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19</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171.811</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199.116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178.117</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178.370</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208.113</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213.034</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203.136</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267.205</w:t>
            </w:r>
          </w:p>
        </w:tc>
        <w:tc>
          <w:tcPr>
            <w:tcW w:w="1144" w:type="dxa"/>
            <w:tcBorders>
              <w:top w:val="single" w:sz="2" w:space="0" w:color="auto"/>
              <w:bottom w:val="single" w:sz="2" w:space="0" w:color="auto"/>
            </w:tcBorders>
            <w:shd w:val="clear" w:color="auto" w:fill="auto"/>
            <w:noWrap/>
            <w:vAlign w:val="center"/>
            <w:hideMark/>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237.692</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38</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116.977</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128.937</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113.127</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114.369</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127.013</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150.489</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141.630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206.560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175.757</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50</w:t>
            </w:r>
          </w:p>
        </w:tc>
      </w:tr>
      <w:tr w:rsidR="00BE1465" w:rsidRPr="00EB61AA" w:rsidTr="001B23B5">
        <w:trPr>
          <w:trHeight w:val="198"/>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24.251</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32.915</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-8.450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-2.251</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47.210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72.810</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27.641</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106.808</w:t>
            </w:r>
          </w:p>
        </w:tc>
        <w:tc>
          <w:tcPr>
            <w:tcW w:w="1144" w:type="dxa"/>
            <w:tcBorders>
              <w:top w:val="single" w:sz="2" w:space="0" w:color="auto"/>
              <w:bottom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57.309</w:t>
            </w:r>
          </w:p>
        </w:tc>
        <w:tc>
          <w:tcPr>
            <w:tcW w:w="991" w:type="dxa"/>
            <w:tcBorders>
              <w:top w:val="single" w:sz="2" w:space="0" w:color="auto"/>
              <w:bottom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136</w:t>
            </w:r>
          </w:p>
        </w:tc>
      </w:tr>
      <w:tr w:rsidR="00BE1465" w:rsidRPr="00EB61AA" w:rsidTr="001B23B5">
        <w:trPr>
          <w:trHeight w:val="198"/>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389</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420</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427</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442</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431</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436</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432</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419</w:t>
            </w:r>
          </w:p>
        </w:tc>
        <w:tc>
          <w:tcPr>
            <w:tcW w:w="1144" w:type="dxa"/>
            <w:tcBorders>
              <w:top w:val="single" w:sz="2" w:space="0" w:color="auto"/>
            </w:tcBorders>
            <w:shd w:val="clear" w:color="auto" w:fill="auto"/>
            <w:noWrap/>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422</w:t>
            </w:r>
          </w:p>
        </w:tc>
        <w:tc>
          <w:tcPr>
            <w:tcW w:w="991" w:type="dxa"/>
            <w:tcBorders>
              <w:top w:val="single" w:sz="2" w:space="0" w:color="auto"/>
            </w:tcBorders>
            <w:vAlign w:val="center"/>
          </w:tcPr>
          <w:p w:rsidR="00BE1465" w:rsidRPr="009B7260" w:rsidRDefault="00BE1465" w:rsidP="00BE1465">
            <w:pPr>
              <w:spacing w:after="0"/>
              <w:ind w:firstLine="0"/>
              <w:jc w:val="right"/>
              <w:rPr>
                <w:rFonts w:ascii="Arial Narrow" w:hAnsi="Arial Narrow"/>
                <w:color w:val="000000"/>
                <w:lang w:val="es-ES" w:eastAsia="es-ES"/>
              </w:rPr>
            </w:pPr>
            <w:r w:rsidRPr="009B7260">
              <w:rPr>
                <w:rFonts w:ascii="Arial Narrow" w:hAnsi="Arial Narrow"/>
                <w:color w:val="000000"/>
                <w:lang w:val="es-ES" w:eastAsia="es-ES"/>
              </w:rPr>
              <w:t>8</w:t>
            </w:r>
          </w:p>
        </w:tc>
      </w:tr>
    </w:tbl>
    <w:p w:rsidR="00BE1465" w:rsidRDefault="00BE1465" w:rsidP="00BE1465">
      <w:pPr>
        <w:tabs>
          <w:tab w:val="left" w:pos="7515"/>
        </w:tabs>
        <w:jc w:val="left"/>
        <w:rPr>
          <w:lang w:val="es-ES"/>
        </w:rPr>
      </w:pPr>
    </w:p>
    <w:p w:rsidR="00BE1465" w:rsidRDefault="00BE1465" w:rsidP="00D45EEF">
      <w:pPr>
        <w:tabs>
          <w:tab w:val="left" w:pos="7515"/>
        </w:tabs>
        <w:jc w:val="center"/>
        <w:rPr>
          <w:lang w:val="es-ES"/>
        </w:rPr>
      </w:pPr>
      <w:r>
        <w:rPr>
          <w:noProof/>
          <w:lang w:val="es-ES" w:eastAsia="es-ES"/>
        </w:rPr>
        <w:drawing>
          <wp:inline distT="0" distB="0" distL="0" distR="0" wp14:anchorId="0E1BE0C0" wp14:editId="5E89CCDC">
            <wp:extent cx="5612130" cy="3075940"/>
            <wp:effectExtent l="0" t="0" r="7620"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lang w:val="es-ES"/>
        </w:rPr>
        <w:br w:type="page"/>
      </w:r>
    </w:p>
    <w:p w:rsidR="00BE1465" w:rsidRDefault="00BE1465" w:rsidP="00BE1465">
      <w:pPr>
        <w:tabs>
          <w:tab w:val="left" w:pos="7515"/>
        </w:tabs>
        <w:jc w:val="left"/>
        <w:rPr>
          <w:lang w:val="es-ES"/>
        </w:rPr>
      </w:pPr>
    </w:p>
    <w:p w:rsidR="001B23B5" w:rsidRPr="001B23B5" w:rsidRDefault="001B23B5" w:rsidP="001B23B5">
      <w:pPr>
        <w:spacing w:after="120"/>
        <w:ind w:left="55" w:firstLine="0"/>
        <w:jc w:val="center"/>
        <w:rPr>
          <w:rFonts w:ascii="Arial" w:hAnsi="Arial" w:cs="Arial"/>
          <w:b/>
          <w:bCs/>
          <w:lang w:val="es-ES" w:eastAsia="es-ES"/>
        </w:rPr>
      </w:pPr>
      <w:r w:rsidRPr="001B23B5">
        <w:rPr>
          <w:rFonts w:ascii="Arial" w:hAnsi="Arial" w:cs="Arial"/>
          <w:b/>
          <w:bCs/>
          <w:lang w:val="es-ES" w:eastAsia="es-ES"/>
        </w:rPr>
        <w:t>Valle de Ollo</w:t>
      </w:r>
    </w:p>
    <w:tbl>
      <w:tblPr>
        <w:tblW w:w="13461"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74"/>
        <w:gridCol w:w="1128"/>
        <w:gridCol w:w="1129"/>
        <w:gridCol w:w="1129"/>
        <w:gridCol w:w="1128"/>
        <w:gridCol w:w="1129"/>
        <w:gridCol w:w="1129"/>
        <w:gridCol w:w="1128"/>
        <w:gridCol w:w="1129"/>
        <w:gridCol w:w="1129"/>
        <w:gridCol w:w="1129"/>
      </w:tblGrid>
      <w:tr w:rsidR="00BE1465" w:rsidRPr="00EB61AA" w:rsidTr="001B23B5">
        <w:trPr>
          <w:trHeight w:val="255"/>
          <w:jc w:val="center"/>
        </w:trPr>
        <w:tc>
          <w:tcPr>
            <w:tcW w:w="2174"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left"/>
              <w:rPr>
                <w:rFonts w:ascii="Arial" w:hAnsi="Arial" w:cs="Arial"/>
                <w:sz w:val="18"/>
                <w:szCs w:val="18"/>
                <w:lang w:val="es-ES" w:eastAsia="es-ES"/>
              </w:rPr>
            </w:pPr>
            <w:r w:rsidRPr="00EB61AA">
              <w:rPr>
                <w:rFonts w:ascii="Arial" w:hAnsi="Arial" w:cs="Arial"/>
                <w:sz w:val="18"/>
                <w:szCs w:val="18"/>
                <w:lang w:val="es-ES" w:eastAsia="es-ES"/>
              </w:rPr>
              <w:t>Indicador</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2009</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2010</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2011</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2012</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2013</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2014</w:t>
            </w:r>
          </w:p>
        </w:tc>
        <w:tc>
          <w:tcPr>
            <w:tcW w:w="1128"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2015</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2016</w:t>
            </w:r>
          </w:p>
        </w:tc>
        <w:tc>
          <w:tcPr>
            <w:tcW w:w="1129" w:type="dxa"/>
            <w:tcBorders>
              <w:bottom w:val="single" w:sz="4" w:space="0" w:color="auto"/>
            </w:tcBorders>
            <w:shd w:val="clear" w:color="auto" w:fill="FABF8F" w:themeFill="accent6" w:themeFillTint="99"/>
            <w:noWrap/>
            <w:vAlign w:val="center"/>
            <w:hideMark/>
          </w:tcPr>
          <w:p w:rsidR="00BE1465" w:rsidRPr="00EB61AA" w:rsidRDefault="00BE1465" w:rsidP="00BE1465">
            <w:pPr>
              <w:spacing w:after="0"/>
              <w:ind w:firstLine="0"/>
              <w:jc w:val="right"/>
              <w:rPr>
                <w:rFonts w:ascii="Arial" w:hAnsi="Arial" w:cs="Arial"/>
                <w:bCs/>
                <w:sz w:val="18"/>
                <w:szCs w:val="18"/>
                <w:lang w:val="es-ES" w:eastAsia="es-ES"/>
              </w:rPr>
            </w:pPr>
            <w:r w:rsidRPr="00EB61AA">
              <w:rPr>
                <w:rFonts w:ascii="Arial" w:hAnsi="Arial" w:cs="Arial"/>
                <w:bCs/>
                <w:sz w:val="18"/>
                <w:szCs w:val="18"/>
                <w:lang w:val="es-ES" w:eastAsia="es-ES"/>
              </w:rPr>
              <w:t>2017</w:t>
            </w:r>
          </w:p>
        </w:tc>
        <w:tc>
          <w:tcPr>
            <w:tcW w:w="1129" w:type="dxa"/>
            <w:tcBorders>
              <w:bottom w:val="single" w:sz="4" w:space="0" w:color="auto"/>
            </w:tcBorders>
            <w:shd w:val="clear" w:color="auto" w:fill="FABF8F" w:themeFill="accent6" w:themeFillTint="99"/>
          </w:tcPr>
          <w:p w:rsidR="00BE1465" w:rsidRPr="00EB61AA" w:rsidRDefault="00274FDB" w:rsidP="001B23B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 variación</w:t>
            </w:r>
            <w:r w:rsidR="00BE1465">
              <w:rPr>
                <w:rFonts w:ascii="Arial" w:hAnsi="Arial" w:cs="Arial"/>
                <w:bCs/>
                <w:sz w:val="18"/>
                <w:szCs w:val="18"/>
                <w:lang w:val="es-ES" w:eastAsia="es-ES"/>
              </w:rPr>
              <w:t xml:space="preserve"> 2017/2009</w:t>
            </w:r>
          </w:p>
        </w:tc>
      </w:tr>
      <w:tr w:rsidR="00BE1465" w:rsidRPr="00EB61AA" w:rsidTr="001B23B5">
        <w:trPr>
          <w:trHeight w:val="255"/>
          <w:jc w:val="center"/>
        </w:trPr>
        <w:tc>
          <w:tcPr>
            <w:tcW w:w="2174" w:type="dxa"/>
            <w:tcBorders>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Fondo transferencias</w:t>
            </w:r>
            <w:r>
              <w:rPr>
                <w:rFonts w:ascii="Arial Narrow" w:hAnsi="Arial Narrow"/>
                <w:color w:val="000000"/>
                <w:lang w:val="es-ES" w:eastAsia="es-ES"/>
              </w:rPr>
              <w:t xml:space="preserve"> </w:t>
            </w:r>
            <w:r w:rsidRPr="00EB61AA">
              <w:rPr>
                <w:rFonts w:ascii="Arial Narrow" w:hAnsi="Arial Narrow"/>
                <w:color w:val="000000"/>
                <w:lang w:val="es-ES" w:eastAsia="es-ES"/>
              </w:rPr>
              <w:t>(FT)</w:t>
            </w:r>
          </w:p>
        </w:tc>
        <w:tc>
          <w:tcPr>
            <w:tcW w:w="1128"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123.296</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123.665</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130.798</w:t>
            </w:r>
          </w:p>
        </w:tc>
        <w:tc>
          <w:tcPr>
            <w:tcW w:w="1128"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133.702</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142.383</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149.375</w:t>
            </w:r>
          </w:p>
        </w:tc>
        <w:tc>
          <w:tcPr>
            <w:tcW w:w="1128"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149.375</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152.213</w:t>
            </w:r>
          </w:p>
        </w:tc>
        <w:tc>
          <w:tcPr>
            <w:tcW w:w="1129" w:type="dxa"/>
            <w:tcBorders>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154.192</w:t>
            </w:r>
          </w:p>
        </w:tc>
        <w:tc>
          <w:tcPr>
            <w:tcW w:w="1129" w:type="dxa"/>
            <w:tcBorders>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25</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Gastos de funcionamiento</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212.879</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242.632</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277.297</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309.324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322.074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279.511</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308.582</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387.077</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328.747</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54</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corrientes</w:t>
            </w:r>
            <w:r>
              <w:rPr>
                <w:rFonts w:ascii="Arial Narrow" w:hAnsi="Arial Narrow"/>
                <w:color w:val="000000"/>
                <w:lang w:val="es-ES" w:eastAsia="es-ES"/>
              </w:rPr>
              <w:t xml:space="preserve"> </w:t>
            </w:r>
            <w:r w:rsidRPr="00EB61AA">
              <w:rPr>
                <w:rFonts w:ascii="Arial Narrow" w:hAnsi="Arial Narrow"/>
                <w:color w:val="000000"/>
                <w:lang w:val="es-ES" w:eastAsia="es-ES"/>
              </w:rPr>
              <w:t>(sin FT)</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242.058</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194.118</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295.237</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223.814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282.095</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230.632</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252.948</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246.849</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364.269</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50</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Ingresos tributarios</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185.790</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115.661</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192.420</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135.254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167.093</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112.752</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114.641</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119.347</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127.097</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-32</w:t>
            </w:r>
          </w:p>
        </w:tc>
      </w:tr>
      <w:tr w:rsidR="00BE1465" w:rsidRPr="00EB61AA" w:rsidTr="001B23B5">
        <w:trPr>
          <w:trHeight w:val="255"/>
          <w:jc w:val="center"/>
        </w:trPr>
        <w:tc>
          <w:tcPr>
            <w:tcW w:w="2174" w:type="dxa"/>
            <w:tcBorders>
              <w:top w:val="single" w:sz="2" w:space="0" w:color="auto"/>
              <w:bottom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Pr>
                <w:rFonts w:ascii="Arial Narrow" w:hAnsi="Arial Narrow"/>
                <w:color w:val="000000"/>
                <w:lang w:val="es-ES" w:eastAsia="es-ES"/>
              </w:rPr>
              <w:t>Ahorro bruto</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152.475</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75.150</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148.738</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48.192</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102.404</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100.495</w:t>
            </w:r>
          </w:p>
        </w:tc>
        <w:tc>
          <w:tcPr>
            <w:tcW w:w="1128"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93.741</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11.985</w:t>
            </w:r>
          </w:p>
        </w:tc>
        <w:tc>
          <w:tcPr>
            <w:tcW w:w="1129" w:type="dxa"/>
            <w:tcBorders>
              <w:top w:val="single" w:sz="2" w:space="0" w:color="auto"/>
              <w:bottom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189.714</w:t>
            </w:r>
          </w:p>
        </w:tc>
        <w:tc>
          <w:tcPr>
            <w:tcW w:w="1129" w:type="dxa"/>
            <w:tcBorders>
              <w:top w:val="single" w:sz="2" w:space="0" w:color="auto"/>
              <w:bottom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24</w:t>
            </w:r>
          </w:p>
        </w:tc>
      </w:tr>
      <w:tr w:rsidR="00BE1465" w:rsidRPr="00EB61AA" w:rsidTr="001B23B5">
        <w:trPr>
          <w:trHeight w:val="255"/>
          <w:jc w:val="center"/>
        </w:trPr>
        <w:tc>
          <w:tcPr>
            <w:tcW w:w="2174" w:type="dxa"/>
            <w:tcBorders>
              <w:top w:val="single" w:sz="2" w:space="0" w:color="auto"/>
            </w:tcBorders>
            <w:shd w:val="clear" w:color="auto" w:fill="auto"/>
            <w:noWrap/>
            <w:vAlign w:val="center"/>
            <w:hideMark/>
          </w:tcPr>
          <w:p w:rsidR="00BE1465" w:rsidRPr="00EB61AA" w:rsidRDefault="00BE1465" w:rsidP="00BE1465">
            <w:pPr>
              <w:spacing w:after="0"/>
              <w:ind w:firstLine="0"/>
              <w:jc w:val="left"/>
              <w:rPr>
                <w:rFonts w:ascii="Arial Narrow" w:hAnsi="Arial Narrow"/>
                <w:color w:val="000000"/>
                <w:lang w:val="es-ES" w:eastAsia="es-ES"/>
              </w:rPr>
            </w:pPr>
            <w:r w:rsidRPr="00EB61AA">
              <w:rPr>
                <w:rFonts w:ascii="Arial Narrow" w:hAnsi="Arial Narrow"/>
                <w:color w:val="000000"/>
                <w:lang w:val="es-ES" w:eastAsia="es-ES"/>
              </w:rPr>
              <w:t>Población</w:t>
            </w:r>
          </w:p>
        </w:tc>
        <w:tc>
          <w:tcPr>
            <w:tcW w:w="1128"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275</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366</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374</w:t>
            </w:r>
          </w:p>
        </w:tc>
        <w:tc>
          <w:tcPr>
            <w:tcW w:w="1128"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401</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404</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407</w:t>
            </w:r>
          </w:p>
        </w:tc>
        <w:tc>
          <w:tcPr>
            <w:tcW w:w="1128"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409</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406</w:t>
            </w:r>
          </w:p>
        </w:tc>
        <w:tc>
          <w:tcPr>
            <w:tcW w:w="1129" w:type="dxa"/>
            <w:tcBorders>
              <w:top w:val="single" w:sz="2" w:space="0" w:color="auto"/>
            </w:tcBorders>
            <w:shd w:val="clear" w:color="auto" w:fill="auto"/>
            <w:noWrap/>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399</w:t>
            </w:r>
          </w:p>
        </w:tc>
        <w:tc>
          <w:tcPr>
            <w:tcW w:w="1129" w:type="dxa"/>
            <w:tcBorders>
              <w:top w:val="single" w:sz="2" w:space="0" w:color="auto"/>
            </w:tcBorders>
            <w:vAlign w:val="center"/>
          </w:tcPr>
          <w:p w:rsidR="00BE1465" w:rsidRPr="00D12B61" w:rsidRDefault="00BE1465" w:rsidP="00BE1465">
            <w:pPr>
              <w:spacing w:after="0"/>
              <w:ind w:firstLine="0"/>
              <w:jc w:val="right"/>
              <w:rPr>
                <w:rFonts w:ascii="Arial Narrow" w:hAnsi="Arial Narrow"/>
                <w:color w:val="000000"/>
                <w:lang w:val="es-ES" w:eastAsia="es-ES"/>
              </w:rPr>
            </w:pPr>
            <w:r w:rsidRPr="00D12B61">
              <w:rPr>
                <w:rFonts w:ascii="Arial Narrow" w:hAnsi="Arial Narrow"/>
                <w:color w:val="000000"/>
                <w:lang w:val="es-ES" w:eastAsia="es-ES"/>
              </w:rPr>
              <w:t>45</w:t>
            </w:r>
          </w:p>
        </w:tc>
      </w:tr>
    </w:tbl>
    <w:p w:rsidR="00BE1465" w:rsidRDefault="00BE1465" w:rsidP="00BE1465">
      <w:pPr>
        <w:tabs>
          <w:tab w:val="left" w:pos="7515"/>
        </w:tabs>
        <w:jc w:val="left"/>
        <w:rPr>
          <w:lang w:val="es-ES"/>
        </w:rPr>
      </w:pPr>
    </w:p>
    <w:p w:rsidR="00564F2D" w:rsidRPr="004B2F01" w:rsidRDefault="00BE1465" w:rsidP="00886516">
      <w:pPr>
        <w:tabs>
          <w:tab w:val="left" w:pos="7515"/>
        </w:tabs>
        <w:jc w:val="center"/>
      </w:pPr>
      <w:r>
        <w:rPr>
          <w:noProof/>
          <w:lang w:val="es-ES" w:eastAsia="es-ES"/>
        </w:rPr>
        <w:drawing>
          <wp:inline distT="0" distB="0" distL="0" distR="0" wp14:anchorId="278F653E" wp14:editId="432BB54B">
            <wp:extent cx="5612130" cy="3075940"/>
            <wp:effectExtent l="0" t="0" r="762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sectPr w:rsidR="00564F2D" w:rsidRPr="004B2F01" w:rsidSect="00C27D23">
      <w:headerReference w:type="even" r:id="rId42"/>
      <w:footerReference w:type="default" r:id="rId43"/>
      <w:type w:val="oddPage"/>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47" w:rsidRDefault="00FF4B47">
      <w:r>
        <w:separator/>
      </w:r>
    </w:p>
    <w:p w:rsidR="00FF4B47" w:rsidRDefault="00FF4B47"/>
    <w:p w:rsidR="00FF4B47" w:rsidRDefault="00FF4B47"/>
    <w:p w:rsidR="00FF4B47" w:rsidRDefault="00FF4B47"/>
  </w:endnote>
  <w:endnote w:type="continuationSeparator" w:id="0">
    <w:p w:rsidR="00FF4B47" w:rsidRDefault="00FF4B47">
      <w:r>
        <w:continuationSeparator/>
      </w:r>
    </w:p>
    <w:p w:rsidR="00FF4B47" w:rsidRDefault="00FF4B47"/>
    <w:p w:rsidR="00FF4B47" w:rsidRDefault="00FF4B47"/>
    <w:p w:rsidR="00FF4B47" w:rsidRDefault="00FF4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Default="00FF4B4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4B47" w:rsidRDefault="00FF4B4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Pr="00F03814" w:rsidRDefault="00FF4B4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9F08B98" wp14:editId="6C27F3D9">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FF4B47" w:rsidRPr="00F74E38" w:rsidRDefault="00FF4B47" w:rsidP="00F03814">
    <w:pPr>
      <w:pStyle w:val="Piedepgina"/>
      <w:tabs>
        <w:tab w:val="clear" w:pos="4252"/>
        <w:tab w:val="clear" w:pos="8504"/>
        <w:tab w:val="center" w:pos="4560"/>
      </w:tabs>
      <w:ind w:right="360"/>
      <w:jc w:val="left"/>
      <w:rPr>
        <w:rStyle w:val="Nmerodepgina"/>
      </w:rPr>
    </w:pPr>
  </w:p>
  <w:p w:rsidR="00FF4B47" w:rsidRPr="00C13453" w:rsidRDefault="00FF4B47"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Default="00FF4B4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Pr="00F03814" w:rsidRDefault="00FF4B47" w:rsidP="00BE1465">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76B2B41A" wp14:editId="40B4514A">
          <wp:extent cx="219075" cy="371475"/>
          <wp:effectExtent l="0" t="0" r="9525" b="9525"/>
          <wp:docPr id="18" name="Imagen 1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71C70">
      <w:rPr>
        <w:rStyle w:val="Nmerodepgina"/>
        <w:noProof/>
        <w:szCs w:val="24"/>
      </w:rPr>
      <w:t>5</w:t>
    </w:r>
    <w:r w:rsidRPr="001D4F09">
      <w:rPr>
        <w:rStyle w:val="Nmerodepgina"/>
        <w:szCs w:val="24"/>
      </w:rPr>
      <w:fldChar w:fldCharType="end"/>
    </w:r>
    <w:r w:rsidRPr="001D4F09">
      <w:rPr>
        <w:rStyle w:val="Nmerodepgina"/>
        <w:szCs w:val="24"/>
      </w:rPr>
      <w:t xml:space="preserve"> -</w:t>
    </w:r>
  </w:p>
  <w:p w:rsidR="00FF4B47" w:rsidRPr="00C13453" w:rsidRDefault="00FF4B47" w:rsidP="00D2472C">
    <w:pPr>
      <w:pStyle w:val="BorradorProvisional"/>
      <w:ind w:left="0"/>
      <w:jc w:val="center"/>
    </w:pPr>
  </w:p>
  <w:p w:rsidR="00FF4B47" w:rsidRDefault="00FF4B4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Pr="00F03814" w:rsidRDefault="00FF4B47" w:rsidP="00274FDB">
    <w:pPr>
      <w:pStyle w:val="Piedepgina"/>
      <w:tabs>
        <w:tab w:val="clear" w:pos="2835"/>
        <w:tab w:val="clear" w:pos="3969"/>
        <w:tab w:val="clear" w:pos="4252"/>
        <w:tab w:val="clear" w:pos="5103"/>
        <w:tab w:val="clear" w:pos="6237"/>
        <w:tab w:val="clear" w:pos="7371"/>
        <w:tab w:val="clear" w:pos="8504"/>
        <w:tab w:val="center" w:pos="6537"/>
      </w:tabs>
      <w:spacing w:after="0"/>
      <w:ind w:right="29"/>
      <w:jc w:val="left"/>
      <w:rPr>
        <w:rFonts w:ascii="Trajan" w:hAnsi="Trajan"/>
        <w:sz w:val="24"/>
        <w:szCs w:val="24"/>
      </w:rPr>
    </w:pPr>
    <w:r>
      <w:rPr>
        <w:rFonts w:ascii="GillSans" w:hAnsi="GillSans"/>
        <w:noProof/>
        <w:lang w:val="es-ES" w:eastAsia="es-ES"/>
      </w:rPr>
      <w:drawing>
        <wp:inline distT="0" distB="0" distL="0" distR="0" wp14:anchorId="3E8D8B83" wp14:editId="572DEC1E">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71C70">
      <w:rPr>
        <w:rStyle w:val="Nmerodepgina"/>
        <w:noProof/>
        <w:szCs w:val="24"/>
      </w:rPr>
      <w:t>14</w:t>
    </w:r>
    <w:r w:rsidRPr="001D4F09">
      <w:rPr>
        <w:rStyle w:val="Nmerodepgina"/>
        <w:szCs w:val="24"/>
      </w:rPr>
      <w:fldChar w:fldCharType="end"/>
    </w:r>
    <w:r w:rsidRPr="001D4F09">
      <w:rPr>
        <w:rStyle w:val="Nmerodepgina"/>
        <w:szCs w:val="24"/>
      </w:rPr>
      <w:t xml:space="preserve"> -</w:t>
    </w:r>
  </w:p>
  <w:p w:rsidR="00FF4B47" w:rsidRPr="00C13453" w:rsidRDefault="00FF4B47" w:rsidP="00D2472C">
    <w:pPr>
      <w:pStyle w:val="BorradorProvisional"/>
      <w:ind w:left="0"/>
      <w:jc w:val="center"/>
    </w:pPr>
  </w:p>
  <w:p w:rsidR="00FF4B47" w:rsidRDefault="00FF4B4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Pr="00F03814" w:rsidRDefault="00FF4B47" w:rsidP="00EA5564">
    <w:pPr>
      <w:pStyle w:val="Piedepgina"/>
      <w:tabs>
        <w:tab w:val="clear" w:pos="2835"/>
        <w:tab w:val="clear" w:pos="3969"/>
        <w:tab w:val="clear" w:pos="4252"/>
        <w:tab w:val="clear" w:pos="5103"/>
        <w:tab w:val="clear" w:pos="6237"/>
        <w:tab w:val="clear" w:pos="7371"/>
        <w:tab w:val="clear" w:pos="8504"/>
        <w:tab w:val="center" w:pos="4270"/>
      </w:tabs>
      <w:spacing w:after="0"/>
      <w:ind w:right="29"/>
      <w:jc w:val="left"/>
      <w:rPr>
        <w:rFonts w:ascii="Trajan" w:hAnsi="Trajan"/>
        <w:sz w:val="24"/>
        <w:szCs w:val="24"/>
      </w:rPr>
    </w:pPr>
    <w:r>
      <w:rPr>
        <w:rFonts w:ascii="GillSans" w:hAnsi="GillSans"/>
        <w:noProof/>
        <w:lang w:val="es-ES" w:eastAsia="es-ES"/>
      </w:rPr>
      <w:drawing>
        <wp:inline distT="0" distB="0" distL="0" distR="0" wp14:anchorId="79FA5DE8" wp14:editId="14F19847">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71C70">
      <w:rPr>
        <w:rStyle w:val="Nmerodepgina"/>
        <w:noProof/>
        <w:szCs w:val="24"/>
      </w:rPr>
      <w:t>28</w:t>
    </w:r>
    <w:r w:rsidRPr="001D4F09">
      <w:rPr>
        <w:rStyle w:val="Nmerodepgina"/>
        <w:szCs w:val="24"/>
      </w:rPr>
      <w:fldChar w:fldCharType="end"/>
    </w:r>
    <w:r w:rsidRPr="001D4F09">
      <w:rPr>
        <w:rStyle w:val="Nmerodepgina"/>
        <w:szCs w:val="24"/>
      </w:rPr>
      <w:t xml:space="preserve"> -</w:t>
    </w:r>
  </w:p>
  <w:p w:rsidR="00FF4B47" w:rsidRPr="00C13453" w:rsidRDefault="00FF4B47" w:rsidP="00D2472C">
    <w:pPr>
      <w:pStyle w:val="BorradorProvisional"/>
      <w:ind w:left="0"/>
      <w:jc w:val="center"/>
    </w:pPr>
  </w:p>
  <w:p w:rsidR="00FF4B47" w:rsidRDefault="00FF4B4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Pr="00F03814" w:rsidRDefault="00FF4B47" w:rsidP="004858A6">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309229A0" wp14:editId="7253AFE5">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71C70">
      <w:rPr>
        <w:rStyle w:val="Nmerodepgina"/>
        <w:noProof/>
        <w:szCs w:val="24"/>
      </w:rPr>
      <w:t>53</w:t>
    </w:r>
    <w:r w:rsidRPr="001D4F09">
      <w:rPr>
        <w:rStyle w:val="Nmerodepgina"/>
        <w:szCs w:val="24"/>
      </w:rPr>
      <w:fldChar w:fldCharType="end"/>
    </w:r>
    <w:r w:rsidRPr="001D4F09">
      <w:rPr>
        <w:rStyle w:val="Nmerodepgina"/>
        <w:szCs w:val="24"/>
      </w:rPr>
      <w:t xml:space="preserve"> -</w:t>
    </w:r>
  </w:p>
  <w:p w:rsidR="00FF4B47" w:rsidRPr="00C13453" w:rsidRDefault="00FF4B47" w:rsidP="00D2472C">
    <w:pPr>
      <w:pStyle w:val="BorradorProvisional"/>
      <w:ind w:left="0"/>
      <w:jc w:val="center"/>
    </w:pPr>
  </w:p>
  <w:p w:rsidR="00FF4B47" w:rsidRDefault="00FF4B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47" w:rsidRDefault="00FF4B47">
      <w:r>
        <w:separator/>
      </w:r>
    </w:p>
    <w:p w:rsidR="00FF4B47" w:rsidRDefault="00FF4B47"/>
    <w:p w:rsidR="00FF4B47" w:rsidRDefault="00FF4B47"/>
    <w:p w:rsidR="00FF4B47" w:rsidRDefault="00FF4B47"/>
  </w:footnote>
  <w:footnote w:type="continuationSeparator" w:id="0">
    <w:p w:rsidR="00FF4B47" w:rsidRDefault="00FF4B47">
      <w:r>
        <w:continuationSeparator/>
      </w:r>
    </w:p>
    <w:p w:rsidR="00FF4B47" w:rsidRDefault="00FF4B47"/>
    <w:p w:rsidR="00FF4B47" w:rsidRDefault="00FF4B47"/>
    <w:p w:rsidR="00FF4B47" w:rsidRDefault="00FF4B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Default="00FF4B47"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B63EFDD" wp14:editId="73F5D8C2">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F4B47" w:rsidRPr="0059650E" w:rsidRDefault="00FF4B47" w:rsidP="00214906">
    <w:pPr>
      <w:pStyle w:val="Encabezado"/>
      <w:pBdr>
        <w:bottom w:val="single" w:sz="4" w:space="1" w:color="auto"/>
      </w:pBdr>
      <w:ind w:firstLine="0"/>
      <w:rPr>
        <w:lang w:val="es-ES"/>
      </w:rPr>
    </w:pPr>
    <w:r>
      <w:rPr>
        <w:lang w:val="es-ES"/>
      </w:rPr>
      <w:t>informe de fiscalización SOBRE</w:t>
    </w:r>
    <w:r w:rsidRPr="00BE1465">
      <w:rPr>
        <w:lang w:val="es-ES"/>
      </w:rPr>
      <w:t xml:space="preserve"> </w:t>
    </w:r>
    <w:r>
      <w:rPr>
        <w:lang w:val="es-ES"/>
      </w:rPr>
      <w:t xml:space="preserve">el </w:t>
    </w:r>
    <w:r w:rsidRPr="00BE1465">
      <w:rPr>
        <w:lang w:val="es-ES"/>
      </w:rPr>
      <w:t>fondo de participación de las haciendas locales en los tributos de Navarra</w:t>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Default="00FF4B47" w:rsidP="006A2D41">
    <w:pPr>
      <w:pStyle w:val="Encabezado"/>
      <w:ind w:firstLine="0"/>
      <w:jc w:val="left"/>
    </w:pPr>
    <w:r>
      <w:rPr>
        <w:noProof/>
        <w:lang w:val="es-ES" w:eastAsia="es-ES"/>
      </w:rPr>
      <w:drawing>
        <wp:inline distT="0" distB="0" distL="0" distR="0" wp14:anchorId="6F1AC051" wp14:editId="7050D63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47" w:rsidRDefault="00FF4B47"/>
  <w:p w:rsidR="00FF4B47" w:rsidRDefault="00FF4B47"/>
  <w:p w:rsidR="00FF4B47" w:rsidRDefault="00FF4B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29A14C28"/>
    <w:multiLevelType w:val="hybridMultilevel"/>
    <w:tmpl w:val="721ABB0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30B30FAA"/>
    <w:multiLevelType w:val="hybridMultilevel"/>
    <w:tmpl w:val="50F63EF6"/>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3357516C"/>
    <w:multiLevelType w:val="hybridMultilevel"/>
    <w:tmpl w:val="99E20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4C74FE"/>
    <w:multiLevelType w:val="hybridMultilevel"/>
    <w:tmpl w:val="B138415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76B4D5F"/>
    <w:multiLevelType w:val="hybridMultilevel"/>
    <w:tmpl w:val="07B4E076"/>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13979DB"/>
    <w:multiLevelType w:val="hybridMultilevel"/>
    <w:tmpl w:val="5264510E"/>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4F01320A"/>
    <w:multiLevelType w:val="hybridMultilevel"/>
    <w:tmpl w:val="C2C6D8B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DA70B7"/>
    <w:multiLevelType w:val="hybridMultilevel"/>
    <w:tmpl w:val="5E708650"/>
    <w:lvl w:ilvl="0" w:tplc="37BA645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652516AE"/>
    <w:multiLevelType w:val="hybridMultilevel"/>
    <w:tmpl w:val="5240C9C6"/>
    <w:lvl w:ilvl="0" w:tplc="B8FC473C">
      <w:start w:val="1"/>
      <w:numFmt w:val="lowerLetter"/>
      <w:lvlText w:val="%1)"/>
      <w:lvlJc w:val="left"/>
      <w:pPr>
        <w:ind w:left="914" w:hanging="63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72E16DF7"/>
    <w:multiLevelType w:val="hybridMultilevel"/>
    <w:tmpl w:val="D758F4C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774B4FF5"/>
    <w:multiLevelType w:val="hybridMultilevel"/>
    <w:tmpl w:val="EA66DCF8"/>
    <w:lvl w:ilvl="0" w:tplc="F52656A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7">
    <w:nsid w:val="7D4D53DF"/>
    <w:multiLevelType w:val="hybridMultilevel"/>
    <w:tmpl w:val="CC2089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7FDE2B35"/>
    <w:multiLevelType w:val="hybridMultilevel"/>
    <w:tmpl w:val="74681F8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6"/>
  </w:num>
  <w:num w:numId="2">
    <w:abstractNumId w:val="11"/>
  </w:num>
  <w:num w:numId="3">
    <w:abstractNumId w:val="0"/>
  </w:num>
  <w:num w:numId="4">
    <w:abstractNumId w:val="7"/>
  </w:num>
  <w:num w:numId="5">
    <w:abstractNumId w:val="13"/>
  </w:num>
  <w:num w:numId="6">
    <w:abstractNumId w:val="0"/>
  </w:num>
  <w:num w:numId="7">
    <w:abstractNumId w:val="0"/>
  </w:num>
  <w:num w:numId="8">
    <w:abstractNumId w:val="0"/>
  </w:num>
  <w:num w:numId="9">
    <w:abstractNumId w:val="10"/>
  </w:num>
  <w:num w:numId="10">
    <w:abstractNumId w:val="3"/>
  </w:num>
  <w:num w:numId="11">
    <w:abstractNumId w:val="15"/>
  </w:num>
  <w:num w:numId="12">
    <w:abstractNumId w:val="8"/>
  </w:num>
  <w:num w:numId="13">
    <w:abstractNumId w:val="4"/>
  </w:num>
  <w:num w:numId="14">
    <w:abstractNumId w:val="18"/>
  </w:num>
  <w:num w:numId="15">
    <w:abstractNumId w:val="14"/>
  </w:num>
  <w:num w:numId="16">
    <w:abstractNumId w:val="12"/>
  </w:num>
  <w:num w:numId="17">
    <w:abstractNumId w:val="5"/>
  </w:num>
  <w:num w:numId="18">
    <w:abstractNumId w:val="6"/>
  </w:num>
  <w:num w:numId="19">
    <w:abstractNumId w:val="1"/>
  </w:num>
  <w:num w:numId="20">
    <w:abstractNumId w:val="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B9"/>
    <w:rsid w:val="000019D8"/>
    <w:rsid w:val="00006736"/>
    <w:rsid w:val="00006A97"/>
    <w:rsid w:val="0001123B"/>
    <w:rsid w:val="00012A7F"/>
    <w:rsid w:val="00014EB5"/>
    <w:rsid w:val="00017A3A"/>
    <w:rsid w:val="00036E42"/>
    <w:rsid w:val="0004373B"/>
    <w:rsid w:val="000448FA"/>
    <w:rsid w:val="00052472"/>
    <w:rsid w:val="00053A42"/>
    <w:rsid w:val="0005517D"/>
    <w:rsid w:val="0006133D"/>
    <w:rsid w:val="00063585"/>
    <w:rsid w:val="00071CD0"/>
    <w:rsid w:val="00075692"/>
    <w:rsid w:val="00087B8D"/>
    <w:rsid w:val="00093D67"/>
    <w:rsid w:val="00093E60"/>
    <w:rsid w:val="00095E10"/>
    <w:rsid w:val="000A18B7"/>
    <w:rsid w:val="000A2C1E"/>
    <w:rsid w:val="000A4697"/>
    <w:rsid w:val="000A55B6"/>
    <w:rsid w:val="000B2728"/>
    <w:rsid w:val="000B3943"/>
    <w:rsid w:val="000B4477"/>
    <w:rsid w:val="000C0704"/>
    <w:rsid w:val="000C2B07"/>
    <w:rsid w:val="000C39CC"/>
    <w:rsid w:val="000C7566"/>
    <w:rsid w:val="000D188E"/>
    <w:rsid w:val="000D5335"/>
    <w:rsid w:val="000E7956"/>
    <w:rsid w:val="000E7B86"/>
    <w:rsid w:val="000F2B66"/>
    <w:rsid w:val="000F3D83"/>
    <w:rsid w:val="000F71B8"/>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66DD8"/>
    <w:rsid w:val="00173EDD"/>
    <w:rsid w:val="0017402B"/>
    <w:rsid w:val="00181D37"/>
    <w:rsid w:val="00181F10"/>
    <w:rsid w:val="001835B7"/>
    <w:rsid w:val="0018426B"/>
    <w:rsid w:val="00185A37"/>
    <w:rsid w:val="00194309"/>
    <w:rsid w:val="0019660E"/>
    <w:rsid w:val="001A0C83"/>
    <w:rsid w:val="001B23B5"/>
    <w:rsid w:val="001B39E2"/>
    <w:rsid w:val="001C2B26"/>
    <w:rsid w:val="001C3A32"/>
    <w:rsid w:val="001D4F09"/>
    <w:rsid w:val="001E6881"/>
    <w:rsid w:val="001F1482"/>
    <w:rsid w:val="001F20D7"/>
    <w:rsid w:val="001F7744"/>
    <w:rsid w:val="002014EB"/>
    <w:rsid w:val="00202B1A"/>
    <w:rsid w:val="00204979"/>
    <w:rsid w:val="00211D69"/>
    <w:rsid w:val="00214906"/>
    <w:rsid w:val="002179DB"/>
    <w:rsid w:val="00227E48"/>
    <w:rsid w:val="00230577"/>
    <w:rsid w:val="0023209D"/>
    <w:rsid w:val="002333F8"/>
    <w:rsid w:val="00233D79"/>
    <w:rsid w:val="00237657"/>
    <w:rsid w:val="00242BA7"/>
    <w:rsid w:val="002437B5"/>
    <w:rsid w:val="00244EF1"/>
    <w:rsid w:val="00246F21"/>
    <w:rsid w:val="002505D8"/>
    <w:rsid w:val="00253E78"/>
    <w:rsid w:val="00262C3C"/>
    <w:rsid w:val="00264C88"/>
    <w:rsid w:val="0026532C"/>
    <w:rsid w:val="0026575D"/>
    <w:rsid w:val="002705B0"/>
    <w:rsid w:val="002717A6"/>
    <w:rsid w:val="00272015"/>
    <w:rsid w:val="00273C10"/>
    <w:rsid w:val="00274B4C"/>
    <w:rsid w:val="00274FDB"/>
    <w:rsid w:val="00276264"/>
    <w:rsid w:val="00281DCA"/>
    <w:rsid w:val="00297B04"/>
    <w:rsid w:val="002A056C"/>
    <w:rsid w:val="002A2E35"/>
    <w:rsid w:val="002A3FA8"/>
    <w:rsid w:val="002A66A5"/>
    <w:rsid w:val="002A6EBB"/>
    <w:rsid w:val="002B0779"/>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9B1"/>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2B99"/>
    <w:rsid w:val="00337493"/>
    <w:rsid w:val="0034285F"/>
    <w:rsid w:val="003464A4"/>
    <w:rsid w:val="00351684"/>
    <w:rsid w:val="00354458"/>
    <w:rsid w:val="00363653"/>
    <w:rsid w:val="0036509D"/>
    <w:rsid w:val="0036737A"/>
    <w:rsid w:val="0037228C"/>
    <w:rsid w:val="003738FD"/>
    <w:rsid w:val="00374C3F"/>
    <w:rsid w:val="003810BE"/>
    <w:rsid w:val="00386F6C"/>
    <w:rsid w:val="00387709"/>
    <w:rsid w:val="00387794"/>
    <w:rsid w:val="003959B7"/>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4D4B"/>
    <w:rsid w:val="00405763"/>
    <w:rsid w:val="00407459"/>
    <w:rsid w:val="00414D01"/>
    <w:rsid w:val="004170FE"/>
    <w:rsid w:val="004209E6"/>
    <w:rsid w:val="0042324B"/>
    <w:rsid w:val="004234E8"/>
    <w:rsid w:val="00426805"/>
    <w:rsid w:val="00430150"/>
    <w:rsid w:val="004302F9"/>
    <w:rsid w:val="0043229B"/>
    <w:rsid w:val="00435287"/>
    <w:rsid w:val="00440A22"/>
    <w:rsid w:val="00441981"/>
    <w:rsid w:val="0045550E"/>
    <w:rsid w:val="00456456"/>
    <w:rsid w:val="00462367"/>
    <w:rsid w:val="0046490C"/>
    <w:rsid w:val="00470287"/>
    <w:rsid w:val="00470733"/>
    <w:rsid w:val="00477C53"/>
    <w:rsid w:val="00485380"/>
    <w:rsid w:val="004858A6"/>
    <w:rsid w:val="00493D87"/>
    <w:rsid w:val="004950D4"/>
    <w:rsid w:val="004A0506"/>
    <w:rsid w:val="004A2342"/>
    <w:rsid w:val="004A2F62"/>
    <w:rsid w:val="004A7424"/>
    <w:rsid w:val="004B1DB8"/>
    <w:rsid w:val="004B260D"/>
    <w:rsid w:val="004B2F01"/>
    <w:rsid w:val="004B4182"/>
    <w:rsid w:val="004B4538"/>
    <w:rsid w:val="004B557E"/>
    <w:rsid w:val="004B6FB6"/>
    <w:rsid w:val="004C3423"/>
    <w:rsid w:val="004C571D"/>
    <w:rsid w:val="004D18A9"/>
    <w:rsid w:val="004D35A2"/>
    <w:rsid w:val="004D39F0"/>
    <w:rsid w:val="004D5FD1"/>
    <w:rsid w:val="004F7C93"/>
    <w:rsid w:val="00503C8E"/>
    <w:rsid w:val="00506105"/>
    <w:rsid w:val="00513162"/>
    <w:rsid w:val="00525809"/>
    <w:rsid w:val="00535130"/>
    <w:rsid w:val="0053547C"/>
    <w:rsid w:val="00537302"/>
    <w:rsid w:val="00543947"/>
    <w:rsid w:val="005507C7"/>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5D4E"/>
    <w:rsid w:val="00585E77"/>
    <w:rsid w:val="00595E80"/>
    <w:rsid w:val="005963F9"/>
    <w:rsid w:val="0059650E"/>
    <w:rsid w:val="00596953"/>
    <w:rsid w:val="005A6030"/>
    <w:rsid w:val="005B57AD"/>
    <w:rsid w:val="005B722E"/>
    <w:rsid w:val="005C02FE"/>
    <w:rsid w:val="005C25DC"/>
    <w:rsid w:val="005C50AC"/>
    <w:rsid w:val="005C6406"/>
    <w:rsid w:val="005D5DE6"/>
    <w:rsid w:val="005D69D1"/>
    <w:rsid w:val="005D6A88"/>
    <w:rsid w:val="005E210D"/>
    <w:rsid w:val="005F2425"/>
    <w:rsid w:val="005F5EC7"/>
    <w:rsid w:val="005F7207"/>
    <w:rsid w:val="005F7FCF"/>
    <w:rsid w:val="00607691"/>
    <w:rsid w:val="00607BA4"/>
    <w:rsid w:val="0061062C"/>
    <w:rsid w:val="00613183"/>
    <w:rsid w:val="006133F0"/>
    <w:rsid w:val="00613703"/>
    <w:rsid w:val="00616888"/>
    <w:rsid w:val="006176BE"/>
    <w:rsid w:val="006212CB"/>
    <w:rsid w:val="006213FA"/>
    <w:rsid w:val="006279F9"/>
    <w:rsid w:val="006369EE"/>
    <w:rsid w:val="0064700E"/>
    <w:rsid w:val="00650183"/>
    <w:rsid w:val="00650677"/>
    <w:rsid w:val="006736A9"/>
    <w:rsid w:val="00673BC7"/>
    <w:rsid w:val="00674975"/>
    <w:rsid w:val="00675D39"/>
    <w:rsid w:val="00675FED"/>
    <w:rsid w:val="0068560B"/>
    <w:rsid w:val="006A1277"/>
    <w:rsid w:val="006A2602"/>
    <w:rsid w:val="006A2D41"/>
    <w:rsid w:val="006A637B"/>
    <w:rsid w:val="006A67E1"/>
    <w:rsid w:val="006C36FB"/>
    <w:rsid w:val="006C7D62"/>
    <w:rsid w:val="006D0B23"/>
    <w:rsid w:val="006D2ED6"/>
    <w:rsid w:val="006D5685"/>
    <w:rsid w:val="006E1987"/>
    <w:rsid w:val="006E23B2"/>
    <w:rsid w:val="006E275E"/>
    <w:rsid w:val="006E5207"/>
    <w:rsid w:val="006F1D1F"/>
    <w:rsid w:val="006F5C70"/>
    <w:rsid w:val="006F6A20"/>
    <w:rsid w:val="007047B2"/>
    <w:rsid w:val="00704DE7"/>
    <w:rsid w:val="00706868"/>
    <w:rsid w:val="007078B8"/>
    <w:rsid w:val="00715E32"/>
    <w:rsid w:val="007162D1"/>
    <w:rsid w:val="00716463"/>
    <w:rsid w:val="0071706E"/>
    <w:rsid w:val="00727292"/>
    <w:rsid w:val="0073086A"/>
    <w:rsid w:val="00742F6A"/>
    <w:rsid w:val="007446E8"/>
    <w:rsid w:val="00751553"/>
    <w:rsid w:val="0075165E"/>
    <w:rsid w:val="00753A65"/>
    <w:rsid w:val="00754E10"/>
    <w:rsid w:val="00757D37"/>
    <w:rsid w:val="00762A29"/>
    <w:rsid w:val="0076327D"/>
    <w:rsid w:val="00767745"/>
    <w:rsid w:val="007707FC"/>
    <w:rsid w:val="00770BE3"/>
    <w:rsid w:val="0077177A"/>
    <w:rsid w:val="007728A8"/>
    <w:rsid w:val="00783B37"/>
    <w:rsid w:val="00785A76"/>
    <w:rsid w:val="00787852"/>
    <w:rsid w:val="007915BC"/>
    <w:rsid w:val="007967FA"/>
    <w:rsid w:val="00797E7A"/>
    <w:rsid w:val="007A0EA6"/>
    <w:rsid w:val="007A2D9E"/>
    <w:rsid w:val="007B0381"/>
    <w:rsid w:val="007B0F3D"/>
    <w:rsid w:val="007B148D"/>
    <w:rsid w:val="007B18C8"/>
    <w:rsid w:val="007B28DE"/>
    <w:rsid w:val="007B7A5F"/>
    <w:rsid w:val="007C215D"/>
    <w:rsid w:val="007C36BE"/>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3B4A"/>
    <w:rsid w:val="008600C7"/>
    <w:rsid w:val="008617D0"/>
    <w:rsid w:val="00861A60"/>
    <w:rsid w:val="00862357"/>
    <w:rsid w:val="00862D02"/>
    <w:rsid w:val="008637B9"/>
    <w:rsid w:val="00864194"/>
    <w:rsid w:val="00870399"/>
    <w:rsid w:val="008711EC"/>
    <w:rsid w:val="008718FE"/>
    <w:rsid w:val="00871C70"/>
    <w:rsid w:val="00872946"/>
    <w:rsid w:val="00880359"/>
    <w:rsid w:val="00883928"/>
    <w:rsid w:val="00883DDE"/>
    <w:rsid w:val="00886516"/>
    <w:rsid w:val="00891D73"/>
    <w:rsid w:val="00892A44"/>
    <w:rsid w:val="008A2DE8"/>
    <w:rsid w:val="008A312D"/>
    <w:rsid w:val="008A3E09"/>
    <w:rsid w:val="008A3E57"/>
    <w:rsid w:val="008A77A7"/>
    <w:rsid w:val="008B3F34"/>
    <w:rsid w:val="008C56B9"/>
    <w:rsid w:val="008D05E0"/>
    <w:rsid w:val="008D2600"/>
    <w:rsid w:val="008D4F10"/>
    <w:rsid w:val="008E0AC0"/>
    <w:rsid w:val="008E221A"/>
    <w:rsid w:val="008E3FFE"/>
    <w:rsid w:val="008E400A"/>
    <w:rsid w:val="008E60BE"/>
    <w:rsid w:val="008E6B74"/>
    <w:rsid w:val="008F0FAF"/>
    <w:rsid w:val="008F46CD"/>
    <w:rsid w:val="008F6480"/>
    <w:rsid w:val="008F7740"/>
    <w:rsid w:val="00900CA2"/>
    <w:rsid w:val="00903003"/>
    <w:rsid w:val="00903653"/>
    <w:rsid w:val="00910A52"/>
    <w:rsid w:val="00911479"/>
    <w:rsid w:val="00911907"/>
    <w:rsid w:val="0091484D"/>
    <w:rsid w:val="00925E71"/>
    <w:rsid w:val="0093307F"/>
    <w:rsid w:val="0093329F"/>
    <w:rsid w:val="009356C1"/>
    <w:rsid w:val="00937043"/>
    <w:rsid w:val="00940BE0"/>
    <w:rsid w:val="00942930"/>
    <w:rsid w:val="009445D3"/>
    <w:rsid w:val="00955A8A"/>
    <w:rsid w:val="00960E77"/>
    <w:rsid w:val="0096400D"/>
    <w:rsid w:val="00965544"/>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0779"/>
    <w:rsid w:val="009B2AAC"/>
    <w:rsid w:val="009B3521"/>
    <w:rsid w:val="009B541C"/>
    <w:rsid w:val="009C4460"/>
    <w:rsid w:val="009C68E4"/>
    <w:rsid w:val="009D65BD"/>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5EE7"/>
    <w:rsid w:val="00A9747D"/>
    <w:rsid w:val="00AA00A6"/>
    <w:rsid w:val="00AA6BA8"/>
    <w:rsid w:val="00AA7F5A"/>
    <w:rsid w:val="00AB2340"/>
    <w:rsid w:val="00AB5FE4"/>
    <w:rsid w:val="00AB659D"/>
    <w:rsid w:val="00AC229F"/>
    <w:rsid w:val="00AD3BB1"/>
    <w:rsid w:val="00AD7671"/>
    <w:rsid w:val="00AE53E8"/>
    <w:rsid w:val="00AE6FE4"/>
    <w:rsid w:val="00AF2059"/>
    <w:rsid w:val="00AF3D84"/>
    <w:rsid w:val="00AF4161"/>
    <w:rsid w:val="00AF580B"/>
    <w:rsid w:val="00B007C8"/>
    <w:rsid w:val="00B14410"/>
    <w:rsid w:val="00B15E61"/>
    <w:rsid w:val="00B24F35"/>
    <w:rsid w:val="00B32C88"/>
    <w:rsid w:val="00B34747"/>
    <w:rsid w:val="00B42E49"/>
    <w:rsid w:val="00B46ADB"/>
    <w:rsid w:val="00B50903"/>
    <w:rsid w:val="00B558F5"/>
    <w:rsid w:val="00B60945"/>
    <w:rsid w:val="00B62FFE"/>
    <w:rsid w:val="00B65013"/>
    <w:rsid w:val="00B7123A"/>
    <w:rsid w:val="00B7435C"/>
    <w:rsid w:val="00B76F38"/>
    <w:rsid w:val="00B8085D"/>
    <w:rsid w:val="00B81EFF"/>
    <w:rsid w:val="00B836BB"/>
    <w:rsid w:val="00B84122"/>
    <w:rsid w:val="00B845F8"/>
    <w:rsid w:val="00B850F7"/>
    <w:rsid w:val="00B862B0"/>
    <w:rsid w:val="00B91A8D"/>
    <w:rsid w:val="00BA2B7C"/>
    <w:rsid w:val="00BA3694"/>
    <w:rsid w:val="00BB142A"/>
    <w:rsid w:val="00BB34B9"/>
    <w:rsid w:val="00BB35C2"/>
    <w:rsid w:val="00BB553B"/>
    <w:rsid w:val="00BC28D7"/>
    <w:rsid w:val="00BC376C"/>
    <w:rsid w:val="00BC5209"/>
    <w:rsid w:val="00BC6321"/>
    <w:rsid w:val="00BC7817"/>
    <w:rsid w:val="00BD3819"/>
    <w:rsid w:val="00BD642D"/>
    <w:rsid w:val="00BD6988"/>
    <w:rsid w:val="00BE1465"/>
    <w:rsid w:val="00BE1A77"/>
    <w:rsid w:val="00BE4742"/>
    <w:rsid w:val="00BE7383"/>
    <w:rsid w:val="00BE754D"/>
    <w:rsid w:val="00BF1DB9"/>
    <w:rsid w:val="00BF6D10"/>
    <w:rsid w:val="00BF6E79"/>
    <w:rsid w:val="00C0109F"/>
    <w:rsid w:val="00C02834"/>
    <w:rsid w:val="00C03F6C"/>
    <w:rsid w:val="00C10193"/>
    <w:rsid w:val="00C11F71"/>
    <w:rsid w:val="00C12108"/>
    <w:rsid w:val="00C121D9"/>
    <w:rsid w:val="00C13453"/>
    <w:rsid w:val="00C168B9"/>
    <w:rsid w:val="00C220F9"/>
    <w:rsid w:val="00C2541C"/>
    <w:rsid w:val="00C26862"/>
    <w:rsid w:val="00C27D23"/>
    <w:rsid w:val="00C30458"/>
    <w:rsid w:val="00C307C0"/>
    <w:rsid w:val="00C31DA6"/>
    <w:rsid w:val="00C33260"/>
    <w:rsid w:val="00C4598F"/>
    <w:rsid w:val="00C50360"/>
    <w:rsid w:val="00C54E12"/>
    <w:rsid w:val="00C55468"/>
    <w:rsid w:val="00C57E33"/>
    <w:rsid w:val="00C622C3"/>
    <w:rsid w:val="00C63BD5"/>
    <w:rsid w:val="00C65006"/>
    <w:rsid w:val="00C74906"/>
    <w:rsid w:val="00C81B40"/>
    <w:rsid w:val="00C81FEA"/>
    <w:rsid w:val="00C83969"/>
    <w:rsid w:val="00C86C95"/>
    <w:rsid w:val="00CA05EB"/>
    <w:rsid w:val="00CA3515"/>
    <w:rsid w:val="00CA3A05"/>
    <w:rsid w:val="00CB14E9"/>
    <w:rsid w:val="00CB6D90"/>
    <w:rsid w:val="00CB72C3"/>
    <w:rsid w:val="00CC436E"/>
    <w:rsid w:val="00CC45E4"/>
    <w:rsid w:val="00CD019F"/>
    <w:rsid w:val="00CD27C5"/>
    <w:rsid w:val="00CE4169"/>
    <w:rsid w:val="00CE7894"/>
    <w:rsid w:val="00CF06A1"/>
    <w:rsid w:val="00CF1467"/>
    <w:rsid w:val="00CF48D6"/>
    <w:rsid w:val="00CF57D6"/>
    <w:rsid w:val="00CF6C1B"/>
    <w:rsid w:val="00D019D5"/>
    <w:rsid w:val="00D03ACB"/>
    <w:rsid w:val="00D040FE"/>
    <w:rsid w:val="00D168FD"/>
    <w:rsid w:val="00D16F64"/>
    <w:rsid w:val="00D2472C"/>
    <w:rsid w:val="00D279BA"/>
    <w:rsid w:val="00D37FA9"/>
    <w:rsid w:val="00D404B5"/>
    <w:rsid w:val="00D447CB"/>
    <w:rsid w:val="00D45EEF"/>
    <w:rsid w:val="00D46114"/>
    <w:rsid w:val="00D47D16"/>
    <w:rsid w:val="00D505F4"/>
    <w:rsid w:val="00D51CE1"/>
    <w:rsid w:val="00D562F2"/>
    <w:rsid w:val="00D60805"/>
    <w:rsid w:val="00D61B93"/>
    <w:rsid w:val="00D67E4A"/>
    <w:rsid w:val="00D763FD"/>
    <w:rsid w:val="00D90AD1"/>
    <w:rsid w:val="00D941F7"/>
    <w:rsid w:val="00DA4DDF"/>
    <w:rsid w:val="00DB0804"/>
    <w:rsid w:val="00DB2323"/>
    <w:rsid w:val="00DB2FC4"/>
    <w:rsid w:val="00DB59A4"/>
    <w:rsid w:val="00DC382A"/>
    <w:rsid w:val="00DC54B0"/>
    <w:rsid w:val="00DE1923"/>
    <w:rsid w:val="00DE2B33"/>
    <w:rsid w:val="00DE638B"/>
    <w:rsid w:val="00DE72EE"/>
    <w:rsid w:val="00DF37E5"/>
    <w:rsid w:val="00E00A82"/>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10F7"/>
    <w:rsid w:val="00E6241B"/>
    <w:rsid w:val="00E64FCC"/>
    <w:rsid w:val="00E703B6"/>
    <w:rsid w:val="00E72200"/>
    <w:rsid w:val="00E72B1B"/>
    <w:rsid w:val="00E74472"/>
    <w:rsid w:val="00E75D47"/>
    <w:rsid w:val="00E766F5"/>
    <w:rsid w:val="00E82948"/>
    <w:rsid w:val="00E82BF6"/>
    <w:rsid w:val="00E90218"/>
    <w:rsid w:val="00E913BB"/>
    <w:rsid w:val="00E95F2E"/>
    <w:rsid w:val="00EA1508"/>
    <w:rsid w:val="00EA1541"/>
    <w:rsid w:val="00EA32E4"/>
    <w:rsid w:val="00EA5564"/>
    <w:rsid w:val="00EA7E36"/>
    <w:rsid w:val="00EB0898"/>
    <w:rsid w:val="00EB627B"/>
    <w:rsid w:val="00EB6D94"/>
    <w:rsid w:val="00EC0E21"/>
    <w:rsid w:val="00EC4183"/>
    <w:rsid w:val="00EC4B5B"/>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17930"/>
    <w:rsid w:val="00F20C5E"/>
    <w:rsid w:val="00F24066"/>
    <w:rsid w:val="00F36A1D"/>
    <w:rsid w:val="00F44278"/>
    <w:rsid w:val="00F51B65"/>
    <w:rsid w:val="00F52AAB"/>
    <w:rsid w:val="00F52EB6"/>
    <w:rsid w:val="00F55260"/>
    <w:rsid w:val="00F6316B"/>
    <w:rsid w:val="00F65AE0"/>
    <w:rsid w:val="00F74E38"/>
    <w:rsid w:val="00F76D6F"/>
    <w:rsid w:val="00F778B0"/>
    <w:rsid w:val="00F83BC2"/>
    <w:rsid w:val="00F85F5D"/>
    <w:rsid w:val="00F92DDF"/>
    <w:rsid w:val="00F92EC1"/>
    <w:rsid w:val="00F94C47"/>
    <w:rsid w:val="00FA0421"/>
    <w:rsid w:val="00FA3389"/>
    <w:rsid w:val="00FA3476"/>
    <w:rsid w:val="00FA495F"/>
    <w:rsid w:val="00FA5370"/>
    <w:rsid w:val="00FB0C10"/>
    <w:rsid w:val="00FB1F09"/>
    <w:rsid w:val="00FB3C36"/>
    <w:rsid w:val="00FB4280"/>
    <w:rsid w:val="00FB6DD2"/>
    <w:rsid w:val="00FB7CCE"/>
    <w:rsid w:val="00FC01C8"/>
    <w:rsid w:val="00FC5027"/>
    <w:rsid w:val="00FC50C7"/>
    <w:rsid w:val="00FC511D"/>
    <w:rsid w:val="00FC68BC"/>
    <w:rsid w:val="00FD11D4"/>
    <w:rsid w:val="00FD225D"/>
    <w:rsid w:val="00FD2384"/>
    <w:rsid w:val="00FE452E"/>
    <w:rsid w:val="00FF4275"/>
    <w:rsid w:val="00FF4A4C"/>
    <w:rsid w:val="00FF4B47"/>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BE1465"/>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BE1465"/>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BE1465"/>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BE1465"/>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BE1465"/>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BE1465"/>
    <w:rPr>
      <w:rFonts w:ascii="Arial" w:hAnsi="Arial" w:cs="Arial"/>
      <w:b/>
      <w:bCs/>
      <w:kern w:val="32"/>
      <w:sz w:val="32"/>
      <w:szCs w:val="32"/>
      <w:lang w:val="es-ES_tradnl" w:eastAsia="en-US"/>
    </w:rPr>
  </w:style>
  <w:style w:type="character" w:customStyle="1" w:styleId="Ttulo2Car">
    <w:name w:val="Título 2 Car"/>
    <w:link w:val="Ttulo2"/>
    <w:locked/>
    <w:rsid w:val="00BE1465"/>
    <w:rPr>
      <w:rFonts w:ascii="Arial" w:hAnsi="Arial" w:cs="Arial"/>
      <w:b/>
      <w:bCs/>
      <w:i/>
      <w:iCs/>
      <w:sz w:val="28"/>
      <w:szCs w:val="28"/>
      <w:lang w:val="es-ES_tradnl" w:eastAsia="en-US"/>
    </w:rPr>
  </w:style>
  <w:style w:type="character" w:customStyle="1" w:styleId="Ttulo3Car">
    <w:name w:val="Título 3 Car"/>
    <w:link w:val="Ttulo3"/>
    <w:locked/>
    <w:rsid w:val="00BE1465"/>
    <w:rPr>
      <w:rFonts w:ascii="Arial" w:hAnsi="Arial" w:cs="Arial"/>
      <w:b/>
      <w:bCs/>
      <w:szCs w:val="26"/>
      <w:lang w:val="es-ES_tradnl" w:eastAsia="en-US"/>
    </w:rPr>
  </w:style>
  <w:style w:type="character" w:customStyle="1" w:styleId="Ttulo4Car">
    <w:name w:val="Título 4 Car"/>
    <w:basedOn w:val="Fuentedeprrafopredeter"/>
    <w:link w:val="Ttulo4"/>
    <w:rsid w:val="00BE1465"/>
    <w:rPr>
      <w:b/>
      <w:bCs/>
      <w:sz w:val="28"/>
      <w:szCs w:val="28"/>
    </w:rPr>
  </w:style>
  <w:style w:type="character" w:customStyle="1" w:styleId="Ttulo5Car">
    <w:name w:val="Título 5 Car"/>
    <w:link w:val="Ttulo5"/>
    <w:locked/>
    <w:rsid w:val="00BE1465"/>
    <w:rPr>
      <w:b/>
      <w:sz w:val="28"/>
      <w:lang w:eastAsia="en-US"/>
    </w:rPr>
  </w:style>
  <w:style w:type="character" w:customStyle="1" w:styleId="Ttulo6Car">
    <w:name w:val="Título 6 Car"/>
    <w:basedOn w:val="Fuentedeprrafopredeter"/>
    <w:link w:val="Ttulo6"/>
    <w:rsid w:val="00BE1465"/>
    <w:rPr>
      <w:b/>
      <w:bCs/>
      <w:sz w:val="22"/>
      <w:szCs w:val="22"/>
    </w:rPr>
  </w:style>
  <w:style w:type="character" w:customStyle="1" w:styleId="Ttulo7Car">
    <w:name w:val="Título 7 Car"/>
    <w:basedOn w:val="Fuentedeprrafopredeter"/>
    <w:link w:val="Ttulo7"/>
    <w:rsid w:val="00BE1465"/>
    <w:rPr>
      <w:sz w:val="52"/>
    </w:rPr>
  </w:style>
  <w:style w:type="character" w:customStyle="1" w:styleId="Ttulo8Car">
    <w:name w:val="Título 8 Car"/>
    <w:basedOn w:val="Fuentedeprrafopredeter"/>
    <w:link w:val="Ttulo8"/>
    <w:rsid w:val="00BE1465"/>
    <w:rPr>
      <w:i/>
      <w:iCs/>
      <w:sz w:val="24"/>
      <w:szCs w:val="24"/>
    </w:rPr>
  </w:style>
  <w:style w:type="character" w:customStyle="1" w:styleId="Ttulo9Car">
    <w:name w:val="Título 9 Car"/>
    <w:basedOn w:val="Fuentedeprrafopredeter"/>
    <w:link w:val="Ttulo9"/>
    <w:rsid w:val="00BE1465"/>
    <w:rPr>
      <w:rFonts w:ascii="Arial" w:hAnsi="Arial" w:cs="Arial"/>
      <w:sz w:val="22"/>
      <w:szCs w:val="2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locked/>
    <w:rsid w:val="00BE1465"/>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BE1465"/>
    <w:rPr>
      <w:rFonts w:ascii="Arial" w:hAnsi="Arial"/>
      <w:bCs/>
      <w:iCs/>
      <w:color w:val="000000"/>
      <w:spacing w:val="10"/>
      <w:kern w:val="28"/>
      <w:sz w:val="25"/>
      <w:szCs w:val="26"/>
      <w:lang w:val="es-ES_tradnl" w:eastAsia="en-U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93307F"/>
    <w:pPr>
      <w:tabs>
        <w:tab w:val="right" w:leader="dot" w:pos="8930"/>
      </w:tabs>
      <w:spacing w:after="0"/>
      <w:ind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character" w:customStyle="1" w:styleId="TextodegloboCar">
    <w:name w:val="Texto de globo Car"/>
    <w:link w:val="Textodeglobo"/>
    <w:semiHidden/>
    <w:locked/>
    <w:rsid w:val="00BE1465"/>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character" w:customStyle="1" w:styleId="EncabezadoCar">
    <w:name w:val="Encabezado Car"/>
    <w:link w:val="Encabezado"/>
    <w:uiPriority w:val="99"/>
    <w:locked/>
    <w:rsid w:val="00BE1465"/>
    <w:rPr>
      <w:bCs/>
      <w:caps/>
      <w:sz w:val="14"/>
      <w:szCs w:val="12"/>
      <w:lang w:val="es-ES_tradnl" w:eastAsia="en-U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locked/>
    <w:rsid w:val="00BE1465"/>
    <w:rPr>
      <w:spacing w:val="6"/>
      <w:lang w:val="es-ES_tradnl" w:eastAsia="en-US"/>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BE1465"/>
    <w:pPr>
      <w:spacing w:after="0"/>
    </w:pPr>
  </w:style>
  <w:style w:type="character" w:customStyle="1" w:styleId="TextonotapieCar">
    <w:name w:val="Texto nota pie Car"/>
    <w:basedOn w:val="Fuentedeprrafopredeter"/>
    <w:link w:val="Textonotapie"/>
    <w:rsid w:val="00BE1465"/>
    <w:rPr>
      <w:lang w:val="es-ES_tradnl" w:eastAsia="en-US"/>
    </w:rPr>
  </w:style>
  <w:style w:type="character" w:styleId="Refdenotaalpie">
    <w:name w:val="footnote reference"/>
    <w:basedOn w:val="Fuentedeprrafopredeter"/>
    <w:unhideWhenUsed/>
    <w:rsid w:val="00BE1465"/>
    <w:rPr>
      <w:vertAlign w:val="superscript"/>
    </w:rPr>
  </w:style>
  <w:style w:type="paragraph" w:styleId="NormalWeb">
    <w:name w:val="Normal (Web)"/>
    <w:basedOn w:val="Normal"/>
    <w:uiPriority w:val="99"/>
    <w:unhideWhenUsed/>
    <w:rsid w:val="00BE1465"/>
    <w:pPr>
      <w:spacing w:before="100" w:beforeAutospacing="1" w:after="100" w:afterAutospacing="1"/>
      <w:ind w:firstLine="0"/>
      <w:jc w:val="left"/>
    </w:pPr>
    <w:rPr>
      <w:rFonts w:eastAsiaTheme="minorEastAsia"/>
      <w:sz w:val="24"/>
      <w:szCs w:val="24"/>
      <w:lang w:val="es-ES" w:eastAsia="es-ES"/>
    </w:rPr>
  </w:style>
  <w:style w:type="paragraph" w:styleId="Prrafodelista">
    <w:name w:val="List Paragraph"/>
    <w:basedOn w:val="Normal"/>
    <w:uiPriority w:val="34"/>
    <w:qFormat/>
    <w:rsid w:val="00BE1465"/>
    <w:pPr>
      <w:ind w:left="720"/>
      <w:contextualSpacing/>
    </w:pPr>
  </w:style>
  <w:style w:type="paragraph" w:customStyle="1" w:styleId="cuatitul">
    <w:name w:val="cuatitul"/>
    <w:basedOn w:val="Normal"/>
    <w:rsid w:val="00BE1465"/>
    <w:pPr>
      <w:spacing w:after="60"/>
      <w:ind w:firstLine="0"/>
      <w:jc w:val="center"/>
    </w:pPr>
    <w:rPr>
      <w:rFonts w:ascii="GillSans" w:eastAsia="Calibri" w:hAnsi="GillSans"/>
      <w:sz w:val="22"/>
      <w:lang w:eastAsia="es-ES"/>
    </w:rPr>
  </w:style>
  <w:style w:type="paragraph" w:customStyle="1" w:styleId="TablaCC">
    <w:name w:val="TablaCC"/>
    <w:basedOn w:val="Normal"/>
    <w:rsid w:val="00BE1465"/>
    <w:pPr>
      <w:spacing w:before="200" w:after="0"/>
      <w:ind w:firstLine="0"/>
      <w:jc w:val="left"/>
    </w:pPr>
    <w:rPr>
      <w:rFonts w:ascii="Arial" w:eastAsia="Calibri" w:hAnsi="Arial"/>
      <w:b/>
      <w:sz w:val="24"/>
      <w:szCs w:val="24"/>
      <w:lang w:val="es-ES"/>
    </w:rPr>
  </w:style>
  <w:style w:type="paragraph" w:customStyle="1" w:styleId="xl25">
    <w:name w:val="xl25"/>
    <w:basedOn w:val="Normal"/>
    <w:rsid w:val="00BE1465"/>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BE1465"/>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BE1465"/>
    <w:rPr>
      <w:rFonts w:ascii="Arial" w:eastAsia="Calibri" w:hAnsi="Arial"/>
      <w:sz w:val="24"/>
      <w:lang w:val="es-ES_tradnl"/>
    </w:rPr>
  </w:style>
  <w:style w:type="character" w:customStyle="1" w:styleId="AyuntamientoCar">
    <w:name w:val="Ayuntamiento Car"/>
    <w:link w:val="Ayuntamiento"/>
    <w:locked/>
    <w:rsid w:val="00BE1465"/>
    <w:rPr>
      <w:rFonts w:ascii="Arial" w:hAnsi="Arial"/>
      <w:sz w:val="24"/>
      <w:lang w:val="x-none"/>
    </w:rPr>
  </w:style>
  <w:style w:type="paragraph" w:customStyle="1" w:styleId="Ayuntamiento">
    <w:name w:val="Ayuntamiento"/>
    <w:basedOn w:val="Normal"/>
    <w:link w:val="AyuntamientoCar"/>
    <w:rsid w:val="00BE1465"/>
    <w:pPr>
      <w:spacing w:after="0"/>
      <w:ind w:firstLine="0"/>
    </w:pPr>
    <w:rPr>
      <w:rFonts w:ascii="Arial" w:hAnsi="Arial"/>
      <w:sz w:val="24"/>
      <w:lang w:val="x-none" w:eastAsia="es-ES"/>
    </w:rPr>
  </w:style>
  <w:style w:type="character" w:customStyle="1" w:styleId="JavierCar">
    <w:name w:val="Javier Car"/>
    <w:link w:val="Javier"/>
    <w:locked/>
    <w:rsid w:val="00BE1465"/>
    <w:rPr>
      <w:rFonts w:ascii="Arial" w:hAnsi="Arial"/>
      <w:sz w:val="24"/>
      <w:lang w:val="x-none"/>
    </w:rPr>
  </w:style>
  <w:style w:type="paragraph" w:customStyle="1" w:styleId="Javier">
    <w:name w:val="Javier"/>
    <w:basedOn w:val="Normal"/>
    <w:link w:val="JavierCar"/>
    <w:rsid w:val="00BE1465"/>
    <w:pPr>
      <w:spacing w:after="0"/>
      <w:ind w:firstLine="0"/>
    </w:pPr>
    <w:rPr>
      <w:rFonts w:ascii="Arial" w:hAnsi="Arial"/>
      <w:sz w:val="24"/>
      <w:lang w:val="x-none" w:eastAsia="es-ES"/>
    </w:rPr>
  </w:style>
  <w:style w:type="character" w:styleId="Textoennegrita">
    <w:name w:val="Strong"/>
    <w:qFormat/>
    <w:rsid w:val="00BE1465"/>
    <w:rPr>
      <w:b/>
    </w:rPr>
  </w:style>
  <w:style w:type="paragraph" w:customStyle="1" w:styleId="foral-f-parrafo-c">
    <w:name w:val="foral-f-parrafo-c"/>
    <w:basedOn w:val="Normal"/>
    <w:rsid w:val="00BE1465"/>
    <w:pPr>
      <w:spacing w:after="240"/>
      <w:ind w:firstLine="0"/>
      <w:jc w:val="left"/>
    </w:pPr>
    <w:rPr>
      <w:rFonts w:eastAsia="Calibri"/>
      <w:sz w:val="24"/>
      <w:szCs w:val="24"/>
      <w:lang w:val="es-ES" w:eastAsia="es-ES"/>
    </w:rPr>
  </w:style>
  <w:style w:type="paragraph" w:customStyle="1" w:styleId="Estndar">
    <w:name w:val="Estándar"/>
    <w:rsid w:val="00BE1465"/>
    <w:pPr>
      <w:snapToGrid w:val="0"/>
    </w:pPr>
    <w:rPr>
      <w:rFonts w:ascii="CG Omega" w:hAnsi="CG Omega"/>
      <w:color w:val="000000"/>
      <w:sz w:val="22"/>
    </w:rPr>
  </w:style>
  <w:style w:type="paragraph" w:styleId="Textoindependiente2">
    <w:name w:val="Body Text 2"/>
    <w:basedOn w:val="Normal"/>
    <w:link w:val="Textoindependiente2Car"/>
    <w:rsid w:val="00BE1465"/>
    <w:pPr>
      <w:spacing w:after="120" w:line="480" w:lineRule="auto"/>
    </w:pPr>
    <w:rPr>
      <w:rFonts w:eastAsia="Calibri"/>
    </w:rPr>
  </w:style>
  <w:style w:type="character" w:customStyle="1" w:styleId="Textoindependiente2Car">
    <w:name w:val="Texto independiente 2 Car"/>
    <w:basedOn w:val="Fuentedeprrafopredeter"/>
    <w:link w:val="Textoindependiente2"/>
    <w:rsid w:val="00BE1465"/>
    <w:rPr>
      <w:rFonts w:eastAsia="Calibri"/>
      <w:lang w:val="es-ES_tradnl" w:eastAsia="en-US"/>
    </w:rPr>
  </w:style>
  <w:style w:type="paragraph" w:styleId="Textoindependiente3">
    <w:name w:val="Body Text 3"/>
    <w:basedOn w:val="Normal"/>
    <w:link w:val="Textoindependiente3Car"/>
    <w:rsid w:val="00BE1465"/>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BE1465"/>
    <w:rPr>
      <w:rFonts w:ascii="ITCCentury Book" w:hAnsi="ITCCentury Book"/>
      <w:b/>
      <w:sz w:val="96"/>
    </w:rPr>
  </w:style>
  <w:style w:type="paragraph" w:customStyle="1" w:styleId="c22">
    <w:name w:val="c22"/>
    <w:basedOn w:val="Normal"/>
    <w:rsid w:val="00BE1465"/>
    <w:pPr>
      <w:spacing w:before="100" w:beforeAutospacing="1" w:after="100" w:afterAutospacing="1"/>
      <w:ind w:firstLine="0"/>
      <w:jc w:val="left"/>
    </w:pPr>
    <w:rPr>
      <w:sz w:val="24"/>
      <w:szCs w:val="24"/>
      <w:lang w:val="es-ES" w:eastAsia="es-ES"/>
    </w:rPr>
  </w:style>
  <w:style w:type="paragraph" w:customStyle="1" w:styleId="np">
    <w:name w:val="np"/>
    <w:basedOn w:val="Normal"/>
    <w:rsid w:val="00BE1465"/>
    <w:pPr>
      <w:spacing w:before="100" w:beforeAutospacing="1" w:after="100" w:afterAutospacing="1"/>
      <w:ind w:firstLine="0"/>
      <w:jc w:val="left"/>
    </w:pPr>
    <w:rPr>
      <w:sz w:val="24"/>
      <w:szCs w:val="24"/>
      <w:lang w:val="es-ES" w:eastAsia="es-ES"/>
    </w:rPr>
  </w:style>
  <w:style w:type="paragraph" w:customStyle="1" w:styleId="Default">
    <w:name w:val="Default"/>
    <w:rsid w:val="00BE1465"/>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BE1465"/>
    <w:pPr>
      <w:overflowPunct w:val="0"/>
      <w:adjustRightInd w:val="0"/>
      <w:spacing w:before="240" w:after="0"/>
      <w:ind w:firstLine="0"/>
    </w:pPr>
    <w:rPr>
      <w:sz w:val="22"/>
      <w:lang w:eastAsia="es-ES"/>
    </w:rPr>
  </w:style>
  <w:style w:type="paragraph" w:customStyle="1" w:styleId="xa1">
    <w:name w:val="xa1"/>
    <w:basedOn w:val="Normal"/>
    <w:rsid w:val="00BE1465"/>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BE1465"/>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BE1465"/>
  </w:style>
  <w:style w:type="paragraph" w:customStyle="1" w:styleId="pie">
    <w:name w:val="pie"/>
    <w:basedOn w:val="Normal"/>
    <w:rsid w:val="00BE1465"/>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BE1465"/>
  </w:style>
  <w:style w:type="character" w:customStyle="1" w:styleId="spelle">
    <w:name w:val="spelle"/>
    <w:rsid w:val="00BE1465"/>
  </w:style>
  <w:style w:type="character" w:customStyle="1" w:styleId="grame">
    <w:name w:val="grame"/>
    <w:rsid w:val="00BE1465"/>
  </w:style>
  <w:style w:type="paragraph" w:customStyle="1" w:styleId="Informal2">
    <w:name w:val="Informal2"/>
    <w:basedOn w:val="Normal"/>
    <w:rsid w:val="00BE1465"/>
    <w:pPr>
      <w:spacing w:before="60" w:after="60"/>
      <w:ind w:firstLine="0"/>
      <w:jc w:val="left"/>
    </w:pPr>
    <w:rPr>
      <w:rFonts w:ascii="Arial" w:hAnsi="Arial"/>
      <w:b/>
      <w:lang w:eastAsia="es-ES"/>
    </w:rPr>
  </w:style>
  <w:style w:type="paragraph" w:customStyle="1" w:styleId="xdef">
    <w:name w:val="xdef"/>
    <w:basedOn w:val="Normal"/>
    <w:rsid w:val="00BE1465"/>
    <w:pPr>
      <w:spacing w:before="100" w:beforeAutospacing="1" w:after="100" w:afterAutospacing="1"/>
      <w:ind w:firstLine="0"/>
      <w:jc w:val="left"/>
    </w:pPr>
    <w:rPr>
      <w:sz w:val="24"/>
      <w:szCs w:val="24"/>
      <w:lang w:val="es-ES" w:eastAsia="es-ES"/>
    </w:rPr>
  </w:style>
  <w:style w:type="paragraph" w:customStyle="1" w:styleId="xa2">
    <w:name w:val="xa2"/>
    <w:basedOn w:val="Normal"/>
    <w:rsid w:val="00BE1465"/>
    <w:pPr>
      <w:spacing w:before="100" w:beforeAutospacing="1" w:after="100" w:afterAutospacing="1"/>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BE1465"/>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BE1465"/>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BE1465"/>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BE1465"/>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BE1465"/>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BE1465"/>
    <w:rPr>
      <w:rFonts w:ascii="Arial" w:hAnsi="Arial" w:cs="Arial"/>
      <w:b/>
      <w:bCs/>
      <w:kern w:val="32"/>
      <w:sz w:val="32"/>
      <w:szCs w:val="32"/>
      <w:lang w:val="es-ES_tradnl" w:eastAsia="en-US"/>
    </w:rPr>
  </w:style>
  <w:style w:type="character" w:customStyle="1" w:styleId="Ttulo2Car">
    <w:name w:val="Título 2 Car"/>
    <w:link w:val="Ttulo2"/>
    <w:locked/>
    <w:rsid w:val="00BE1465"/>
    <w:rPr>
      <w:rFonts w:ascii="Arial" w:hAnsi="Arial" w:cs="Arial"/>
      <w:b/>
      <w:bCs/>
      <w:i/>
      <w:iCs/>
      <w:sz w:val="28"/>
      <w:szCs w:val="28"/>
      <w:lang w:val="es-ES_tradnl" w:eastAsia="en-US"/>
    </w:rPr>
  </w:style>
  <w:style w:type="character" w:customStyle="1" w:styleId="Ttulo3Car">
    <w:name w:val="Título 3 Car"/>
    <w:link w:val="Ttulo3"/>
    <w:locked/>
    <w:rsid w:val="00BE1465"/>
    <w:rPr>
      <w:rFonts w:ascii="Arial" w:hAnsi="Arial" w:cs="Arial"/>
      <w:b/>
      <w:bCs/>
      <w:szCs w:val="26"/>
      <w:lang w:val="es-ES_tradnl" w:eastAsia="en-US"/>
    </w:rPr>
  </w:style>
  <w:style w:type="character" w:customStyle="1" w:styleId="Ttulo4Car">
    <w:name w:val="Título 4 Car"/>
    <w:basedOn w:val="Fuentedeprrafopredeter"/>
    <w:link w:val="Ttulo4"/>
    <w:rsid w:val="00BE1465"/>
    <w:rPr>
      <w:b/>
      <w:bCs/>
      <w:sz w:val="28"/>
      <w:szCs w:val="28"/>
    </w:rPr>
  </w:style>
  <w:style w:type="character" w:customStyle="1" w:styleId="Ttulo5Car">
    <w:name w:val="Título 5 Car"/>
    <w:link w:val="Ttulo5"/>
    <w:locked/>
    <w:rsid w:val="00BE1465"/>
    <w:rPr>
      <w:b/>
      <w:sz w:val="28"/>
      <w:lang w:eastAsia="en-US"/>
    </w:rPr>
  </w:style>
  <w:style w:type="character" w:customStyle="1" w:styleId="Ttulo6Car">
    <w:name w:val="Título 6 Car"/>
    <w:basedOn w:val="Fuentedeprrafopredeter"/>
    <w:link w:val="Ttulo6"/>
    <w:rsid w:val="00BE1465"/>
    <w:rPr>
      <w:b/>
      <w:bCs/>
      <w:sz w:val="22"/>
      <w:szCs w:val="22"/>
    </w:rPr>
  </w:style>
  <w:style w:type="character" w:customStyle="1" w:styleId="Ttulo7Car">
    <w:name w:val="Título 7 Car"/>
    <w:basedOn w:val="Fuentedeprrafopredeter"/>
    <w:link w:val="Ttulo7"/>
    <w:rsid w:val="00BE1465"/>
    <w:rPr>
      <w:sz w:val="52"/>
    </w:rPr>
  </w:style>
  <w:style w:type="character" w:customStyle="1" w:styleId="Ttulo8Car">
    <w:name w:val="Título 8 Car"/>
    <w:basedOn w:val="Fuentedeprrafopredeter"/>
    <w:link w:val="Ttulo8"/>
    <w:rsid w:val="00BE1465"/>
    <w:rPr>
      <w:i/>
      <w:iCs/>
      <w:sz w:val="24"/>
      <w:szCs w:val="24"/>
    </w:rPr>
  </w:style>
  <w:style w:type="character" w:customStyle="1" w:styleId="Ttulo9Car">
    <w:name w:val="Título 9 Car"/>
    <w:basedOn w:val="Fuentedeprrafopredeter"/>
    <w:link w:val="Ttulo9"/>
    <w:rsid w:val="00BE1465"/>
    <w:rPr>
      <w:rFonts w:ascii="Arial" w:hAnsi="Arial" w:cs="Arial"/>
      <w:sz w:val="22"/>
      <w:szCs w:val="2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s-ES_tradnl"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locked/>
    <w:rsid w:val="00BE1465"/>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BE1465"/>
    <w:rPr>
      <w:rFonts w:ascii="Arial" w:hAnsi="Arial"/>
      <w:bCs/>
      <w:iCs/>
      <w:color w:val="000000"/>
      <w:spacing w:val="10"/>
      <w:kern w:val="28"/>
      <w:sz w:val="25"/>
      <w:szCs w:val="26"/>
      <w:lang w:val="es-ES_tradnl" w:eastAsia="en-U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93307F"/>
    <w:pPr>
      <w:tabs>
        <w:tab w:val="right" w:leader="dot" w:pos="8930"/>
      </w:tabs>
      <w:spacing w:after="0"/>
      <w:ind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character" w:customStyle="1" w:styleId="TextodegloboCar">
    <w:name w:val="Texto de globo Car"/>
    <w:link w:val="Textodeglobo"/>
    <w:semiHidden/>
    <w:locked/>
    <w:rsid w:val="00BE1465"/>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character" w:customStyle="1" w:styleId="EncabezadoCar">
    <w:name w:val="Encabezado Car"/>
    <w:link w:val="Encabezado"/>
    <w:uiPriority w:val="99"/>
    <w:locked/>
    <w:rsid w:val="00BE1465"/>
    <w:rPr>
      <w:bCs/>
      <w:caps/>
      <w:sz w:val="14"/>
      <w:szCs w:val="12"/>
      <w:lang w:val="es-ES_tradnl" w:eastAsia="en-U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locked/>
    <w:rsid w:val="00BE1465"/>
    <w:rPr>
      <w:spacing w:val="6"/>
      <w:lang w:val="es-ES_tradnl" w:eastAsia="en-US"/>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Textonotapie">
    <w:name w:val="footnote text"/>
    <w:basedOn w:val="Normal"/>
    <w:link w:val="TextonotapieCar"/>
    <w:unhideWhenUsed/>
    <w:rsid w:val="00BE1465"/>
    <w:pPr>
      <w:spacing w:after="0"/>
    </w:pPr>
  </w:style>
  <w:style w:type="character" w:customStyle="1" w:styleId="TextonotapieCar">
    <w:name w:val="Texto nota pie Car"/>
    <w:basedOn w:val="Fuentedeprrafopredeter"/>
    <w:link w:val="Textonotapie"/>
    <w:rsid w:val="00BE1465"/>
    <w:rPr>
      <w:lang w:val="es-ES_tradnl" w:eastAsia="en-US"/>
    </w:rPr>
  </w:style>
  <w:style w:type="character" w:styleId="Refdenotaalpie">
    <w:name w:val="footnote reference"/>
    <w:basedOn w:val="Fuentedeprrafopredeter"/>
    <w:unhideWhenUsed/>
    <w:rsid w:val="00BE1465"/>
    <w:rPr>
      <w:vertAlign w:val="superscript"/>
    </w:rPr>
  </w:style>
  <w:style w:type="paragraph" w:styleId="NormalWeb">
    <w:name w:val="Normal (Web)"/>
    <w:basedOn w:val="Normal"/>
    <w:uiPriority w:val="99"/>
    <w:unhideWhenUsed/>
    <w:rsid w:val="00BE1465"/>
    <w:pPr>
      <w:spacing w:before="100" w:beforeAutospacing="1" w:after="100" w:afterAutospacing="1"/>
      <w:ind w:firstLine="0"/>
      <w:jc w:val="left"/>
    </w:pPr>
    <w:rPr>
      <w:rFonts w:eastAsiaTheme="minorEastAsia"/>
      <w:sz w:val="24"/>
      <w:szCs w:val="24"/>
      <w:lang w:val="es-ES" w:eastAsia="es-ES"/>
    </w:rPr>
  </w:style>
  <w:style w:type="paragraph" w:styleId="Prrafodelista">
    <w:name w:val="List Paragraph"/>
    <w:basedOn w:val="Normal"/>
    <w:uiPriority w:val="34"/>
    <w:qFormat/>
    <w:rsid w:val="00BE1465"/>
    <w:pPr>
      <w:ind w:left="720"/>
      <w:contextualSpacing/>
    </w:pPr>
  </w:style>
  <w:style w:type="paragraph" w:customStyle="1" w:styleId="cuatitul">
    <w:name w:val="cuatitul"/>
    <w:basedOn w:val="Normal"/>
    <w:rsid w:val="00BE1465"/>
    <w:pPr>
      <w:spacing w:after="60"/>
      <w:ind w:firstLine="0"/>
      <w:jc w:val="center"/>
    </w:pPr>
    <w:rPr>
      <w:rFonts w:ascii="GillSans" w:eastAsia="Calibri" w:hAnsi="GillSans"/>
      <w:sz w:val="22"/>
      <w:lang w:eastAsia="es-ES"/>
    </w:rPr>
  </w:style>
  <w:style w:type="paragraph" w:customStyle="1" w:styleId="TablaCC">
    <w:name w:val="TablaCC"/>
    <w:basedOn w:val="Normal"/>
    <w:rsid w:val="00BE1465"/>
    <w:pPr>
      <w:spacing w:before="200" w:after="0"/>
      <w:ind w:firstLine="0"/>
      <w:jc w:val="left"/>
    </w:pPr>
    <w:rPr>
      <w:rFonts w:ascii="Arial" w:eastAsia="Calibri" w:hAnsi="Arial"/>
      <w:b/>
      <w:sz w:val="24"/>
      <w:szCs w:val="24"/>
      <w:lang w:val="es-ES"/>
    </w:rPr>
  </w:style>
  <w:style w:type="paragraph" w:customStyle="1" w:styleId="xl25">
    <w:name w:val="xl25"/>
    <w:basedOn w:val="Normal"/>
    <w:rsid w:val="00BE1465"/>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BE1465"/>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BE1465"/>
    <w:rPr>
      <w:rFonts w:ascii="Arial" w:eastAsia="Calibri" w:hAnsi="Arial"/>
      <w:sz w:val="24"/>
      <w:lang w:val="es-ES_tradnl"/>
    </w:rPr>
  </w:style>
  <w:style w:type="character" w:customStyle="1" w:styleId="AyuntamientoCar">
    <w:name w:val="Ayuntamiento Car"/>
    <w:link w:val="Ayuntamiento"/>
    <w:locked/>
    <w:rsid w:val="00BE1465"/>
    <w:rPr>
      <w:rFonts w:ascii="Arial" w:hAnsi="Arial"/>
      <w:sz w:val="24"/>
      <w:lang w:val="x-none"/>
    </w:rPr>
  </w:style>
  <w:style w:type="paragraph" w:customStyle="1" w:styleId="Ayuntamiento">
    <w:name w:val="Ayuntamiento"/>
    <w:basedOn w:val="Normal"/>
    <w:link w:val="AyuntamientoCar"/>
    <w:rsid w:val="00BE1465"/>
    <w:pPr>
      <w:spacing w:after="0"/>
      <w:ind w:firstLine="0"/>
    </w:pPr>
    <w:rPr>
      <w:rFonts w:ascii="Arial" w:hAnsi="Arial"/>
      <w:sz w:val="24"/>
      <w:lang w:val="x-none" w:eastAsia="es-ES"/>
    </w:rPr>
  </w:style>
  <w:style w:type="character" w:customStyle="1" w:styleId="JavierCar">
    <w:name w:val="Javier Car"/>
    <w:link w:val="Javier"/>
    <w:locked/>
    <w:rsid w:val="00BE1465"/>
    <w:rPr>
      <w:rFonts w:ascii="Arial" w:hAnsi="Arial"/>
      <w:sz w:val="24"/>
      <w:lang w:val="x-none"/>
    </w:rPr>
  </w:style>
  <w:style w:type="paragraph" w:customStyle="1" w:styleId="Javier">
    <w:name w:val="Javier"/>
    <w:basedOn w:val="Normal"/>
    <w:link w:val="JavierCar"/>
    <w:rsid w:val="00BE1465"/>
    <w:pPr>
      <w:spacing w:after="0"/>
      <w:ind w:firstLine="0"/>
    </w:pPr>
    <w:rPr>
      <w:rFonts w:ascii="Arial" w:hAnsi="Arial"/>
      <w:sz w:val="24"/>
      <w:lang w:val="x-none" w:eastAsia="es-ES"/>
    </w:rPr>
  </w:style>
  <w:style w:type="character" w:styleId="Textoennegrita">
    <w:name w:val="Strong"/>
    <w:qFormat/>
    <w:rsid w:val="00BE1465"/>
    <w:rPr>
      <w:b/>
    </w:rPr>
  </w:style>
  <w:style w:type="paragraph" w:customStyle="1" w:styleId="foral-f-parrafo-c">
    <w:name w:val="foral-f-parrafo-c"/>
    <w:basedOn w:val="Normal"/>
    <w:rsid w:val="00BE1465"/>
    <w:pPr>
      <w:spacing w:after="240"/>
      <w:ind w:firstLine="0"/>
      <w:jc w:val="left"/>
    </w:pPr>
    <w:rPr>
      <w:rFonts w:eastAsia="Calibri"/>
      <w:sz w:val="24"/>
      <w:szCs w:val="24"/>
      <w:lang w:val="es-ES" w:eastAsia="es-ES"/>
    </w:rPr>
  </w:style>
  <w:style w:type="paragraph" w:customStyle="1" w:styleId="Estndar">
    <w:name w:val="Estándar"/>
    <w:rsid w:val="00BE1465"/>
    <w:pPr>
      <w:snapToGrid w:val="0"/>
    </w:pPr>
    <w:rPr>
      <w:rFonts w:ascii="CG Omega" w:hAnsi="CG Omega"/>
      <w:color w:val="000000"/>
      <w:sz w:val="22"/>
    </w:rPr>
  </w:style>
  <w:style w:type="paragraph" w:styleId="Textoindependiente2">
    <w:name w:val="Body Text 2"/>
    <w:basedOn w:val="Normal"/>
    <w:link w:val="Textoindependiente2Car"/>
    <w:rsid w:val="00BE1465"/>
    <w:pPr>
      <w:spacing w:after="120" w:line="480" w:lineRule="auto"/>
    </w:pPr>
    <w:rPr>
      <w:rFonts w:eastAsia="Calibri"/>
    </w:rPr>
  </w:style>
  <w:style w:type="character" w:customStyle="1" w:styleId="Textoindependiente2Car">
    <w:name w:val="Texto independiente 2 Car"/>
    <w:basedOn w:val="Fuentedeprrafopredeter"/>
    <w:link w:val="Textoindependiente2"/>
    <w:rsid w:val="00BE1465"/>
    <w:rPr>
      <w:rFonts w:eastAsia="Calibri"/>
      <w:lang w:val="es-ES_tradnl" w:eastAsia="en-US"/>
    </w:rPr>
  </w:style>
  <w:style w:type="paragraph" w:styleId="Textoindependiente3">
    <w:name w:val="Body Text 3"/>
    <w:basedOn w:val="Normal"/>
    <w:link w:val="Textoindependiente3Car"/>
    <w:rsid w:val="00BE1465"/>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BE1465"/>
    <w:rPr>
      <w:rFonts w:ascii="ITCCentury Book" w:hAnsi="ITCCentury Book"/>
      <w:b/>
      <w:sz w:val="96"/>
    </w:rPr>
  </w:style>
  <w:style w:type="paragraph" w:customStyle="1" w:styleId="c22">
    <w:name w:val="c22"/>
    <w:basedOn w:val="Normal"/>
    <w:rsid w:val="00BE1465"/>
    <w:pPr>
      <w:spacing w:before="100" w:beforeAutospacing="1" w:after="100" w:afterAutospacing="1"/>
      <w:ind w:firstLine="0"/>
      <w:jc w:val="left"/>
    </w:pPr>
    <w:rPr>
      <w:sz w:val="24"/>
      <w:szCs w:val="24"/>
      <w:lang w:val="es-ES" w:eastAsia="es-ES"/>
    </w:rPr>
  </w:style>
  <w:style w:type="paragraph" w:customStyle="1" w:styleId="np">
    <w:name w:val="np"/>
    <w:basedOn w:val="Normal"/>
    <w:rsid w:val="00BE1465"/>
    <w:pPr>
      <w:spacing w:before="100" w:beforeAutospacing="1" w:after="100" w:afterAutospacing="1"/>
      <w:ind w:firstLine="0"/>
      <w:jc w:val="left"/>
    </w:pPr>
    <w:rPr>
      <w:sz w:val="24"/>
      <w:szCs w:val="24"/>
      <w:lang w:val="es-ES" w:eastAsia="es-ES"/>
    </w:rPr>
  </w:style>
  <w:style w:type="paragraph" w:customStyle="1" w:styleId="Default">
    <w:name w:val="Default"/>
    <w:rsid w:val="00BE1465"/>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BE1465"/>
    <w:pPr>
      <w:overflowPunct w:val="0"/>
      <w:adjustRightInd w:val="0"/>
      <w:spacing w:before="240" w:after="0"/>
      <w:ind w:firstLine="0"/>
    </w:pPr>
    <w:rPr>
      <w:sz w:val="22"/>
      <w:lang w:eastAsia="es-ES"/>
    </w:rPr>
  </w:style>
  <w:style w:type="paragraph" w:customStyle="1" w:styleId="xa1">
    <w:name w:val="xa1"/>
    <w:basedOn w:val="Normal"/>
    <w:rsid w:val="00BE1465"/>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BE1465"/>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BE1465"/>
  </w:style>
  <w:style w:type="paragraph" w:customStyle="1" w:styleId="pie">
    <w:name w:val="pie"/>
    <w:basedOn w:val="Normal"/>
    <w:rsid w:val="00BE1465"/>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BE1465"/>
  </w:style>
  <w:style w:type="character" w:customStyle="1" w:styleId="spelle">
    <w:name w:val="spelle"/>
    <w:rsid w:val="00BE1465"/>
  </w:style>
  <w:style w:type="character" w:customStyle="1" w:styleId="grame">
    <w:name w:val="grame"/>
    <w:rsid w:val="00BE1465"/>
  </w:style>
  <w:style w:type="paragraph" w:customStyle="1" w:styleId="Informal2">
    <w:name w:val="Informal2"/>
    <w:basedOn w:val="Normal"/>
    <w:rsid w:val="00BE1465"/>
    <w:pPr>
      <w:spacing w:before="60" w:after="60"/>
      <w:ind w:firstLine="0"/>
      <w:jc w:val="left"/>
    </w:pPr>
    <w:rPr>
      <w:rFonts w:ascii="Arial" w:hAnsi="Arial"/>
      <w:b/>
      <w:lang w:eastAsia="es-ES"/>
    </w:rPr>
  </w:style>
  <w:style w:type="paragraph" w:customStyle="1" w:styleId="xdef">
    <w:name w:val="xdef"/>
    <w:basedOn w:val="Normal"/>
    <w:rsid w:val="00BE1465"/>
    <w:pPr>
      <w:spacing w:before="100" w:beforeAutospacing="1" w:after="100" w:afterAutospacing="1"/>
      <w:ind w:firstLine="0"/>
      <w:jc w:val="left"/>
    </w:pPr>
    <w:rPr>
      <w:sz w:val="24"/>
      <w:szCs w:val="24"/>
      <w:lang w:val="es-ES" w:eastAsia="es-ES"/>
    </w:rPr>
  </w:style>
  <w:style w:type="paragraph" w:customStyle="1" w:styleId="xa2">
    <w:name w:val="xa2"/>
    <w:basedOn w:val="Normal"/>
    <w:rsid w:val="00BE1465"/>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5672">
      <w:bodyDiv w:val="1"/>
      <w:marLeft w:val="0"/>
      <w:marRight w:val="0"/>
      <w:marTop w:val="0"/>
      <w:marBottom w:val="0"/>
      <w:divBdr>
        <w:top w:val="none" w:sz="0" w:space="0" w:color="auto"/>
        <w:left w:val="none" w:sz="0" w:space="0" w:color="auto"/>
        <w:bottom w:val="none" w:sz="0" w:space="0" w:color="auto"/>
        <w:right w:val="none" w:sz="0" w:space="0" w:color="auto"/>
      </w:divBdr>
      <w:divsChild>
        <w:div w:id="7029485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H:\Resumen%20Javier.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RV129001\DATOS\FISCALIZACION\AdmonLocal\F&#211;RMULA%20FONDO%20PARTICIPACI&#211;N%20HACIENDAS%20LOCALES%20TRIBUTOS%20NAVARRA\Informaci&#243;n%20presupuestaria%20Susana%20Administraci&#243;n%20Local\Resumen%20Javi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CS01SRV05\G0129011\AdmonLocal\F&#211;RMULA%20FONDO%20PARTICIPACI&#211;N%20HACIENDAS%20LOCALES%20TRIBUTOS%20NAVARRA\Informaci&#243;n%20presupuestaria%20Susana%20Administraci&#243;n%20Local\Resumen%20Javi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u="sng"/>
            </a:pPr>
            <a:r>
              <a:rPr lang="es-ES" u="sng"/>
              <a:t>Pamplona</a:t>
            </a:r>
          </a:p>
        </c:rich>
      </c:tx>
      <c:overlay val="0"/>
    </c:title>
    <c:autoTitleDeleted val="0"/>
    <c:plotArea>
      <c:layout/>
      <c:barChart>
        <c:barDir val="col"/>
        <c:grouping val="clustered"/>
        <c:varyColors val="0"/>
        <c:ser>
          <c:idx val="7"/>
          <c:order val="5"/>
          <c:tx>
            <c:strRef>
              <c:f>Pamplona!$A$26</c:f>
              <c:strCache>
                <c:ptCount val="1"/>
                <c:pt idx="0">
                  <c:v>Población</c:v>
                </c:pt>
              </c:strCache>
            </c:strRef>
          </c:tx>
          <c:spPr>
            <a:solidFill>
              <a:schemeClr val="tx2">
                <a:lumMod val="20000"/>
                <a:lumOff val="80000"/>
              </a:schemeClr>
            </a:solidFill>
            <a:ln>
              <a:solidFill>
                <a:schemeClr val="accent4"/>
              </a:solidFill>
            </a:ln>
          </c:spPr>
          <c:invertIfNegative val="0"/>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Pamplona!$B$26:$J$26</c:f>
              <c:numCache>
                <c:formatCode>#,##0</c:formatCode>
                <c:ptCount val="9"/>
                <c:pt idx="0">
                  <c:v>198491</c:v>
                </c:pt>
                <c:pt idx="1">
                  <c:v>197488</c:v>
                </c:pt>
                <c:pt idx="2">
                  <c:v>197932</c:v>
                </c:pt>
                <c:pt idx="3">
                  <c:v>197604</c:v>
                </c:pt>
                <c:pt idx="4">
                  <c:v>196955</c:v>
                </c:pt>
                <c:pt idx="5">
                  <c:v>196166</c:v>
                </c:pt>
                <c:pt idx="6">
                  <c:v>195853</c:v>
                </c:pt>
                <c:pt idx="7">
                  <c:v>195650</c:v>
                </c:pt>
                <c:pt idx="8">
                  <c:v>197138</c:v>
                </c:pt>
              </c:numCache>
            </c:numRef>
          </c:val>
        </c:ser>
        <c:dLbls>
          <c:showLegendKey val="0"/>
          <c:showVal val="0"/>
          <c:showCatName val="0"/>
          <c:showSerName val="0"/>
          <c:showPercent val="0"/>
          <c:showBubbleSize val="0"/>
        </c:dLbls>
        <c:gapWidth val="75"/>
        <c:axId val="106659200"/>
        <c:axId val="106657664"/>
      </c:barChart>
      <c:lineChart>
        <c:grouping val="standard"/>
        <c:varyColors val="0"/>
        <c:ser>
          <c:idx val="1"/>
          <c:order val="0"/>
          <c:tx>
            <c:strRef>
              <c:f>Pamplona!$A$20</c:f>
              <c:strCache>
                <c:ptCount val="1"/>
                <c:pt idx="0">
                  <c:v>Fondo transferencias(FT)</c:v>
                </c:pt>
              </c:strCache>
            </c:strRef>
          </c:tx>
          <c:spPr>
            <a:ln w="63500">
              <a:solidFill>
                <a:srgbClr val="FF0000"/>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Pamplona!$B$20:$J$20</c:f>
              <c:numCache>
                <c:formatCode>#,##0</c:formatCode>
                <c:ptCount val="9"/>
                <c:pt idx="0">
                  <c:v>74118322.829999998</c:v>
                </c:pt>
                <c:pt idx="1">
                  <c:v>74637150.920000002</c:v>
                </c:pt>
                <c:pt idx="2">
                  <c:v>75156173.799999997</c:v>
                </c:pt>
                <c:pt idx="3">
                  <c:v>75631317.5</c:v>
                </c:pt>
                <c:pt idx="4">
                  <c:v>77219574.74000001</c:v>
                </c:pt>
                <c:pt idx="5">
                  <c:v>78763966.729999989</c:v>
                </c:pt>
                <c:pt idx="6">
                  <c:v>78763966.719999999</c:v>
                </c:pt>
                <c:pt idx="7">
                  <c:v>80260481.890000001</c:v>
                </c:pt>
                <c:pt idx="8">
                  <c:v>81303866</c:v>
                </c:pt>
              </c:numCache>
            </c:numRef>
          </c:val>
          <c:smooth val="0"/>
        </c:ser>
        <c:ser>
          <c:idx val="2"/>
          <c:order val="1"/>
          <c:tx>
            <c:strRef>
              <c:f>Pamplona!$A$21</c:f>
              <c:strCache>
                <c:ptCount val="1"/>
                <c:pt idx="0">
                  <c:v>Gastos de funcionamiento</c:v>
                </c:pt>
              </c:strCache>
            </c:strRef>
          </c:tx>
          <c:spPr>
            <a:ln>
              <a:solidFill>
                <a:schemeClr val="accent6"/>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Pamplona!$B$21:$J$21</c:f>
              <c:numCache>
                <c:formatCode>#,##0</c:formatCode>
                <c:ptCount val="9"/>
                <c:pt idx="0">
                  <c:v>183076920.88999993</c:v>
                </c:pt>
                <c:pt idx="1">
                  <c:v>175070475.67000005</c:v>
                </c:pt>
                <c:pt idx="2">
                  <c:v>173822153.67999986</c:v>
                </c:pt>
                <c:pt idx="3">
                  <c:v>163660202.35000002</c:v>
                </c:pt>
                <c:pt idx="4">
                  <c:v>169664212.89999986</c:v>
                </c:pt>
                <c:pt idx="5">
                  <c:v>169898661.70000005</c:v>
                </c:pt>
                <c:pt idx="6">
                  <c:v>170438866.60000002</c:v>
                </c:pt>
                <c:pt idx="7">
                  <c:v>174507641.72000006</c:v>
                </c:pt>
                <c:pt idx="8">
                  <c:v>178456622.60000002</c:v>
                </c:pt>
              </c:numCache>
            </c:numRef>
          </c:val>
          <c:smooth val="0"/>
        </c:ser>
        <c:ser>
          <c:idx val="3"/>
          <c:order val="2"/>
          <c:tx>
            <c:strRef>
              <c:f>Pamplona!$A$23</c:f>
              <c:strCache>
                <c:ptCount val="1"/>
                <c:pt idx="0">
                  <c:v>Ingresos corrientes(sin FT)</c:v>
                </c:pt>
              </c:strCache>
            </c:strRef>
          </c:tx>
          <c:spPr>
            <a:ln>
              <a:solidFill>
                <a:schemeClr val="accent5"/>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Pamplona!$B$23:$J$23</c:f>
              <c:numCache>
                <c:formatCode>#,##0</c:formatCode>
                <c:ptCount val="9"/>
                <c:pt idx="0">
                  <c:v>125562472.56000002</c:v>
                </c:pt>
                <c:pt idx="1">
                  <c:v>114331308.15999998</c:v>
                </c:pt>
                <c:pt idx="2">
                  <c:v>119151183.19000001</c:v>
                </c:pt>
                <c:pt idx="3">
                  <c:v>113114803.88000003</c:v>
                </c:pt>
                <c:pt idx="4">
                  <c:v>111950206.54999998</c:v>
                </c:pt>
                <c:pt idx="5">
                  <c:v>113147960.81999999</c:v>
                </c:pt>
                <c:pt idx="6">
                  <c:v>117726705.88999999</c:v>
                </c:pt>
                <c:pt idx="7">
                  <c:v>124404887.70999996</c:v>
                </c:pt>
                <c:pt idx="8">
                  <c:v>119676594.25999999</c:v>
                </c:pt>
              </c:numCache>
            </c:numRef>
          </c:val>
          <c:smooth val="0"/>
        </c:ser>
        <c:ser>
          <c:idx val="4"/>
          <c:order val="3"/>
          <c:tx>
            <c:strRef>
              <c:f>Pamplona!$A$24</c:f>
              <c:strCache>
                <c:ptCount val="1"/>
                <c:pt idx="0">
                  <c:v>AHORRO BRUTO</c:v>
                </c:pt>
              </c:strCache>
            </c:strRef>
          </c:tx>
          <c:spPr>
            <a:ln>
              <a:solidFill>
                <a:schemeClr val="accent4"/>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Pamplona!$B$24:$J$24</c:f>
              <c:numCache>
                <c:formatCode>#,##0</c:formatCode>
                <c:ptCount val="9"/>
                <c:pt idx="0">
                  <c:v>16603874.500000089</c:v>
                </c:pt>
                <c:pt idx="1">
                  <c:v>13897983.409999937</c:v>
                </c:pt>
                <c:pt idx="2">
                  <c:v>20485203.310000151</c:v>
                </c:pt>
                <c:pt idx="3">
                  <c:v>25085919.030000001</c:v>
                </c:pt>
                <c:pt idx="4">
                  <c:v>19505568.390000135</c:v>
                </c:pt>
                <c:pt idx="5">
                  <c:v>22013265.849999934</c:v>
                </c:pt>
                <c:pt idx="6">
                  <c:v>26051806.009999961</c:v>
                </c:pt>
                <c:pt idx="7">
                  <c:v>30157727.879999906</c:v>
                </c:pt>
                <c:pt idx="8">
                  <c:v>22523837.659999967</c:v>
                </c:pt>
              </c:numCache>
            </c:numRef>
          </c:val>
          <c:smooth val="0"/>
        </c:ser>
        <c:ser>
          <c:idx val="5"/>
          <c:order val="4"/>
          <c:tx>
            <c:strRef>
              <c:f>Pamplona!$A$25</c:f>
              <c:strCache>
                <c:ptCount val="1"/>
                <c:pt idx="0">
                  <c:v>Ingresos tributarios</c:v>
                </c:pt>
              </c:strCache>
            </c:strRef>
          </c:tx>
          <c:spPr>
            <a:ln>
              <a:solidFill>
                <a:schemeClr val="accent3"/>
              </a:solidFill>
            </a:ln>
          </c:spPr>
          <c:marker>
            <c:symbol val="none"/>
          </c:marker>
          <c:cat>
            <c:numRef>
              <c:f>Pamplona!$B$19:$J$19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Pamplona!$B$25:$J$25</c:f>
              <c:numCache>
                <c:formatCode>#,##0</c:formatCode>
                <c:ptCount val="9"/>
                <c:pt idx="0">
                  <c:v>91136363.900000006</c:v>
                </c:pt>
                <c:pt idx="1">
                  <c:v>84010398.200000018</c:v>
                </c:pt>
                <c:pt idx="2">
                  <c:v>93386795.86999999</c:v>
                </c:pt>
                <c:pt idx="3">
                  <c:v>86190373.930000007</c:v>
                </c:pt>
                <c:pt idx="4">
                  <c:v>85812150.370000005</c:v>
                </c:pt>
                <c:pt idx="5">
                  <c:v>85868370.079999998</c:v>
                </c:pt>
                <c:pt idx="6">
                  <c:v>88778944.429999992</c:v>
                </c:pt>
                <c:pt idx="7">
                  <c:v>94928067.399999991</c:v>
                </c:pt>
                <c:pt idx="8">
                  <c:v>90211488.49000001</c:v>
                </c:pt>
              </c:numCache>
            </c:numRef>
          </c:val>
          <c:smooth val="0"/>
        </c:ser>
        <c:dLbls>
          <c:showLegendKey val="0"/>
          <c:showVal val="0"/>
          <c:showCatName val="0"/>
          <c:showSerName val="0"/>
          <c:showPercent val="0"/>
          <c:showBubbleSize val="0"/>
        </c:dLbls>
        <c:marker val="1"/>
        <c:smooth val="0"/>
        <c:axId val="106642048"/>
        <c:axId val="106656128"/>
      </c:lineChart>
      <c:catAx>
        <c:axId val="106642048"/>
        <c:scaling>
          <c:orientation val="minMax"/>
        </c:scaling>
        <c:delete val="0"/>
        <c:axPos val="b"/>
        <c:numFmt formatCode="General" sourceLinked="1"/>
        <c:majorTickMark val="none"/>
        <c:minorTickMark val="none"/>
        <c:tickLblPos val="nextTo"/>
        <c:crossAx val="106656128"/>
        <c:crosses val="autoZero"/>
        <c:auto val="1"/>
        <c:lblAlgn val="ctr"/>
        <c:lblOffset val="100"/>
        <c:noMultiLvlLbl val="0"/>
      </c:catAx>
      <c:valAx>
        <c:axId val="106656128"/>
        <c:scaling>
          <c:orientation val="minMax"/>
        </c:scaling>
        <c:delete val="0"/>
        <c:axPos val="l"/>
        <c:majorGridlines/>
        <c:numFmt formatCode="#,##0" sourceLinked="1"/>
        <c:majorTickMark val="none"/>
        <c:minorTickMark val="none"/>
        <c:tickLblPos val="nextTo"/>
        <c:spPr>
          <a:ln w="9525">
            <a:noFill/>
          </a:ln>
        </c:spPr>
        <c:crossAx val="106642048"/>
        <c:crosses val="autoZero"/>
        <c:crossBetween val="between"/>
      </c:valAx>
      <c:valAx>
        <c:axId val="106657664"/>
        <c:scaling>
          <c:orientation val="minMax"/>
        </c:scaling>
        <c:delete val="0"/>
        <c:axPos val="r"/>
        <c:numFmt formatCode="#,##0" sourceLinked="1"/>
        <c:majorTickMark val="out"/>
        <c:minorTickMark val="none"/>
        <c:tickLblPos val="nextTo"/>
        <c:crossAx val="106659200"/>
        <c:crosses val="max"/>
        <c:crossBetween val="between"/>
      </c:valAx>
      <c:catAx>
        <c:axId val="106659200"/>
        <c:scaling>
          <c:orientation val="minMax"/>
        </c:scaling>
        <c:delete val="1"/>
        <c:axPos val="b"/>
        <c:numFmt formatCode="General" sourceLinked="1"/>
        <c:majorTickMark val="out"/>
        <c:minorTickMark val="none"/>
        <c:tickLblPos val="nextTo"/>
        <c:crossAx val="10665766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Ansoáin</a:t>
            </a:r>
          </a:p>
        </c:rich>
      </c:tx>
      <c:overlay val="0"/>
    </c:title>
    <c:autoTitleDeleted val="0"/>
    <c:plotArea>
      <c:layout/>
      <c:barChart>
        <c:barDir val="col"/>
        <c:grouping val="clustered"/>
        <c:varyColors val="0"/>
        <c:ser>
          <c:idx val="6"/>
          <c:order val="5"/>
          <c:tx>
            <c:strRef>
              <c:f>TafAnsVillBerriozArang!$L$44</c:f>
              <c:strCache>
                <c:ptCount val="1"/>
                <c:pt idx="0">
                  <c:v>Población</c:v>
                </c:pt>
              </c:strCache>
            </c:strRef>
          </c:tx>
          <c:spPr>
            <a:solidFill>
              <a:schemeClr val="tx2">
                <a:lumMod val="20000"/>
                <a:lumOff val="80000"/>
              </a:schemeClr>
            </a:solidFill>
          </c:spPr>
          <c:invertIfNegative val="0"/>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TafAnsVillBerriozArang!$M$44:$U$44</c:f>
              <c:numCache>
                <c:formatCode>#,##0</c:formatCode>
                <c:ptCount val="9"/>
                <c:pt idx="0">
                  <c:v>10500</c:v>
                </c:pt>
                <c:pt idx="1">
                  <c:v>10603</c:v>
                </c:pt>
                <c:pt idx="2">
                  <c:v>10776</c:v>
                </c:pt>
                <c:pt idx="3">
                  <c:v>10938</c:v>
                </c:pt>
                <c:pt idx="4">
                  <c:v>10976</c:v>
                </c:pt>
                <c:pt idx="5">
                  <c:v>10861</c:v>
                </c:pt>
                <c:pt idx="6">
                  <c:v>10830</c:v>
                </c:pt>
                <c:pt idx="7">
                  <c:v>10817</c:v>
                </c:pt>
                <c:pt idx="8">
                  <c:v>10752</c:v>
                </c:pt>
              </c:numCache>
            </c:numRef>
          </c:val>
        </c:ser>
        <c:dLbls>
          <c:showLegendKey val="0"/>
          <c:showVal val="0"/>
          <c:showCatName val="0"/>
          <c:showSerName val="0"/>
          <c:showPercent val="0"/>
          <c:showBubbleSize val="0"/>
        </c:dLbls>
        <c:gapWidth val="75"/>
        <c:axId val="130442752"/>
        <c:axId val="130441216"/>
      </c:barChart>
      <c:lineChart>
        <c:grouping val="standard"/>
        <c:varyColors val="0"/>
        <c:ser>
          <c:idx val="3"/>
          <c:order val="0"/>
          <c:tx>
            <c:strRef>
              <c:f>TafAnsVillBerriozArang!$L$38</c:f>
              <c:strCache>
                <c:ptCount val="1"/>
                <c:pt idx="0">
                  <c:v>Fondo transferencias(FT)</c:v>
                </c:pt>
              </c:strCache>
            </c:strRef>
          </c:tx>
          <c:spPr>
            <a:ln w="63500">
              <a:solidFill>
                <a:srgbClr val="FF0000"/>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TafAnsVillBerriozArang!$M$38:$U$38</c:f>
              <c:numCache>
                <c:formatCode>#,##0</c:formatCode>
                <c:ptCount val="9"/>
                <c:pt idx="0">
                  <c:v>2312434.66</c:v>
                </c:pt>
                <c:pt idx="1">
                  <c:v>2323637.1800000002</c:v>
                </c:pt>
                <c:pt idx="2">
                  <c:v>2294537.81</c:v>
                </c:pt>
                <c:pt idx="3">
                  <c:v>2314294.46</c:v>
                </c:pt>
                <c:pt idx="4">
                  <c:v>2414398.2599999998</c:v>
                </c:pt>
                <c:pt idx="5">
                  <c:v>2514726.41</c:v>
                </c:pt>
                <c:pt idx="6">
                  <c:v>2514726.4</c:v>
                </c:pt>
                <c:pt idx="7">
                  <c:v>2562506.21</c:v>
                </c:pt>
                <c:pt idx="8">
                  <c:v>2595818.7999999998</c:v>
                </c:pt>
              </c:numCache>
            </c:numRef>
          </c:val>
          <c:smooth val="0"/>
        </c:ser>
        <c:ser>
          <c:idx val="0"/>
          <c:order val="1"/>
          <c:tx>
            <c:strRef>
              <c:f>TafAnsVillBerriozArang!$L$39</c:f>
              <c:strCache>
                <c:ptCount val="1"/>
                <c:pt idx="0">
                  <c:v>Gastos de funcionamiento</c:v>
                </c:pt>
              </c:strCache>
            </c:strRef>
          </c:tx>
          <c:spPr>
            <a:ln>
              <a:solidFill>
                <a:schemeClr val="accent6"/>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TafAnsVillBerriozArang!$M$39:$U$39</c:f>
              <c:numCache>
                <c:formatCode>#,##0</c:formatCode>
                <c:ptCount val="9"/>
                <c:pt idx="0">
                  <c:v>8029110.3600000003</c:v>
                </c:pt>
                <c:pt idx="1">
                  <c:v>8073976.5999999987</c:v>
                </c:pt>
                <c:pt idx="2">
                  <c:v>8180003.9399999976</c:v>
                </c:pt>
                <c:pt idx="3">
                  <c:v>7811999.7000000011</c:v>
                </c:pt>
                <c:pt idx="4">
                  <c:v>7179345.9100000001</c:v>
                </c:pt>
                <c:pt idx="5">
                  <c:v>6643546.0000000019</c:v>
                </c:pt>
                <c:pt idx="6">
                  <c:v>6682207.2200000007</c:v>
                </c:pt>
                <c:pt idx="7">
                  <c:v>6940798.4699999979</c:v>
                </c:pt>
                <c:pt idx="8">
                  <c:v>7341057.4899999974</c:v>
                </c:pt>
              </c:numCache>
            </c:numRef>
          </c:val>
          <c:smooth val="0"/>
        </c:ser>
        <c:ser>
          <c:idx val="1"/>
          <c:order val="2"/>
          <c:tx>
            <c:strRef>
              <c:f>TafAnsVillBerriozArang!$L$41</c:f>
              <c:strCache>
                <c:ptCount val="1"/>
                <c:pt idx="0">
                  <c:v>Ingresos corrientes(sin FT)</c:v>
                </c:pt>
              </c:strCache>
            </c:strRef>
          </c:tx>
          <c:spPr>
            <a:ln>
              <a:solidFill>
                <a:schemeClr val="accent5"/>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TafAnsVillBerriozArang!$M$41:$U$41</c:f>
              <c:numCache>
                <c:formatCode>#,##0</c:formatCode>
                <c:ptCount val="9"/>
                <c:pt idx="0">
                  <c:v>5081022.78</c:v>
                </c:pt>
                <c:pt idx="1">
                  <c:v>5408639.7400000002</c:v>
                </c:pt>
                <c:pt idx="2">
                  <c:v>5358817.83</c:v>
                </c:pt>
                <c:pt idx="3">
                  <c:v>4972431.2100000009</c:v>
                </c:pt>
                <c:pt idx="4">
                  <c:v>4638524.5</c:v>
                </c:pt>
                <c:pt idx="5">
                  <c:v>5174493.0799999991</c:v>
                </c:pt>
                <c:pt idx="6">
                  <c:v>5145864.9600000009</c:v>
                </c:pt>
                <c:pt idx="7">
                  <c:v>5181592.47</c:v>
                </c:pt>
                <c:pt idx="8">
                  <c:v>5738940.8599999994</c:v>
                </c:pt>
              </c:numCache>
            </c:numRef>
          </c:val>
          <c:smooth val="0"/>
        </c:ser>
        <c:ser>
          <c:idx val="4"/>
          <c:order val="3"/>
          <c:tx>
            <c:strRef>
              <c:f>TafAnsVillBerriozArang!$L$42</c:f>
              <c:strCache>
                <c:ptCount val="1"/>
                <c:pt idx="0">
                  <c:v>AHORRO BRUTO</c:v>
                </c:pt>
              </c:strCache>
            </c:strRef>
          </c:tx>
          <c:spPr>
            <a:ln>
              <a:solidFill>
                <a:schemeClr val="accent4"/>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TafAnsVillBerriozArang!$M$42:$U$42</c:f>
              <c:numCache>
                <c:formatCode>#,##0</c:formatCode>
                <c:ptCount val="9"/>
                <c:pt idx="0">
                  <c:v>-635652.91999999993</c:v>
                </c:pt>
                <c:pt idx="1">
                  <c:v>-341699.67999999877</c:v>
                </c:pt>
                <c:pt idx="2">
                  <c:v>-526648.29999999795</c:v>
                </c:pt>
                <c:pt idx="3">
                  <c:v>-525274.03000000026</c:v>
                </c:pt>
                <c:pt idx="4">
                  <c:v>-126423.15000000037</c:v>
                </c:pt>
                <c:pt idx="5">
                  <c:v>1045673.4899999974</c:v>
                </c:pt>
                <c:pt idx="6">
                  <c:v>978384.1400000006</c:v>
                </c:pt>
                <c:pt idx="7">
                  <c:v>803300.21000000183</c:v>
                </c:pt>
                <c:pt idx="8">
                  <c:v>993702.17000000179</c:v>
                </c:pt>
              </c:numCache>
            </c:numRef>
          </c:val>
          <c:smooth val="0"/>
        </c:ser>
        <c:ser>
          <c:idx val="5"/>
          <c:order val="4"/>
          <c:tx>
            <c:strRef>
              <c:f>TafAnsVillBerriozArang!$L$43</c:f>
              <c:strCache>
                <c:ptCount val="1"/>
                <c:pt idx="0">
                  <c:v>Ingresos tributarios</c:v>
                </c:pt>
              </c:strCache>
            </c:strRef>
          </c:tx>
          <c:spPr>
            <a:ln>
              <a:solidFill>
                <a:schemeClr val="accent3"/>
              </a:solidFill>
            </a:ln>
          </c:spPr>
          <c:marker>
            <c:symbol val="none"/>
          </c:marker>
          <c:cat>
            <c:numRef>
              <c:f>TafAnsVillBerriozArang!$M$37:$U$37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TafAnsVillBerriozArang!$M$43:$U$43</c:f>
              <c:numCache>
                <c:formatCode>#,##0</c:formatCode>
                <c:ptCount val="9"/>
                <c:pt idx="0">
                  <c:v>4190698.7499999995</c:v>
                </c:pt>
                <c:pt idx="1">
                  <c:v>4350063.55</c:v>
                </c:pt>
                <c:pt idx="2">
                  <c:v>4650242.9800000004</c:v>
                </c:pt>
                <c:pt idx="3">
                  <c:v>4369375.99</c:v>
                </c:pt>
                <c:pt idx="4">
                  <c:v>4116092</c:v>
                </c:pt>
                <c:pt idx="5">
                  <c:v>4634817.7</c:v>
                </c:pt>
                <c:pt idx="6">
                  <c:v>4631269.41</c:v>
                </c:pt>
                <c:pt idx="7">
                  <c:v>4641972.6399999997</c:v>
                </c:pt>
                <c:pt idx="8">
                  <c:v>5066507.8599999994</c:v>
                </c:pt>
              </c:numCache>
            </c:numRef>
          </c:val>
          <c:smooth val="0"/>
        </c:ser>
        <c:dLbls>
          <c:showLegendKey val="0"/>
          <c:showVal val="0"/>
          <c:showCatName val="0"/>
          <c:showSerName val="0"/>
          <c:showPercent val="0"/>
          <c:showBubbleSize val="0"/>
        </c:dLbls>
        <c:marker val="1"/>
        <c:smooth val="0"/>
        <c:axId val="130433792"/>
        <c:axId val="130435328"/>
      </c:lineChart>
      <c:catAx>
        <c:axId val="130433792"/>
        <c:scaling>
          <c:orientation val="minMax"/>
        </c:scaling>
        <c:delete val="0"/>
        <c:axPos val="b"/>
        <c:numFmt formatCode="General" sourceLinked="1"/>
        <c:majorTickMark val="none"/>
        <c:minorTickMark val="none"/>
        <c:tickLblPos val="nextTo"/>
        <c:crossAx val="130435328"/>
        <c:crosses val="autoZero"/>
        <c:auto val="1"/>
        <c:lblAlgn val="ctr"/>
        <c:lblOffset val="100"/>
        <c:noMultiLvlLbl val="0"/>
      </c:catAx>
      <c:valAx>
        <c:axId val="130435328"/>
        <c:scaling>
          <c:orientation val="minMax"/>
        </c:scaling>
        <c:delete val="0"/>
        <c:axPos val="l"/>
        <c:majorGridlines/>
        <c:numFmt formatCode="#,##0" sourceLinked="1"/>
        <c:majorTickMark val="none"/>
        <c:minorTickMark val="none"/>
        <c:tickLblPos val="nextTo"/>
        <c:spPr>
          <a:ln w="9525">
            <a:noFill/>
          </a:ln>
        </c:spPr>
        <c:crossAx val="130433792"/>
        <c:crosses val="autoZero"/>
        <c:crossBetween val="between"/>
      </c:valAx>
      <c:valAx>
        <c:axId val="130441216"/>
        <c:scaling>
          <c:orientation val="minMax"/>
        </c:scaling>
        <c:delete val="0"/>
        <c:axPos val="r"/>
        <c:numFmt formatCode="#,##0" sourceLinked="1"/>
        <c:majorTickMark val="out"/>
        <c:minorTickMark val="none"/>
        <c:tickLblPos val="nextTo"/>
        <c:crossAx val="130442752"/>
        <c:crosses val="max"/>
        <c:crossBetween val="between"/>
      </c:valAx>
      <c:catAx>
        <c:axId val="130442752"/>
        <c:scaling>
          <c:orientation val="minMax"/>
        </c:scaling>
        <c:delete val="1"/>
        <c:axPos val="b"/>
        <c:numFmt formatCode="General" sourceLinked="1"/>
        <c:majorTickMark val="out"/>
        <c:minorTickMark val="none"/>
        <c:tickLblPos val="nextTo"/>
        <c:crossAx val="13044121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Villava</a:t>
            </a:r>
          </a:p>
        </c:rich>
      </c:tx>
      <c:overlay val="0"/>
    </c:title>
    <c:autoTitleDeleted val="0"/>
    <c:plotArea>
      <c:layout/>
      <c:barChart>
        <c:barDir val="col"/>
        <c:grouping val="clustered"/>
        <c:varyColors val="0"/>
        <c:ser>
          <c:idx val="6"/>
          <c:order val="5"/>
          <c:tx>
            <c:strRef>
              <c:f>TafAnsVillBerriozArang!$L$55</c:f>
              <c:strCache>
                <c:ptCount val="1"/>
                <c:pt idx="0">
                  <c:v>Población</c:v>
                </c:pt>
              </c:strCache>
            </c:strRef>
          </c:tx>
          <c:spPr>
            <a:solidFill>
              <a:schemeClr val="tx2">
                <a:lumMod val="20000"/>
                <a:lumOff val="80000"/>
              </a:schemeClr>
            </a:solidFill>
          </c:spPr>
          <c:invertIfNegative val="0"/>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TafAnsVillBerriozArang!$M$55:$U$55</c:f>
              <c:numCache>
                <c:formatCode>#,##0</c:formatCode>
                <c:ptCount val="9"/>
                <c:pt idx="0">
                  <c:v>10642</c:v>
                </c:pt>
                <c:pt idx="1">
                  <c:v>10568</c:v>
                </c:pt>
                <c:pt idx="2">
                  <c:v>10487</c:v>
                </c:pt>
                <c:pt idx="3">
                  <c:v>10496</c:v>
                </c:pt>
                <c:pt idx="4">
                  <c:v>10308</c:v>
                </c:pt>
                <c:pt idx="5">
                  <c:v>10211</c:v>
                </c:pt>
                <c:pt idx="6">
                  <c:v>10265</c:v>
                </c:pt>
                <c:pt idx="7">
                  <c:v>10317</c:v>
                </c:pt>
                <c:pt idx="8">
                  <c:v>10217</c:v>
                </c:pt>
              </c:numCache>
            </c:numRef>
          </c:val>
        </c:ser>
        <c:dLbls>
          <c:showLegendKey val="0"/>
          <c:showVal val="0"/>
          <c:showCatName val="0"/>
          <c:showSerName val="0"/>
          <c:showPercent val="0"/>
          <c:showBubbleSize val="0"/>
        </c:dLbls>
        <c:gapWidth val="75"/>
        <c:axId val="130174976"/>
        <c:axId val="130173184"/>
      </c:barChart>
      <c:lineChart>
        <c:grouping val="standard"/>
        <c:varyColors val="0"/>
        <c:ser>
          <c:idx val="2"/>
          <c:order val="0"/>
          <c:tx>
            <c:strRef>
              <c:f>TafAnsVillBerriozArang!$L$49</c:f>
              <c:strCache>
                <c:ptCount val="1"/>
                <c:pt idx="0">
                  <c:v>Fondo transferencias(FT)</c:v>
                </c:pt>
              </c:strCache>
            </c:strRef>
          </c:tx>
          <c:spPr>
            <a:ln w="63500">
              <a:solidFill>
                <a:srgbClr val="FF0000"/>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TafAnsVillBerriozArang!$M$49:$U$49</c:f>
              <c:numCache>
                <c:formatCode>#,##0</c:formatCode>
                <c:ptCount val="9"/>
                <c:pt idx="0">
                  <c:v>2676991.29</c:v>
                </c:pt>
                <c:pt idx="1">
                  <c:v>2676991.29</c:v>
                </c:pt>
                <c:pt idx="2">
                  <c:v>2643466.7999999998</c:v>
                </c:pt>
                <c:pt idx="3">
                  <c:v>2643466.7999999998</c:v>
                </c:pt>
                <c:pt idx="4">
                  <c:v>2643466.7999999998</c:v>
                </c:pt>
                <c:pt idx="5">
                  <c:v>2643466.7999999998</c:v>
                </c:pt>
                <c:pt idx="6">
                  <c:v>2643466.7999999998</c:v>
                </c:pt>
                <c:pt idx="7">
                  <c:v>2693692.67</c:v>
                </c:pt>
                <c:pt idx="8">
                  <c:v>2728710.68</c:v>
                </c:pt>
              </c:numCache>
            </c:numRef>
          </c:val>
          <c:smooth val="0"/>
        </c:ser>
        <c:ser>
          <c:idx val="3"/>
          <c:order val="1"/>
          <c:tx>
            <c:strRef>
              <c:f>TafAnsVillBerriozArang!$L$50</c:f>
              <c:strCache>
                <c:ptCount val="1"/>
                <c:pt idx="0">
                  <c:v>Gastos de funcionamiento</c:v>
                </c:pt>
              </c:strCache>
            </c:strRef>
          </c:tx>
          <c:spPr>
            <a:ln>
              <a:solidFill>
                <a:schemeClr val="accent6"/>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TafAnsVillBerriozArang!$M$50:$U$50</c:f>
              <c:numCache>
                <c:formatCode>#,##0</c:formatCode>
                <c:ptCount val="9"/>
                <c:pt idx="0">
                  <c:v>7350895.040000001</c:v>
                </c:pt>
                <c:pt idx="1">
                  <c:v>7160802.7300000023</c:v>
                </c:pt>
                <c:pt idx="2">
                  <c:v>7000181.1000000006</c:v>
                </c:pt>
                <c:pt idx="3">
                  <c:v>6855926.7699999996</c:v>
                </c:pt>
                <c:pt idx="4">
                  <c:v>6991764.9499999993</c:v>
                </c:pt>
                <c:pt idx="5">
                  <c:v>6760852.6100000003</c:v>
                </c:pt>
                <c:pt idx="6">
                  <c:v>6964875.6100000003</c:v>
                </c:pt>
                <c:pt idx="7">
                  <c:v>7220168.8199999994</c:v>
                </c:pt>
                <c:pt idx="8">
                  <c:v>7366138.7800000003</c:v>
                </c:pt>
              </c:numCache>
            </c:numRef>
          </c:val>
          <c:smooth val="0"/>
        </c:ser>
        <c:ser>
          <c:idx val="0"/>
          <c:order val="2"/>
          <c:tx>
            <c:strRef>
              <c:f>TafAnsVillBerriozArang!$L$52</c:f>
              <c:strCache>
                <c:ptCount val="1"/>
                <c:pt idx="0">
                  <c:v>Ingresos corrientes(sin FT)</c:v>
                </c:pt>
              </c:strCache>
            </c:strRef>
          </c:tx>
          <c:spPr>
            <a:ln>
              <a:solidFill>
                <a:schemeClr val="accent5"/>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TafAnsVillBerriozArang!$M$52:$U$52</c:f>
              <c:numCache>
                <c:formatCode>#,##0</c:formatCode>
                <c:ptCount val="9"/>
                <c:pt idx="0">
                  <c:v>5069649.7500000019</c:v>
                </c:pt>
                <c:pt idx="1">
                  <c:v>5067573.7600000007</c:v>
                </c:pt>
                <c:pt idx="2">
                  <c:v>5182874.6900000013</c:v>
                </c:pt>
                <c:pt idx="3">
                  <c:v>5151226.12</c:v>
                </c:pt>
                <c:pt idx="4">
                  <c:v>5361608.6400000015</c:v>
                </c:pt>
                <c:pt idx="5">
                  <c:v>5462194.8599999994</c:v>
                </c:pt>
                <c:pt idx="6">
                  <c:v>5594277.4799999995</c:v>
                </c:pt>
                <c:pt idx="7">
                  <c:v>5567973.2100000009</c:v>
                </c:pt>
                <c:pt idx="8">
                  <c:v>6052303.790000001</c:v>
                </c:pt>
              </c:numCache>
            </c:numRef>
          </c:val>
          <c:smooth val="0"/>
        </c:ser>
        <c:ser>
          <c:idx val="4"/>
          <c:order val="3"/>
          <c:tx>
            <c:strRef>
              <c:f>TafAnsVillBerriozArang!$L$53</c:f>
              <c:strCache>
                <c:ptCount val="1"/>
                <c:pt idx="0">
                  <c:v>AHORRO BRUTO</c:v>
                </c:pt>
              </c:strCache>
            </c:strRef>
          </c:tx>
          <c:spPr>
            <a:ln>
              <a:solidFill>
                <a:schemeClr val="accent4"/>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TafAnsVillBerriozArang!$M$53:$U$53</c:f>
              <c:numCache>
                <c:formatCode>#,##0</c:formatCode>
                <c:ptCount val="9"/>
                <c:pt idx="0">
                  <c:v>395746.00000000093</c:v>
                </c:pt>
                <c:pt idx="1">
                  <c:v>583762.31999999844</c:v>
                </c:pt>
                <c:pt idx="2">
                  <c:v>826160.3900000006</c:v>
                </c:pt>
                <c:pt idx="3">
                  <c:v>938766.15000000037</c:v>
                </c:pt>
                <c:pt idx="4">
                  <c:v>1013310.4900000021</c:v>
                </c:pt>
                <c:pt idx="5">
                  <c:v>1344809.0499999989</c:v>
                </c:pt>
                <c:pt idx="6">
                  <c:v>1272868.669999999</c:v>
                </c:pt>
                <c:pt idx="7">
                  <c:v>1041497.0600000015</c:v>
                </c:pt>
                <c:pt idx="8">
                  <c:v>1414875.6900000004</c:v>
                </c:pt>
              </c:numCache>
            </c:numRef>
          </c:val>
          <c:smooth val="0"/>
        </c:ser>
        <c:ser>
          <c:idx val="5"/>
          <c:order val="4"/>
          <c:tx>
            <c:strRef>
              <c:f>TafAnsVillBerriozArang!$L$54</c:f>
              <c:strCache>
                <c:ptCount val="1"/>
                <c:pt idx="0">
                  <c:v>Ingresos tributarios</c:v>
                </c:pt>
              </c:strCache>
            </c:strRef>
          </c:tx>
          <c:spPr>
            <a:ln>
              <a:solidFill>
                <a:schemeClr val="accent3"/>
              </a:solidFill>
            </a:ln>
          </c:spPr>
          <c:marker>
            <c:symbol val="none"/>
          </c:marker>
          <c:cat>
            <c:numRef>
              <c:f>TafAnsVillBerriozArang!$M$48:$U$48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TafAnsVillBerriozArang!$M$54:$U$54</c:f>
              <c:numCache>
                <c:formatCode>#,##0</c:formatCode>
                <c:ptCount val="9"/>
                <c:pt idx="0">
                  <c:v>3286829.47</c:v>
                </c:pt>
                <c:pt idx="1">
                  <c:v>3343546.6999999997</c:v>
                </c:pt>
                <c:pt idx="2">
                  <c:v>3606092.85</c:v>
                </c:pt>
                <c:pt idx="3">
                  <c:v>3616309.13</c:v>
                </c:pt>
                <c:pt idx="4">
                  <c:v>3836920.0600000005</c:v>
                </c:pt>
                <c:pt idx="5">
                  <c:v>4023708.14</c:v>
                </c:pt>
                <c:pt idx="6">
                  <c:v>4075793.26</c:v>
                </c:pt>
                <c:pt idx="7">
                  <c:v>3989839.9099999997</c:v>
                </c:pt>
                <c:pt idx="8">
                  <c:v>4328289.51</c:v>
                </c:pt>
              </c:numCache>
            </c:numRef>
          </c:val>
          <c:smooth val="0"/>
        </c:ser>
        <c:dLbls>
          <c:showLegendKey val="0"/>
          <c:showVal val="0"/>
          <c:showCatName val="0"/>
          <c:showSerName val="0"/>
          <c:showPercent val="0"/>
          <c:showBubbleSize val="0"/>
        </c:dLbls>
        <c:marker val="1"/>
        <c:smooth val="0"/>
        <c:axId val="130161664"/>
        <c:axId val="130171648"/>
      </c:lineChart>
      <c:catAx>
        <c:axId val="130161664"/>
        <c:scaling>
          <c:orientation val="minMax"/>
        </c:scaling>
        <c:delete val="0"/>
        <c:axPos val="b"/>
        <c:numFmt formatCode="General" sourceLinked="1"/>
        <c:majorTickMark val="none"/>
        <c:minorTickMark val="none"/>
        <c:tickLblPos val="nextTo"/>
        <c:crossAx val="130171648"/>
        <c:crosses val="autoZero"/>
        <c:auto val="1"/>
        <c:lblAlgn val="ctr"/>
        <c:lblOffset val="100"/>
        <c:noMultiLvlLbl val="0"/>
      </c:catAx>
      <c:valAx>
        <c:axId val="130171648"/>
        <c:scaling>
          <c:orientation val="minMax"/>
        </c:scaling>
        <c:delete val="0"/>
        <c:axPos val="l"/>
        <c:majorGridlines/>
        <c:numFmt formatCode="#,##0" sourceLinked="1"/>
        <c:majorTickMark val="none"/>
        <c:minorTickMark val="none"/>
        <c:tickLblPos val="nextTo"/>
        <c:spPr>
          <a:ln w="9525">
            <a:noFill/>
          </a:ln>
        </c:spPr>
        <c:crossAx val="130161664"/>
        <c:crosses val="autoZero"/>
        <c:crossBetween val="between"/>
      </c:valAx>
      <c:valAx>
        <c:axId val="130173184"/>
        <c:scaling>
          <c:orientation val="minMax"/>
        </c:scaling>
        <c:delete val="0"/>
        <c:axPos val="r"/>
        <c:numFmt formatCode="#,##0" sourceLinked="1"/>
        <c:majorTickMark val="out"/>
        <c:minorTickMark val="none"/>
        <c:tickLblPos val="nextTo"/>
        <c:crossAx val="130174976"/>
        <c:crosses val="max"/>
        <c:crossBetween val="between"/>
      </c:valAx>
      <c:catAx>
        <c:axId val="130174976"/>
        <c:scaling>
          <c:orientation val="minMax"/>
        </c:scaling>
        <c:delete val="1"/>
        <c:axPos val="b"/>
        <c:numFmt formatCode="General" sourceLinked="1"/>
        <c:majorTickMark val="out"/>
        <c:minorTickMark val="none"/>
        <c:tickLblPos val="nextTo"/>
        <c:crossAx val="13017318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Berriozar</a:t>
            </a:r>
          </a:p>
        </c:rich>
      </c:tx>
      <c:overlay val="0"/>
    </c:title>
    <c:autoTitleDeleted val="0"/>
    <c:plotArea>
      <c:layout/>
      <c:barChart>
        <c:barDir val="col"/>
        <c:grouping val="clustered"/>
        <c:varyColors val="0"/>
        <c:ser>
          <c:idx val="6"/>
          <c:order val="5"/>
          <c:tx>
            <c:strRef>
              <c:f>TafAnsVillBerriozArang!$L$65</c:f>
              <c:strCache>
                <c:ptCount val="1"/>
                <c:pt idx="0">
                  <c:v>Población</c:v>
                </c:pt>
              </c:strCache>
            </c:strRef>
          </c:tx>
          <c:spPr>
            <a:solidFill>
              <a:schemeClr val="tx2">
                <a:lumMod val="20000"/>
                <a:lumOff val="80000"/>
              </a:schemeClr>
            </a:solidFill>
          </c:spPr>
          <c:invertIfNegative val="0"/>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TafAnsVillBerriozArang!$M$65:$U$65</c:f>
              <c:numCache>
                <c:formatCode>#,##0</c:formatCode>
                <c:ptCount val="9"/>
                <c:pt idx="0">
                  <c:v>9020</c:v>
                </c:pt>
                <c:pt idx="1">
                  <c:v>9034</c:v>
                </c:pt>
                <c:pt idx="2">
                  <c:v>8931</c:v>
                </c:pt>
                <c:pt idx="3">
                  <c:v>9449</c:v>
                </c:pt>
                <c:pt idx="4">
                  <c:v>9605</c:v>
                </c:pt>
                <c:pt idx="5">
                  <c:v>9625</c:v>
                </c:pt>
                <c:pt idx="6">
                  <c:v>9625</c:v>
                </c:pt>
                <c:pt idx="7">
                  <c:v>9756</c:v>
                </c:pt>
                <c:pt idx="8">
                  <c:v>9874</c:v>
                </c:pt>
              </c:numCache>
            </c:numRef>
          </c:val>
        </c:ser>
        <c:dLbls>
          <c:showLegendKey val="0"/>
          <c:showVal val="0"/>
          <c:showCatName val="0"/>
          <c:showSerName val="0"/>
          <c:showPercent val="0"/>
          <c:showBubbleSize val="0"/>
        </c:dLbls>
        <c:gapWidth val="75"/>
        <c:axId val="37096064"/>
        <c:axId val="37094528"/>
      </c:barChart>
      <c:lineChart>
        <c:grouping val="standard"/>
        <c:varyColors val="0"/>
        <c:ser>
          <c:idx val="2"/>
          <c:order val="0"/>
          <c:tx>
            <c:strRef>
              <c:f>TafAnsVillBerriozArang!$L$59</c:f>
              <c:strCache>
                <c:ptCount val="1"/>
                <c:pt idx="0">
                  <c:v>Fondo transferencias(FT)</c:v>
                </c:pt>
              </c:strCache>
            </c:strRef>
          </c:tx>
          <c:spPr>
            <a:ln w="63500">
              <a:solidFill>
                <a:srgbClr val="FF0000"/>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TafAnsVillBerriozArang!$M$59:$U$59</c:f>
              <c:numCache>
                <c:formatCode>#,##0</c:formatCode>
                <c:ptCount val="9"/>
                <c:pt idx="0">
                  <c:v>2026043.68</c:v>
                </c:pt>
                <c:pt idx="1">
                  <c:v>2052635.31</c:v>
                </c:pt>
                <c:pt idx="2">
                  <c:v>2058274.76</c:v>
                </c:pt>
                <c:pt idx="3">
                  <c:v>2074850.72</c:v>
                </c:pt>
                <c:pt idx="4">
                  <c:v>2186761.7999999998</c:v>
                </c:pt>
                <c:pt idx="5">
                  <c:v>2296353.98</c:v>
                </c:pt>
                <c:pt idx="6">
                  <c:v>2296354</c:v>
                </c:pt>
                <c:pt idx="7">
                  <c:v>2339984.71</c:v>
                </c:pt>
                <c:pt idx="8">
                  <c:v>2370404.52</c:v>
                </c:pt>
              </c:numCache>
            </c:numRef>
          </c:val>
          <c:smooth val="0"/>
        </c:ser>
        <c:ser>
          <c:idx val="3"/>
          <c:order val="1"/>
          <c:tx>
            <c:strRef>
              <c:f>TafAnsVillBerriozArang!$L$60</c:f>
              <c:strCache>
                <c:ptCount val="1"/>
                <c:pt idx="0">
                  <c:v>Gastos de funcionamiento</c:v>
                </c:pt>
              </c:strCache>
            </c:strRef>
          </c:tx>
          <c:spPr>
            <a:ln>
              <a:solidFill>
                <a:schemeClr val="accent6"/>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TafAnsVillBerriozArang!$M$60:$U$60</c:f>
              <c:numCache>
                <c:formatCode>#,##0</c:formatCode>
                <c:ptCount val="9"/>
                <c:pt idx="0">
                  <c:v>6515248.3500000006</c:v>
                </c:pt>
                <c:pt idx="1">
                  <c:v>6261647.2000000002</c:v>
                </c:pt>
                <c:pt idx="2">
                  <c:v>6315468.2000000011</c:v>
                </c:pt>
                <c:pt idx="3">
                  <c:v>6097744.1699999999</c:v>
                </c:pt>
                <c:pt idx="4">
                  <c:v>5788573.1099999994</c:v>
                </c:pt>
                <c:pt idx="5">
                  <c:v>5507153.8600000003</c:v>
                </c:pt>
                <c:pt idx="6">
                  <c:v>5426263.0699999994</c:v>
                </c:pt>
                <c:pt idx="7">
                  <c:v>5479232.5799999982</c:v>
                </c:pt>
                <c:pt idx="8">
                  <c:v>5613041.2699999977</c:v>
                </c:pt>
              </c:numCache>
            </c:numRef>
          </c:val>
          <c:smooth val="0"/>
        </c:ser>
        <c:ser>
          <c:idx val="0"/>
          <c:order val="2"/>
          <c:tx>
            <c:strRef>
              <c:f>TafAnsVillBerriozArang!$L$62</c:f>
              <c:strCache>
                <c:ptCount val="1"/>
                <c:pt idx="0">
                  <c:v>Ingresos corrientes(sin FT)</c:v>
                </c:pt>
              </c:strCache>
            </c:strRef>
          </c:tx>
          <c:spPr>
            <a:ln>
              <a:solidFill>
                <a:schemeClr val="accent5"/>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TafAnsVillBerriozArang!$M$62:$U$62</c:f>
              <c:numCache>
                <c:formatCode>#,##0</c:formatCode>
                <c:ptCount val="9"/>
                <c:pt idx="0">
                  <c:v>5731089.79</c:v>
                </c:pt>
                <c:pt idx="1">
                  <c:v>5106835.59</c:v>
                </c:pt>
                <c:pt idx="2">
                  <c:v>4331660.0699999994</c:v>
                </c:pt>
                <c:pt idx="3">
                  <c:v>3985122.1900000013</c:v>
                </c:pt>
                <c:pt idx="4">
                  <c:v>4021871.5500000007</c:v>
                </c:pt>
                <c:pt idx="5">
                  <c:v>3519426.9800000009</c:v>
                </c:pt>
                <c:pt idx="6">
                  <c:v>3668939.2300000004</c:v>
                </c:pt>
                <c:pt idx="7">
                  <c:v>3626812.8</c:v>
                </c:pt>
                <c:pt idx="8">
                  <c:v>3771327.52</c:v>
                </c:pt>
              </c:numCache>
            </c:numRef>
          </c:val>
          <c:smooth val="0"/>
        </c:ser>
        <c:ser>
          <c:idx val="4"/>
          <c:order val="3"/>
          <c:tx>
            <c:strRef>
              <c:f>TafAnsVillBerriozArang!$L$63</c:f>
              <c:strCache>
                <c:ptCount val="1"/>
                <c:pt idx="0">
                  <c:v>AHORRO BRUTO</c:v>
                </c:pt>
              </c:strCache>
            </c:strRef>
          </c:tx>
          <c:spPr>
            <a:ln>
              <a:solidFill>
                <a:schemeClr val="accent4"/>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TafAnsVillBerriozArang!$M$63:$U$63</c:f>
              <c:numCache>
                <c:formatCode>#,##0</c:formatCode>
                <c:ptCount val="9"/>
                <c:pt idx="0">
                  <c:v>1241885.1199999992</c:v>
                </c:pt>
                <c:pt idx="1">
                  <c:v>897823.70000000019</c:v>
                </c:pt>
                <c:pt idx="2">
                  <c:v>74466.629999998026</c:v>
                </c:pt>
                <c:pt idx="3">
                  <c:v>-37771.259999998845</c:v>
                </c:pt>
                <c:pt idx="4">
                  <c:v>420060.24000000115</c:v>
                </c:pt>
                <c:pt idx="5">
                  <c:v>308627.10000000056</c:v>
                </c:pt>
                <c:pt idx="6">
                  <c:v>539030.16000000108</c:v>
                </c:pt>
                <c:pt idx="7">
                  <c:v>487564.93000000156</c:v>
                </c:pt>
                <c:pt idx="8">
                  <c:v>528690.77000000235</c:v>
                </c:pt>
              </c:numCache>
            </c:numRef>
          </c:val>
          <c:smooth val="0"/>
        </c:ser>
        <c:ser>
          <c:idx val="5"/>
          <c:order val="4"/>
          <c:tx>
            <c:strRef>
              <c:f>TafAnsVillBerriozArang!$L$64</c:f>
              <c:strCache>
                <c:ptCount val="1"/>
                <c:pt idx="0">
                  <c:v>Ingresos tributarios</c:v>
                </c:pt>
              </c:strCache>
            </c:strRef>
          </c:tx>
          <c:spPr>
            <a:ln>
              <a:solidFill>
                <a:schemeClr val="accent3"/>
              </a:solidFill>
            </a:ln>
          </c:spPr>
          <c:marker>
            <c:symbol val="none"/>
          </c:marker>
          <c:cat>
            <c:numRef>
              <c:f>TafAnsVillBerriozArang!$M$58:$U$58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TafAnsVillBerriozArang!$M$64:$U$64</c:f>
              <c:numCache>
                <c:formatCode>#,##0</c:formatCode>
                <c:ptCount val="9"/>
                <c:pt idx="0">
                  <c:v>4249219.9499999993</c:v>
                </c:pt>
                <c:pt idx="1">
                  <c:v>3803607.7</c:v>
                </c:pt>
                <c:pt idx="2">
                  <c:v>3276977.02</c:v>
                </c:pt>
                <c:pt idx="3">
                  <c:v>3137549.14</c:v>
                </c:pt>
                <c:pt idx="4">
                  <c:v>3198973.26</c:v>
                </c:pt>
                <c:pt idx="5">
                  <c:v>2884110.52</c:v>
                </c:pt>
                <c:pt idx="6">
                  <c:v>3108831.4699999997</c:v>
                </c:pt>
                <c:pt idx="7">
                  <c:v>3027389.44</c:v>
                </c:pt>
                <c:pt idx="8">
                  <c:v>3092939.2800000003</c:v>
                </c:pt>
              </c:numCache>
            </c:numRef>
          </c:val>
          <c:smooth val="0"/>
        </c:ser>
        <c:dLbls>
          <c:showLegendKey val="0"/>
          <c:showVal val="0"/>
          <c:showCatName val="0"/>
          <c:showSerName val="0"/>
          <c:showPercent val="0"/>
          <c:showBubbleSize val="0"/>
        </c:dLbls>
        <c:marker val="1"/>
        <c:smooth val="0"/>
        <c:axId val="130213760"/>
        <c:axId val="130215296"/>
      </c:lineChart>
      <c:catAx>
        <c:axId val="130213760"/>
        <c:scaling>
          <c:orientation val="minMax"/>
        </c:scaling>
        <c:delete val="0"/>
        <c:axPos val="b"/>
        <c:numFmt formatCode="General" sourceLinked="1"/>
        <c:majorTickMark val="none"/>
        <c:minorTickMark val="none"/>
        <c:tickLblPos val="nextTo"/>
        <c:crossAx val="130215296"/>
        <c:crosses val="autoZero"/>
        <c:auto val="1"/>
        <c:lblAlgn val="ctr"/>
        <c:lblOffset val="100"/>
        <c:noMultiLvlLbl val="0"/>
      </c:catAx>
      <c:valAx>
        <c:axId val="130215296"/>
        <c:scaling>
          <c:orientation val="minMax"/>
        </c:scaling>
        <c:delete val="0"/>
        <c:axPos val="l"/>
        <c:majorGridlines/>
        <c:numFmt formatCode="#,##0" sourceLinked="1"/>
        <c:majorTickMark val="none"/>
        <c:minorTickMark val="none"/>
        <c:tickLblPos val="nextTo"/>
        <c:spPr>
          <a:ln w="9525">
            <a:noFill/>
          </a:ln>
        </c:spPr>
        <c:crossAx val="130213760"/>
        <c:crosses val="autoZero"/>
        <c:crossBetween val="between"/>
      </c:valAx>
      <c:valAx>
        <c:axId val="37094528"/>
        <c:scaling>
          <c:orientation val="minMax"/>
        </c:scaling>
        <c:delete val="0"/>
        <c:axPos val="r"/>
        <c:numFmt formatCode="#,##0" sourceLinked="1"/>
        <c:majorTickMark val="out"/>
        <c:minorTickMark val="none"/>
        <c:tickLblPos val="nextTo"/>
        <c:crossAx val="37096064"/>
        <c:crosses val="max"/>
        <c:crossBetween val="between"/>
      </c:valAx>
      <c:catAx>
        <c:axId val="37096064"/>
        <c:scaling>
          <c:orientation val="minMax"/>
        </c:scaling>
        <c:delete val="1"/>
        <c:axPos val="b"/>
        <c:numFmt formatCode="General" sourceLinked="1"/>
        <c:majorTickMark val="out"/>
        <c:minorTickMark val="none"/>
        <c:tickLblPos val="nextTo"/>
        <c:crossAx val="3709452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b="1" u="sng"/>
              <a:t>Noáin (Valle</a:t>
            </a:r>
            <a:r>
              <a:rPr lang="es-ES" b="1" u="sng" baseline="0"/>
              <a:t> </a:t>
            </a:r>
            <a:r>
              <a:rPr lang="es-ES" u="sng" baseline="0"/>
              <a:t>de Elorz)</a:t>
            </a:r>
            <a:endParaRPr lang="es-ES" u="sng"/>
          </a:p>
        </c:rich>
      </c:tx>
      <c:overlay val="0"/>
    </c:title>
    <c:autoTitleDeleted val="0"/>
    <c:plotArea>
      <c:layout/>
      <c:barChart>
        <c:barDir val="col"/>
        <c:grouping val="clustered"/>
        <c:varyColors val="0"/>
        <c:ser>
          <c:idx val="6"/>
          <c:order val="5"/>
          <c:tx>
            <c:strRef>
              <c:f>NoainHuarteBerrioplano!$L$14</c:f>
              <c:strCache>
                <c:ptCount val="1"/>
                <c:pt idx="0">
                  <c:v>Población</c:v>
                </c:pt>
              </c:strCache>
            </c:strRef>
          </c:tx>
          <c:spPr>
            <a:solidFill>
              <a:schemeClr val="tx2">
                <a:lumMod val="20000"/>
                <a:lumOff val="80000"/>
              </a:schemeClr>
            </a:solidFill>
          </c:spPr>
          <c:invertIfNegative val="0"/>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NoainHuarteBerrioplano!$M$14:$U$14</c:f>
              <c:numCache>
                <c:formatCode>#,##0</c:formatCode>
                <c:ptCount val="9"/>
                <c:pt idx="0">
                  <c:v>6806</c:v>
                </c:pt>
                <c:pt idx="1">
                  <c:v>7119</c:v>
                </c:pt>
                <c:pt idx="2">
                  <c:v>7415</c:v>
                </c:pt>
                <c:pt idx="3">
                  <c:v>7566</c:v>
                </c:pt>
                <c:pt idx="4">
                  <c:v>7808</c:v>
                </c:pt>
                <c:pt idx="5">
                  <c:v>7837</c:v>
                </c:pt>
                <c:pt idx="6">
                  <c:v>7892</c:v>
                </c:pt>
                <c:pt idx="7">
                  <c:v>8012</c:v>
                </c:pt>
                <c:pt idx="8">
                  <c:v>8115</c:v>
                </c:pt>
              </c:numCache>
            </c:numRef>
          </c:val>
        </c:ser>
        <c:dLbls>
          <c:showLegendKey val="0"/>
          <c:showVal val="0"/>
          <c:showCatName val="0"/>
          <c:showSerName val="0"/>
          <c:showPercent val="0"/>
          <c:showBubbleSize val="0"/>
        </c:dLbls>
        <c:gapWidth val="150"/>
        <c:axId val="37155968"/>
        <c:axId val="37145984"/>
      </c:barChart>
      <c:lineChart>
        <c:grouping val="standard"/>
        <c:varyColors val="0"/>
        <c:ser>
          <c:idx val="0"/>
          <c:order val="0"/>
          <c:tx>
            <c:strRef>
              <c:f>NoainHuarteBerrioplano!$L$8</c:f>
              <c:strCache>
                <c:ptCount val="1"/>
                <c:pt idx="0">
                  <c:v>Fondo transferencias(FT)</c:v>
                </c:pt>
              </c:strCache>
            </c:strRef>
          </c:tx>
          <c:spPr>
            <a:ln w="50800">
              <a:solidFill>
                <a:srgbClr val="FF0000"/>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NoainHuarteBerrioplano!$M$8:$U$8</c:f>
              <c:numCache>
                <c:formatCode>#,##0</c:formatCode>
                <c:ptCount val="9"/>
                <c:pt idx="0">
                  <c:v>1303336.1399999999</c:v>
                </c:pt>
                <c:pt idx="1">
                  <c:v>1328082.1000000001</c:v>
                </c:pt>
                <c:pt idx="2">
                  <c:v>1468645.11</c:v>
                </c:pt>
                <c:pt idx="3">
                  <c:v>1475751.9400000002</c:v>
                </c:pt>
                <c:pt idx="4">
                  <c:v>1510533.4200000002</c:v>
                </c:pt>
                <c:pt idx="5">
                  <c:v>1576177.7500000002</c:v>
                </c:pt>
                <c:pt idx="6">
                  <c:v>1576177.7600000002</c:v>
                </c:pt>
                <c:pt idx="7">
                  <c:v>1606125.1099999999</c:v>
                </c:pt>
                <c:pt idx="8">
                  <c:v>1627004.72</c:v>
                </c:pt>
              </c:numCache>
            </c:numRef>
          </c:val>
          <c:smooth val="0"/>
        </c:ser>
        <c:ser>
          <c:idx val="1"/>
          <c:order val="1"/>
          <c:tx>
            <c:strRef>
              <c:f>NoainHuarteBerrioplano!$L$9</c:f>
              <c:strCache>
                <c:ptCount val="1"/>
                <c:pt idx="0">
                  <c:v>Gastos de funcionamiento</c:v>
                </c:pt>
              </c:strCache>
            </c:strRef>
          </c:tx>
          <c:spPr>
            <a:ln>
              <a:solidFill>
                <a:schemeClr val="accent6"/>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NoainHuarteBerrioplano!$M$9:$U$9</c:f>
              <c:numCache>
                <c:formatCode>#,##0</c:formatCode>
                <c:ptCount val="9"/>
                <c:pt idx="0">
                  <c:v>7068793.9899999993</c:v>
                </c:pt>
                <c:pt idx="1">
                  <c:v>7172038.1700000009</c:v>
                </c:pt>
                <c:pt idx="2">
                  <c:v>6944660.3400000008</c:v>
                </c:pt>
                <c:pt idx="3">
                  <c:v>7001273.7700000005</c:v>
                </c:pt>
                <c:pt idx="4">
                  <c:v>7112571.2400000012</c:v>
                </c:pt>
                <c:pt idx="5">
                  <c:v>7064032.4799999995</c:v>
                </c:pt>
                <c:pt idx="6">
                  <c:v>7153520.0099999998</c:v>
                </c:pt>
                <c:pt idx="7">
                  <c:v>7196454.620000001</c:v>
                </c:pt>
                <c:pt idx="8">
                  <c:v>7236315.2300000004</c:v>
                </c:pt>
              </c:numCache>
            </c:numRef>
          </c:val>
          <c:smooth val="0"/>
        </c:ser>
        <c:ser>
          <c:idx val="2"/>
          <c:order val="2"/>
          <c:tx>
            <c:strRef>
              <c:f>NoainHuarteBerrioplano!$L$11</c:f>
              <c:strCache>
                <c:ptCount val="1"/>
                <c:pt idx="0">
                  <c:v>Ingresos corrientes(sin FT)</c:v>
                </c:pt>
              </c:strCache>
            </c:strRef>
          </c:tx>
          <c:spPr>
            <a:ln>
              <a:solidFill>
                <a:schemeClr val="accent5"/>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NoainHuarteBerrioplano!$M$11:$U$11</c:f>
              <c:numCache>
                <c:formatCode>#,##0</c:formatCode>
                <c:ptCount val="9"/>
                <c:pt idx="0">
                  <c:v>6356954.6400000015</c:v>
                </c:pt>
                <c:pt idx="1">
                  <c:v>6601926.209999999</c:v>
                </c:pt>
                <c:pt idx="2">
                  <c:v>5955867.7699999986</c:v>
                </c:pt>
                <c:pt idx="3">
                  <c:v>6235639.7899999972</c:v>
                </c:pt>
                <c:pt idx="4">
                  <c:v>6538109.540000001</c:v>
                </c:pt>
                <c:pt idx="5">
                  <c:v>6201519.1699999999</c:v>
                </c:pt>
                <c:pt idx="6">
                  <c:v>6178822.9499999993</c:v>
                </c:pt>
                <c:pt idx="7">
                  <c:v>6781846.6899999995</c:v>
                </c:pt>
                <c:pt idx="8">
                  <c:v>6317071.330000001</c:v>
                </c:pt>
              </c:numCache>
            </c:numRef>
          </c:val>
          <c:smooth val="0"/>
        </c:ser>
        <c:ser>
          <c:idx val="4"/>
          <c:order val="3"/>
          <c:tx>
            <c:strRef>
              <c:f>NoainHuarteBerrioplano!$L$12</c:f>
              <c:strCache>
                <c:ptCount val="1"/>
                <c:pt idx="0">
                  <c:v>AHORRO BRUTO</c:v>
                </c:pt>
              </c:strCache>
            </c:strRef>
          </c:tx>
          <c:spPr>
            <a:ln>
              <a:solidFill>
                <a:schemeClr val="accent4"/>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NoainHuarteBerrioplano!$M$12:$U$12</c:f>
              <c:numCache>
                <c:formatCode>#,##0</c:formatCode>
                <c:ptCount val="9"/>
                <c:pt idx="0">
                  <c:v>591496.7900000019</c:v>
                </c:pt>
                <c:pt idx="1">
                  <c:v>757970.1399999978</c:v>
                </c:pt>
                <c:pt idx="2">
                  <c:v>479852.53999999817</c:v>
                </c:pt>
                <c:pt idx="3">
                  <c:v>710117.95999999717</c:v>
                </c:pt>
                <c:pt idx="4">
                  <c:v>936071.71999999974</c:v>
                </c:pt>
                <c:pt idx="5">
                  <c:v>713664.44000000041</c:v>
                </c:pt>
                <c:pt idx="6">
                  <c:v>601480.69999999925</c:v>
                </c:pt>
                <c:pt idx="7">
                  <c:v>1191517.1799999988</c:v>
                </c:pt>
                <c:pt idx="8">
                  <c:v>707760.8200000003</c:v>
                </c:pt>
              </c:numCache>
            </c:numRef>
          </c:val>
          <c:smooth val="0"/>
        </c:ser>
        <c:ser>
          <c:idx val="5"/>
          <c:order val="4"/>
          <c:tx>
            <c:strRef>
              <c:f>NoainHuarteBerrioplano!$L$13</c:f>
              <c:strCache>
                <c:ptCount val="1"/>
                <c:pt idx="0">
                  <c:v>Ingresos tributarios</c:v>
                </c:pt>
              </c:strCache>
            </c:strRef>
          </c:tx>
          <c:spPr>
            <a:ln>
              <a:solidFill>
                <a:schemeClr val="accent3"/>
              </a:solidFill>
            </a:ln>
          </c:spPr>
          <c:marker>
            <c:symbol val="none"/>
          </c:marker>
          <c:cat>
            <c:numRef>
              <c:f>NoainHuarteBerrioplano!$M$7:$U$7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NoainHuarteBerrioplano!$M$13:$U$13</c:f>
              <c:numCache>
                <c:formatCode>#,##0</c:formatCode>
                <c:ptCount val="9"/>
                <c:pt idx="0">
                  <c:v>4824010.72</c:v>
                </c:pt>
                <c:pt idx="1">
                  <c:v>4963390.9999999991</c:v>
                </c:pt>
                <c:pt idx="2">
                  <c:v>4545505.6000000006</c:v>
                </c:pt>
                <c:pt idx="3">
                  <c:v>4727842.6700000009</c:v>
                </c:pt>
                <c:pt idx="4">
                  <c:v>5138477.6599999992</c:v>
                </c:pt>
                <c:pt idx="5">
                  <c:v>4686140.43</c:v>
                </c:pt>
                <c:pt idx="6">
                  <c:v>4769723.6000000015</c:v>
                </c:pt>
                <c:pt idx="7">
                  <c:v>5315551.7899999991</c:v>
                </c:pt>
                <c:pt idx="8">
                  <c:v>4814234.5500000017</c:v>
                </c:pt>
              </c:numCache>
            </c:numRef>
          </c:val>
          <c:smooth val="0"/>
        </c:ser>
        <c:dLbls>
          <c:showLegendKey val="0"/>
          <c:showVal val="0"/>
          <c:showCatName val="0"/>
          <c:showSerName val="0"/>
          <c:showPercent val="0"/>
          <c:showBubbleSize val="0"/>
        </c:dLbls>
        <c:marker val="1"/>
        <c:smooth val="0"/>
        <c:axId val="37142912"/>
        <c:axId val="37144448"/>
      </c:lineChart>
      <c:catAx>
        <c:axId val="37142912"/>
        <c:scaling>
          <c:orientation val="minMax"/>
        </c:scaling>
        <c:delete val="0"/>
        <c:axPos val="b"/>
        <c:numFmt formatCode="General" sourceLinked="1"/>
        <c:majorTickMark val="none"/>
        <c:minorTickMark val="none"/>
        <c:tickLblPos val="nextTo"/>
        <c:crossAx val="37144448"/>
        <c:crosses val="autoZero"/>
        <c:auto val="1"/>
        <c:lblAlgn val="ctr"/>
        <c:lblOffset val="100"/>
        <c:noMultiLvlLbl val="0"/>
      </c:catAx>
      <c:valAx>
        <c:axId val="37144448"/>
        <c:scaling>
          <c:orientation val="minMax"/>
        </c:scaling>
        <c:delete val="0"/>
        <c:axPos val="l"/>
        <c:majorGridlines/>
        <c:numFmt formatCode="#,##0" sourceLinked="1"/>
        <c:majorTickMark val="none"/>
        <c:minorTickMark val="none"/>
        <c:tickLblPos val="nextTo"/>
        <c:spPr>
          <a:ln w="9525">
            <a:noFill/>
          </a:ln>
        </c:spPr>
        <c:crossAx val="37142912"/>
        <c:crosses val="autoZero"/>
        <c:crossBetween val="between"/>
      </c:valAx>
      <c:valAx>
        <c:axId val="37145984"/>
        <c:scaling>
          <c:orientation val="minMax"/>
        </c:scaling>
        <c:delete val="0"/>
        <c:axPos val="r"/>
        <c:numFmt formatCode="#,##0" sourceLinked="1"/>
        <c:majorTickMark val="out"/>
        <c:minorTickMark val="none"/>
        <c:tickLblPos val="nextTo"/>
        <c:crossAx val="37155968"/>
        <c:crosses val="max"/>
        <c:crossBetween val="between"/>
      </c:valAx>
      <c:catAx>
        <c:axId val="37155968"/>
        <c:scaling>
          <c:orientation val="minMax"/>
        </c:scaling>
        <c:delete val="1"/>
        <c:axPos val="b"/>
        <c:numFmt formatCode="General" sourceLinked="1"/>
        <c:majorTickMark val="out"/>
        <c:minorTickMark val="none"/>
        <c:tickLblPos val="nextTo"/>
        <c:crossAx val="3714598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Huarte</a:t>
            </a:r>
          </a:p>
        </c:rich>
      </c:tx>
      <c:overlay val="0"/>
    </c:title>
    <c:autoTitleDeleted val="0"/>
    <c:plotArea>
      <c:layout/>
      <c:barChart>
        <c:barDir val="col"/>
        <c:grouping val="clustered"/>
        <c:varyColors val="0"/>
        <c:ser>
          <c:idx val="6"/>
          <c:order val="5"/>
          <c:tx>
            <c:strRef>
              <c:f>NoainHuarteBerrioplano!$L$74</c:f>
              <c:strCache>
                <c:ptCount val="1"/>
                <c:pt idx="0">
                  <c:v>Población</c:v>
                </c:pt>
              </c:strCache>
            </c:strRef>
          </c:tx>
          <c:spPr>
            <a:solidFill>
              <a:schemeClr val="tx2">
                <a:lumMod val="20000"/>
                <a:lumOff val="80000"/>
              </a:schemeClr>
            </a:solidFill>
          </c:spPr>
          <c:invertIfNegative val="0"/>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NoainHuarteBerrioplano!$M$74:$U$74</c:f>
              <c:numCache>
                <c:formatCode>#,##0</c:formatCode>
                <c:ptCount val="9"/>
                <c:pt idx="0">
                  <c:v>5858</c:v>
                </c:pt>
                <c:pt idx="1">
                  <c:v>6095</c:v>
                </c:pt>
                <c:pt idx="2">
                  <c:v>6309</c:v>
                </c:pt>
                <c:pt idx="3">
                  <c:v>6543</c:v>
                </c:pt>
                <c:pt idx="4">
                  <c:v>6781</c:v>
                </c:pt>
                <c:pt idx="5">
                  <c:v>6941</c:v>
                </c:pt>
                <c:pt idx="6">
                  <c:v>6776</c:v>
                </c:pt>
                <c:pt idx="7">
                  <c:v>6895</c:v>
                </c:pt>
                <c:pt idx="8">
                  <c:v>6917</c:v>
                </c:pt>
              </c:numCache>
            </c:numRef>
          </c:val>
        </c:ser>
        <c:dLbls>
          <c:showLegendKey val="0"/>
          <c:showVal val="0"/>
          <c:showCatName val="0"/>
          <c:showSerName val="0"/>
          <c:showPercent val="0"/>
          <c:showBubbleSize val="0"/>
        </c:dLbls>
        <c:gapWidth val="150"/>
        <c:axId val="129998208"/>
        <c:axId val="129996672"/>
      </c:barChart>
      <c:lineChart>
        <c:grouping val="standard"/>
        <c:varyColors val="0"/>
        <c:ser>
          <c:idx val="1"/>
          <c:order val="0"/>
          <c:tx>
            <c:strRef>
              <c:f>NoainHuarteBerrioplano!$L$68</c:f>
              <c:strCache>
                <c:ptCount val="1"/>
                <c:pt idx="0">
                  <c:v>Fondo transferencias(FT)</c:v>
                </c:pt>
              </c:strCache>
            </c:strRef>
          </c:tx>
          <c:spPr>
            <a:ln w="50800">
              <a:solidFill>
                <a:srgbClr val="FF0000"/>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NoainHuarteBerrioplano!$M$68:$U$68</c:f>
              <c:numCache>
                <c:formatCode>#,##0</c:formatCode>
                <c:ptCount val="9"/>
                <c:pt idx="0">
                  <c:v>1036978.2</c:v>
                </c:pt>
                <c:pt idx="1">
                  <c:v>1066998.4099999999</c:v>
                </c:pt>
                <c:pt idx="2">
                  <c:v>1081964.97</c:v>
                </c:pt>
                <c:pt idx="3">
                  <c:v>1119651.49</c:v>
                </c:pt>
                <c:pt idx="4">
                  <c:v>1237746.1200000001</c:v>
                </c:pt>
                <c:pt idx="5">
                  <c:v>1331457.02</c:v>
                </c:pt>
                <c:pt idx="6">
                  <c:v>1331457.04</c:v>
                </c:pt>
                <c:pt idx="7">
                  <c:v>1356754.71</c:v>
                </c:pt>
                <c:pt idx="8">
                  <c:v>1374392.52</c:v>
                </c:pt>
              </c:numCache>
            </c:numRef>
          </c:val>
          <c:smooth val="0"/>
        </c:ser>
        <c:ser>
          <c:idx val="2"/>
          <c:order val="1"/>
          <c:tx>
            <c:strRef>
              <c:f>NoainHuarteBerrioplano!$L$69</c:f>
              <c:strCache>
                <c:ptCount val="1"/>
                <c:pt idx="0">
                  <c:v>Gastos de funcionamiento</c:v>
                </c:pt>
              </c:strCache>
            </c:strRef>
          </c:tx>
          <c:spPr>
            <a:ln>
              <a:solidFill>
                <a:schemeClr val="accent6"/>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NoainHuarteBerrioplano!$M$69:$U$69</c:f>
              <c:numCache>
                <c:formatCode>#,##0</c:formatCode>
                <c:ptCount val="9"/>
                <c:pt idx="0">
                  <c:v>5480683.54</c:v>
                </c:pt>
                <c:pt idx="1">
                  <c:v>5905102.5600000005</c:v>
                </c:pt>
                <c:pt idx="2">
                  <c:v>5556851.3899999997</c:v>
                </c:pt>
                <c:pt idx="3">
                  <c:v>5491728.5700000003</c:v>
                </c:pt>
                <c:pt idx="4">
                  <c:v>6032902.3399999999</c:v>
                </c:pt>
                <c:pt idx="5">
                  <c:v>5490829.9100000001</c:v>
                </c:pt>
                <c:pt idx="6">
                  <c:v>5756714.8899999997</c:v>
                </c:pt>
                <c:pt idx="7">
                  <c:v>6724519.5700000003</c:v>
                </c:pt>
                <c:pt idx="8">
                  <c:v>6715585.9699999997</c:v>
                </c:pt>
              </c:numCache>
            </c:numRef>
          </c:val>
          <c:smooth val="0"/>
        </c:ser>
        <c:ser>
          <c:idx val="3"/>
          <c:order val="2"/>
          <c:tx>
            <c:strRef>
              <c:f>NoainHuarteBerrioplano!$L$71</c:f>
              <c:strCache>
                <c:ptCount val="1"/>
                <c:pt idx="0">
                  <c:v>Ingresos corrientes(sin FT)</c:v>
                </c:pt>
              </c:strCache>
            </c:strRef>
          </c:tx>
          <c:spPr>
            <a:ln>
              <a:solidFill>
                <a:schemeClr val="accent5"/>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NoainHuarteBerrioplano!$M$71:$U$71</c:f>
              <c:numCache>
                <c:formatCode>#,##0</c:formatCode>
                <c:ptCount val="9"/>
                <c:pt idx="0">
                  <c:v>4571547.0599999996</c:v>
                </c:pt>
                <c:pt idx="1">
                  <c:v>5448299.5800000001</c:v>
                </c:pt>
                <c:pt idx="2">
                  <c:v>4900777.8899999997</c:v>
                </c:pt>
                <c:pt idx="3">
                  <c:v>5351685.0199999996</c:v>
                </c:pt>
                <c:pt idx="4">
                  <c:v>5749240.6799999997</c:v>
                </c:pt>
                <c:pt idx="5">
                  <c:v>5467615.790000001</c:v>
                </c:pt>
                <c:pt idx="6">
                  <c:v>5560583.8600000013</c:v>
                </c:pt>
                <c:pt idx="7">
                  <c:v>6700349.8300000001</c:v>
                </c:pt>
                <c:pt idx="8">
                  <c:v>6619442.7400000002</c:v>
                </c:pt>
              </c:numCache>
            </c:numRef>
          </c:val>
          <c:smooth val="0"/>
        </c:ser>
        <c:ser>
          <c:idx val="4"/>
          <c:order val="3"/>
          <c:tx>
            <c:strRef>
              <c:f>NoainHuarteBerrioplano!$L$72</c:f>
              <c:strCache>
                <c:ptCount val="1"/>
                <c:pt idx="0">
                  <c:v>AHORRO BRUTO</c:v>
                </c:pt>
              </c:strCache>
            </c:strRef>
          </c:tx>
          <c:spPr>
            <a:ln>
              <a:solidFill>
                <a:schemeClr val="accent4"/>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NoainHuarteBerrioplano!$M$72:$U$72</c:f>
              <c:numCache>
                <c:formatCode>#,##0</c:formatCode>
                <c:ptCount val="9"/>
                <c:pt idx="0">
                  <c:v>127841.71999999974</c:v>
                </c:pt>
                <c:pt idx="1">
                  <c:v>610195.4299999997</c:v>
                </c:pt>
                <c:pt idx="2">
                  <c:v>425891.46999999974</c:v>
                </c:pt>
                <c:pt idx="3">
                  <c:v>979607.93999999948</c:v>
                </c:pt>
                <c:pt idx="4">
                  <c:v>954084.46</c:v>
                </c:pt>
                <c:pt idx="5">
                  <c:v>1308242.9000000004</c:v>
                </c:pt>
                <c:pt idx="6">
                  <c:v>1135326.0100000016</c:v>
                </c:pt>
                <c:pt idx="7">
                  <c:v>1332584.9699999997</c:v>
                </c:pt>
                <c:pt idx="8">
                  <c:v>1278249.29</c:v>
                </c:pt>
              </c:numCache>
            </c:numRef>
          </c:val>
          <c:smooth val="0"/>
        </c:ser>
        <c:ser>
          <c:idx val="5"/>
          <c:order val="4"/>
          <c:tx>
            <c:strRef>
              <c:f>NoainHuarteBerrioplano!$L$73</c:f>
              <c:strCache>
                <c:ptCount val="1"/>
                <c:pt idx="0">
                  <c:v>Ingresos tributarios</c:v>
                </c:pt>
              </c:strCache>
            </c:strRef>
          </c:tx>
          <c:spPr>
            <a:ln>
              <a:solidFill>
                <a:schemeClr val="accent3"/>
              </a:solidFill>
            </a:ln>
          </c:spPr>
          <c:marker>
            <c:symbol val="none"/>
          </c:marker>
          <c:cat>
            <c:numRef>
              <c:f>NoainHuarteBerrioplano!$M$67:$U$67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NoainHuarteBerrioplano!$M$73:$U$73</c:f>
              <c:numCache>
                <c:formatCode>#,##0</c:formatCode>
                <c:ptCount val="9"/>
                <c:pt idx="0">
                  <c:v>3685606.83</c:v>
                </c:pt>
                <c:pt idx="1">
                  <c:v>4362650.8</c:v>
                </c:pt>
                <c:pt idx="2">
                  <c:v>3966275.3</c:v>
                </c:pt>
                <c:pt idx="3">
                  <c:v>4230244.22</c:v>
                </c:pt>
                <c:pt idx="4">
                  <c:v>4418392.1100000003</c:v>
                </c:pt>
                <c:pt idx="5">
                  <c:v>4374270.6500000004</c:v>
                </c:pt>
                <c:pt idx="6">
                  <c:v>4410108.5</c:v>
                </c:pt>
                <c:pt idx="7">
                  <c:v>5384371.3799999999</c:v>
                </c:pt>
                <c:pt idx="8">
                  <c:v>5372538.9899999993</c:v>
                </c:pt>
              </c:numCache>
            </c:numRef>
          </c:val>
          <c:smooth val="0"/>
        </c:ser>
        <c:dLbls>
          <c:showLegendKey val="0"/>
          <c:showVal val="0"/>
          <c:showCatName val="0"/>
          <c:showSerName val="0"/>
          <c:showPercent val="0"/>
          <c:showBubbleSize val="0"/>
        </c:dLbls>
        <c:marker val="1"/>
        <c:smooth val="0"/>
        <c:axId val="129976960"/>
        <c:axId val="129995136"/>
      </c:lineChart>
      <c:catAx>
        <c:axId val="129976960"/>
        <c:scaling>
          <c:orientation val="minMax"/>
        </c:scaling>
        <c:delete val="0"/>
        <c:axPos val="b"/>
        <c:numFmt formatCode="General" sourceLinked="1"/>
        <c:majorTickMark val="none"/>
        <c:minorTickMark val="none"/>
        <c:tickLblPos val="nextTo"/>
        <c:crossAx val="129995136"/>
        <c:crosses val="autoZero"/>
        <c:auto val="1"/>
        <c:lblAlgn val="ctr"/>
        <c:lblOffset val="100"/>
        <c:noMultiLvlLbl val="0"/>
      </c:catAx>
      <c:valAx>
        <c:axId val="129995136"/>
        <c:scaling>
          <c:orientation val="minMax"/>
        </c:scaling>
        <c:delete val="0"/>
        <c:axPos val="l"/>
        <c:majorGridlines/>
        <c:numFmt formatCode="#,##0" sourceLinked="1"/>
        <c:majorTickMark val="none"/>
        <c:minorTickMark val="none"/>
        <c:tickLblPos val="nextTo"/>
        <c:spPr>
          <a:ln w="9525">
            <a:noFill/>
          </a:ln>
        </c:spPr>
        <c:crossAx val="129976960"/>
        <c:crosses val="autoZero"/>
        <c:crossBetween val="between"/>
      </c:valAx>
      <c:valAx>
        <c:axId val="129996672"/>
        <c:scaling>
          <c:orientation val="minMax"/>
        </c:scaling>
        <c:delete val="0"/>
        <c:axPos val="r"/>
        <c:numFmt formatCode="#,##0" sourceLinked="1"/>
        <c:majorTickMark val="out"/>
        <c:minorTickMark val="none"/>
        <c:tickLblPos val="nextTo"/>
        <c:crossAx val="129998208"/>
        <c:crosses val="max"/>
        <c:crossBetween val="between"/>
      </c:valAx>
      <c:catAx>
        <c:axId val="129998208"/>
        <c:scaling>
          <c:orientation val="minMax"/>
        </c:scaling>
        <c:delete val="1"/>
        <c:axPos val="b"/>
        <c:numFmt formatCode="General" sourceLinked="1"/>
        <c:majorTickMark val="out"/>
        <c:minorTickMark val="none"/>
        <c:tickLblPos val="nextTo"/>
        <c:crossAx val="129996672"/>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Berrioplano</a:t>
            </a:r>
          </a:p>
        </c:rich>
      </c:tx>
      <c:overlay val="0"/>
    </c:title>
    <c:autoTitleDeleted val="0"/>
    <c:plotArea>
      <c:layout/>
      <c:barChart>
        <c:barDir val="col"/>
        <c:grouping val="clustered"/>
        <c:varyColors val="0"/>
        <c:ser>
          <c:idx val="6"/>
          <c:order val="5"/>
          <c:tx>
            <c:strRef>
              <c:f>NoainHuarteBerrioplano!$L$91</c:f>
              <c:strCache>
                <c:ptCount val="1"/>
                <c:pt idx="0">
                  <c:v>Población</c:v>
                </c:pt>
              </c:strCache>
            </c:strRef>
          </c:tx>
          <c:spPr>
            <a:solidFill>
              <a:schemeClr val="tx2">
                <a:lumMod val="20000"/>
                <a:lumOff val="80000"/>
              </a:schemeClr>
            </a:solidFill>
          </c:spPr>
          <c:invertIfNegative val="0"/>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NoainHuarteBerrioplano!$M$91:$U$91</c:f>
              <c:numCache>
                <c:formatCode>#,##0</c:formatCode>
                <c:ptCount val="9"/>
                <c:pt idx="0">
                  <c:v>4344</c:v>
                </c:pt>
                <c:pt idx="1">
                  <c:v>4852</c:v>
                </c:pt>
                <c:pt idx="2">
                  <c:v>5366</c:v>
                </c:pt>
                <c:pt idx="3">
                  <c:v>5971</c:v>
                </c:pt>
                <c:pt idx="4">
                  <c:v>6325</c:v>
                </c:pt>
                <c:pt idx="5">
                  <c:v>6444</c:v>
                </c:pt>
                <c:pt idx="6">
                  <c:v>6527</c:v>
                </c:pt>
                <c:pt idx="7">
                  <c:v>6731</c:v>
                </c:pt>
                <c:pt idx="8">
                  <c:v>6872</c:v>
                </c:pt>
              </c:numCache>
            </c:numRef>
          </c:val>
        </c:ser>
        <c:dLbls>
          <c:showLegendKey val="0"/>
          <c:showVal val="0"/>
          <c:showCatName val="0"/>
          <c:showSerName val="0"/>
          <c:showPercent val="0"/>
          <c:showBubbleSize val="0"/>
        </c:dLbls>
        <c:gapWidth val="150"/>
        <c:axId val="130058496"/>
        <c:axId val="130056960"/>
      </c:barChart>
      <c:lineChart>
        <c:grouping val="standard"/>
        <c:varyColors val="0"/>
        <c:ser>
          <c:idx val="2"/>
          <c:order val="0"/>
          <c:tx>
            <c:strRef>
              <c:f>NoainHuarteBerrioplano!$L$85</c:f>
              <c:strCache>
                <c:ptCount val="1"/>
                <c:pt idx="0">
                  <c:v>Fondo transferencias(FT)</c:v>
                </c:pt>
              </c:strCache>
            </c:strRef>
          </c:tx>
          <c:spPr>
            <a:ln w="50800">
              <a:solidFill>
                <a:srgbClr val="FF0000"/>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NoainHuarteBerrioplano!$M$85:$U$85</c:f>
              <c:numCache>
                <c:formatCode>#,##0</c:formatCode>
                <c:ptCount val="9"/>
                <c:pt idx="0">
                  <c:v>558051.31000000006</c:v>
                </c:pt>
                <c:pt idx="1">
                  <c:v>586691.53</c:v>
                </c:pt>
                <c:pt idx="2">
                  <c:v>665066.48</c:v>
                </c:pt>
                <c:pt idx="3">
                  <c:v>714889.19</c:v>
                </c:pt>
                <c:pt idx="4">
                  <c:v>888543.29</c:v>
                </c:pt>
                <c:pt idx="5">
                  <c:v>1058442.6800000002</c:v>
                </c:pt>
                <c:pt idx="6">
                  <c:v>1058442.6800000002</c:v>
                </c:pt>
                <c:pt idx="7">
                  <c:v>1078553.0900000001</c:v>
                </c:pt>
                <c:pt idx="8">
                  <c:v>1092574.3199999996</c:v>
                </c:pt>
              </c:numCache>
            </c:numRef>
          </c:val>
          <c:smooth val="0"/>
        </c:ser>
        <c:ser>
          <c:idx val="3"/>
          <c:order val="1"/>
          <c:tx>
            <c:strRef>
              <c:f>NoainHuarteBerrioplano!$L$86</c:f>
              <c:strCache>
                <c:ptCount val="1"/>
                <c:pt idx="0">
                  <c:v>Gastos de funcionamiento</c:v>
                </c:pt>
              </c:strCache>
            </c:strRef>
          </c:tx>
          <c:spPr>
            <a:ln>
              <a:solidFill>
                <a:schemeClr val="accent6"/>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NoainHuarteBerrioplano!$M$86:$U$86</c:f>
              <c:numCache>
                <c:formatCode>#,##0</c:formatCode>
                <c:ptCount val="9"/>
                <c:pt idx="0">
                  <c:v>4162487.1500000004</c:v>
                </c:pt>
                <c:pt idx="1">
                  <c:v>4086222.8400000008</c:v>
                </c:pt>
                <c:pt idx="2">
                  <c:v>3715402.77</c:v>
                </c:pt>
                <c:pt idx="3">
                  <c:v>3610565.84</c:v>
                </c:pt>
                <c:pt idx="4">
                  <c:v>3367791.82</c:v>
                </c:pt>
                <c:pt idx="5">
                  <c:v>3583883.23</c:v>
                </c:pt>
                <c:pt idx="6">
                  <c:v>3592507.8800000004</c:v>
                </c:pt>
                <c:pt idx="7">
                  <c:v>3543814.86</c:v>
                </c:pt>
                <c:pt idx="8">
                  <c:v>3850812.0199999996</c:v>
                </c:pt>
              </c:numCache>
            </c:numRef>
          </c:val>
          <c:smooth val="0"/>
        </c:ser>
        <c:ser>
          <c:idx val="0"/>
          <c:order val="2"/>
          <c:tx>
            <c:strRef>
              <c:f>NoainHuarteBerrioplano!$L$88</c:f>
              <c:strCache>
                <c:ptCount val="1"/>
                <c:pt idx="0">
                  <c:v>Ingresos corrientes(sin FT)</c:v>
                </c:pt>
              </c:strCache>
            </c:strRef>
          </c:tx>
          <c:spPr>
            <a:ln>
              <a:solidFill>
                <a:schemeClr val="accent5"/>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NoainHuarteBerrioplano!$M$88:$U$88</c:f>
              <c:numCache>
                <c:formatCode>#,##0</c:formatCode>
                <c:ptCount val="9"/>
                <c:pt idx="0">
                  <c:v>3710688.03</c:v>
                </c:pt>
                <c:pt idx="1">
                  <c:v>3754370.7700000014</c:v>
                </c:pt>
                <c:pt idx="2">
                  <c:v>3304370.96</c:v>
                </c:pt>
                <c:pt idx="3">
                  <c:v>3677840.3899999992</c:v>
                </c:pt>
                <c:pt idx="4">
                  <c:v>3794022.8599999985</c:v>
                </c:pt>
                <c:pt idx="5">
                  <c:v>4204226.290000001</c:v>
                </c:pt>
                <c:pt idx="6">
                  <c:v>4072112.7099999995</c:v>
                </c:pt>
                <c:pt idx="7">
                  <c:v>4341593.2</c:v>
                </c:pt>
                <c:pt idx="8">
                  <c:v>4912167.4900000012</c:v>
                </c:pt>
              </c:numCache>
            </c:numRef>
          </c:val>
          <c:smooth val="0"/>
        </c:ser>
        <c:ser>
          <c:idx val="4"/>
          <c:order val="3"/>
          <c:tx>
            <c:strRef>
              <c:f>NoainHuarteBerrioplano!$L$89</c:f>
              <c:strCache>
                <c:ptCount val="1"/>
                <c:pt idx="0">
                  <c:v>AHORRO BRUTO</c:v>
                </c:pt>
              </c:strCache>
            </c:strRef>
          </c:tx>
          <c:spPr>
            <a:ln>
              <a:solidFill>
                <a:schemeClr val="accent4"/>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NoainHuarteBerrioplano!$M$89:$U$89</c:f>
              <c:numCache>
                <c:formatCode>#,##0</c:formatCode>
                <c:ptCount val="9"/>
                <c:pt idx="0">
                  <c:v>106252.18999999948</c:v>
                </c:pt>
                <c:pt idx="1">
                  <c:v>254839.46000000089</c:v>
                </c:pt>
                <c:pt idx="2">
                  <c:v>254034.66999999993</c:v>
                </c:pt>
                <c:pt idx="3">
                  <c:v>782163.73999999929</c:v>
                </c:pt>
                <c:pt idx="4">
                  <c:v>1314774.3299999987</c:v>
                </c:pt>
                <c:pt idx="5">
                  <c:v>1678785.7400000007</c:v>
                </c:pt>
                <c:pt idx="6">
                  <c:v>1538047.5099999993</c:v>
                </c:pt>
                <c:pt idx="7">
                  <c:v>1876331.4300000002</c:v>
                </c:pt>
                <c:pt idx="8">
                  <c:v>2153929.790000001</c:v>
                </c:pt>
              </c:numCache>
            </c:numRef>
          </c:val>
          <c:smooth val="0"/>
        </c:ser>
        <c:ser>
          <c:idx val="5"/>
          <c:order val="4"/>
          <c:tx>
            <c:strRef>
              <c:f>NoainHuarteBerrioplano!$L$90</c:f>
              <c:strCache>
                <c:ptCount val="1"/>
                <c:pt idx="0">
                  <c:v>Ingresos tributarios</c:v>
                </c:pt>
              </c:strCache>
            </c:strRef>
          </c:tx>
          <c:spPr>
            <a:ln>
              <a:solidFill>
                <a:schemeClr val="accent3"/>
              </a:solidFill>
            </a:ln>
          </c:spPr>
          <c:marker>
            <c:symbol val="none"/>
          </c:marker>
          <c:cat>
            <c:numRef>
              <c:f>NoainHuarteBerrioplano!$M$84:$U$84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NoainHuarteBerrioplano!$M$90:$U$90</c:f>
              <c:numCache>
                <c:formatCode>#,##0</c:formatCode>
                <c:ptCount val="9"/>
                <c:pt idx="0">
                  <c:v>3097821.4999999995</c:v>
                </c:pt>
                <c:pt idx="1">
                  <c:v>3154005.2199999997</c:v>
                </c:pt>
                <c:pt idx="2">
                  <c:v>2824136.0399999996</c:v>
                </c:pt>
                <c:pt idx="3">
                  <c:v>2918369.5</c:v>
                </c:pt>
                <c:pt idx="4">
                  <c:v>3089440.560000001</c:v>
                </c:pt>
                <c:pt idx="5">
                  <c:v>3406000.83</c:v>
                </c:pt>
                <c:pt idx="6">
                  <c:v>3216381.9200000004</c:v>
                </c:pt>
                <c:pt idx="7">
                  <c:v>3316032.7299999991</c:v>
                </c:pt>
                <c:pt idx="8">
                  <c:v>3786304.33</c:v>
                </c:pt>
              </c:numCache>
            </c:numRef>
          </c:val>
          <c:smooth val="0"/>
        </c:ser>
        <c:dLbls>
          <c:showLegendKey val="0"/>
          <c:showVal val="0"/>
          <c:showCatName val="0"/>
          <c:showSerName val="0"/>
          <c:showPercent val="0"/>
          <c:showBubbleSize val="0"/>
        </c:dLbls>
        <c:marker val="1"/>
        <c:smooth val="0"/>
        <c:axId val="130041344"/>
        <c:axId val="130042880"/>
      </c:lineChart>
      <c:catAx>
        <c:axId val="130041344"/>
        <c:scaling>
          <c:orientation val="minMax"/>
        </c:scaling>
        <c:delete val="0"/>
        <c:axPos val="b"/>
        <c:numFmt formatCode="General" sourceLinked="1"/>
        <c:majorTickMark val="none"/>
        <c:minorTickMark val="none"/>
        <c:tickLblPos val="nextTo"/>
        <c:crossAx val="130042880"/>
        <c:crosses val="autoZero"/>
        <c:auto val="1"/>
        <c:lblAlgn val="ctr"/>
        <c:lblOffset val="100"/>
        <c:noMultiLvlLbl val="0"/>
      </c:catAx>
      <c:valAx>
        <c:axId val="130042880"/>
        <c:scaling>
          <c:orientation val="minMax"/>
        </c:scaling>
        <c:delete val="0"/>
        <c:axPos val="l"/>
        <c:majorGridlines/>
        <c:numFmt formatCode="#,##0" sourceLinked="1"/>
        <c:majorTickMark val="none"/>
        <c:minorTickMark val="none"/>
        <c:tickLblPos val="nextTo"/>
        <c:spPr>
          <a:ln w="9525">
            <a:noFill/>
          </a:ln>
        </c:spPr>
        <c:crossAx val="130041344"/>
        <c:crosses val="autoZero"/>
        <c:crossBetween val="between"/>
      </c:valAx>
      <c:valAx>
        <c:axId val="130056960"/>
        <c:scaling>
          <c:orientation val="minMax"/>
        </c:scaling>
        <c:delete val="0"/>
        <c:axPos val="r"/>
        <c:numFmt formatCode="#,##0" sourceLinked="1"/>
        <c:majorTickMark val="out"/>
        <c:minorTickMark val="none"/>
        <c:tickLblPos val="nextTo"/>
        <c:crossAx val="130058496"/>
        <c:crosses val="max"/>
        <c:crossBetween val="between"/>
      </c:valAx>
      <c:catAx>
        <c:axId val="130058496"/>
        <c:scaling>
          <c:orientation val="minMax"/>
        </c:scaling>
        <c:delete val="1"/>
        <c:axPos val="b"/>
        <c:numFmt formatCode="General" sourceLinked="1"/>
        <c:majorTickMark val="out"/>
        <c:minorTickMark val="none"/>
        <c:tickLblPos val="nextTo"/>
        <c:crossAx val="13005696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Falces</a:t>
            </a:r>
          </a:p>
        </c:rich>
      </c:tx>
      <c:overlay val="0"/>
    </c:title>
    <c:autoTitleDeleted val="0"/>
    <c:plotArea>
      <c:layout/>
      <c:barChart>
        <c:barDir val="col"/>
        <c:grouping val="clustered"/>
        <c:varyColors val="0"/>
        <c:ser>
          <c:idx val="6"/>
          <c:order val="5"/>
          <c:tx>
            <c:strRef>
              <c:f>'Olazti-Falces-Andosilla'!$L$11</c:f>
              <c:strCache>
                <c:ptCount val="1"/>
                <c:pt idx="0">
                  <c:v>Población</c:v>
                </c:pt>
              </c:strCache>
            </c:strRef>
          </c:tx>
          <c:spPr>
            <a:solidFill>
              <a:schemeClr val="tx2">
                <a:lumMod val="20000"/>
                <a:lumOff val="80000"/>
              </a:schemeClr>
            </a:solidFill>
          </c:spPr>
          <c:invertIfNegative val="0"/>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'Olazti-Falces-Andosilla'!$M$11:$U$11</c:f>
              <c:numCache>
                <c:formatCode>#,##0</c:formatCode>
                <c:ptCount val="9"/>
                <c:pt idx="0">
                  <c:v>2641</c:v>
                </c:pt>
                <c:pt idx="1">
                  <c:v>2650</c:v>
                </c:pt>
                <c:pt idx="2">
                  <c:v>2637</c:v>
                </c:pt>
                <c:pt idx="3">
                  <c:v>2559</c:v>
                </c:pt>
                <c:pt idx="4">
                  <c:v>2501</c:v>
                </c:pt>
                <c:pt idx="5">
                  <c:v>2443</c:v>
                </c:pt>
                <c:pt idx="6">
                  <c:v>2390</c:v>
                </c:pt>
                <c:pt idx="7">
                  <c:v>2335</c:v>
                </c:pt>
                <c:pt idx="8">
                  <c:v>2313</c:v>
                </c:pt>
              </c:numCache>
            </c:numRef>
          </c:val>
        </c:ser>
        <c:dLbls>
          <c:showLegendKey val="0"/>
          <c:showVal val="0"/>
          <c:showCatName val="0"/>
          <c:showSerName val="0"/>
          <c:showPercent val="0"/>
          <c:showBubbleSize val="0"/>
        </c:dLbls>
        <c:gapWidth val="75"/>
        <c:axId val="130298624"/>
        <c:axId val="130292736"/>
      </c:barChart>
      <c:lineChart>
        <c:grouping val="standard"/>
        <c:varyColors val="0"/>
        <c:ser>
          <c:idx val="0"/>
          <c:order val="0"/>
          <c:tx>
            <c:strRef>
              <c:f>'Olazti-Falces-Andosilla'!$L$5</c:f>
              <c:strCache>
                <c:ptCount val="1"/>
                <c:pt idx="0">
                  <c:v>Fondo transferencias(FT)</c:v>
                </c:pt>
              </c:strCache>
            </c:strRef>
          </c:tx>
          <c:spPr>
            <a:ln w="50800">
              <a:solidFill>
                <a:srgbClr val="FF0000"/>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'Olazti-Falces-Andosilla'!$M$5:$U$5</c:f>
              <c:numCache>
                <c:formatCode>#,##0</c:formatCode>
                <c:ptCount val="9"/>
                <c:pt idx="0">
                  <c:v>636141.31999999995</c:v>
                </c:pt>
                <c:pt idx="1">
                  <c:v>637620.15</c:v>
                </c:pt>
                <c:pt idx="2">
                  <c:v>633363.76</c:v>
                </c:pt>
                <c:pt idx="3">
                  <c:v>634757.86</c:v>
                </c:pt>
                <c:pt idx="4">
                  <c:v>634757.86</c:v>
                </c:pt>
                <c:pt idx="5">
                  <c:v>634757.86</c:v>
                </c:pt>
                <c:pt idx="6">
                  <c:v>634757.88</c:v>
                </c:pt>
                <c:pt idx="7">
                  <c:v>646818.26</c:v>
                </c:pt>
                <c:pt idx="8">
                  <c:v>655226.92000000004</c:v>
                </c:pt>
              </c:numCache>
            </c:numRef>
          </c:val>
          <c:smooth val="0"/>
        </c:ser>
        <c:ser>
          <c:idx val="1"/>
          <c:order val="1"/>
          <c:tx>
            <c:strRef>
              <c:f>'Olazti-Falces-Andosilla'!$L$6</c:f>
              <c:strCache>
                <c:ptCount val="1"/>
                <c:pt idx="0">
                  <c:v>Gastos de funcionamiento</c:v>
                </c:pt>
              </c:strCache>
            </c:strRef>
          </c:tx>
          <c:spPr>
            <a:ln>
              <a:solidFill>
                <a:schemeClr val="accent6"/>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'Olazti-Falces-Andosilla'!$M$6:$U$6</c:f>
              <c:numCache>
                <c:formatCode>#,##0</c:formatCode>
                <c:ptCount val="9"/>
                <c:pt idx="0">
                  <c:v>2263147.0099999998</c:v>
                </c:pt>
                <c:pt idx="1">
                  <c:v>2179194.77</c:v>
                </c:pt>
                <c:pt idx="2">
                  <c:v>2052212.36</c:v>
                </c:pt>
                <c:pt idx="3">
                  <c:v>2257413.31</c:v>
                </c:pt>
                <c:pt idx="4">
                  <c:v>2054347.05</c:v>
                </c:pt>
                <c:pt idx="5">
                  <c:v>2338487.62</c:v>
                </c:pt>
                <c:pt idx="6">
                  <c:v>2343691.8199999998</c:v>
                </c:pt>
                <c:pt idx="7">
                  <c:v>2596577.9700000002</c:v>
                </c:pt>
                <c:pt idx="8">
                  <c:v>2241494.62</c:v>
                </c:pt>
              </c:numCache>
            </c:numRef>
          </c:val>
          <c:smooth val="0"/>
        </c:ser>
        <c:ser>
          <c:idx val="2"/>
          <c:order val="2"/>
          <c:tx>
            <c:strRef>
              <c:f>'Olazti-Falces-Andosilla'!$L$8</c:f>
              <c:strCache>
                <c:ptCount val="1"/>
                <c:pt idx="0">
                  <c:v>Ingresos corrientes(sin FT)</c:v>
                </c:pt>
              </c:strCache>
            </c:strRef>
          </c:tx>
          <c:spPr>
            <a:ln>
              <a:solidFill>
                <a:schemeClr val="accent5"/>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'Olazti-Falces-Andosilla'!$M$8:$U$8</c:f>
              <c:numCache>
                <c:formatCode>#,##0</c:formatCode>
                <c:ptCount val="9"/>
                <c:pt idx="0">
                  <c:v>2071475.0700000003</c:v>
                </c:pt>
                <c:pt idx="1">
                  <c:v>2061695.1099999999</c:v>
                </c:pt>
                <c:pt idx="2">
                  <c:v>2019483.1199999999</c:v>
                </c:pt>
                <c:pt idx="3">
                  <c:v>2148402.8800000004</c:v>
                </c:pt>
                <c:pt idx="4">
                  <c:v>2328174.9300000002</c:v>
                </c:pt>
                <c:pt idx="5">
                  <c:v>2344975.91</c:v>
                </c:pt>
                <c:pt idx="6">
                  <c:v>2352042.12</c:v>
                </c:pt>
                <c:pt idx="7">
                  <c:v>2436530.0099999998</c:v>
                </c:pt>
                <c:pt idx="8">
                  <c:v>2187373.96</c:v>
                </c:pt>
              </c:numCache>
            </c:numRef>
          </c:val>
          <c:smooth val="0"/>
        </c:ser>
        <c:ser>
          <c:idx val="4"/>
          <c:order val="3"/>
          <c:tx>
            <c:strRef>
              <c:f>'Olazti-Falces-Andosilla'!$L$9</c:f>
              <c:strCache>
                <c:ptCount val="1"/>
                <c:pt idx="0">
                  <c:v>AHORRO BRUTO</c:v>
                </c:pt>
              </c:strCache>
            </c:strRef>
          </c:tx>
          <c:spPr>
            <a:ln>
              <a:solidFill>
                <a:schemeClr val="accent4"/>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'Olazti-Falces-Andosilla'!$M$9:$U$9</c:f>
              <c:numCache>
                <c:formatCode>#,##0</c:formatCode>
                <c:ptCount val="9"/>
                <c:pt idx="0">
                  <c:v>444469.38000000035</c:v>
                </c:pt>
                <c:pt idx="1">
                  <c:v>520120.48999999976</c:v>
                </c:pt>
                <c:pt idx="2">
                  <c:v>600634.51999999979</c:v>
                </c:pt>
                <c:pt idx="3">
                  <c:v>525747.43000000017</c:v>
                </c:pt>
                <c:pt idx="4">
                  <c:v>908585.74</c:v>
                </c:pt>
                <c:pt idx="5">
                  <c:v>641246.14999999991</c:v>
                </c:pt>
                <c:pt idx="6">
                  <c:v>643108.18000000017</c:v>
                </c:pt>
                <c:pt idx="7">
                  <c:v>486770.29999999981</c:v>
                </c:pt>
                <c:pt idx="8">
                  <c:v>601106.25999999978</c:v>
                </c:pt>
              </c:numCache>
            </c:numRef>
          </c:val>
          <c:smooth val="0"/>
        </c:ser>
        <c:ser>
          <c:idx val="5"/>
          <c:order val="4"/>
          <c:tx>
            <c:strRef>
              <c:f>'Olazti-Falces-Andosilla'!$L$10</c:f>
              <c:strCache>
                <c:ptCount val="1"/>
                <c:pt idx="0">
                  <c:v>Ingresos tributarios</c:v>
                </c:pt>
              </c:strCache>
            </c:strRef>
          </c:tx>
          <c:spPr>
            <a:ln>
              <a:solidFill>
                <a:schemeClr val="accent3"/>
              </a:solidFill>
            </a:ln>
          </c:spPr>
          <c:marker>
            <c:symbol val="none"/>
          </c:marker>
          <c:cat>
            <c:numRef>
              <c:f>'Olazti-Falces-Andosilla'!$M$4:$U$4</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'Olazti-Falces-Andosilla'!$M$10:$U$10</c:f>
              <c:numCache>
                <c:formatCode>#,##0</c:formatCode>
                <c:ptCount val="9"/>
                <c:pt idx="0">
                  <c:v>1057707.77</c:v>
                </c:pt>
                <c:pt idx="1">
                  <c:v>1131636.3700000001</c:v>
                </c:pt>
                <c:pt idx="2">
                  <c:v>1182276.0899999999</c:v>
                </c:pt>
                <c:pt idx="3">
                  <c:v>1138287.71</c:v>
                </c:pt>
                <c:pt idx="4">
                  <c:v>1304344.8500000001</c:v>
                </c:pt>
                <c:pt idx="5">
                  <c:v>1347573.02</c:v>
                </c:pt>
                <c:pt idx="6">
                  <c:v>1457187.46</c:v>
                </c:pt>
                <c:pt idx="7">
                  <c:v>1377284.6400000001</c:v>
                </c:pt>
                <c:pt idx="8">
                  <c:v>1343378.43</c:v>
                </c:pt>
              </c:numCache>
            </c:numRef>
          </c:val>
          <c:smooth val="0"/>
        </c:ser>
        <c:dLbls>
          <c:showLegendKey val="0"/>
          <c:showVal val="0"/>
          <c:showCatName val="0"/>
          <c:showSerName val="0"/>
          <c:showPercent val="0"/>
          <c:showBubbleSize val="0"/>
        </c:dLbls>
        <c:marker val="1"/>
        <c:smooth val="0"/>
        <c:axId val="130289664"/>
        <c:axId val="130291200"/>
      </c:lineChart>
      <c:catAx>
        <c:axId val="130289664"/>
        <c:scaling>
          <c:orientation val="minMax"/>
        </c:scaling>
        <c:delete val="0"/>
        <c:axPos val="b"/>
        <c:numFmt formatCode="General" sourceLinked="1"/>
        <c:majorTickMark val="none"/>
        <c:minorTickMark val="none"/>
        <c:tickLblPos val="nextTo"/>
        <c:crossAx val="130291200"/>
        <c:crosses val="autoZero"/>
        <c:auto val="1"/>
        <c:lblAlgn val="ctr"/>
        <c:lblOffset val="100"/>
        <c:noMultiLvlLbl val="0"/>
      </c:catAx>
      <c:valAx>
        <c:axId val="130291200"/>
        <c:scaling>
          <c:orientation val="minMax"/>
        </c:scaling>
        <c:delete val="0"/>
        <c:axPos val="l"/>
        <c:majorGridlines/>
        <c:numFmt formatCode="#,##0" sourceLinked="1"/>
        <c:majorTickMark val="none"/>
        <c:minorTickMark val="none"/>
        <c:tickLblPos val="nextTo"/>
        <c:spPr>
          <a:ln w="9525">
            <a:noFill/>
          </a:ln>
        </c:spPr>
        <c:crossAx val="130289664"/>
        <c:crosses val="autoZero"/>
        <c:crossBetween val="between"/>
      </c:valAx>
      <c:valAx>
        <c:axId val="130292736"/>
        <c:scaling>
          <c:orientation val="minMax"/>
        </c:scaling>
        <c:delete val="0"/>
        <c:axPos val="r"/>
        <c:numFmt formatCode="#,##0" sourceLinked="1"/>
        <c:majorTickMark val="out"/>
        <c:minorTickMark val="none"/>
        <c:tickLblPos val="nextTo"/>
        <c:crossAx val="130298624"/>
        <c:crosses val="max"/>
        <c:crossBetween val="between"/>
      </c:valAx>
      <c:catAx>
        <c:axId val="130298624"/>
        <c:scaling>
          <c:orientation val="minMax"/>
        </c:scaling>
        <c:delete val="1"/>
        <c:axPos val="b"/>
        <c:numFmt formatCode="General" sourceLinked="1"/>
        <c:majorTickMark val="out"/>
        <c:minorTickMark val="none"/>
        <c:tickLblPos val="nextTo"/>
        <c:crossAx val="13029273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Andosilla</a:t>
            </a:r>
          </a:p>
        </c:rich>
      </c:tx>
      <c:overlay val="0"/>
    </c:title>
    <c:autoTitleDeleted val="0"/>
    <c:plotArea>
      <c:layout>
        <c:manualLayout>
          <c:layoutTarget val="inner"/>
          <c:xMode val="edge"/>
          <c:yMode val="edge"/>
          <c:x val="0.10905645691085768"/>
          <c:y val="0.12720796264103351"/>
          <c:w val="0.8299220070800758"/>
          <c:h val="0.688903205281158"/>
        </c:manualLayout>
      </c:layout>
      <c:barChart>
        <c:barDir val="col"/>
        <c:grouping val="clustered"/>
        <c:varyColors val="0"/>
        <c:ser>
          <c:idx val="6"/>
          <c:order val="5"/>
          <c:tx>
            <c:strRef>
              <c:f>'Olazti-Falces-Andosilla'!$L$24</c:f>
              <c:strCache>
                <c:ptCount val="1"/>
                <c:pt idx="0">
                  <c:v>Población</c:v>
                </c:pt>
              </c:strCache>
            </c:strRef>
          </c:tx>
          <c:spPr>
            <a:solidFill>
              <a:schemeClr val="tx2">
                <a:lumMod val="20000"/>
                <a:lumOff val="80000"/>
              </a:schemeClr>
            </a:solidFill>
          </c:spPr>
          <c:invertIfNegative val="0"/>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'Olazti-Falces-Andosilla'!$M$24:$U$24</c:f>
              <c:numCache>
                <c:formatCode>#,##0</c:formatCode>
                <c:ptCount val="9"/>
                <c:pt idx="0">
                  <c:v>2996</c:v>
                </c:pt>
                <c:pt idx="1">
                  <c:v>3039</c:v>
                </c:pt>
                <c:pt idx="2">
                  <c:v>3031</c:v>
                </c:pt>
                <c:pt idx="3">
                  <c:v>2950</c:v>
                </c:pt>
                <c:pt idx="4">
                  <c:v>2883</c:v>
                </c:pt>
                <c:pt idx="5">
                  <c:v>2779</c:v>
                </c:pt>
                <c:pt idx="6">
                  <c:v>2753</c:v>
                </c:pt>
                <c:pt idx="7">
                  <c:v>2772</c:v>
                </c:pt>
                <c:pt idx="8">
                  <c:v>2718</c:v>
                </c:pt>
              </c:numCache>
            </c:numRef>
          </c:val>
        </c:ser>
        <c:dLbls>
          <c:showLegendKey val="0"/>
          <c:showVal val="0"/>
          <c:showCatName val="0"/>
          <c:showSerName val="0"/>
          <c:showPercent val="0"/>
          <c:showBubbleSize val="0"/>
        </c:dLbls>
        <c:gapWidth val="75"/>
        <c:axId val="130350080"/>
        <c:axId val="130348544"/>
      </c:barChart>
      <c:lineChart>
        <c:grouping val="standard"/>
        <c:varyColors val="0"/>
        <c:ser>
          <c:idx val="1"/>
          <c:order val="0"/>
          <c:tx>
            <c:strRef>
              <c:f>'Olazti-Falces-Andosilla'!$L$18</c:f>
              <c:strCache>
                <c:ptCount val="1"/>
                <c:pt idx="0">
                  <c:v>Fondo transferencias(FT)</c:v>
                </c:pt>
              </c:strCache>
            </c:strRef>
          </c:tx>
          <c:spPr>
            <a:ln w="50800">
              <a:solidFill>
                <a:srgbClr val="FF0000"/>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'Olazti-Falces-Andosilla'!$M$18:$U$18</c:f>
              <c:numCache>
                <c:formatCode>#,##0</c:formatCode>
                <c:ptCount val="9"/>
                <c:pt idx="0">
                  <c:v>787552.4</c:v>
                </c:pt>
                <c:pt idx="1">
                  <c:v>799013.03</c:v>
                </c:pt>
                <c:pt idx="2">
                  <c:v>801390.33</c:v>
                </c:pt>
                <c:pt idx="3">
                  <c:v>814406.78</c:v>
                </c:pt>
                <c:pt idx="4">
                  <c:v>841279.92</c:v>
                </c:pt>
                <c:pt idx="5">
                  <c:v>853571.42</c:v>
                </c:pt>
                <c:pt idx="6">
                  <c:v>853571.44</c:v>
                </c:pt>
                <c:pt idx="7">
                  <c:v>869789.28</c:v>
                </c:pt>
                <c:pt idx="8">
                  <c:v>881096.56</c:v>
                </c:pt>
              </c:numCache>
            </c:numRef>
          </c:val>
          <c:smooth val="0"/>
        </c:ser>
        <c:ser>
          <c:idx val="2"/>
          <c:order val="1"/>
          <c:tx>
            <c:strRef>
              <c:f>'Olazti-Falces-Andosilla'!$L$19</c:f>
              <c:strCache>
                <c:ptCount val="1"/>
                <c:pt idx="0">
                  <c:v>Gastos de funcionamiento</c:v>
                </c:pt>
              </c:strCache>
            </c:strRef>
          </c:tx>
          <c:spPr>
            <a:ln>
              <a:solidFill>
                <a:schemeClr val="accent6"/>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'Olazti-Falces-Andosilla'!$M$19:$U$19</c:f>
              <c:numCache>
                <c:formatCode>#,##0</c:formatCode>
                <c:ptCount val="9"/>
                <c:pt idx="0">
                  <c:v>1730648.56</c:v>
                </c:pt>
                <c:pt idx="1">
                  <c:v>1857125.02</c:v>
                </c:pt>
                <c:pt idx="2">
                  <c:v>1893663.99</c:v>
                </c:pt>
                <c:pt idx="3">
                  <c:v>1708907.71</c:v>
                </c:pt>
                <c:pt idx="4">
                  <c:v>1668551.95</c:v>
                </c:pt>
                <c:pt idx="5">
                  <c:v>1548542.6</c:v>
                </c:pt>
                <c:pt idx="6">
                  <c:v>1587240.55</c:v>
                </c:pt>
                <c:pt idx="7">
                  <c:v>1528838.37</c:v>
                </c:pt>
                <c:pt idx="8">
                  <c:v>1563989.64</c:v>
                </c:pt>
              </c:numCache>
            </c:numRef>
          </c:val>
          <c:smooth val="0"/>
        </c:ser>
        <c:ser>
          <c:idx val="3"/>
          <c:order val="2"/>
          <c:tx>
            <c:strRef>
              <c:f>'Olazti-Falces-Andosilla'!$L$21</c:f>
              <c:strCache>
                <c:ptCount val="1"/>
                <c:pt idx="0">
                  <c:v>Ingresos corrientes(sin FT)</c:v>
                </c:pt>
              </c:strCache>
            </c:strRef>
          </c:tx>
          <c:spPr>
            <a:ln>
              <a:solidFill>
                <a:schemeClr val="accent5"/>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'Olazti-Falces-Andosilla'!$M$21:$U$21</c:f>
              <c:numCache>
                <c:formatCode>#,##0</c:formatCode>
                <c:ptCount val="9"/>
                <c:pt idx="0">
                  <c:v>1430917.5</c:v>
                </c:pt>
                <c:pt idx="1">
                  <c:v>1328172.55</c:v>
                </c:pt>
                <c:pt idx="2">
                  <c:v>1336674.02</c:v>
                </c:pt>
                <c:pt idx="3">
                  <c:v>1533539.4999999998</c:v>
                </c:pt>
                <c:pt idx="4">
                  <c:v>1434925.6</c:v>
                </c:pt>
                <c:pt idx="5">
                  <c:v>1562773.1600000001</c:v>
                </c:pt>
                <c:pt idx="6">
                  <c:v>1360474.2000000002</c:v>
                </c:pt>
                <c:pt idx="7">
                  <c:v>1506602.9400000002</c:v>
                </c:pt>
                <c:pt idx="8">
                  <c:v>1461453.6800000002</c:v>
                </c:pt>
              </c:numCache>
            </c:numRef>
          </c:val>
          <c:smooth val="0"/>
        </c:ser>
        <c:ser>
          <c:idx val="4"/>
          <c:order val="3"/>
          <c:tx>
            <c:strRef>
              <c:f>'Olazti-Falces-Andosilla'!$L$22</c:f>
              <c:strCache>
                <c:ptCount val="1"/>
                <c:pt idx="0">
                  <c:v>AHORRO BRUTO</c:v>
                </c:pt>
              </c:strCache>
            </c:strRef>
          </c:tx>
          <c:spPr>
            <a:ln>
              <a:solidFill>
                <a:schemeClr val="accent4"/>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'Olazti-Falces-Andosilla'!$M$22:$U$22</c:f>
              <c:numCache>
                <c:formatCode>#,##0</c:formatCode>
                <c:ptCount val="9"/>
                <c:pt idx="0">
                  <c:v>487821.33999999985</c:v>
                </c:pt>
                <c:pt idx="1">
                  <c:v>270060.56000000006</c:v>
                </c:pt>
                <c:pt idx="2">
                  <c:v>244400.3600000001</c:v>
                </c:pt>
                <c:pt idx="3">
                  <c:v>639038.56999999983</c:v>
                </c:pt>
                <c:pt idx="4">
                  <c:v>607653.57000000007</c:v>
                </c:pt>
                <c:pt idx="5">
                  <c:v>867801.98</c:v>
                </c:pt>
                <c:pt idx="6">
                  <c:v>626805.09000000008</c:v>
                </c:pt>
                <c:pt idx="7">
                  <c:v>847553.85000000009</c:v>
                </c:pt>
                <c:pt idx="8">
                  <c:v>778560.60000000033</c:v>
                </c:pt>
              </c:numCache>
            </c:numRef>
          </c:val>
          <c:smooth val="0"/>
        </c:ser>
        <c:ser>
          <c:idx val="5"/>
          <c:order val="4"/>
          <c:tx>
            <c:strRef>
              <c:f>'Olazti-Falces-Andosilla'!$L$23</c:f>
              <c:strCache>
                <c:ptCount val="1"/>
                <c:pt idx="0">
                  <c:v>Ingresos tributarios</c:v>
                </c:pt>
              </c:strCache>
            </c:strRef>
          </c:tx>
          <c:spPr>
            <a:ln>
              <a:solidFill>
                <a:schemeClr val="accent3"/>
              </a:solidFill>
            </a:ln>
          </c:spPr>
          <c:marker>
            <c:symbol val="none"/>
          </c:marker>
          <c:cat>
            <c:numRef>
              <c:f>'Olazti-Falces-Andosilla'!$M$17:$U$17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'Olazti-Falces-Andosilla'!$M$23:$U$23</c:f>
              <c:numCache>
                <c:formatCode>#,##0</c:formatCode>
                <c:ptCount val="9"/>
                <c:pt idx="0">
                  <c:v>1046606.6000000001</c:v>
                </c:pt>
                <c:pt idx="1">
                  <c:v>1080453.0900000001</c:v>
                </c:pt>
                <c:pt idx="2">
                  <c:v>1107828.93</c:v>
                </c:pt>
                <c:pt idx="3">
                  <c:v>1277909.93</c:v>
                </c:pt>
                <c:pt idx="4">
                  <c:v>1203018.6399999999</c:v>
                </c:pt>
                <c:pt idx="5">
                  <c:v>1180004.45</c:v>
                </c:pt>
                <c:pt idx="6">
                  <c:v>1141763.22</c:v>
                </c:pt>
                <c:pt idx="7">
                  <c:v>1275452.57</c:v>
                </c:pt>
                <c:pt idx="8">
                  <c:v>1204730.08</c:v>
                </c:pt>
              </c:numCache>
            </c:numRef>
          </c:val>
          <c:smooth val="0"/>
        </c:ser>
        <c:dLbls>
          <c:showLegendKey val="0"/>
          <c:showVal val="0"/>
          <c:showCatName val="0"/>
          <c:showSerName val="0"/>
          <c:showPercent val="0"/>
          <c:showBubbleSize val="0"/>
        </c:dLbls>
        <c:marker val="1"/>
        <c:smooth val="0"/>
        <c:axId val="130328832"/>
        <c:axId val="130347008"/>
      </c:lineChart>
      <c:catAx>
        <c:axId val="130328832"/>
        <c:scaling>
          <c:orientation val="minMax"/>
        </c:scaling>
        <c:delete val="0"/>
        <c:axPos val="b"/>
        <c:numFmt formatCode="General" sourceLinked="1"/>
        <c:majorTickMark val="none"/>
        <c:minorTickMark val="none"/>
        <c:tickLblPos val="nextTo"/>
        <c:crossAx val="130347008"/>
        <c:crosses val="autoZero"/>
        <c:auto val="1"/>
        <c:lblAlgn val="ctr"/>
        <c:lblOffset val="100"/>
        <c:noMultiLvlLbl val="0"/>
      </c:catAx>
      <c:valAx>
        <c:axId val="130347008"/>
        <c:scaling>
          <c:orientation val="minMax"/>
        </c:scaling>
        <c:delete val="0"/>
        <c:axPos val="l"/>
        <c:majorGridlines/>
        <c:numFmt formatCode="#,##0" sourceLinked="1"/>
        <c:majorTickMark val="none"/>
        <c:minorTickMark val="none"/>
        <c:tickLblPos val="nextTo"/>
        <c:spPr>
          <a:ln w="9525">
            <a:noFill/>
          </a:ln>
        </c:spPr>
        <c:crossAx val="130328832"/>
        <c:crosses val="autoZero"/>
        <c:crossBetween val="between"/>
      </c:valAx>
      <c:valAx>
        <c:axId val="130348544"/>
        <c:scaling>
          <c:orientation val="minMax"/>
        </c:scaling>
        <c:delete val="0"/>
        <c:axPos val="r"/>
        <c:numFmt formatCode="#,##0" sourceLinked="1"/>
        <c:majorTickMark val="out"/>
        <c:minorTickMark val="none"/>
        <c:tickLblPos val="nextTo"/>
        <c:crossAx val="130350080"/>
        <c:crosses val="max"/>
        <c:crossBetween val="between"/>
      </c:valAx>
      <c:catAx>
        <c:axId val="130350080"/>
        <c:scaling>
          <c:orientation val="minMax"/>
        </c:scaling>
        <c:delete val="1"/>
        <c:axPos val="b"/>
        <c:numFmt formatCode="General" sourceLinked="1"/>
        <c:majorTickMark val="out"/>
        <c:minorTickMark val="none"/>
        <c:tickLblPos val="nextTo"/>
        <c:crossAx val="13034854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Esteribar</a:t>
            </a:r>
          </a:p>
        </c:rich>
      </c:tx>
      <c:overlay val="0"/>
    </c:title>
    <c:autoTitleDeleted val="0"/>
    <c:plotArea>
      <c:layout/>
      <c:barChart>
        <c:barDir val="col"/>
        <c:grouping val="clustered"/>
        <c:varyColors val="0"/>
        <c:ser>
          <c:idx val="6"/>
          <c:order val="5"/>
          <c:tx>
            <c:strRef>
              <c:f>EsteribarAyegui!$L$12</c:f>
              <c:strCache>
                <c:ptCount val="1"/>
                <c:pt idx="0">
                  <c:v>Población</c:v>
                </c:pt>
              </c:strCache>
            </c:strRef>
          </c:tx>
          <c:spPr>
            <a:solidFill>
              <a:schemeClr val="tx2">
                <a:lumMod val="20000"/>
                <a:lumOff val="80000"/>
              </a:schemeClr>
            </a:solidFill>
          </c:spPr>
          <c:invertIfNegative val="0"/>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EsteribarAyegui!$M$12:$U$12</c:f>
              <c:numCache>
                <c:formatCode>#,##0</c:formatCode>
                <c:ptCount val="9"/>
                <c:pt idx="0">
                  <c:v>2105</c:v>
                </c:pt>
                <c:pt idx="1">
                  <c:v>2202</c:v>
                </c:pt>
                <c:pt idx="2">
                  <c:v>2341</c:v>
                </c:pt>
                <c:pt idx="3">
                  <c:v>2432</c:v>
                </c:pt>
                <c:pt idx="4">
                  <c:v>2428</c:v>
                </c:pt>
                <c:pt idx="5">
                  <c:v>2509</c:v>
                </c:pt>
                <c:pt idx="6">
                  <c:v>2598</c:v>
                </c:pt>
                <c:pt idx="7">
                  <c:v>2590</c:v>
                </c:pt>
                <c:pt idx="8">
                  <c:v>2629</c:v>
                </c:pt>
              </c:numCache>
            </c:numRef>
          </c:val>
        </c:ser>
        <c:dLbls>
          <c:showLegendKey val="0"/>
          <c:showVal val="0"/>
          <c:showCatName val="0"/>
          <c:showSerName val="0"/>
          <c:showPercent val="0"/>
          <c:showBubbleSize val="0"/>
        </c:dLbls>
        <c:gapWidth val="150"/>
        <c:axId val="130729856"/>
        <c:axId val="130728320"/>
      </c:barChart>
      <c:lineChart>
        <c:grouping val="standard"/>
        <c:varyColors val="0"/>
        <c:ser>
          <c:idx val="2"/>
          <c:order val="0"/>
          <c:tx>
            <c:strRef>
              <c:f>EsteribarAyegui!$L$6</c:f>
              <c:strCache>
                <c:ptCount val="1"/>
                <c:pt idx="0">
                  <c:v>Fondo transferencias(FT)</c:v>
                </c:pt>
              </c:strCache>
            </c:strRef>
          </c:tx>
          <c:spPr>
            <a:ln w="50800">
              <a:solidFill>
                <a:srgbClr val="FF0000"/>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EsteribarAyegui!$M$6:$U$6</c:f>
              <c:numCache>
                <c:formatCode>#,##0.00</c:formatCode>
                <c:ptCount val="9"/>
                <c:pt idx="0">
                  <c:v>591623.55999999994</c:v>
                </c:pt>
                <c:pt idx="1">
                  <c:v>599397.59</c:v>
                </c:pt>
                <c:pt idx="2">
                  <c:v>606661.37999999989</c:v>
                </c:pt>
                <c:pt idx="3">
                  <c:v>617636.31999999995</c:v>
                </c:pt>
                <c:pt idx="4">
                  <c:v>651458.98</c:v>
                </c:pt>
                <c:pt idx="5">
                  <c:v>680249.82000000007</c:v>
                </c:pt>
                <c:pt idx="6">
                  <c:v>680249.92000000016</c:v>
                </c:pt>
                <c:pt idx="7">
                  <c:v>693174.57000000007</c:v>
                </c:pt>
                <c:pt idx="8">
                  <c:v>702185.88</c:v>
                </c:pt>
              </c:numCache>
            </c:numRef>
          </c:val>
          <c:smooth val="0"/>
        </c:ser>
        <c:ser>
          <c:idx val="3"/>
          <c:order val="1"/>
          <c:tx>
            <c:strRef>
              <c:f>EsteribarAyegui!$L$7</c:f>
              <c:strCache>
                <c:ptCount val="1"/>
                <c:pt idx="0">
                  <c:v>Gastos de funcionamiento</c:v>
                </c:pt>
              </c:strCache>
            </c:strRef>
          </c:tx>
          <c:spPr>
            <a:ln>
              <a:solidFill>
                <a:schemeClr val="accent6"/>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EsteribarAyegui!$M$7:$U$7</c:f>
              <c:numCache>
                <c:formatCode>#,##0.00</c:formatCode>
                <c:ptCount val="9"/>
                <c:pt idx="0">
                  <c:v>1839420.7400000002</c:v>
                </c:pt>
                <c:pt idx="1">
                  <c:v>1900333.9899999998</c:v>
                </c:pt>
                <c:pt idx="2">
                  <c:v>1968529.9300000002</c:v>
                </c:pt>
                <c:pt idx="3">
                  <c:v>2155268.9500000002</c:v>
                </c:pt>
                <c:pt idx="4">
                  <c:v>2212865.8900000006</c:v>
                </c:pt>
                <c:pt idx="5">
                  <c:v>2215994.7799999998</c:v>
                </c:pt>
                <c:pt idx="6">
                  <c:v>2315439.5499999998</c:v>
                </c:pt>
                <c:pt idx="7">
                  <c:v>2185404.8199999998</c:v>
                </c:pt>
                <c:pt idx="8">
                  <c:v>2221643.63</c:v>
                </c:pt>
              </c:numCache>
            </c:numRef>
          </c:val>
          <c:smooth val="0"/>
        </c:ser>
        <c:ser>
          <c:idx val="4"/>
          <c:order val="2"/>
          <c:tx>
            <c:strRef>
              <c:f>EsteribarAyegui!$L$8</c:f>
              <c:strCache>
                <c:ptCount val="1"/>
                <c:pt idx="0">
                  <c:v>Ingresos corrientes</c:v>
                </c:pt>
              </c:strCache>
            </c:strRef>
          </c:tx>
          <c:spPr>
            <a:ln>
              <a:solidFill>
                <a:schemeClr val="accent5"/>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EsteribarAyegui!$M$8:$U$8</c:f>
              <c:numCache>
                <c:formatCode>#,##0.00</c:formatCode>
                <c:ptCount val="9"/>
                <c:pt idx="0">
                  <c:v>2339048.9299999992</c:v>
                </c:pt>
                <c:pt idx="1">
                  <c:v>2343633.89</c:v>
                </c:pt>
                <c:pt idx="2">
                  <c:v>2513966.0600000005</c:v>
                </c:pt>
                <c:pt idx="3">
                  <c:v>2615607.2800000003</c:v>
                </c:pt>
                <c:pt idx="4">
                  <c:v>2810339.8899999997</c:v>
                </c:pt>
                <c:pt idx="5">
                  <c:v>2602314.2999999998</c:v>
                </c:pt>
                <c:pt idx="6">
                  <c:v>2790060.7099999995</c:v>
                </c:pt>
                <c:pt idx="7">
                  <c:v>2733704.97</c:v>
                </c:pt>
                <c:pt idx="8">
                  <c:v>2589900.79</c:v>
                </c:pt>
              </c:numCache>
            </c:numRef>
          </c:val>
          <c:smooth val="0"/>
        </c:ser>
        <c:ser>
          <c:idx val="0"/>
          <c:order val="3"/>
          <c:tx>
            <c:strRef>
              <c:f>EsteribarAyegui!$L$10</c:f>
              <c:strCache>
                <c:ptCount val="1"/>
                <c:pt idx="0">
                  <c:v>AHORRO BRUTO</c:v>
                </c:pt>
              </c:strCache>
            </c:strRef>
          </c:tx>
          <c:spPr>
            <a:ln>
              <a:solidFill>
                <a:schemeClr val="accent4"/>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EsteribarAyegui!$M$10:$U$10</c:f>
              <c:numCache>
                <c:formatCode>#,##0.00</c:formatCode>
                <c:ptCount val="9"/>
                <c:pt idx="0">
                  <c:v>499628.18999999901</c:v>
                </c:pt>
                <c:pt idx="1">
                  <c:v>443299.90000000037</c:v>
                </c:pt>
                <c:pt idx="2">
                  <c:v>545436.13000000035</c:v>
                </c:pt>
                <c:pt idx="3">
                  <c:v>460338.33000000007</c:v>
                </c:pt>
                <c:pt idx="4">
                  <c:v>597473.99999999907</c:v>
                </c:pt>
                <c:pt idx="5">
                  <c:v>386319.52</c:v>
                </c:pt>
                <c:pt idx="6">
                  <c:v>474621.15999999968</c:v>
                </c:pt>
                <c:pt idx="7">
                  <c:v>548300.15000000037</c:v>
                </c:pt>
                <c:pt idx="8">
                  <c:v>368257.16000000015</c:v>
                </c:pt>
              </c:numCache>
            </c:numRef>
          </c:val>
          <c:smooth val="0"/>
        </c:ser>
        <c:ser>
          <c:idx val="5"/>
          <c:order val="4"/>
          <c:tx>
            <c:strRef>
              <c:f>EsteribarAyegui!$L$11</c:f>
              <c:strCache>
                <c:ptCount val="1"/>
                <c:pt idx="0">
                  <c:v>Ingresos tributarios</c:v>
                </c:pt>
              </c:strCache>
            </c:strRef>
          </c:tx>
          <c:spPr>
            <a:ln>
              <a:solidFill>
                <a:schemeClr val="accent3"/>
              </a:solidFill>
            </a:ln>
          </c:spPr>
          <c:marker>
            <c:symbol val="none"/>
          </c:marker>
          <c:cat>
            <c:numRef>
              <c:f>EsteribarAyegui!$M$5:$U$5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EsteribarAyegui!$M$11:$U$11</c:f>
              <c:numCache>
                <c:formatCode>#,##0.00</c:formatCode>
                <c:ptCount val="9"/>
                <c:pt idx="0">
                  <c:v>1134967.94</c:v>
                </c:pt>
                <c:pt idx="1">
                  <c:v>986739.14000000013</c:v>
                </c:pt>
                <c:pt idx="2">
                  <c:v>1265726.9900000002</c:v>
                </c:pt>
                <c:pt idx="3">
                  <c:v>1087551.6700000002</c:v>
                </c:pt>
                <c:pt idx="4">
                  <c:v>1349217.06</c:v>
                </c:pt>
                <c:pt idx="5">
                  <c:v>1138664.75</c:v>
                </c:pt>
                <c:pt idx="6">
                  <c:v>1160656.5600000003</c:v>
                </c:pt>
                <c:pt idx="7">
                  <c:v>1122648.6499999999</c:v>
                </c:pt>
                <c:pt idx="8">
                  <c:v>1210795.7400000002</c:v>
                </c:pt>
              </c:numCache>
            </c:numRef>
          </c:val>
          <c:smooth val="0"/>
        </c:ser>
        <c:dLbls>
          <c:showLegendKey val="0"/>
          <c:showVal val="0"/>
          <c:showCatName val="0"/>
          <c:showSerName val="0"/>
          <c:showPercent val="0"/>
          <c:showBubbleSize val="0"/>
        </c:dLbls>
        <c:marker val="1"/>
        <c:smooth val="0"/>
        <c:axId val="130724992"/>
        <c:axId val="130726528"/>
      </c:lineChart>
      <c:catAx>
        <c:axId val="130724992"/>
        <c:scaling>
          <c:orientation val="minMax"/>
        </c:scaling>
        <c:delete val="0"/>
        <c:axPos val="b"/>
        <c:numFmt formatCode="General" sourceLinked="1"/>
        <c:majorTickMark val="none"/>
        <c:minorTickMark val="none"/>
        <c:tickLblPos val="nextTo"/>
        <c:crossAx val="130726528"/>
        <c:crosses val="autoZero"/>
        <c:auto val="1"/>
        <c:lblAlgn val="ctr"/>
        <c:lblOffset val="100"/>
        <c:noMultiLvlLbl val="0"/>
      </c:catAx>
      <c:valAx>
        <c:axId val="130726528"/>
        <c:scaling>
          <c:orientation val="minMax"/>
        </c:scaling>
        <c:delete val="0"/>
        <c:axPos val="l"/>
        <c:majorGridlines/>
        <c:numFmt formatCode="#,##0.00" sourceLinked="1"/>
        <c:majorTickMark val="none"/>
        <c:minorTickMark val="none"/>
        <c:tickLblPos val="nextTo"/>
        <c:spPr>
          <a:ln w="9525">
            <a:noFill/>
          </a:ln>
        </c:spPr>
        <c:crossAx val="130724992"/>
        <c:crosses val="autoZero"/>
        <c:crossBetween val="between"/>
      </c:valAx>
      <c:valAx>
        <c:axId val="130728320"/>
        <c:scaling>
          <c:orientation val="minMax"/>
        </c:scaling>
        <c:delete val="0"/>
        <c:axPos val="r"/>
        <c:numFmt formatCode="#,##0" sourceLinked="1"/>
        <c:majorTickMark val="out"/>
        <c:minorTickMark val="none"/>
        <c:tickLblPos val="nextTo"/>
        <c:crossAx val="130729856"/>
        <c:crosses val="max"/>
        <c:crossBetween val="between"/>
      </c:valAx>
      <c:catAx>
        <c:axId val="130729856"/>
        <c:scaling>
          <c:orientation val="minMax"/>
        </c:scaling>
        <c:delete val="1"/>
        <c:axPos val="b"/>
        <c:numFmt formatCode="General" sourceLinked="1"/>
        <c:majorTickMark val="out"/>
        <c:minorTickMark val="none"/>
        <c:tickLblPos val="nextTo"/>
        <c:crossAx val="13072832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Ayegui</a:t>
            </a:r>
          </a:p>
        </c:rich>
      </c:tx>
      <c:overlay val="0"/>
    </c:title>
    <c:autoTitleDeleted val="0"/>
    <c:plotArea>
      <c:layout/>
      <c:barChart>
        <c:barDir val="col"/>
        <c:grouping val="clustered"/>
        <c:varyColors val="0"/>
        <c:ser>
          <c:idx val="6"/>
          <c:order val="5"/>
          <c:tx>
            <c:strRef>
              <c:f>EsteribarAyegui!$L$87</c:f>
              <c:strCache>
                <c:ptCount val="1"/>
                <c:pt idx="0">
                  <c:v>Población</c:v>
                </c:pt>
              </c:strCache>
            </c:strRef>
          </c:tx>
          <c:invertIfNegative val="0"/>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EsteribarAyegui!$M$87:$U$87</c:f>
              <c:numCache>
                <c:formatCode>#,##0</c:formatCode>
                <c:ptCount val="9"/>
                <c:pt idx="0">
                  <c:v>1667</c:v>
                </c:pt>
                <c:pt idx="1">
                  <c:v>1742</c:v>
                </c:pt>
                <c:pt idx="2">
                  <c:v>1932</c:v>
                </c:pt>
                <c:pt idx="3">
                  <c:v>2026</c:v>
                </c:pt>
                <c:pt idx="4">
                  <c:v>2133</c:v>
                </c:pt>
                <c:pt idx="5">
                  <c:v>2191</c:v>
                </c:pt>
                <c:pt idx="6">
                  <c:v>2217</c:v>
                </c:pt>
                <c:pt idx="7">
                  <c:v>2241</c:v>
                </c:pt>
                <c:pt idx="8">
                  <c:v>2346</c:v>
                </c:pt>
              </c:numCache>
            </c:numRef>
          </c:val>
        </c:ser>
        <c:dLbls>
          <c:showLegendKey val="0"/>
          <c:showVal val="0"/>
          <c:showCatName val="0"/>
          <c:showSerName val="0"/>
          <c:showPercent val="0"/>
          <c:showBubbleSize val="0"/>
        </c:dLbls>
        <c:gapWidth val="150"/>
        <c:axId val="131440640"/>
        <c:axId val="131430656"/>
      </c:barChart>
      <c:lineChart>
        <c:grouping val="standard"/>
        <c:varyColors val="0"/>
        <c:ser>
          <c:idx val="3"/>
          <c:order val="0"/>
          <c:tx>
            <c:strRef>
              <c:f>EsteribarAyegui!$L$81</c:f>
              <c:strCache>
                <c:ptCount val="1"/>
                <c:pt idx="0">
                  <c:v>Fondo transferencias(FT)</c:v>
                </c:pt>
              </c:strCache>
            </c:strRef>
          </c:tx>
          <c:spPr>
            <a:ln w="50800">
              <a:solidFill>
                <a:srgbClr val="FF0000"/>
              </a:solidFill>
            </a:ln>
          </c:spPr>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EsteribarAyegui!$M$81:$U$81</c:f>
              <c:numCache>
                <c:formatCode>#,##0</c:formatCode>
                <c:ptCount val="9"/>
                <c:pt idx="0">
                  <c:v>408504.09</c:v>
                </c:pt>
                <c:pt idx="1">
                  <c:v>415690.93</c:v>
                </c:pt>
                <c:pt idx="2">
                  <c:v>418848.66</c:v>
                </c:pt>
                <c:pt idx="3">
                  <c:v>430618.64</c:v>
                </c:pt>
                <c:pt idx="4">
                  <c:v>469299.21</c:v>
                </c:pt>
                <c:pt idx="5">
                  <c:v>511340.56</c:v>
                </c:pt>
                <c:pt idx="6">
                  <c:v>511340.56</c:v>
                </c:pt>
                <c:pt idx="7">
                  <c:v>521056.03</c:v>
                </c:pt>
                <c:pt idx="8">
                  <c:v>527829.76000000001</c:v>
                </c:pt>
              </c:numCache>
            </c:numRef>
          </c:val>
          <c:smooth val="0"/>
        </c:ser>
        <c:ser>
          <c:idx val="4"/>
          <c:order val="1"/>
          <c:tx>
            <c:strRef>
              <c:f>EsteribarAyegui!$L$82</c:f>
              <c:strCache>
                <c:ptCount val="1"/>
                <c:pt idx="0">
                  <c:v>Gastos de funcionamiento</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EsteribarAyegui!$M$82:$U$82</c:f>
              <c:numCache>
                <c:formatCode>#,##0</c:formatCode>
                <c:ptCount val="9"/>
                <c:pt idx="0">
                  <c:v>920886.68</c:v>
                </c:pt>
                <c:pt idx="1">
                  <c:v>1061845.8400000001</c:v>
                </c:pt>
                <c:pt idx="2">
                  <c:v>997546.44</c:v>
                </c:pt>
                <c:pt idx="3">
                  <c:v>966036.51</c:v>
                </c:pt>
                <c:pt idx="4">
                  <c:v>994429.5</c:v>
                </c:pt>
                <c:pt idx="5">
                  <c:v>1019556.48</c:v>
                </c:pt>
                <c:pt idx="6">
                  <c:v>1020629.21</c:v>
                </c:pt>
                <c:pt idx="7">
                  <c:v>1108160.3799999999</c:v>
                </c:pt>
                <c:pt idx="8">
                  <c:v>1101688.3799999999</c:v>
                </c:pt>
              </c:numCache>
            </c:numRef>
          </c:val>
          <c:smooth val="0"/>
        </c:ser>
        <c:ser>
          <c:idx val="0"/>
          <c:order val="2"/>
          <c:tx>
            <c:strRef>
              <c:f>EsteribarAyegui!$L$83</c:f>
              <c:strCache>
                <c:ptCount val="1"/>
                <c:pt idx="0">
                  <c:v>Ingresos corrientes</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EsteribarAyegui!$M$83:$U$83</c:f>
              <c:numCache>
                <c:formatCode>#,##0</c:formatCode>
                <c:ptCount val="9"/>
                <c:pt idx="0">
                  <c:v>1022622.59</c:v>
                </c:pt>
                <c:pt idx="1">
                  <c:v>1219747.69</c:v>
                </c:pt>
                <c:pt idx="2">
                  <c:v>1192733.31</c:v>
                </c:pt>
                <c:pt idx="3">
                  <c:v>1295619.6200000001</c:v>
                </c:pt>
                <c:pt idx="4">
                  <c:v>1238056.7</c:v>
                </c:pt>
                <c:pt idx="5">
                  <c:v>1205430.21</c:v>
                </c:pt>
                <c:pt idx="6">
                  <c:v>1259336.8899999999</c:v>
                </c:pt>
                <c:pt idx="7">
                  <c:v>1435096.72</c:v>
                </c:pt>
                <c:pt idx="8">
                  <c:v>1370794.67</c:v>
                </c:pt>
              </c:numCache>
            </c:numRef>
          </c:val>
          <c:smooth val="0"/>
        </c:ser>
        <c:ser>
          <c:idx val="1"/>
          <c:order val="3"/>
          <c:tx>
            <c:strRef>
              <c:f>EsteribarAyegui!$L$85</c:f>
              <c:strCache>
                <c:ptCount val="1"/>
                <c:pt idx="0">
                  <c:v>AHORRO BRUTO</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EsteribarAyegui!$M$85:$U$85</c:f>
              <c:numCache>
                <c:formatCode>#,##0</c:formatCode>
                <c:ptCount val="9"/>
                <c:pt idx="0">
                  <c:v>101735.90999999992</c:v>
                </c:pt>
                <c:pt idx="1">
                  <c:v>157901.84999999986</c:v>
                </c:pt>
                <c:pt idx="2">
                  <c:v>195186.87000000011</c:v>
                </c:pt>
                <c:pt idx="3">
                  <c:v>329583.1100000001</c:v>
                </c:pt>
                <c:pt idx="4">
                  <c:v>243627.19999999995</c:v>
                </c:pt>
                <c:pt idx="5">
                  <c:v>185873.72999999998</c:v>
                </c:pt>
                <c:pt idx="6">
                  <c:v>238707.67999999993</c:v>
                </c:pt>
                <c:pt idx="7">
                  <c:v>326936.34000000008</c:v>
                </c:pt>
                <c:pt idx="8">
                  <c:v>269106.29000000004</c:v>
                </c:pt>
              </c:numCache>
            </c:numRef>
          </c:val>
          <c:smooth val="0"/>
        </c:ser>
        <c:ser>
          <c:idx val="5"/>
          <c:order val="4"/>
          <c:tx>
            <c:strRef>
              <c:f>EsteribarAyegui!$L$86</c:f>
              <c:strCache>
                <c:ptCount val="1"/>
                <c:pt idx="0">
                  <c:v>Ingresos tributarios</c:v>
                </c:pt>
              </c:strCache>
            </c:strRef>
          </c:tx>
          <c:marker>
            <c:symbol val="none"/>
          </c:marker>
          <c:cat>
            <c:numRef>
              <c:f>EsteribarAyegui!$M$80:$U$80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EsteribarAyegui!$M$86:$U$86</c:f>
              <c:numCache>
                <c:formatCode>#,##0</c:formatCode>
                <c:ptCount val="9"/>
                <c:pt idx="0">
                  <c:v>480346.59</c:v>
                </c:pt>
                <c:pt idx="1">
                  <c:v>668298.09</c:v>
                </c:pt>
                <c:pt idx="2">
                  <c:v>569536.65999999992</c:v>
                </c:pt>
                <c:pt idx="3">
                  <c:v>645743.81999999995</c:v>
                </c:pt>
                <c:pt idx="4">
                  <c:v>546706.87</c:v>
                </c:pt>
                <c:pt idx="5">
                  <c:v>524916.75</c:v>
                </c:pt>
                <c:pt idx="6">
                  <c:v>567854.12</c:v>
                </c:pt>
                <c:pt idx="7">
                  <c:v>675675.37</c:v>
                </c:pt>
                <c:pt idx="8">
                  <c:v>574788.1</c:v>
                </c:pt>
              </c:numCache>
            </c:numRef>
          </c:val>
          <c:smooth val="0"/>
        </c:ser>
        <c:dLbls>
          <c:showLegendKey val="0"/>
          <c:showVal val="0"/>
          <c:showCatName val="0"/>
          <c:showSerName val="0"/>
          <c:showPercent val="0"/>
          <c:showBubbleSize val="0"/>
        </c:dLbls>
        <c:marker val="1"/>
        <c:smooth val="0"/>
        <c:axId val="131423232"/>
        <c:axId val="131429120"/>
      </c:lineChart>
      <c:catAx>
        <c:axId val="131423232"/>
        <c:scaling>
          <c:orientation val="minMax"/>
        </c:scaling>
        <c:delete val="0"/>
        <c:axPos val="b"/>
        <c:numFmt formatCode="General" sourceLinked="1"/>
        <c:majorTickMark val="none"/>
        <c:minorTickMark val="none"/>
        <c:tickLblPos val="nextTo"/>
        <c:crossAx val="131429120"/>
        <c:crosses val="autoZero"/>
        <c:auto val="1"/>
        <c:lblAlgn val="ctr"/>
        <c:lblOffset val="100"/>
        <c:noMultiLvlLbl val="0"/>
      </c:catAx>
      <c:valAx>
        <c:axId val="131429120"/>
        <c:scaling>
          <c:orientation val="minMax"/>
        </c:scaling>
        <c:delete val="0"/>
        <c:axPos val="l"/>
        <c:majorGridlines/>
        <c:numFmt formatCode="#,##0" sourceLinked="1"/>
        <c:majorTickMark val="none"/>
        <c:minorTickMark val="none"/>
        <c:tickLblPos val="nextTo"/>
        <c:spPr>
          <a:ln w="9525">
            <a:noFill/>
          </a:ln>
        </c:spPr>
        <c:crossAx val="131423232"/>
        <c:crosses val="autoZero"/>
        <c:crossBetween val="between"/>
      </c:valAx>
      <c:valAx>
        <c:axId val="131430656"/>
        <c:scaling>
          <c:orientation val="minMax"/>
        </c:scaling>
        <c:delete val="0"/>
        <c:axPos val="r"/>
        <c:numFmt formatCode="#,##0" sourceLinked="1"/>
        <c:majorTickMark val="out"/>
        <c:minorTickMark val="none"/>
        <c:tickLblPos val="nextTo"/>
        <c:crossAx val="131440640"/>
        <c:crosses val="max"/>
        <c:crossBetween val="between"/>
      </c:valAx>
      <c:catAx>
        <c:axId val="131440640"/>
        <c:scaling>
          <c:orientation val="minMax"/>
        </c:scaling>
        <c:delete val="1"/>
        <c:axPos val="b"/>
        <c:numFmt formatCode="General" sourceLinked="1"/>
        <c:majorTickMark val="out"/>
        <c:minorTickMark val="none"/>
        <c:tickLblPos val="nextTo"/>
        <c:crossAx val="131430656"/>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Tudela</a:t>
            </a:r>
          </a:p>
        </c:rich>
      </c:tx>
      <c:overlay val="0"/>
    </c:title>
    <c:autoTitleDeleted val="0"/>
    <c:plotArea>
      <c:layout/>
      <c:barChart>
        <c:barDir val="col"/>
        <c:grouping val="clustered"/>
        <c:varyColors val="0"/>
        <c:ser>
          <c:idx val="5"/>
          <c:order val="5"/>
          <c:tx>
            <c:strRef>
              <c:f>Tudela!$A$26</c:f>
              <c:strCache>
                <c:ptCount val="1"/>
                <c:pt idx="0">
                  <c:v>Población</c:v>
                </c:pt>
              </c:strCache>
            </c:strRef>
          </c:tx>
          <c:spPr>
            <a:solidFill>
              <a:schemeClr val="tx2">
                <a:lumMod val="20000"/>
                <a:lumOff val="80000"/>
              </a:schemeClr>
            </a:solidFill>
          </c:spPr>
          <c:invertIfNegative val="0"/>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Tudela!$B$26:$J$26</c:f>
              <c:numCache>
                <c:formatCode>#,##0</c:formatCode>
                <c:ptCount val="9"/>
                <c:pt idx="0">
                  <c:v>34717</c:v>
                </c:pt>
                <c:pt idx="1">
                  <c:v>35268</c:v>
                </c:pt>
                <c:pt idx="2">
                  <c:v>35429</c:v>
                </c:pt>
                <c:pt idx="3">
                  <c:v>35358</c:v>
                </c:pt>
                <c:pt idx="4">
                  <c:v>35369</c:v>
                </c:pt>
                <c:pt idx="5">
                  <c:v>35062</c:v>
                </c:pt>
                <c:pt idx="6">
                  <c:v>35388</c:v>
                </c:pt>
                <c:pt idx="7">
                  <c:v>35170</c:v>
                </c:pt>
                <c:pt idx="8">
                  <c:v>35298</c:v>
                </c:pt>
              </c:numCache>
            </c:numRef>
          </c:val>
        </c:ser>
        <c:dLbls>
          <c:showLegendKey val="0"/>
          <c:showVal val="0"/>
          <c:showCatName val="0"/>
          <c:showSerName val="0"/>
          <c:showPercent val="0"/>
          <c:showBubbleSize val="0"/>
        </c:dLbls>
        <c:gapWidth val="150"/>
        <c:axId val="107767680"/>
        <c:axId val="107766144"/>
      </c:barChart>
      <c:lineChart>
        <c:grouping val="standard"/>
        <c:varyColors val="0"/>
        <c:ser>
          <c:idx val="2"/>
          <c:order val="0"/>
          <c:tx>
            <c:strRef>
              <c:f>Tudela!$A$20</c:f>
              <c:strCache>
                <c:ptCount val="1"/>
                <c:pt idx="0">
                  <c:v>Fondo transferencias(FT)</c:v>
                </c:pt>
              </c:strCache>
            </c:strRef>
          </c:tx>
          <c:spPr>
            <a:ln w="63500">
              <a:solidFill>
                <a:srgbClr val="FF0000"/>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Tudela!$B$20:$J$20</c:f>
              <c:numCache>
                <c:formatCode>#,##0</c:formatCode>
                <c:ptCount val="9"/>
                <c:pt idx="0">
                  <c:v>9285049.4399999995</c:v>
                </c:pt>
                <c:pt idx="1">
                  <c:v>9285049.4399999995</c:v>
                </c:pt>
                <c:pt idx="2">
                  <c:v>9168770.9400000013</c:v>
                </c:pt>
                <c:pt idx="3">
                  <c:v>9168770.9399999995</c:v>
                </c:pt>
                <c:pt idx="4">
                  <c:v>9168770.9399999995</c:v>
                </c:pt>
                <c:pt idx="5">
                  <c:v>9214827.8699999992</c:v>
                </c:pt>
                <c:pt idx="6">
                  <c:v>9214827.8800000008</c:v>
                </c:pt>
                <c:pt idx="7">
                  <c:v>9389909.5999999996</c:v>
                </c:pt>
                <c:pt idx="8">
                  <c:v>9511978.4399999995</c:v>
                </c:pt>
              </c:numCache>
            </c:numRef>
          </c:val>
          <c:smooth val="0"/>
        </c:ser>
        <c:ser>
          <c:idx val="3"/>
          <c:order val="1"/>
          <c:tx>
            <c:strRef>
              <c:f>Tudela!$A$21</c:f>
              <c:strCache>
                <c:ptCount val="1"/>
                <c:pt idx="0">
                  <c:v>Gastos de funcionamiento</c:v>
                </c:pt>
              </c:strCache>
            </c:strRef>
          </c:tx>
          <c:spPr>
            <a:ln>
              <a:solidFill>
                <a:schemeClr val="accent6"/>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Tudela!$B$21:$J$21</c:f>
              <c:numCache>
                <c:formatCode>#,##0</c:formatCode>
                <c:ptCount val="9"/>
                <c:pt idx="0">
                  <c:v>38279577.020000011</c:v>
                </c:pt>
                <c:pt idx="1">
                  <c:v>33896344.030000001</c:v>
                </c:pt>
                <c:pt idx="2">
                  <c:v>33092643.600000009</c:v>
                </c:pt>
                <c:pt idx="3">
                  <c:v>29216255.810000002</c:v>
                </c:pt>
                <c:pt idx="4">
                  <c:v>29120466.889999993</c:v>
                </c:pt>
                <c:pt idx="5">
                  <c:v>29836179.940000005</c:v>
                </c:pt>
                <c:pt idx="6">
                  <c:v>30288216.589999996</c:v>
                </c:pt>
                <c:pt idx="7">
                  <c:v>30262406.740000002</c:v>
                </c:pt>
                <c:pt idx="8">
                  <c:v>30953702.849999998</c:v>
                </c:pt>
              </c:numCache>
            </c:numRef>
          </c:val>
          <c:smooth val="0"/>
        </c:ser>
        <c:ser>
          <c:idx val="0"/>
          <c:order val="2"/>
          <c:tx>
            <c:strRef>
              <c:f>Tudela!$A$23</c:f>
              <c:strCache>
                <c:ptCount val="1"/>
                <c:pt idx="0">
                  <c:v>Ingresos corrientes(sin FT)</c:v>
                </c:pt>
              </c:strCache>
            </c:strRef>
          </c:tx>
          <c:spPr>
            <a:ln>
              <a:solidFill>
                <a:schemeClr val="accent5"/>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Tudela!$B$23:$J$23</c:f>
              <c:numCache>
                <c:formatCode>#,##0</c:formatCode>
                <c:ptCount val="9"/>
                <c:pt idx="0">
                  <c:v>28823738.599999994</c:v>
                </c:pt>
                <c:pt idx="1">
                  <c:v>26981322.589999996</c:v>
                </c:pt>
                <c:pt idx="2">
                  <c:v>25087628.079999994</c:v>
                </c:pt>
                <c:pt idx="3">
                  <c:v>25367447.280000001</c:v>
                </c:pt>
                <c:pt idx="4">
                  <c:v>25499470.450000003</c:v>
                </c:pt>
                <c:pt idx="5">
                  <c:v>25889803.93</c:v>
                </c:pt>
                <c:pt idx="6">
                  <c:v>26837054.079999998</c:v>
                </c:pt>
                <c:pt idx="7">
                  <c:v>28177778.479999997</c:v>
                </c:pt>
                <c:pt idx="8">
                  <c:v>27994453.75</c:v>
                </c:pt>
              </c:numCache>
            </c:numRef>
          </c:val>
          <c:smooth val="0"/>
        </c:ser>
        <c:ser>
          <c:idx val="1"/>
          <c:order val="3"/>
          <c:tx>
            <c:strRef>
              <c:f>Tudela!$A$24</c:f>
              <c:strCache>
                <c:ptCount val="1"/>
                <c:pt idx="0">
                  <c:v>AHORRO BRUTO</c:v>
                </c:pt>
              </c:strCache>
            </c:strRef>
          </c:tx>
          <c:spPr>
            <a:ln>
              <a:solidFill>
                <a:schemeClr val="accent4"/>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Tudela!$B$24:$J$24</c:f>
              <c:numCache>
                <c:formatCode>#,##0</c:formatCode>
                <c:ptCount val="9"/>
                <c:pt idx="0">
                  <c:v>-170788.98000001907</c:v>
                </c:pt>
                <c:pt idx="1">
                  <c:v>2370027.9999999925</c:v>
                </c:pt>
                <c:pt idx="2">
                  <c:v>1163755.4199999869</c:v>
                </c:pt>
                <c:pt idx="3">
                  <c:v>5319962.4099999964</c:v>
                </c:pt>
                <c:pt idx="4">
                  <c:v>5547774.5000000075</c:v>
                </c:pt>
                <c:pt idx="5">
                  <c:v>5268451.859999992</c:v>
                </c:pt>
                <c:pt idx="6">
                  <c:v>5763665.3700000048</c:v>
                </c:pt>
                <c:pt idx="7">
                  <c:v>7305281.3399999961</c:v>
                </c:pt>
                <c:pt idx="8">
                  <c:v>6552729.3399999999</c:v>
                </c:pt>
              </c:numCache>
            </c:numRef>
          </c:val>
          <c:smooth val="0"/>
        </c:ser>
        <c:ser>
          <c:idx val="4"/>
          <c:order val="4"/>
          <c:tx>
            <c:strRef>
              <c:f>Tudela!$A$25</c:f>
              <c:strCache>
                <c:ptCount val="1"/>
                <c:pt idx="0">
                  <c:v>Ingresos tributarios</c:v>
                </c:pt>
              </c:strCache>
            </c:strRef>
          </c:tx>
          <c:spPr>
            <a:ln>
              <a:solidFill>
                <a:schemeClr val="accent3"/>
              </a:solidFill>
            </a:ln>
          </c:spPr>
          <c:marker>
            <c:symbol val="none"/>
          </c:marker>
          <c:cat>
            <c:numRef>
              <c:f>Tudela!$B$19:$J$19</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Tudela!$B$25:$J$25</c:f>
              <c:numCache>
                <c:formatCode>#,##0</c:formatCode>
                <c:ptCount val="9"/>
                <c:pt idx="0">
                  <c:v>19853774.989999998</c:v>
                </c:pt>
                <c:pt idx="1">
                  <c:v>20641536.509999998</c:v>
                </c:pt>
                <c:pt idx="2">
                  <c:v>20109457.149999999</c:v>
                </c:pt>
                <c:pt idx="3">
                  <c:v>20907285.130000003</c:v>
                </c:pt>
                <c:pt idx="4">
                  <c:v>20807113.210000001</c:v>
                </c:pt>
                <c:pt idx="5">
                  <c:v>21038930.419999998</c:v>
                </c:pt>
                <c:pt idx="6">
                  <c:v>22116699.66</c:v>
                </c:pt>
                <c:pt idx="7">
                  <c:v>22634794.079999998</c:v>
                </c:pt>
                <c:pt idx="8">
                  <c:v>22100237.060000002</c:v>
                </c:pt>
              </c:numCache>
            </c:numRef>
          </c:val>
          <c:smooth val="0"/>
        </c:ser>
        <c:dLbls>
          <c:showLegendKey val="0"/>
          <c:showVal val="0"/>
          <c:showCatName val="0"/>
          <c:showSerName val="0"/>
          <c:showPercent val="0"/>
          <c:showBubbleSize val="0"/>
        </c:dLbls>
        <c:marker val="1"/>
        <c:smooth val="0"/>
        <c:axId val="107746432"/>
        <c:axId val="107747968"/>
      </c:lineChart>
      <c:catAx>
        <c:axId val="107746432"/>
        <c:scaling>
          <c:orientation val="minMax"/>
        </c:scaling>
        <c:delete val="0"/>
        <c:axPos val="b"/>
        <c:numFmt formatCode="General" sourceLinked="1"/>
        <c:majorTickMark val="none"/>
        <c:minorTickMark val="none"/>
        <c:tickLblPos val="nextTo"/>
        <c:crossAx val="107747968"/>
        <c:crosses val="autoZero"/>
        <c:auto val="1"/>
        <c:lblAlgn val="ctr"/>
        <c:lblOffset val="100"/>
        <c:noMultiLvlLbl val="0"/>
      </c:catAx>
      <c:valAx>
        <c:axId val="107747968"/>
        <c:scaling>
          <c:orientation val="minMax"/>
        </c:scaling>
        <c:delete val="0"/>
        <c:axPos val="l"/>
        <c:majorGridlines/>
        <c:numFmt formatCode="#,##0" sourceLinked="1"/>
        <c:majorTickMark val="none"/>
        <c:minorTickMark val="none"/>
        <c:tickLblPos val="nextTo"/>
        <c:spPr>
          <a:ln w="9525">
            <a:noFill/>
          </a:ln>
        </c:spPr>
        <c:crossAx val="107746432"/>
        <c:crosses val="autoZero"/>
        <c:crossBetween val="between"/>
      </c:valAx>
      <c:valAx>
        <c:axId val="107766144"/>
        <c:scaling>
          <c:orientation val="minMax"/>
        </c:scaling>
        <c:delete val="0"/>
        <c:axPos val="r"/>
        <c:numFmt formatCode="#,##0" sourceLinked="1"/>
        <c:majorTickMark val="out"/>
        <c:minorTickMark val="none"/>
        <c:tickLblPos val="nextTo"/>
        <c:crossAx val="107767680"/>
        <c:crosses val="max"/>
        <c:crossBetween val="between"/>
      </c:valAx>
      <c:catAx>
        <c:axId val="107767680"/>
        <c:scaling>
          <c:orientation val="minMax"/>
        </c:scaling>
        <c:delete val="1"/>
        <c:axPos val="b"/>
        <c:numFmt formatCode="General" sourceLinked="1"/>
        <c:majorTickMark val="out"/>
        <c:minorTickMark val="none"/>
        <c:tickLblPos val="nextTo"/>
        <c:crossAx val="10776614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Olazti/Olazagutía</a:t>
            </a:r>
          </a:p>
        </c:rich>
      </c:tx>
      <c:overlay val="0"/>
    </c:title>
    <c:autoTitleDeleted val="0"/>
    <c:plotArea>
      <c:layout/>
      <c:barChart>
        <c:barDir val="col"/>
        <c:grouping val="clustered"/>
        <c:varyColors val="0"/>
        <c:ser>
          <c:idx val="6"/>
          <c:order val="5"/>
          <c:tx>
            <c:strRef>
              <c:f>'Olazti-Falces-Andosilla'!$L$37</c:f>
              <c:strCache>
                <c:ptCount val="1"/>
                <c:pt idx="0">
                  <c:v>Población</c:v>
                </c:pt>
              </c:strCache>
            </c:strRef>
          </c:tx>
          <c:invertIfNegative val="0"/>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'Olazti-Falces-Andosilla'!$M$37:$U$37</c:f>
              <c:numCache>
                <c:formatCode>#,##0</c:formatCode>
                <c:ptCount val="9"/>
                <c:pt idx="0">
                  <c:v>1737</c:v>
                </c:pt>
                <c:pt idx="1">
                  <c:v>1719</c:v>
                </c:pt>
                <c:pt idx="2">
                  <c:v>1696</c:v>
                </c:pt>
                <c:pt idx="3">
                  <c:v>1662</c:v>
                </c:pt>
                <c:pt idx="4">
                  <c:v>1627</c:v>
                </c:pt>
                <c:pt idx="5">
                  <c:v>1552</c:v>
                </c:pt>
                <c:pt idx="6">
                  <c:v>1520</c:v>
                </c:pt>
                <c:pt idx="7">
                  <c:v>1522</c:v>
                </c:pt>
                <c:pt idx="8">
                  <c:v>1518</c:v>
                </c:pt>
              </c:numCache>
            </c:numRef>
          </c:val>
        </c:ser>
        <c:dLbls>
          <c:showLegendKey val="0"/>
          <c:showVal val="0"/>
          <c:showCatName val="0"/>
          <c:showSerName val="0"/>
          <c:showPercent val="0"/>
          <c:showBubbleSize val="0"/>
        </c:dLbls>
        <c:gapWidth val="75"/>
        <c:axId val="129509632"/>
        <c:axId val="129508096"/>
      </c:barChart>
      <c:lineChart>
        <c:grouping val="standard"/>
        <c:varyColors val="0"/>
        <c:ser>
          <c:idx val="2"/>
          <c:order val="0"/>
          <c:tx>
            <c:strRef>
              <c:f>'Olazti-Falces-Andosilla'!$L$31</c:f>
              <c:strCache>
                <c:ptCount val="1"/>
                <c:pt idx="0">
                  <c:v>Fondo transferencias(FT)</c:v>
                </c:pt>
              </c:strCache>
            </c:strRef>
          </c:tx>
          <c:spPr>
            <a:ln w="50800">
              <a:solidFill>
                <a:srgbClr val="FF0000"/>
              </a:solidFill>
            </a:ln>
          </c:spPr>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'Olazti-Falces-Andosilla'!$M$31:$U$31</c:f>
              <c:numCache>
                <c:formatCode>#,##0</c:formatCode>
                <c:ptCount val="9"/>
                <c:pt idx="0">
                  <c:v>416666.07</c:v>
                </c:pt>
                <c:pt idx="1">
                  <c:v>416666.07</c:v>
                </c:pt>
                <c:pt idx="2">
                  <c:v>411448.08</c:v>
                </c:pt>
                <c:pt idx="3">
                  <c:v>411448.08</c:v>
                </c:pt>
                <c:pt idx="4">
                  <c:v>411448.08</c:v>
                </c:pt>
                <c:pt idx="5">
                  <c:v>411448.08</c:v>
                </c:pt>
                <c:pt idx="6">
                  <c:v>411448.08</c:v>
                </c:pt>
                <c:pt idx="7">
                  <c:v>419265.59</c:v>
                </c:pt>
                <c:pt idx="8">
                  <c:v>424716.04</c:v>
                </c:pt>
              </c:numCache>
            </c:numRef>
          </c:val>
          <c:smooth val="0"/>
        </c:ser>
        <c:ser>
          <c:idx val="3"/>
          <c:order val="1"/>
          <c:tx>
            <c:strRef>
              <c:f>'Olazti-Falces-Andosilla'!$L$32</c:f>
              <c:strCache>
                <c:ptCount val="1"/>
                <c:pt idx="0">
                  <c:v>Gastos de funcionamiento</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'Olazti-Falces-Andosilla'!$M$32:$U$32</c:f>
              <c:numCache>
                <c:formatCode>#,##0</c:formatCode>
                <c:ptCount val="9"/>
                <c:pt idx="0">
                  <c:v>1509498.41</c:v>
                </c:pt>
                <c:pt idx="1">
                  <c:v>1370307.64</c:v>
                </c:pt>
                <c:pt idx="2">
                  <c:v>1285855.8699999999</c:v>
                </c:pt>
                <c:pt idx="3">
                  <c:v>1363038.49</c:v>
                </c:pt>
                <c:pt idx="4">
                  <c:v>1380590.22</c:v>
                </c:pt>
                <c:pt idx="5">
                  <c:v>1465455.8900000001</c:v>
                </c:pt>
                <c:pt idx="6">
                  <c:v>1581055.41</c:v>
                </c:pt>
                <c:pt idx="7">
                  <c:v>1377679.8800000001</c:v>
                </c:pt>
                <c:pt idx="8">
                  <c:v>1825351.04</c:v>
                </c:pt>
              </c:numCache>
            </c:numRef>
          </c:val>
          <c:smooth val="0"/>
        </c:ser>
        <c:ser>
          <c:idx val="0"/>
          <c:order val="2"/>
          <c:tx>
            <c:strRef>
              <c:f>'Olazti-Falces-Andosilla'!$L$34</c:f>
              <c:strCache>
                <c:ptCount val="1"/>
                <c:pt idx="0">
                  <c:v>Ingresos corrientes(sin FT)</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'Olazti-Falces-Andosilla'!$M$34:$U$34</c:f>
              <c:numCache>
                <c:formatCode>#,##0</c:formatCode>
                <c:ptCount val="9"/>
                <c:pt idx="0">
                  <c:v>1667635.77</c:v>
                </c:pt>
                <c:pt idx="1">
                  <c:v>1363772.18</c:v>
                </c:pt>
                <c:pt idx="2">
                  <c:v>1380276.93</c:v>
                </c:pt>
                <c:pt idx="3">
                  <c:v>1339852.6399999999</c:v>
                </c:pt>
                <c:pt idx="4">
                  <c:v>1376446.88</c:v>
                </c:pt>
                <c:pt idx="5">
                  <c:v>1536258.09</c:v>
                </c:pt>
                <c:pt idx="6">
                  <c:v>1772460.8199999998</c:v>
                </c:pt>
                <c:pt idx="7">
                  <c:v>1379309.83</c:v>
                </c:pt>
                <c:pt idx="8">
                  <c:v>1381923.06</c:v>
                </c:pt>
              </c:numCache>
            </c:numRef>
          </c:val>
          <c:smooth val="0"/>
        </c:ser>
        <c:ser>
          <c:idx val="4"/>
          <c:order val="3"/>
          <c:tx>
            <c:strRef>
              <c:f>'Olazti-Falces-Andosilla'!$L$35</c:f>
              <c:strCache>
                <c:ptCount val="1"/>
                <c:pt idx="0">
                  <c:v>AHORRO BRUTO</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'Olazti-Falces-Andosilla'!$M$35:$U$35</c:f>
              <c:numCache>
                <c:formatCode>#,##0</c:formatCode>
                <c:ptCount val="9"/>
                <c:pt idx="0">
                  <c:v>574803.43000000017</c:v>
                </c:pt>
                <c:pt idx="1">
                  <c:v>410130.6100000001</c:v>
                </c:pt>
                <c:pt idx="2">
                  <c:v>505869.14000000013</c:v>
                </c:pt>
                <c:pt idx="3">
                  <c:v>388262.23</c:v>
                </c:pt>
                <c:pt idx="4">
                  <c:v>407304.74</c:v>
                </c:pt>
                <c:pt idx="5">
                  <c:v>482250.28</c:v>
                </c:pt>
                <c:pt idx="6">
                  <c:v>602853.49</c:v>
                </c:pt>
                <c:pt idx="7">
                  <c:v>420895.54000000004</c:v>
                </c:pt>
                <c:pt idx="8">
                  <c:v>-18711.939999999944</c:v>
                </c:pt>
              </c:numCache>
            </c:numRef>
          </c:val>
          <c:smooth val="0"/>
        </c:ser>
        <c:ser>
          <c:idx val="5"/>
          <c:order val="4"/>
          <c:tx>
            <c:strRef>
              <c:f>'Olazti-Falces-Andosilla'!$L$36</c:f>
              <c:strCache>
                <c:ptCount val="1"/>
                <c:pt idx="0">
                  <c:v>Ingresos tributarios</c:v>
                </c:pt>
              </c:strCache>
            </c:strRef>
          </c:tx>
          <c:marker>
            <c:symbol val="none"/>
          </c:marker>
          <c:cat>
            <c:numRef>
              <c:f>'Olazti-Falces-Andosilla'!$M$30:$U$30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'Olazti-Falces-Andosilla'!$M$36:$U$36</c:f>
              <c:numCache>
                <c:formatCode>#,##0</c:formatCode>
                <c:ptCount val="9"/>
                <c:pt idx="0">
                  <c:v>933894.54</c:v>
                </c:pt>
                <c:pt idx="1">
                  <c:v>869135.55</c:v>
                </c:pt>
                <c:pt idx="2">
                  <c:v>856205.05999999994</c:v>
                </c:pt>
                <c:pt idx="3">
                  <c:v>798019.73</c:v>
                </c:pt>
                <c:pt idx="4">
                  <c:v>874194.23</c:v>
                </c:pt>
                <c:pt idx="5">
                  <c:v>997072.94</c:v>
                </c:pt>
                <c:pt idx="6">
                  <c:v>1431799.9600000002</c:v>
                </c:pt>
                <c:pt idx="7">
                  <c:v>824390.27</c:v>
                </c:pt>
                <c:pt idx="8">
                  <c:v>966095.64</c:v>
                </c:pt>
              </c:numCache>
            </c:numRef>
          </c:val>
          <c:smooth val="0"/>
        </c:ser>
        <c:dLbls>
          <c:showLegendKey val="0"/>
          <c:showVal val="0"/>
          <c:showCatName val="0"/>
          <c:showSerName val="0"/>
          <c:showPercent val="0"/>
          <c:showBubbleSize val="0"/>
        </c:dLbls>
        <c:marker val="1"/>
        <c:smooth val="0"/>
        <c:axId val="129500672"/>
        <c:axId val="129502208"/>
      </c:lineChart>
      <c:catAx>
        <c:axId val="129500672"/>
        <c:scaling>
          <c:orientation val="minMax"/>
        </c:scaling>
        <c:delete val="0"/>
        <c:axPos val="b"/>
        <c:numFmt formatCode="General" sourceLinked="1"/>
        <c:majorTickMark val="none"/>
        <c:minorTickMark val="none"/>
        <c:tickLblPos val="nextTo"/>
        <c:crossAx val="129502208"/>
        <c:crosses val="autoZero"/>
        <c:auto val="1"/>
        <c:lblAlgn val="ctr"/>
        <c:lblOffset val="100"/>
        <c:noMultiLvlLbl val="0"/>
      </c:catAx>
      <c:valAx>
        <c:axId val="129502208"/>
        <c:scaling>
          <c:orientation val="minMax"/>
        </c:scaling>
        <c:delete val="0"/>
        <c:axPos val="l"/>
        <c:majorGridlines/>
        <c:numFmt formatCode="#,##0" sourceLinked="1"/>
        <c:majorTickMark val="none"/>
        <c:minorTickMark val="none"/>
        <c:tickLblPos val="nextTo"/>
        <c:spPr>
          <a:ln w="9525">
            <a:noFill/>
          </a:ln>
        </c:spPr>
        <c:crossAx val="129500672"/>
        <c:crosses val="autoZero"/>
        <c:crossBetween val="between"/>
      </c:valAx>
      <c:valAx>
        <c:axId val="129508096"/>
        <c:scaling>
          <c:orientation val="minMax"/>
        </c:scaling>
        <c:delete val="0"/>
        <c:axPos val="r"/>
        <c:numFmt formatCode="#,##0" sourceLinked="1"/>
        <c:majorTickMark val="out"/>
        <c:minorTickMark val="none"/>
        <c:tickLblPos val="nextTo"/>
        <c:crossAx val="129509632"/>
        <c:crosses val="max"/>
        <c:crossBetween val="between"/>
      </c:valAx>
      <c:catAx>
        <c:axId val="129509632"/>
        <c:scaling>
          <c:orientation val="minMax"/>
        </c:scaling>
        <c:delete val="1"/>
        <c:axPos val="b"/>
        <c:numFmt formatCode="General" sourceLinked="1"/>
        <c:majorTickMark val="out"/>
        <c:minorTickMark val="none"/>
        <c:tickLblPos val="nextTo"/>
        <c:crossAx val="129508096"/>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Lekunberri</a:t>
            </a:r>
          </a:p>
        </c:rich>
      </c:tx>
      <c:overlay val="0"/>
    </c:title>
    <c:autoTitleDeleted val="0"/>
    <c:plotArea>
      <c:layout/>
      <c:barChart>
        <c:barDir val="col"/>
        <c:grouping val="clustered"/>
        <c:varyColors val="0"/>
        <c:ser>
          <c:idx val="6"/>
          <c:order val="5"/>
          <c:tx>
            <c:strRef>
              <c:f>LekunIzaVillatuerta!$L$13</c:f>
              <c:strCache>
                <c:ptCount val="1"/>
                <c:pt idx="0">
                  <c:v>Población</c:v>
                </c:pt>
              </c:strCache>
            </c:strRef>
          </c:tx>
          <c:invertIfNegative val="0"/>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LekunIzaVillatuerta!$M$13:$U$13</c:f>
              <c:numCache>
                <c:formatCode>#,##0</c:formatCode>
                <c:ptCount val="9"/>
                <c:pt idx="0">
                  <c:v>1386</c:v>
                </c:pt>
                <c:pt idx="1">
                  <c:v>1432</c:v>
                </c:pt>
                <c:pt idx="2">
                  <c:v>1473</c:v>
                </c:pt>
                <c:pt idx="3">
                  <c:v>1463</c:v>
                </c:pt>
                <c:pt idx="4">
                  <c:v>1486</c:v>
                </c:pt>
                <c:pt idx="5">
                  <c:v>1469</c:v>
                </c:pt>
                <c:pt idx="6">
                  <c:v>1483</c:v>
                </c:pt>
                <c:pt idx="7">
                  <c:v>1452</c:v>
                </c:pt>
                <c:pt idx="8">
                  <c:v>1502</c:v>
                </c:pt>
              </c:numCache>
            </c:numRef>
          </c:val>
        </c:ser>
        <c:dLbls>
          <c:showLegendKey val="0"/>
          <c:showVal val="0"/>
          <c:showCatName val="0"/>
          <c:showSerName val="0"/>
          <c:showPercent val="0"/>
          <c:showBubbleSize val="0"/>
        </c:dLbls>
        <c:gapWidth val="150"/>
        <c:axId val="130495232"/>
        <c:axId val="130485248"/>
      </c:barChart>
      <c:lineChart>
        <c:grouping val="standard"/>
        <c:varyColors val="0"/>
        <c:ser>
          <c:idx val="3"/>
          <c:order val="0"/>
          <c:tx>
            <c:strRef>
              <c:f>LekunIzaVillatuerta!$L$7</c:f>
              <c:strCache>
                <c:ptCount val="1"/>
                <c:pt idx="0">
                  <c:v>Fondo transferencias(FT)</c:v>
                </c:pt>
              </c:strCache>
            </c:strRef>
          </c:tx>
          <c:spPr>
            <a:ln w="50800">
              <a:solidFill>
                <a:srgbClr val="FF0000"/>
              </a:solidFill>
            </a:ln>
          </c:spPr>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LekunIzaVillatuerta!$M$7:$U$7</c:f>
              <c:numCache>
                <c:formatCode>#,##0</c:formatCode>
                <c:ptCount val="9"/>
                <c:pt idx="0">
                  <c:v>429833.64</c:v>
                </c:pt>
                <c:pt idx="1">
                  <c:v>440299.01</c:v>
                </c:pt>
                <c:pt idx="2">
                  <c:v>434785.06</c:v>
                </c:pt>
                <c:pt idx="3">
                  <c:v>447550.81</c:v>
                </c:pt>
                <c:pt idx="4">
                  <c:v>481622.48</c:v>
                </c:pt>
                <c:pt idx="5">
                  <c:v>512970.97</c:v>
                </c:pt>
                <c:pt idx="6">
                  <c:v>512967.72</c:v>
                </c:pt>
                <c:pt idx="7">
                  <c:v>522717.41</c:v>
                </c:pt>
                <c:pt idx="8">
                  <c:v>529512.76</c:v>
                </c:pt>
              </c:numCache>
            </c:numRef>
          </c:val>
          <c:smooth val="0"/>
        </c:ser>
        <c:ser>
          <c:idx val="4"/>
          <c:order val="1"/>
          <c:tx>
            <c:strRef>
              <c:f>LekunIzaVillatuerta!$L$8</c:f>
              <c:strCache>
                <c:ptCount val="1"/>
                <c:pt idx="0">
                  <c:v>Gastos de funcionamiento</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LekunIzaVillatuerta!$M$8:$U$8</c:f>
              <c:numCache>
                <c:formatCode>#,##0</c:formatCode>
                <c:ptCount val="9"/>
                <c:pt idx="0">
                  <c:v>2419828.36</c:v>
                </c:pt>
                <c:pt idx="1">
                  <c:v>2249812.5499999998</c:v>
                </c:pt>
                <c:pt idx="2">
                  <c:v>2216452.0699999998</c:v>
                </c:pt>
                <c:pt idx="3">
                  <c:v>2059870.03</c:v>
                </c:pt>
                <c:pt idx="4">
                  <c:v>1994299.1800000002</c:v>
                </c:pt>
                <c:pt idx="5">
                  <c:v>2075495.5699999998</c:v>
                </c:pt>
                <c:pt idx="6">
                  <c:v>2158045.11</c:v>
                </c:pt>
                <c:pt idx="7">
                  <c:v>2138225.2400000002</c:v>
                </c:pt>
                <c:pt idx="8">
                  <c:v>2160409.2600000002</c:v>
                </c:pt>
              </c:numCache>
            </c:numRef>
          </c:val>
          <c:smooth val="0"/>
        </c:ser>
        <c:ser>
          <c:idx val="0"/>
          <c:order val="2"/>
          <c:tx>
            <c:strRef>
              <c:f>LekunIzaVillatuerta!$L$10</c:f>
              <c:strCache>
                <c:ptCount val="1"/>
                <c:pt idx="0">
                  <c:v>Ingresos corrientes(sin FT)</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LekunIzaVillatuerta!$M$10:$U$10</c:f>
              <c:numCache>
                <c:formatCode>#,##0</c:formatCode>
                <c:ptCount val="9"/>
                <c:pt idx="0">
                  <c:v>1999191.0299999998</c:v>
                </c:pt>
                <c:pt idx="1">
                  <c:v>1986306.5999999999</c:v>
                </c:pt>
                <c:pt idx="2">
                  <c:v>2011456.21</c:v>
                </c:pt>
                <c:pt idx="3">
                  <c:v>1884800.0299999998</c:v>
                </c:pt>
                <c:pt idx="4">
                  <c:v>1841372.9100000001</c:v>
                </c:pt>
                <c:pt idx="5">
                  <c:v>2228404.4400000004</c:v>
                </c:pt>
                <c:pt idx="6">
                  <c:v>2268961.9800000004</c:v>
                </c:pt>
                <c:pt idx="7">
                  <c:v>2085913.22</c:v>
                </c:pt>
                <c:pt idx="8">
                  <c:v>2193844.38</c:v>
                </c:pt>
              </c:numCache>
            </c:numRef>
          </c:val>
          <c:smooth val="0"/>
        </c:ser>
        <c:ser>
          <c:idx val="1"/>
          <c:order val="3"/>
          <c:tx>
            <c:strRef>
              <c:f>LekunIzaVillatuerta!$L$11</c:f>
              <c:strCache>
                <c:ptCount val="1"/>
                <c:pt idx="0">
                  <c:v>AHORRO BRUTO</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LekunIzaVillatuerta!$M$11:$U$11</c:f>
              <c:numCache>
                <c:formatCode>#,##0</c:formatCode>
                <c:ptCount val="9"/>
                <c:pt idx="0">
                  <c:v>9196.3100000000559</c:v>
                </c:pt>
                <c:pt idx="1">
                  <c:v>176793.06000000006</c:v>
                </c:pt>
                <c:pt idx="2">
                  <c:v>229789.20000000019</c:v>
                </c:pt>
                <c:pt idx="3">
                  <c:v>272480.80999999982</c:v>
                </c:pt>
                <c:pt idx="4">
                  <c:v>328696.20999999996</c:v>
                </c:pt>
                <c:pt idx="5">
                  <c:v>665879.84000000032</c:v>
                </c:pt>
                <c:pt idx="6">
                  <c:v>623884.59000000032</c:v>
                </c:pt>
                <c:pt idx="7">
                  <c:v>470405.38999999966</c:v>
                </c:pt>
                <c:pt idx="8">
                  <c:v>562947.87999999989</c:v>
                </c:pt>
              </c:numCache>
            </c:numRef>
          </c:val>
          <c:smooth val="0"/>
        </c:ser>
        <c:ser>
          <c:idx val="5"/>
          <c:order val="4"/>
          <c:tx>
            <c:strRef>
              <c:f>LekunIzaVillatuerta!$L$12</c:f>
              <c:strCache>
                <c:ptCount val="1"/>
                <c:pt idx="0">
                  <c:v>Ingresos tributarios</c:v>
                </c:pt>
              </c:strCache>
            </c:strRef>
          </c:tx>
          <c:marker>
            <c:symbol val="none"/>
          </c:marker>
          <c:cat>
            <c:numRef>
              <c:f>LekunIzaVillatuerta!$M$6:$U$6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LekunIzaVillatuerta!$M$12:$U$12</c:f>
              <c:numCache>
                <c:formatCode>#,##0</c:formatCode>
                <c:ptCount val="9"/>
                <c:pt idx="0">
                  <c:v>1305628.3799999999</c:v>
                </c:pt>
                <c:pt idx="1">
                  <c:v>1342905.8</c:v>
                </c:pt>
                <c:pt idx="2">
                  <c:v>1391290.1800000002</c:v>
                </c:pt>
                <c:pt idx="3">
                  <c:v>1329069.01</c:v>
                </c:pt>
                <c:pt idx="4">
                  <c:v>1433871.3599999999</c:v>
                </c:pt>
                <c:pt idx="5">
                  <c:v>1712980.7</c:v>
                </c:pt>
                <c:pt idx="6">
                  <c:v>1757507.45</c:v>
                </c:pt>
                <c:pt idx="7">
                  <c:v>1554743.7100000002</c:v>
                </c:pt>
                <c:pt idx="8">
                  <c:v>1560939.7699999998</c:v>
                </c:pt>
              </c:numCache>
            </c:numRef>
          </c:val>
          <c:smooth val="0"/>
        </c:ser>
        <c:dLbls>
          <c:showLegendKey val="0"/>
          <c:showVal val="0"/>
          <c:showCatName val="0"/>
          <c:showSerName val="0"/>
          <c:showPercent val="0"/>
          <c:showBubbleSize val="0"/>
        </c:dLbls>
        <c:marker val="1"/>
        <c:smooth val="0"/>
        <c:axId val="130482176"/>
        <c:axId val="130483712"/>
      </c:lineChart>
      <c:catAx>
        <c:axId val="130482176"/>
        <c:scaling>
          <c:orientation val="minMax"/>
        </c:scaling>
        <c:delete val="0"/>
        <c:axPos val="b"/>
        <c:numFmt formatCode="General" sourceLinked="1"/>
        <c:majorTickMark val="none"/>
        <c:minorTickMark val="none"/>
        <c:tickLblPos val="nextTo"/>
        <c:crossAx val="130483712"/>
        <c:crosses val="autoZero"/>
        <c:auto val="1"/>
        <c:lblAlgn val="ctr"/>
        <c:lblOffset val="100"/>
        <c:noMultiLvlLbl val="0"/>
      </c:catAx>
      <c:valAx>
        <c:axId val="130483712"/>
        <c:scaling>
          <c:orientation val="minMax"/>
        </c:scaling>
        <c:delete val="0"/>
        <c:axPos val="l"/>
        <c:majorGridlines/>
        <c:numFmt formatCode="#,##0" sourceLinked="1"/>
        <c:majorTickMark val="none"/>
        <c:minorTickMark val="none"/>
        <c:tickLblPos val="nextTo"/>
        <c:spPr>
          <a:ln w="9525">
            <a:noFill/>
          </a:ln>
        </c:spPr>
        <c:crossAx val="130482176"/>
        <c:crosses val="autoZero"/>
        <c:crossBetween val="between"/>
      </c:valAx>
      <c:valAx>
        <c:axId val="130485248"/>
        <c:scaling>
          <c:orientation val="minMax"/>
        </c:scaling>
        <c:delete val="0"/>
        <c:axPos val="r"/>
        <c:numFmt formatCode="#,##0" sourceLinked="1"/>
        <c:majorTickMark val="out"/>
        <c:minorTickMark val="none"/>
        <c:tickLblPos val="nextTo"/>
        <c:crossAx val="130495232"/>
        <c:crosses val="max"/>
        <c:crossBetween val="between"/>
      </c:valAx>
      <c:catAx>
        <c:axId val="130495232"/>
        <c:scaling>
          <c:orientation val="minMax"/>
        </c:scaling>
        <c:delete val="1"/>
        <c:axPos val="b"/>
        <c:numFmt formatCode="General" sourceLinked="1"/>
        <c:majorTickMark val="out"/>
        <c:minorTickMark val="none"/>
        <c:tickLblPos val="nextTo"/>
        <c:crossAx val="130485248"/>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Iza</a:t>
            </a:r>
          </a:p>
        </c:rich>
      </c:tx>
      <c:overlay val="0"/>
    </c:title>
    <c:autoTitleDeleted val="0"/>
    <c:plotArea>
      <c:layout/>
      <c:barChart>
        <c:barDir val="col"/>
        <c:grouping val="clustered"/>
        <c:varyColors val="0"/>
        <c:ser>
          <c:idx val="6"/>
          <c:order val="5"/>
          <c:tx>
            <c:strRef>
              <c:f>LekunIzaVillatuerta!$L$25</c:f>
              <c:strCache>
                <c:ptCount val="1"/>
                <c:pt idx="0">
                  <c:v>Población</c:v>
                </c:pt>
              </c:strCache>
            </c:strRef>
          </c:tx>
          <c:invertIfNegative val="0"/>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LekunIzaVillatuerta!$M$25:$U$25</c:f>
              <c:numCache>
                <c:formatCode>#,##0</c:formatCode>
                <c:ptCount val="9"/>
                <c:pt idx="0">
                  <c:v>982</c:v>
                </c:pt>
                <c:pt idx="1">
                  <c:v>1042</c:v>
                </c:pt>
                <c:pt idx="2">
                  <c:v>1093</c:v>
                </c:pt>
                <c:pt idx="3">
                  <c:v>1134</c:v>
                </c:pt>
                <c:pt idx="4">
                  <c:v>1131</c:v>
                </c:pt>
                <c:pt idx="5">
                  <c:v>1156</c:v>
                </c:pt>
                <c:pt idx="6">
                  <c:v>1171</c:v>
                </c:pt>
                <c:pt idx="7">
                  <c:v>1213</c:v>
                </c:pt>
                <c:pt idx="8">
                  <c:v>1192</c:v>
                </c:pt>
              </c:numCache>
            </c:numRef>
          </c:val>
        </c:ser>
        <c:dLbls>
          <c:showLegendKey val="0"/>
          <c:showVal val="0"/>
          <c:showCatName val="0"/>
          <c:showSerName val="0"/>
          <c:showPercent val="0"/>
          <c:showBubbleSize val="0"/>
        </c:dLbls>
        <c:gapWidth val="150"/>
        <c:axId val="130538112"/>
        <c:axId val="130536576"/>
      </c:barChart>
      <c:lineChart>
        <c:grouping val="standard"/>
        <c:varyColors val="0"/>
        <c:ser>
          <c:idx val="4"/>
          <c:order val="0"/>
          <c:tx>
            <c:strRef>
              <c:f>LekunIzaVillatuerta!$L$19</c:f>
              <c:strCache>
                <c:ptCount val="1"/>
                <c:pt idx="0">
                  <c:v>Fondo transferencias(FT)</c:v>
                </c:pt>
              </c:strCache>
            </c:strRef>
          </c:tx>
          <c:spPr>
            <a:ln w="50800">
              <a:solidFill>
                <a:srgbClr val="FF0000"/>
              </a:solidFill>
            </a:ln>
          </c:spPr>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LekunIzaVillatuerta!$M$19:$U$19</c:f>
              <c:numCache>
                <c:formatCode>#,##0</c:formatCode>
                <c:ptCount val="9"/>
                <c:pt idx="0">
                  <c:v>306152.63999999996</c:v>
                </c:pt>
                <c:pt idx="1">
                  <c:v>314166.52</c:v>
                </c:pt>
                <c:pt idx="2">
                  <c:v>362130.30000000005</c:v>
                </c:pt>
                <c:pt idx="3">
                  <c:v>368038.55000000005</c:v>
                </c:pt>
                <c:pt idx="4">
                  <c:v>379589.05000000005</c:v>
                </c:pt>
                <c:pt idx="5">
                  <c:v>390406.12000000011</c:v>
                </c:pt>
                <c:pt idx="6">
                  <c:v>390406.20000000007</c:v>
                </c:pt>
                <c:pt idx="7">
                  <c:v>397823.8299999999</c:v>
                </c:pt>
                <c:pt idx="8">
                  <c:v>402995.64000000007</c:v>
                </c:pt>
              </c:numCache>
            </c:numRef>
          </c:val>
          <c:smooth val="0"/>
        </c:ser>
        <c:ser>
          <c:idx val="0"/>
          <c:order val="1"/>
          <c:tx>
            <c:strRef>
              <c:f>LekunIzaVillatuerta!$L$20</c:f>
              <c:strCache>
                <c:ptCount val="1"/>
                <c:pt idx="0">
                  <c:v>Gastos de funcionamiento</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LekunIzaVillatuerta!$M$20:$U$20</c:f>
              <c:numCache>
                <c:formatCode>#,##0</c:formatCode>
                <c:ptCount val="9"/>
                <c:pt idx="0">
                  <c:v>659158.7699999999</c:v>
                </c:pt>
                <c:pt idx="1">
                  <c:v>783310.32000000007</c:v>
                </c:pt>
                <c:pt idx="2">
                  <c:v>918666.21</c:v>
                </c:pt>
                <c:pt idx="3">
                  <c:v>734789.47000000009</c:v>
                </c:pt>
                <c:pt idx="4">
                  <c:v>771739.4800000001</c:v>
                </c:pt>
                <c:pt idx="5">
                  <c:v>822204.27000000014</c:v>
                </c:pt>
                <c:pt idx="6">
                  <c:v>898910.86</c:v>
                </c:pt>
                <c:pt idx="7">
                  <c:v>880064.93000000028</c:v>
                </c:pt>
                <c:pt idx="8">
                  <c:v>894431.55</c:v>
                </c:pt>
              </c:numCache>
            </c:numRef>
          </c:val>
          <c:smooth val="0"/>
        </c:ser>
        <c:ser>
          <c:idx val="1"/>
          <c:order val="2"/>
          <c:tx>
            <c:strRef>
              <c:f>LekunIzaVillatuerta!$L$22</c:f>
              <c:strCache>
                <c:ptCount val="1"/>
                <c:pt idx="0">
                  <c:v>Ingresos corrientes(sin FT)</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LekunIzaVillatuerta!$M$22:$U$22</c:f>
              <c:numCache>
                <c:formatCode>#,##0</c:formatCode>
                <c:ptCount val="9"/>
                <c:pt idx="0">
                  <c:v>744197.81</c:v>
                </c:pt>
                <c:pt idx="1">
                  <c:v>584842.20999999985</c:v>
                </c:pt>
                <c:pt idx="2">
                  <c:v>740007.78999999957</c:v>
                </c:pt>
                <c:pt idx="3">
                  <c:v>802392.29999999981</c:v>
                </c:pt>
                <c:pt idx="4">
                  <c:v>747634.79</c:v>
                </c:pt>
                <c:pt idx="5">
                  <c:v>876288.31999999983</c:v>
                </c:pt>
                <c:pt idx="6">
                  <c:v>806307.87</c:v>
                </c:pt>
                <c:pt idx="7">
                  <c:v>765510.8200000003</c:v>
                </c:pt>
                <c:pt idx="8">
                  <c:v>725086.59999999986</c:v>
                </c:pt>
              </c:numCache>
            </c:numRef>
          </c:val>
          <c:smooth val="0"/>
        </c:ser>
        <c:ser>
          <c:idx val="2"/>
          <c:order val="3"/>
          <c:tx>
            <c:strRef>
              <c:f>LekunIzaVillatuerta!$L$23</c:f>
              <c:strCache>
                <c:ptCount val="1"/>
                <c:pt idx="0">
                  <c:v>AHORRO BRUTO</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LekunIzaVillatuerta!$M$23:$U$23</c:f>
              <c:numCache>
                <c:formatCode>#,##0</c:formatCode>
                <c:ptCount val="9"/>
                <c:pt idx="0">
                  <c:v>391191.68000000005</c:v>
                </c:pt>
                <c:pt idx="1">
                  <c:v>115698.4099999998</c:v>
                </c:pt>
                <c:pt idx="2">
                  <c:v>183471.87999999966</c:v>
                </c:pt>
                <c:pt idx="3">
                  <c:v>435641.37999999977</c:v>
                </c:pt>
                <c:pt idx="4">
                  <c:v>355484.36</c:v>
                </c:pt>
                <c:pt idx="5">
                  <c:v>444490.16999999981</c:v>
                </c:pt>
                <c:pt idx="6">
                  <c:v>297803.21000000008</c:v>
                </c:pt>
                <c:pt idx="7">
                  <c:v>283269.71999999986</c:v>
                </c:pt>
                <c:pt idx="8">
                  <c:v>233650.68999999994</c:v>
                </c:pt>
              </c:numCache>
            </c:numRef>
          </c:val>
          <c:smooth val="0"/>
        </c:ser>
        <c:ser>
          <c:idx val="5"/>
          <c:order val="4"/>
          <c:tx>
            <c:strRef>
              <c:f>LekunIzaVillatuerta!$L$24</c:f>
              <c:strCache>
                <c:ptCount val="1"/>
                <c:pt idx="0">
                  <c:v>Ingresos tributarios</c:v>
                </c:pt>
              </c:strCache>
            </c:strRef>
          </c:tx>
          <c:marker>
            <c:symbol val="none"/>
          </c:marker>
          <c:cat>
            <c:numRef>
              <c:f>LekunIzaVillatuerta!$M$18:$U$18</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LekunIzaVillatuerta!$M$24:$U$24</c:f>
              <c:numCache>
                <c:formatCode>#,##0</c:formatCode>
                <c:ptCount val="9"/>
                <c:pt idx="0">
                  <c:v>602825.45999999985</c:v>
                </c:pt>
                <c:pt idx="1">
                  <c:v>431583.67000000004</c:v>
                </c:pt>
                <c:pt idx="2">
                  <c:v>472492.4</c:v>
                </c:pt>
                <c:pt idx="3">
                  <c:v>488202.49</c:v>
                </c:pt>
                <c:pt idx="4">
                  <c:v>521714.87</c:v>
                </c:pt>
                <c:pt idx="5">
                  <c:v>531590.52999999991</c:v>
                </c:pt>
                <c:pt idx="6">
                  <c:v>493515.13000000012</c:v>
                </c:pt>
                <c:pt idx="7">
                  <c:v>483725.03000000009</c:v>
                </c:pt>
                <c:pt idx="8">
                  <c:v>499646.11000000004</c:v>
                </c:pt>
              </c:numCache>
            </c:numRef>
          </c:val>
          <c:smooth val="0"/>
        </c:ser>
        <c:dLbls>
          <c:showLegendKey val="0"/>
          <c:showVal val="0"/>
          <c:showCatName val="0"/>
          <c:showSerName val="0"/>
          <c:showPercent val="0"/>
          <c:showBubbleSize val="0"/>
        </c:dLbls>
        <c:marker val="1"/>
        <c:smooth val="0"/>
        <c:axId val="130525056"/>
        <c:axId val="130526592"/>
      </c:lineChart>
      <c:catAx>
        <c:axId val="130525056"/>
        <c:scaling>
          <c:orientation val="minMax"/>
        </c:scaling>
        <c:delete val="0"/>
        <c:axPos val="b"/>
        <c:numFmt formatCode="General" sourceLinked="1"/>
        <c:majorTickMark val="none"/>
        <c:minorTickMark val="none"/>
        <c:tickLblPos val="nextTo"/>
        <c:crossAx val="130526592"/>
        <c:crosses val="autoZero"/>
        <c:auto val="1"/>
        <c:lblAlgn val="ctr"/>
        <c:lblOffset val="100"/>
        <c:noMultiLvlLbl val="0"/>
      </c:catAx>
      <c:valAx>
        <c:axId val="130526592"/>
        <c:scaling>
          <c:orientation val="minMax"/>
        </c:scaling>
        <c:delete val="0"/>
        <c:axPos val="l"/>
        <c:majorGridlines/>
        <c:numFmt formatCode="#,##0" sourceLinked="1"/>
        <c:majorTickMark val="none"/>
        <c:minorTickMark val="none"/>
        <c:tickLblPos val="nextTo"/>
        <c:spPr>
          <a:ln w="9525">
            <a:noFill/>
          </a:ln>
        </c:spPr>
        <c:crossAx val="130525056"/>
        <c:crosses val="autoZero"/>
        <c:crossBetween val="between"/>
      </c:valAx>
      <c:valAx>
        <c:axId val="130536576"/>
        <c:scaling>
          <c:orientation val="minMax"/>
        </c:scaling>
        <c:delete val="0"/>
        <c:axPos val="r"/>
        <c:numFmt formatCode="#,##0" sourceLinked="1"/>
        <c:majorTickMark val="out"/>
        <c:minorTickMark val="none"/>
        <c:tickLblPos val="nextTo"/>
        <c:crossAx val="130538112"/>
        <c:crosses val="max"/>
        <c:crossBetween val="between"/>
      </c:valAx>
      <c:catAx>
        <c:axId val="130538112"/>
        <c:scaling>
          <c:orientation val="minMax"/>
        </c:scaling>
        <c:delete val="1"/>
        <c:axPos val="b"/>
        <c:numFmt formatCode="General" sourceLinked="1"/>
        <c:majorTickMark val="out"/>
        <c:minorTickMark val="none"/>
        <c:tickLblPos val="nextTo"/>
        <c:crossAx val="130536576"/>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Villatuerta</a:t>
            </a:r>
          </a:p>
        </c:rich>
      </c:tx>
      <c:overlay val="0"/>
    </c:title>
    <c:autoTitleDeleted val="0"/>
    <c:plotArea>
      <c:layout/>
      <c:barChart>
        <c:barDir val="col"/>
        <c:grouping val="clustered"/>
        <c:varyColors val="0"/>
        <c:ser>
          <c:idx val="6"/>
          <c:order val="5"/>
          <c:tx>
            <c:strRef>
              <c:f>LekunIzaVillatuerta!$L$110</c:f>
              <c:strCache>
                <c:ptCount val="1"/>
                <c:pt idx="0">
                  <c:v>Población</c:v>
                </c:pt>
              </c:strCache>
            </c:strRef>
          </c:tx>
          <c:invertIfNegative val="0"/>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LekunIzaVillatuerta!$M$110:$U$110</c:f>
              <c:numCache>
                <c:formatCode>#,##0</c:formatCode>
                <c:ptCount val="9"/>
                <c:pt idx="0">
                  <c:v>1069</c:v>
                </c:pt>
                <c:pt idx="1">
                  <c:v>1099</c:v>
                </c:pt>
                <c:pt idx="2">
                  <c:v>1122</c:v>
                </c:pt>
                <c:pt idx="3">
                  <c:v>1137</c:v>
                </c:pt>
                <c:pt idx="4">
                  <c:v>1145</c:v>
                </c:pt>
                <c:pt idx="5">
                  <c:v>1128</c:v>
                </c:pt>
                <c:pt idx="6">
                  <c:v>1137</c:v>
                </c:pt>
                <c:pt idx="7">
                  <c:v>1154</c:v>
                </c:pt>
                <c:pt idx="8">
                  <c:v>1178</c:v>
                </c:pt>
              </c:numCache>
            </c:numRef>
          </c:val>
        </c:ser>
        <c:dLbls>
          <c:showLegendKey val="0"/>
          <c:showVal val="0"/>
          <c:showCatName val="0"/>
          <c:showSerName val="0"/>
          <c:showPercent val="0"/>
          <c:showBubbleSize val="0"/>
        </c:dLbls>
        <c:gapWidth val="150"/>
        <c:axId val="130585728"/>
        <c:axId val="130579840"/>
      </c:barChart>
      <c:lineChart>
        <c:grouping val="standard"/>
        <c:varyColors val="0"/>
        <c:ser>
          <c:idx val="0"/>
          <c:order val="0"/>
          <c:tx>
            <c:strRef>
              <c:f>LekunIzaVillatuerta!$L$104</c:f>
              <c:strCache>
                <c:ptCount val="1"/>
                <c:pt idx="0">
                  <c:v>Fondo transferencias(FT)</c:v>
                </c:pt>
              </c:strCache>
            </c:strRef>
          </c:tx>
          <c:spPr>
            <a:ln w="50800">
              <a:solidFill>
                <a:srgbClr val="FF0000"/>
              </a:solidFill>
            </a:ln>
          </c:spPr>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LekunIzaVillatuerta!$M$104:$U$104</c:f>
              <c:numCache>
                <c:formatCode>#,##0</c:formatCode>
                <c:ptCount val="9"/>
                <c:pt idx="0">
                  <c:v>324443.67</c:v>
                </c:pt>
                <c:pt idx="1">
                  <c:v>324443.67</c:v>
                </c:pt>
                <c:pt idx="2">
                  <c:v>331016.90999999997</c:v>
                </c:pt>
                <c:pt idx="3">
                  <c:v>331016.90999999997</c:v>
                </c:pt>
                <c:pt idx="4">
                  <c:v>331016.90999999997</c:v>
                </c:pt>
                <c:pt idx="5">
                  <c:v>331016.90999999997</c:v>
                </c:pt>
                <c:pt idx="6">
                  <c:v>331016.92</c:v>
                </c:pt>
                <c:pt idx="7">
                  <c:v>337306.23</c:v>
                </c:pt>
                <c:pt idx="8">
                  <c:v>341691.2</c:v>
                </c:pt>
              </c:numCache>
            </c:numRef>
          </c:val>
          <c:smooth val="0"/>
        </c:ser>
        <c:ser>
          <c:idx val="1"/>
          <c:order val="1"/>
          <c:tx>
            <c:strRef>
              <c:f>LekunIzaVillatuerta!$L$105</c:f>
              <c:strCache>
                <c:ptCount val="1"/>
                <c:pt idx="0">
                  <c:v>Gastos de funcionamiento</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LekunIzaVillatuerta!$M$105:$U$105</c:f>
              <c:numCache>
                <c:formatCode>#,##0</c:formatCode>
                <c:ptCount val="9"/>
                <c:pt idx="0">
                  <c:v>733687.86</c:v>
                </c:pt>
                <c:pt idx="1">
                  <c:v>953107.86</c:v>
                </c:pt>
                <c:pt idx="2">
                  <c:v>763208.86</c:v>
                </c:pt>
                <c:pt idx="3">
                  <c:v>724519.62</c:v>
                </c:pt>
                <c:pt idx="4">
                  <c:v>788117.85</c:v>
                </c:pt>
                <c:pt idx="5">
                  <c:v>777276.69</c:v>
                </c:pt>
                <c:pt idx="6">
                  <c:v>778924.72</c:v>
                </c:pt>
                <c:pt idx="7">
                  <c:v>760063.33</c:v>
                </c:pt>
                <c:pt idx="8">
                  <c:v>713817.43</c:v>
                </c:pt>
              </c:numCache>
            </c:numRef>
          </c:val>
          <c:smooth val="0"/>
        </c:ser>
        <c:ser>
          <c:idx val="2"/>
          <c:order val="2"/>
          <c:tx>
            <c:strRef>
              <c:f>LekunIzaVillatuerta!$L$107</c:f>
              <c:strCache>
                <c:ptCount val="1"/>
                <c:pt idx="0">
                  <c:v>Ingresos corrientes(sin FT)</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LekunIzaVillatuerta!$M$107:$U$107</c:f>
              <c:numCache>
                <c:formatCode>#,##0</c:formatCode>
                <c:ptCount val="9"/>
                <c:pt idx="0">
                  <c:v>885364.24</c:v>
                </c:pt>
                <c:pt idx="1">
                  <c:v>870725.8600000001</c:v>
                </c:pt>
                <c:pt idx="2">
                  <c:v>784839.35000000009</c:v>
                </c:pt>
                <c:pt idx="3">
                  <c:v>806912.2100000002</c:v>
                </c:pt>
                <c:pt idx="4">
                  <c:v>926583.68000000017</c:v>
                </c:pt>
                <c:pt idx="5">
                  <c:v>824769.51</c:v>
                </c:pt>
                <c:pt idx="6">
                  <c:v>872483.08000000007</c:v>
                </c:pt>
                <c:pt idx="7">
                  <c:v>867653.34000000008</c:v>
                </c:pt>
                <c:pt idx="8">
                  <c:v>808782.8</c:v>
                </c:pt>
              </c:numCache>
            </c:numRef>
          </c:val>
          <c:smooth val="0"/>
        </c:ser>
        <c:ser>
          <c:idx val="3"/>
          <c:order val="3"/>
          <c:tx>
            <c:strRef>
              <c:f>LekunIzaVillatuerta!$L$108</c:f>
              <c:strCache>
                <c:ptCount val="1"/>
                <c:pt idx="0">
                  <c:v>AHORRO BRUTO</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LekunIzaVillatuerta!$M$108:$U$108</c:f>
              <c:numCache>
                <c:formatCode>#,##0</c:formatCode>
                <c:ptCount val="9"/>
                <c:pt idx="0">
                  <c:v>476120.04999999993</c:v>
                </c:pt>
                <c:pt idx="1">
                  <c:v>242061.67000000004</c:v>
                </c:pt>
                <c:pt idx="2">
                  <c:v>352647.4</c:v>
                </c:pt>
                <c:pt idx="3">
                  <c:v>413409.50000000012</c:v>
                </c:pt>
                <c:pt idx="4">
                  <c:v>469482.74000000011</c:v>
                </c:pt>
                <c:pt idx="5">
                  <c:v>378509.73</c:v>
                </c:pt>
                <c:pt idx="6">
                  <c:v>424575.28</c:v>
                </c:pt>
                <c:pt idx="7">
                  <c:v>444896.24000000011</c:v>
                </c:pt>
                <c:pt idx="8">
                  <c:v>436656.56999999995</c:v>
                </c:pt>
              </c:numCache>
            </c:numRef>
          </c:val>
          <c:smooth val="0"/>
        </c:ser>
        <c:ser>
          <c:idx val="5"/>
          <c:order val="4"/>
          <c:tx>
            <c:strRef>
              <c:f>LekunIzaVillatuerta!$L$109</c:f>
              <c:strCache>
                <c:ptCount val="1"/>
                <c:pt idx="0">
                  <c:v>Ingresos tributarios</c:v>
                </c:pt>
              </c:strCache>
            </c:strRef>
          </c:tx>
          <c:marker>
            <c:symbol val="none"/>
          </c:marker>
          <c:cat>
            <c:numRef>
              <c:f>LekunIzaVillatuerta!$M$103:$U$103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LekunIzaVillatuerta!$M$109:$U$109</c:f>
              <c:numCache>
                <c:formatCode>#,##0</c:formatCode>
                <c:ptCount val="9"/>
                <c:pt idx="0">
                  <c:v>720936.87</c:v>
                </c:pt>
                <c:pt idx="1">
                  <c:v>765428.71</c:v>
                </c:pt>
                <c:pt idx="2">
                  <c:v>667096.53999999992</c:v>
                </c:pt>
                <c:pt idx="3">
                  <c:v>642475.75</c:v>
                </c:pt>
                <c:pt idx="4">
                  <c:v>778379.15</c:v>
                </c:pt>
                <c:pt idx="5">
                  <c:v>707937.86</c:v>
                </c:pt>
                <c:pt idx="6">
                  <c:v>747649.1100000001</c:v>
                </c:pt>
                <c:pt idx="7">
                  <c:v>737071.95000000007</c:v>
                </c:pt>
                <c:pt idx="8">
                  <c:v>709496.45000000007</c:v>
                </c:pt>
              </c:numCache>
            </c:numRef>
          </c:val>
          <c:smooth val="0"/>
        </c:ser>
        <c:dLbls>
          <c:showLegendKey val="0"/>
          <c:showVal val="0"/>
          <c:showCatName val="0"/>
          <c:showSerName val="0"/>
          <c:showPercent val="0"/>
          <c:showBubbleSize val="0"/>
        </c:dLbls>
        <c:marker val="1"/>
        <c:smooth val="0"/>
        <c:axId val="130576768"/>
        <c:axId val="130578304"/>
      </c:lineChart>
      <c:catAx>
        <c:axId val="130576768"/>
        <c:scaling>
          <c:orientation val="minMax"/>
        </c:scaling>
        <c:delete val="0"/>
        <c:axPos val="b"/>
        <c:numFmt formatCode="General" sourceLinked="1"/>
        <c:majorTickMark val="none"/>
        <c:minorTickMark val="none"/>
        <c:tickLblPos val="nextTo"/>
        <c:crossAx val="130578304"/>
        <c:crosses val="autoZero"/>
        <c:auto val="1"/>
        <c:lblAlgn val="ctr"/>
        <c:lblOffset val="100"/>
        <c:noMultiLvlLbl val="0"/>
      </c:catAx>
      <c:valAx>
        <c:axId val="130578304"/>
        <c:scaling>
          <c:orientation val="minMax"/>
        </c:scaling>
        <c:delete val="0"/>
        <c:axPos val="l"/>
        <c:majorGridlines/>
        <c:numFmt formatCode="#,##0" sourceLinked="1"/>
        <c:majorTickMark val="none"/>
        <c:minorTickMark val="none"/>
        <c:tickLblPos val="nextTo"/>
        <c:spPr>
          <a:ln w="9525">
            <a:noFill/>
          </a:ln>
        </c:spPr>
        <c:crossAx val="130576768"/>
        <c:crosses val="autoZero"/>
        <c:crossBetween val="between"/>
      </c:valAx>
      <c:valAx>
        <c:axId val="130579840"/>
        <c:scaling>
          <c:orientation val="minMax"/>
        </c:scaling>
        <c:delete val="0"/>
        <c:axPos val="r"/>
        <c:numFmt formatCode="#,##0" sourceLinked="1"/>
        <c:majorTickMark val="out"/>
        <c:minorTickMark val="none"/>
        <c:tickLblPos val="nextTo"/>
        <c:crossAx val="130585728"/>
        <c:crosses val="max"/>
        <c:crossBetween val="between"/>
      </c:valAx>
      <c:catAx>
        <c:axId val="130585728"/>
        <c:scaling>
          <c:orientation val="minMax"/>
        </c:scaling>
        <c:delete val="1"/>
        <c:axPos val="b"/>
        <c:numFmt formatCode="General" sourceLinked="1"/>
        <c:majorTickMark val="out"/>
        <c:minorTickMark val="none"/>
        <c:tickLblPos val="nextTo"/>
        <c:crossAx val="130579840"/>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Mañeru</a:t>
            </a:r>
          </a:p>
        </c:rich>
      </c:tx>
      <c:overlay val="0"/>
    </c:title>
    <c:autoTitleDeleted val="0"/>
    <c:plotArea>
      <c:layout/>
      <c:barChart>
        <c:barDir val="col"/>
        <c:grouping val="clustered"/>
        <c:varyColors val="0"/>
        <c:ser>
          <c:idx val="6"/>
          <c:order val="5"/>
          <c:tx>
            <c:strRef>
              <c:f>MañeruValledeOllo!$M$44</c:f>
              <c:strCache>
                <c:ptCount val="1"/>
                <c:pt idx="0">
                  <c:v>Población</c:v>
                </c:pt>
              </c:strCache>
            </c:strRef>
          </c:tx>
          <c:invertIfNegative val="0"/>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MañeruValledeOllo!$N$44:$V$44</c:f>
              <c:numCache>
                <c:formatCode>#,##0</c:formatCode>
                <c:ptCount val="9"/>
                <c:pt idx="0">
                  <c:v>389</c:v>
                </c:pt>
                <c:pt idx="1">
                  <c:v>420</c:v>
                </c:pt>
                <c:pt idx="2">
                  <c:v>427</c:v>
                </c:pt>
                <c:pt idx="3">
                  <c:v>442</c:v>
                </c:pt>
                <c:pt idx="4">
                  <c:v>431</c:v>
                </c:pt>
                <c:pt idx="5">
                  <c:v>436</c:v>
                </c:pt>
                <c:pt idx="6">
                  <c:v>432</c:v>
                </c:pt>
                <c:pt idx="7">
                  <c:v>419</c:v>
                </c:pt>
                <c:pt idx="8">
                  <c:v>422</c:v>
                </c:pt>
              </c:numCache>
            </c:numRef>
          </c:val>
        </c:ser>
        <c:dLbls>
          <c:showLegendKey val="0"/>
          <c:showVal val="0"/>
          <c:showCatName val="0"/>
          <c:showSerName val="0"/>
          <c:showPercent val="0"/>
          <c:showBubbleSize val="0"/>
        </c:dLbls>
        <c:gapWidth val="150"/>
        <c:axId val="130383232"/>
        <c:axId val="130381696"/>
      </c:barChart>
      <c:lineChart>
        <c:grouping val="standard"/>
        <c:varyColors val="0"/>
        <c:ser>
          <c:idx val="0"/>
          <c:order val="0"/>
          <c:tx>
            <c:strRef>
              <c:f>MañeruValledeOllo!$M$38</c:f>
              <c:strCache>
                <c:ptCount val="1"/>
                <c:pt idx="0">
                  <c:v>Fondo transferencias(FT)</c:v>
                </c:pt>
              </c:strCache>
            </c:strRef>
          </c:tx>
          <c:spPr>
            <a:ln w="50800">
              <a:solidFill>
                <a:srgbClr val="FF0000"/>
              </a:solidFill>
            </a:ln>
          </c:spPr>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MañeruValledeOllo!$N$38:$V$38</c:f>
              <c:numCache>
                <c:formatCode>#,##0</c:formatCode>
                <c:ptCount val="9"/>
                <c:pt idx="0">
                  <c:v>101305.33</c:v>
                </c:pt>
                <c:pt idx="1">
                  <c:v>101345.14</c:v>
                </c:pt>
                <c:pt idx="2">
                  <c:v>100207.99</c:v>
                </c:pt>
                <c:pt idx="3">
                  <c:v>101688.8</c:v>
                </c:pt>
                <c:pt idx="4">
                  <c:v>107669.64</c:v>
                </c:pt>
                <c:pt idx="5">
                  <c:v>110992.52</c:v>
                </c:pt>
                <c:pt idx="6">
                  <c:v>110992.52</c:v>
                </c:pt>
                <c:pt idx="7">
                  <c:v>113101.38</c:v>
                </c:pt>
                <c:pt idx="8">
                  <c:v>114571.72</c:v>
                </c:pt>
              </c:numCache>
            </c:numRef>
          </c:val>
          <c:smooth val="0"/>
        </c:ser>
        <c:ser>
          <c:idx val="1"/>
          <c:order val="1"/>
          <c:tx>
            <c:strRef>
              <c:f>MañeruValledeOllo!$M$39</c:f>
              <c:strCache>
                <c:ptCount val="1"/>
                <c:pt idx="0">
                  <c:v>Gastos de funcionamiento</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MañeruValledeOllo!$N$39:$V$39</c:f>
              <c:numCache>
                <c:formatCode>#,##0</c:formatCode>
                <c:ptCount val="9"/>
                <c:pt idx="0">
                  <c:v>248865.63</c:v>
                </c:pt>
                <c:pt idx="1">
                  <c:v>267546.19</c:v>
                </c:pt>
                <c:pt idx="2">
                  <c:v>286775.2</c:v>
                </c:pt>
                <c:pt idx="3">
                  <c:v>282309.55</c:v>
                </c:pt>
                <c:pt idx="4">
                  <c:v>268572.65999999997</c:v>
                </c:pt>
                <c:pt idx="5">
                  <c:v>251216.12</c:v>
                </c:pt>
                <c:pt idx="6">
                  <c:v>286486.99</c:v>
                </c:pt>
                <c:pt idx="7">
                  <c:v>273498.08</c:v>
                </c:pt>
                <c:pt idx="8">
                  <c:v>294954.96000000002</c:v>
                </c:pt>
              </c:numCache>
            </c:numRef>
          </c:val>
          <c:smooth val="0"/>
        </c:ser>
        <c:ser>
          <c:idx val="2"/>
          <c:order val="2"/>
          <c:tx>
            <c:strRef>
              <c:f>MañeruValledeOllo!$M$41</c:f>
              <c:strCache>
                <c:ptCount val="1"/>
                <c:pt idx="0">
                  <c:v>Ingresos corrientes(sin FT)</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MañeruValledeOllo!$N$41:$V$41</c:f>
              <c:numCache>
                <c:formatCode>#,##0</c:formatCode>
                <c:ptCount val="9"/>
                <c:pt idx="0">
                  <c:v>171811.16999999998</c:v>
                </c:pt>
                <c:pt idx="1">
                  <c:v>199116.07999999996</c:v>
                </c:pt>
                <c:pt idx="2">
                  <c:v>178116.72000000003</c:v>
                </c:pt>
                <c:pt idx="3">
                  <c:v>178369.95</c:v>
                </c:pt>
                <c:pt idx="4">
                  <c:v>208112.74</c:v>
                </c:pt>
                <c:pt idx="5">
                  <c:v>213033.63999999996</c:v>
                </c:pt>
                <c:pt idx="6">
                  <c:v>203135.76999999996</c:v>
                </c:pt>
                <c:pt idx="7">
                  <c:v>267204.81</c:v>
                </c:pt>
                <c:pt idx="8">
                  <c:v>237691.88999999998</c:v>
                </c:pt>
              </c:numCache>
            </c:numRef>
          </c:val>
          <c:smooth val="0"/>
        </c:ser>
        <c:ser>
          <c:idx val="3"/>
          <c:order val="3"/>
          <c:tx>
            <c:strRef>
              <c:f>MañeruValledeOllo!$M$42</c:f>
              <c:strCache>
                <c:ptCount val="1"/>
                <c:pt idx="0">
                  <c:v>AHORRO BRUTO</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MañeruValledeOllo!$N$42:$V$42</c:f>
              <c:numCache>
                <c:formatCode>#,##0</c:formatCode>
                <c:ptCount val="9"/>
                <c:pt idx="0">
                  <c:v>24250.869999999995</c:v>
                </c:pt>
                <c:pt idx="1">
                  <c:v>32915.02999999997</c:v>
                </c:pt>
                <c:pt idx="2">
                  <c:v>-8450.4899999999907</c:v>
                </c:pt>
                <c:pt idx="3">
                  <c:v>-2250.7999999999884</c:v>
                </c:pt>
                <c:pt idx="4">
                  <c:v>47209.72000000003</c:v>
                </c:pt>
                <c:pt idx="5">
                  <c:v>72810.039999999979</c:v>
                </c:pt>
                <c:pt idx="6">
                  <c:v>27641.299999999988</c:v>
                </c:pt>
                <c:pt idx="7">
                  <c:v>106808.10999999999</c:v>
                </c:pt>
                <c:pt idx="8">
                  <c:v>57308.649999999965</c:v>
                </c:pt>
              </c:numCache>
            </c:numRef>
          </c:val>
          <c:smooth val="0"/>
        </c:ser>
        <c:ser>
          <c:idx val="5"/>
          <c:order val="4"/>
          <c:tx>
            <c:strRef>
              <c:f>MañeruValledeOllo!$M$43</c:f>
              <c:strCache>
                <c:ptCount val="1"/>
                <c:pt idx="0">
                  <c:v>Ingresos tributarios</c:v>
                </c:pt>
              </c:strCache>
            </c:strRef>
          </c:tx>
          <c:marker>
            <c:symbol val="none"/>
          </c:marker>
          <c:cat>
            <c:numRef>
              <c:f>MañeruValledeOllo!$N$37:$V$37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MañeruValledeOllo!$N$43:$V$43</c:f>
              <c:numCache>
                <c:formatCode>#,##0</c:formatCode>
                <c:ptCount val="9"/>
                <c:pt idx="0">
                  <c:v>116976.68999999999</c:v>
                </c:pt>
                <c:pt idx="1">
                  <c:v>128936.57</c:v>
                </c:pt>
                <c:pt idx="2">
                  <c:v>113127.05</c:v>
                </c:pt>
                <c:pt idx="3">
                  <c:v>114369.38</c:v>
                </c:pt>
                <c:pt idx="4">
                  <c:v>127013.43</c:v>
                </c:pt>
                <c:pt idx="5">
                  <c:v>150488.79999999999</c:v>
                </c:pt>
                <c:pt idx="6">
                  <c:v>141630.12</c:v>
                </c:pt>
                <c:pt idx="7">
                  <c:v>206559.83</c:v>
                </c:pt>
                <c:pt idx="8">
                  <c:v>175756.93</c:v>
                </c:pt>
              </c:numCache>
            </c:numRef>
          </c:val>
          <c:smooth val="0"/>
        </c:ser>
        <c:dLbls>
          <c:showLegendKey val="0"/>
          <c:showVal val="0"/>
          <c:showCatName val="0"/>
          <c:showSerName val="0"/>
          <c:showPercent val="0"/>
          <c:showBubbleSize val="0"/>
        </c:dLbls>
        <c:marker val="1"/>
        <c:smooth val="0"/>
        <c:axId val="130357888"/>
        <c:axId val="130380160"/>
      </c:lineChart>
      <c:catAx>
        <c:axId val="130357888"/>
        <c:scaling>
          <c:orientation val="minMax"/>
        </c:scaling>
        <c:delete val="0"/>
        <c:axPos val="b"/>
        <c:numFmt formatCode="General" sourceLinked="1"/>
        <c:majorTickMark val="none"/>
        <c:minorTickMark val="none"/>
        <c:tickLblPos val="nextTo"/>
        <c:crossAx val="130380160"/>
        <c:crosses val="autoZero"/>
        <c:auto val="1"/>
        <c:lblAlgn val="ctr"/>
        <c:lblOffset val="100"/>
        <c:noMultiLvlLbl val="0"/>
      </c:catAx>
      <c:valAx>
        <c:axId val="130380160"/>
        <c:scaling>
          <c:orientation val="minMax"/>
        </c:scaling>
        <c:delete val="0"/>
        <c:axPos val="l"/>
        <c:majorGridlines/>
        <c:numFmt formatCode="#,##0" sourceLinked="1"/>
        <c:majorTickMark val="none"/>
        <c:minorTickMark val="none"/>
        <c:tickLblPos val="nextTo"/>
        <c:spPr>
          <a:ln w="9525">
            <a:noFill/>
          </a:ln>
        </c:spPr>
        <c:crossAx val="130357888"/>
        <c:crosses val="autoZero"/>
        <c:crossBetween val="between"/>
      </c:valAx>
      <c:valAx>
        <c:axId val="130381696"/>
        <c:scaling>
          <c:orientation val="minMax"/>
        </c:scaling>
        <c:delete val="0"/>
        <c:axPos val="r"/>
        <c:numFmt formatCode="#,##0" sourceLinked="1"/>
        <c:majorTickMark val="out"/>
        <c:minorTickMark val="none"/>
        <c:tickLblPos val="nextTo"/>
        <c:crossAx val="130383232"/>
        <c:crosses val="max"/>
        <c:crossBetween val="between"/>
      </c:valAx>
      <c:catAx>
        <c:axId val="130383232"/>
        <c:scaling>
          <c:orientation val="minMax"/>
        </c:scaling>
        <c:delete val="1"/>
        <c:axPos val="b"/>
        <c:numFmt formatCode="General" sourceLinked="1"/>
        <c:majorTickMark val="out"/>
        <c:minorTickMark val="none"/>
        <c:tickLblPos val="nextTo"/>
        <c:crossAx val="130381696"/>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Valle de Ollo</a:t>
            </a:r>
          </a:p>
        </c:rich>
      </c:tx>
      <c:overlay val="0"/>
    </c:title>
    <c:autoTitleDeleted val="0"/>
    <c:plotArea>
      <c:layout/>
      <c:barChart>
        <c:barDir val="col"/>
        <c:grouping val="clustered"/>
        <c:varyColors val="0"/>
        <c:ser>
          <c:idx val="6"/>
          <c:order val="5"/>
          <c:tx>
            <c:strRef>
              <c:f>MañeruValledeOllo!$M$12</c:f>
              <c:strCache>
                <c:ptCount val="1"/>
                <c:pt idx="0">
                  <c:v>Población</c:v>
                </c:pt>
              </c:strCache>
            </c:strRef>
          </c:tx>
          <c:invertIfNegative val="0"/>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MañeruValledeOllo!$N$12:$V$12</c:f>
              <c:numCache>
                <c:formatCode>#,##0</c:formatCode>
                <c:ptCount val="9"/>
                <c:pt idx="0">
                  <c:v>275</c:v>
                </c:pt>
                <c:pt idx="1">
                  <c:v>366</c:v>
                </c:pt>
                <c:pt idx="2">
                  <c:v>374</c:v>
                </c:pt>
                <c:pt idx="3">
                  <c:v>401</c:v>
                </c:pt>
                <c:pt idx="4">
                  <c:v>404</c:v>
                </c:pt>
                <c:pt idx="5">
                  <c:v>407</c:v>
                </c:pt>
                <c:pt idx="6">
                  <c:v>409</c:v>
                </c:pt>
                <c:pt idx="7">
                  <c:v>406</c:v>
                </c:pt>
                <c:pt idx="8">
                  <c:v>399</c:v>
                </c:pt>
              </c:numCache>
            </c:numRef>
          </c:val>
        </c:ser>
        <c:dLbls>
          <c:showLegendKey val="0"/>
          <c:showVal val="0"/>
          <c:showCatName val="0"/>
          <c:showSerName val="0"/>
          <c:showPercent val="0"/>
          <c:showBubbleSize val="0"/>
        </c:dLbls>
        <c:gapWidth val="150"/>
        <c:axId val="131606784"/>
        <c:axId val="131605248"/>
      </c:barChart>
      <c:lineChart>
        <c:grouping val="standard"/>
        <c:varyColors val="0"/>
        <c:ser>
          <c:idx val="4"/>
          <c:order val="0"/>
          <c:tx>
            <c:strRef>
              <c:f>MañeruValledeOllo!$M$6</c:f>
              <c:strCache>
                <c:ptCount val="1"/>
                <c:pt idx="0">
                  <c:v>Fondo transferencias(FT)</c:v>
                </c:pt>
              </c:strCache>
            </c:strRef>
          </c:tx>
          <c:spPr>
            <a:ln w="50800">
              <a:solidFill>
                <a:srgbClr val="FF0000"/>
              </a:solidFill>
            </a:ln>
          </c:spPr>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MañeruValledeOllo!$N$6:$V$6</c:f>
              <c:numCache>
                <c:formatCode>#,##0</c:formatCode>
                <c:ptCount val="9"/>
                <c:pt idx="0">
                  <c:v>123296.06</c:v>
                </c:pt>
                <c:pt idx="1">
                  <c:v>123664.71999999999</c:v>
                </c:pt>
                <c:pt idx="2">
                  <c:v>130797.84999999999</c:v>
                </c:pt>
                <c:pt idx="3">
                  <c:v>133701.54999999999</c:v>
                </c:pt>
                <c:pt idx="4">
                  <c:v>142383.30000000002</c:v>
                </c:pt>
                <c:pt idx="5">
                  <c:v>149374.66999999998</c:v>
                </c:pt>
                <c:pt idx="6">
                  <c:v>149374.72</c:v>
                </c:pt>
                <c:pt idx="7">
                  <c:v>152212.78</c:v>
                </c:pt>
                <c:pt idx="8">
                  <c:v>154191.59999999998</c:v>
                </c:pt>
              </c:numCache>
            </c:numRef>
          </c:val>
          <c:smooth val="0"/>
        </c:ser>
        <c:ser>
          <c:idx val="0"/>
          <c:order val="1"/>
          <c:tx>
            <c:strRef>
              <c:f>MañeruValledeOllo!$M$7</c:f>
              <c:strCache>
                <c:ptCount val="1"/>
                <c:pt idx="0">
                  <c:v>Gastos de funcionamiento</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MañeruValledeOllo!$N$7:$V$7</c:f>
              <c:numCache>
                <c:formatCode>#,##0</c:formatCode>
                <c:ptCount val="9"/>
                <c:pt idx="0">
                  <c:v>212878.73</c:v>
                </c:pt>
                <c:pt idx="1">
                  <c:v>242631.96</c:v>
                </c:pt>
                <c:pt idx="2">
                  <c:v>277297.17999999993</c:v>
                </c:pt>
                <c:pt idx="3">
                  <c:v>309323.56</c:v>
                </c:pt>
                <c:pt idx="4">
                  <c:v>322074.28000000003</c:v>
                </c:pt>
                <c:pt idx="5">
                  <c:v>279511.16000000003</c:v>
                </c:pt>
                <c:pt idx="6">
                  <c:v>308581.85000000003</c:v>
                </c:pt>
                <c:pt idx="7">
                  <c:v>387076.72</c:v>
                </c:pt>
                <c:pt idx="8">
                  <c:v>328746.53000000003</c:v>
                </c:pt>
              </c:numCache>
            </c:numRef>
          </c:val>
          <c:smooth val="0"/>
        </c:ser>
        <c:ser>
          <c:idx val="1"/>
          <c:order val="2"/>
          <c:tx>
            <c:strRef>
              <c:f>MañeruValledeOllo!$M$9</c:f>
              <c:strCache>
                <c:ptCount val="1"/>
                <c:pt idx="0">
                  <c:v>Ingresos corrientes(sin FT)</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MañeruValledeOllo!$N$9:$V$9</c:f>
              <c:numCache>
                <c:formatCode>#,##0</c:formatCode>
                <c:ptCount val="9"/>
                <c:pt idx="0">
                  <c:v>242057.93999999994</c:v>
                </c:pt>
                <c:pt idx="1">
                  <c:v>194117.66999999998</c:v>
                </c:pt>
                <c:pt idx="2">
                  <c:v>295237.10000000003</c:v>
                </c:pt>
                <c:pt idx="3">
                  <c:v>223813.86</c:v>
                </c:pt>
                <c:pt idx="4">
                  <c:v>282095.08999999997</c:v>
                </c:pt>
                <c:pt idx="5">
                  <c:v>230631.98000000004</c:v>
                </c:pt>
                <c:pt idx="6">
                  <c:v>252947.83</c:v>
                </c:pt>
                <c:pt idx="7">
                  <c:v>246848.53</c:v>
                </c:pt>
                <c:pt idx="8">
                  <c:v>364269.37</c:v>
                </c:pt>
              </c:numCache>
            </c:numRef>
          </c:val>
          <c:smooth val="0"/>
        </c:ser>
        <c:ser>
          <c:idx val="2"/>
          <c:order val="3"/>
          <c:tx>
            <c:strRef>
              <c:f>MañeruValledeOllo!$M$10</c:f>
              <c:strCache>
                <c:ptCount val="1"/>
                <c:pt idx="0">
                  <c:v>AHORRO BRUTO</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MañeruValledeOllo!$N$10:$V$10</c:f>
              <c:numCache>
                <c:formatCode>#,##0</c:formatCode>
                <c:ptCount val="9"/>
                <c:pt idx="0">
                  <c:v>152475.26999999993</c:v>
                </c:pt>
                <c:pt idx="1">
                  <c:v>75150.429999999964</c:v>
                </c:pt>
                <c:pt idx="2">
                  <c:v>148737.77000000008</c:v>
                </c:pt>
                <c:pt idx="3">
                  <c:v>48191.849999999977</c:v>
                </c:pt>
                <c:pt idx="4">
                  <c:v>102404.10999999993</c:v>
                </c:pt>
                <c:pt idx="5">
                  <c:v>100495.48999999999</c:v>
                </c:pt>
                <c:pt idx="6">
                  <c:v>93740.699999999953</c:v>
                </c:pt>
                <c:pt idx="7">
                  <c:v>11984.590000000026</c:v>
                </c:pt>
                <c:pt idx="8">
                  <c:v>189714.43999999994</c:v>
                </c:pt>
              </c:numCache>
            </c:numRef>
          </c:val>
          <c:smooth val="0"/>
        </c:ser>
        <c:ser>
          <c:idx val="5"/>
          <c:order val="4"/>
          <c:tx>
            <c:strRef>
              <c:f>MañeruValledeOllo!$M$11</c:f>
              <c:strCache>
                <c:ptCount val="1"/>
                <c:pt idx="0">
                  <c:v>Ingresos tributarios</c:v>
                </c:pt>
              </c:strCache>
            </c:strRef>
          </c:tx>
          <c:marker>
            <c:symbol val="none"/>
          </c:marker>
          <c:cat>
            <c:numRef>
              <c:f>MañeruValledeOllo!$N$5:$V$5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MañeruValledeOllo!$N$11:$V$11</c:f>
              <c:numCache>
                <c:formatCode>#,##0</c:formatCode>
                <c:ptCount val="9"/>
                <c:pt idx="0">
                  <c:v>185790.43</c:v>
                </c:pt>
                <c:pt idx="1">
                  <c:v>115661.16</c:v>
                </c:pt>
                <c:pt idx="2">
                  <c:v>192420.21</c:v>
                </c:pt>
                <c:pt idx="3">
                  <c:v>135253.53999999998</c:v>
                </c:pt>
                <c:pt idx="4">
                  <c:v>167092.60999999996</c:v>
                </c:pt>
                <c:pt idx="5">
                  <c:v>112751.87000000002</c:v>
                </c:pt>
                <c:pt idx="6">
                  <c:v>114640.73000000001</c:v>
                </c:pt>
                <c:pt idx="7">
                  <c:v>119347.29</c:v>
                </c:pt>
                <c:pt idx="8">
                  <c:v>127097.32</c:v>
                </c:pt>
              </c:numCache>
            </c:numRef>
          </c:val>
          <c:smooth val="0"/>
        </c:ser>
        <c:dLbls>
          <c:showLegendKey val="0"/>
          <c:showVal val="0"/>
          <c:showCatName val="0"/>
          <c:showSerName val="0"/>
          <c:showPercent val="0"/>
          <c:showBubbleSize val="0"/>
        </c:dLbls>
        <c:marker val="1"/>
        <c:smooth val="0"/>
        <c:axId val="131601920"/>
        <c:axId val="131603456"/>
      </c:lineChart>
      <c:catAx>
        <c:axId val="131601920"/>
        <c:scaling>
          <c:orientation val="minMax"/>
        </c:scaling>
        <c:delete val="0"/>
        <c:axPos val="b"/>
        <c:numFmt formatCode="General" sourceLinked="1"/>
        <c:majorTickMark val="none"/>
        <c:minorTickMark val="none"/>
        <c:tickLblPos val="nextTo"/>
        <c:crossAx val="131603456"/>
        <c:crosses val="autoZero"/>
        <c:auto val="1"/>
        <c:lblAlgn val="ctr"/>
        <c:lblOffset val="100"/>
        <c:noMultiLvlLbl val="0"/>
      </c:catAx>
      <c:valAx>
        <c:axId val="131603456"/>
        <c:scaling>
          <c:orientation val="minMax"/>
        </c:scaling>
        <c:delete val="0"/>
        <c:axPos val="l"/>
        <c:majorGridlines/>
        <c:numFmt formatCode="#,##0" sourceLinked="1"/>
        <c:majorTickMark val="none"/>
        <c:minorTickMark val="none"/>
        <c:tickLblPos val="nextTo"/>
        <c:spPr>
          <a:ln w="9525">
            <a:noFill/>
          </a:ln>
        </c:spPr>
        <c:crossAx val="131601920"/>
        <c:crosses val="autoZero"/>
        <c:crossBetween val="between"/>
      </c:valAx>
      <c:valAx>
        <c:axId val="131605248"/>
        <c:scaling>
          <c:orientation val="minMax"/>
        </c:scaling>
        <c:delete val="0"/>
        <c:axPos val="r"/>
        <c:numFmt formatCode="#,##0" sourceLinked="1"/>
        <c:majorTickMark val="out"/>
        <c:minorTickMark val="none"/>
        <c:tickLblPos val="nextTo"/>
        <c:crossAx val="131606784"/>
        <c:crosses val="max"/>
        <c:crossBetween val="between"/>
      </c:valAx>
      <c:catAx>
        <c:axId val="131606784"/>
        <c:scaling>
          <c:orientation val="minMax"/>
        </c:scaling>
        <c:delete val="1"/>
        <c:axPos val="b"/>
        <c:numFmt formatCode="General" sourceLinked="1"/>
        <c:majorTickMark val="out"/>
        <c:minorTickMark val="none"/>
        <c:tickLblPos val="nextTo"/>
        <c:crossAx val="131605248"/>
        <c:crosses val="autoZero"/>
        <c:auto val="1"/>
        <c:lblAlgn val="ctr"/>
        <c:lblOffset val="100"/>
        <c:noMultiLvlLbl val="0"/>
      </c:cat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Barañáin</a:t>
            </a:r>
          </a:p>
        </c:rich>
      </c:tx>
      <c:overlay val="0"/>
    </c:title>
    <c:autoTitleDeleted val="0"/>
    <c:plotArea>
      <c:layout/>
      <c:barChart>
        <c:barDir val="col"/>
        <c:grouping val="clustered"/>
        <c:varyColors val="0"/>
        <c:ser>
          <c:idx val="6"/>
          <c:order val="5"/>
          <c:tx>
            <c:strRef>
              <c:f>'Barañáin Burlada Egues'!$M$13</c:f>
              <c:strCache>
                <c:ptCount val="1"/>
                <c:pt idx="0">
                  <c:v>Población</c:v>
                </c:pt>
              </c:strCache>
            </c:strRef>
          </c:tx>
          <c:spPr>
            <a:solidFill>
              <a:schemeClr val="tx2">
                <a:lumMod val="20000"/>
                <a:lumOff val="80000"/>
              </a:schemeClr>
            </a:solidFill>
          </c:spPr>
          <c:invertIfNegative val="0"/>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Egues'!$N$13:$V$13</c:f>
              <c:numCache>
                <c:formatCode>#,##0</c:formatCode>
                <c:ptCount val="9"/>
                <c:pt idx="0">
                  <c:v>22110</c:v>
                </c:pt>
                <c:pt idx="1">
                  <c:v>21705</c:v>
                </c:pt>
                <c:pt idx="2">
                  <c:v>21552</c:v>
                </c:pt>
                <c:pt idx="3">
                  <c:v>21444</c:v>
                </c:pt>
                <c:pt idx="4">
                  <c:v>21120</c:v>
                </c:pt>
                <c:pt idx="5">
                  <c:v>20458</c:v>
                </c:pt>
                <c:pt idx="6">
                  <c:v>20475</c:v>
                </c:pt>
                <c:pt idx="7">
                  <c:v>20325</c:v>
                </c:pt>
                <c:pt idx="8">
                  <c:v>20124</c:v>
                </c:pt>
              </c:numCache>
            </c:numRef>
          </c:val>
        </c:ser>
        <c:dLbls>
          <c:showLegendKey val="0"/>
          <c:showVal val="0"/>
          <c:showCatName val="0"/>
          <c:showSerName val="0"/>
          <c:showPercent val="0"/>
          <c:showBubbleSize val="0"/>
        </c:dLbls>
        <c:gapWidth val="75"/>
        <c:axId val="127865216"/>
        <c:axId val="107797120"/>
      </c:barChart>
      <c:lineChart>
        <c:grouping val="standard"/>
        <c:varyColors val="0"/>
        <c:ser>
          <c:idx val="0"/>
          <c:order val="0"/>
          <c:tx>
            <c:strRef>
              <c:f>'Barañáin Burlada Egues'!$M$7</c:f>
              <c:strCache>
                <c:ptCount val="1"/>
                <c:pt idx="0">
                  <c:v>Fondo transferencias(FT)</c:v>
                </c:pt>
              </c:strCache>
            </c:strRef>
          </c:tx>
          <c:spPr>
            <a:ln w="63500">
              <a:solidFill>
                <a:srgbClr val="FF0000"/>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Egues'!$N$7:$V$7</c:f>
              <c:numCache>
                <c:formatCode>#,##0</c:formatCode>
                <c:ptCount val="9"/>
                <c:pt idx="0">
                  <c:v>5585004.75</c:v>
                </c:pt>
                <c:pt idx="1">
                  <c:v>5585004.75</c:v>
                </c:pt>
                <c:pt idx="2">
                  <c:v>5515062.6299999999</c:v>
                </c:pt>
                <c:pt idx="3">
                  <c:v>5515062.6299999999</c:v>
                </c:pt>
                <c:pt idx="4">
                  <c:v>5515062.6299999999</c:v>
                </c:pt>
                <c:pt idx="5">
                  <c:v>5515062.6299999999</c:v>
                </c:pt>
                <c:pt idx="6">
                  <c:v>5515062.6399999997</c:v>
                </c:pt>
                <c:pt idx="7">
                  <c:v>5619848.8200000003</c:v>
                </c:pt>
                <c:pt idx="8">
                  <c:v>5692906.8399999999</c:v>
                </c:pt>
              </c:numCache>
            </c:numRef>
          </c:val>
          <c:smooth val="0"/>
        </c:ser>
        <c:ser>
          <c:idx val="1"/>
          <c:order val="1"/>
          <c:tx>
            <c:strRef>
              <c:f>'Barañáin Burlada Egues'!$M$8</c:f>
              <c:strCache>
                <c:ptCount val="1"/>
                <c:pt idx="0">
                  <c:v>Gastos de funcionamiento</c:v>
                </c:pt>
              </c:strCache>
            </c:strRef>
          </c:tx>
          <c:spPr>
            <a:ln>
              <a:solidFill>
                <a:schemeClr val="accent6"/>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Egues'!$N$8:$V$8</c:f>
              <c:numCache>
                <c:formatCode>#,##0</c:formatCode>
                <c:ptCount val="9"/>
                <c:pt idx="0">
                  <c:v>14696301.579999998</c:v>
                </c:pt>
                <c:pt idx="1">
                  <c:v>14193923.460000001</c:v>
                </c:pt>
                <c:pt idx="2">
                  <c:v>13901799.040000001</c:v>
                </c:pt>
                <c:pt idx="3">
                  <c:v>13428603.920000002</c:v>
                </c:pt>
                <c:pt idx="4">
                  <c:v>13536051.450000001</c:v>
                </c:pt>
                <c:pt idx="5">
                  <c:v>13494981.619999999</c:v>
                </c:pt>
                <c:pt idx="6">
                  <c:v>13445810.570000002</c:v>
                </c:pt>
                <c:pt idx="7">
                  <c:v>13747333.27</c:v>
                </c:pt>
                <c:pt idx="8">
                  <c:v>14075393.599999998</c:v>
                </c:pt>
              </c:numCache>
            </c:numRef>
          </c:val>
          <c:smooth val="0"/>
        </c:ser>
        <c:ser>
          <c:idx val="2"/>
          <c:order val="2"/>
          <c:tx>
            <c:strRef>
              <c:f>'Barañáin Burlada Egues'!$M$10</c:f>
              <c:strCache>
                <c:ptCount val="1"/>
                <c:pt idx="0">
                  <c:v>Ingresos corrientes(sin FT)</c:v>
                </c:pt>
              </c:strCache>
            </c:strRef>
          </c:tx>
          <c:spPr>
            <a:ln>
              <a:solidFill>
                <a:schemeClr val="accent5"/>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Egues'!$N$10:$V$10</c:f>
              <c:numCache>
                <c:formatCode>#,##0</c:formatCode>
                <c:ptCount val="9"/>
                <c:pt idx="0">
                  <c:v>9482784.1300000008</c:v>
                </c:pt>
                <c:pt idx="1">
                  <c:v>9563647.1699999981</c:v>
                </c:pt>
                <c:pt idx="2">
                  <c:v>9221879.5599999987</c:v>
                </c:pt>
                <c:pt idx="3">
                  <c:v>9364258.0799999982</c:v>
                </c:pt>
                <c:pt idx="4">
                  <c:v>8966779.9600000009</c:v>
                </c:pt>
                <c:pt idx="5">
                  <c:v>13302559.619999997</c:v>
                </c:pt>
                <c:pt idx="6">
                  <c:v>10005670.970000003</c:v>
                </c:pt>
                <c:pt idx="7">
                  <c:v>9994471.8500000015</c:v>
                </c:pt>
                <c:pt idx="8">
                  <c:v>9867256.0399999991</c:v>
                </c:pt>
              </c:numCache>
            </c:numRef>
          </c:val>
          <c:smooth val="0"/>
        </c:ser>
        <c:ser>
          <c:idx val="3"/>
          <c:order val="3"/>
          <c:tx>
            <c:strRef>
              <c:f>'Barañáin Burlada Egues'!$M$11</c:f>
              <c:strCache>
                <c:ptCount val="1"/>
                <c:pt idx="0">
                  <c:v>AHORRO BRUTO</c:v>
                </c:pt>
              </c:strCache>
            </c:strRef>
          </c:tx>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Egues'!$N$11:$V$11</c:f>
              <c:numCache>
                <c:formatCode>#,##0</c:formatCode>
                <c:ptCount val="9"/>
                <c:pt idx="0">
                  <c:v>371487.30000000261</c:v>
                </c:pt>
                <c:pt idx="1">
                  <c:v>954728.45999999717</c:v>
                </c:pt>
                <c:pt idx="2">
                  <c:v>835143.14999999851</c:v>
                </c:pt>
                <c:pt idx="3">
                  <c:v>1450716.7899999972</c:v>
                </c:pt>
                <c:pt idx="4">
                  <c:v>945791.1400000006</c:v>
                </c:pt>
                <c:pt idx="5">
                  <c:v>5322640.6299999971</c:v>
                </c:pt>
                <c:pt idx="6">
                  <c:v>2074923.0399999991</c:v>
                </c:pt>
                <c:pt idx="7">
                  <c:v>1866987.4000000022</c:v>
                </c:pt>
                <c:pt idx="8">
                  <c:v>1484769.2800000012</c:v>
                </c:pt>
              </c:numCache>
            </c:numRef>
          </c:val>
          <c:smooth val="0"/>
        </c:ser>
        <c:ser>
          <c:idx val="4"/>
          <c:order val="4"/>
          <c:tx>
            <c:strRef>
              <c:f>'Barañáin Burlada Egues'!$M$12</c:f>
              <c:strCache>
                <c:ptCount val="1"/>
                <c:pt idx="0">
                  <c:v>Ingresos tributarios</c:v>
                </c:pt>
              </c:strCache>
            </c:strRef>
          </c:tx>
          <c:spPr>
            <a:ln>
              <a:solidFill>
                <a:schemeClr val="accent3"/>
              </a:solidFill>
            </a:ln>
          </c:spPr>
          <c:marker>
            <c:symbol val="none"/>
          </c:marker>
          <c:cat>
            <c:numRef>
              <c:f>'Barañáin Burlada Egues'!$N$6:$V$6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Egues'!$N$12:$V$12</c:f>
              <c:numCache>
                <c:formatCode>#,##0</c:formatCode>
                <c:ptCount val="9"/>
                <c:pt idx="0">
                  <c:v>6917748.9699999997</c:v>
                </c:pt>
                <c:pt idx="1">
                  <c:v>7191178.2700000005</c:v>
                </c:pt>
                <c:pt idx="2">
                  <c:v>7104894.1800000006</c:v>
                </c:pt>
                <c:pt idx="3">
                  <c:v>7232547.3199999994</c:v>
                </c:pt>
                <c:pt idx="4">
                  <c:v>7140195.3099999996</c:v>
                </c:pt>
                <c:pt idx="5">
                  <c:v>7492943.8099999996</c:v>
                </c:pt>
                <c:pt idx="6">
                  <c:v>8165874.1200000001</c:v>
                </c:pt>
                <c:pt idx="7">
                  <c:v>7946214.9199999999</c:v>
                </c:pt>
                <c:pt idx="8">
                  <c:v>7794874.4800000004</c:v>
                </c:pt>
              </c:numCache>
            </c:numRef>
          </c:val>
          <c:smooth val="0"/>
        </c:ser>
        <c:dLbls>
          <c:showLegendKey val="0"/>
          <c:showVal val="0"/>
          <c:showCatName val="0"/>
          <c:showSerName val="0"/>
          <c:showPercent val="0"/>
          <c:showBubbleSize val="0"/>
        </c:dLbls>
        <c:marker val="1"/>
        <c:smooth val="0"/>
        <c:axId val="107793792"/>
        <c:axId val="107795584"/>
      </c:lineChart>
      <c:catAx>
        <c:axId val="107793792"/>
        <c:scaling>
          <c:orientation val="minMax"/>
        </c:scaling>
        <c:delete val="0"/>
        <c:axPos val="b"/>
        <c:numFmt formatCode="General" sourceLinked="1"/>
        <c:majorTickMark val="none"/>
        <c:minorTickMark val="none"/>
        <c:tickLblPos val="nextTo"/>
        <c:crossAx val="107795584"/>
        <c:crosses val="autoZero"/>
        <c:auto val="1"/>
        <c:lblAlgn val="ctr"/>
        <c:lblOffset val="100"/>
        <c:noMultiLvlLbl val="0"/>
      </c:catAx>
      <c:valAx>
        <c:axId val="107795584"/>
        <c:scaling>
          <c:orientation val="minMax"/>
        </c:scaling>
        <c:delete val="0"/>
        <c:axPos val="l"/>
        <c:majorGridlines/>
        <c:numFmt formatCode="#,##0" sourceLinked="1"/>
        <c:majorTickMark val="none"/>
        <c:minorTickMark val="none"/>
        <c:tickLblPos val="nextTo"/>
        <c:spPr>
          <a:ln w="9525">
            <a:noFill/>
          </a:ln>
        </c:spPr>
        <c:crossAx val="107793792"/>
        <c:crosses val="autoZero"/>
        <c:crossBetween val="between"/>
      </c:valAx>
      <c:valAx>
        <c:axId val="107797120"/>
        <c:scaling>
          <c:orientation val="minMax"/>
        </c:scaling>
        <c:delete val="0"/>
        <c:axPos val="r"/>
        <c:numFmt formatCode="#,##0" sourceLinked="1"/>
        <c:majorTickMark val="out"/>
        <c:minorTickMark val="none"/>
        <c:tickLblPos val="nextTo"/>
        <c:crossAx val="127865216"/>
        <c:crosses val="max"/>
        <c:crossBetween val="between"/>
      </c:valAx>
      <c:catAx>
        <c:axId val="127865216"/>
        <c:scaling>
          <c:orientation val="minMax"/>
        </c:scaling>
        <c:delete val="1"/>
        <c:axPos val="b"/>
        <c:numFmt formatCode="General" sourceLinked="1"/>
        <c:majorTickMark val="out"/>
        <c:minorTickMark val="none"/>
        <c:tickLblPos val="nextTo"/>
        <c:crossAx val="10779712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Burlada</a:t>
            </a:r>
          </a:p>
        </c:rich>
      </c:tx>
      <c:overlay val="0"/>
    </c:title>
    <c:autoTitleDeleted val="0"/>
    <c:plotArea>
      <c:layout/>
      <c:barChart>
        <c:barDir val="col"/>
        <c:grouping val="clustered"/>
        <c:varyColors val="0"/>
        <c:ser>
          <c:idx val="13"/>
          <c:order val="5"/>
          <c:tx>
            <c:strRef>
              <c:f>'Barañáin Burlada Egues'!$M$30</c:f>
              <c:strCache>
                <c:ptCount val="1"/>
                <c:pt idx="0">
                  <c:v>Población</c:v>
                </c:pt>
              </c:strCache>
            </c:strRef>
          </c:tx>
          <c:spPr>
            <a:solidFill>
              <a:schemeClr val="tx2">
                <a:lumMod val="20000"/>
                <a:lumOff val="80000"/>
              </a:schemeClr>
            </a:solidFill>
          </c:spPr>
          <c:invertIfNegative val="0"/>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Egues'!$N$30:$V$30</c:f>
              <c:numCache>
                <c:formatCode>#,##0</c:formatCode>
                <c:ptCount val="9"/>
                <c:pt idx="0">
                  <c:v>18595</c:v>
                </c:pt>
                <c:pt idx="1">
                  <c:v>18389</c:v>
                </c:pt>
                <c:pt idx="2">
                  <c:v>18195</c:v>
                </c:pt>
                <c:pt idx="3">
                  <c:v>18162</c:v>
                </c:pt>
                <c:pt idx="4">
                  <c:v>18248</c:v>
                </c:pt>
                <c:pt idx="5">
                  <c:v>18237</c:v>
                </c:pt>
                <c:pt idx="6">
                  <c:v>18336</c:v>
                </c:pt>
                <c:pt idx="7">
                  <c:v>18338</c:v>
                </c:pt>
                <c:pt idx="8">
                  <c:v>18591</c:v>
                </c:pt>
              </c:numCache>
            </c:numRef>
          </c:val>
        </c:ser>
        <c:dLbls>
          <c:showLegendKey val="0"/>
          <c:showVal val="0"/>
          <c:showCatName val="0"/>
          <c:showSerName val="0"/>
          <c:showPercent val="0"/>
          <c:showBubbleSize val="0"/>
        </c:dLbls>
        <c:gapWidth val="75"/>
        <c:axId val="127908480"/>
        <c:axId val="127906944"/>
      </c:barChart>
      <c:lineChart>
        <c:grouping val="standard"/>
        <c:varyColors val="0"/>
        <c:ser>
          <c:idx val="8"/>
          <c:order val="0"/>
          <c:tx>
            <c:strRef>
              <c:f>'Barañáin Burlada Egues'!$M$24</c:f>
              <c:strCache>
                <c:ptCount val="1"/>
                <c:pt idx="0">
                  <c:v>Fondo transferencias(FT)</c:v>
                </c:pt>
              </c:strCache>
            </c:strRef>
          </c:tx>
          <c:spPr>
            <a:ln w="63500">
              <a:solidFill>
                <a:srgbClr val="FF0000"/>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Egues'!$N$24:$V$24</c:f>
              <c:numCache>
                <c:formatCode>#,##0.00</c:formatCode>
                <c:ptCount val="9"/>
                <c:pt idx="0">
                  <c:v>4873010.3099999996</c:v>
                </c:pt>
                <c:pt idx="1">
                  <c:v>4873010.3099999996</c:v>
                </c:pt>
                <c:pt idx="2">
                  <c:v>4811984.6399999997</c:v>
                </c:pt>
                <c:pt idx="3">
                  <c:v>4811984.6399999997</c:v>
                </c:pt>
                <c:pt idx="4">
                  <c:v>4811984.6399999997</c:v>
                </c:pt>
                <c:pt idx="5">
                  <c:v>4811984.6399999997</c:v>
                </c:pt>
                <c:pt idx="6">
                  <c:v>4811984.6399999997</c:v>
                </c:pt>
                <c:pt idx="7">
                  <c:v>4903412.3499999996</c:v>
                </c:pt>
                <c:pt idx="8">
                  <c:v>4967156.72</c:v>
                </c:pt>
              </c:numCache>
            </c:numRef>
          </c:val>
          <c:smooth val="0"/>
        </c:ser>
        <c:ser>
          <c:idx val="9"/>
          <c:order val="1"/>
          <c:tx>
            <c:strRef>
              <c:f>'Barañáin Burlada Egues'!$M$25</c:f>
              <c:strCache>
                <c:ptCount val="1"/>
                <c:pt idx="0">
                  <c:v>Gastos de funcionamiento</c:v>
                </c:pt>
              </c:strCache>
            </c:strRef>
          </c:tx>
          <c:spPr>
            <a:ln>
              <a:solidFill>
                <a:schemeClr val="accent6"/>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Egues'!$N$25:$V$25</c:f>
              <c:numCache>
                <c:formatCode>#,##0.00</c:formatCode>
                <c:ptCount val="9"/>
                <c:pt idx="0">
                  <c:v>15129526.960000001</c:v>
                </c:pt>
                <c:pt idx="1">
                  <c:v>15032075.169999998</c:v>
                </c:pt>
                <c:pt idx="2">
                  <c:v>15773376.309999999</c:v>
                </c:pt>
                <c:pt idx="3">
                  <c:v>15005086.470000003</c:v>
                </c:pt>
                <c:pt idx="4">
                  <c:v>15150784.909999998</c:v>
                </c:pt>
                <c:pt idx="5">
                  <c:v>15370319.960000001</c:v>
                </c:pt>
                <c:pt idx="6">
                  <c:v>15447981.040000003</c:v>
                </c:pt>
                <c:pt idx="7">
                  <c:v>14835975.26</c:v>
                </c:pt>
                <c:pt idx="8">
                  <c:v>14697399.300000001</c:v>
                </c:pt>
              </c:numCache>
            </c:numRef>
          </c:val>
          <c:smooth val="0"/>
        </c:ser>
        <c:ser>
          <c:idx val="10"/>
          <c:order val="2"/>
          <c:tx>
            <c:strRef>
              <c:f>'Barañáin Burlada Egues'!$M$27</c:f>
              <c:strCache>
                <c:ptCount val="1"/>
                <c:pt idx="0">
                  <c:v>Ingresos corrientes(sin FT)</c:v>
                </c:pt>
              </c:strCache>
            </c:strRef>
          </c:tx>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Egues'!$N$27:$V$27</c:f>
              <c:numCache>
                <c:formatCode>#,##0.00</c:formatCode>
                <c:ptCount val="9"/>
                <c:pt idx="0">
                  <c:v>10962737.649999999</c:v>
                </c:pt>
                <c:pt idx="1">
                  <c:v>11740063.859999999</c:v>
                </c:pt>
                <c:pt idx="2">
                  <c:v>11914694.460000001</c:v>
                </c:pt>
                <c:pt idx="3">
                  <c:v>11310670.59</c:v>
                </c:pt>
                <c:pt idx="4">
                  <c:v>10606522.410000004</c:v>
                </c:pt>
                <c:pt idx="5">
                  <c:v>11286814.419999998</c:v>
                </c:pt>
                <c:pt idx="6">
                  <c:v>10615185.800000001</c:v>
                </c:pt>
                <c:pt idx="7">
                  <c:v>10313139.769999998</c:v>
                </c:pt>
                <c:pt idx="8">
                  <c:v>10556061.370000001</c:v>
                </c:pt>
              </c:numCache>
            </c:numRef>
          </c:val>
          <c:smooth val="0"/>
        </c:ser>
        <c:ser>
          <c:idx val="11"/>
          <c:order val="3"/>
          <c:tx>
            <c:strRef>
              <c:f>'Barañáin Burlada Egues'!$M$28</c:f>
              <c:strCache>
                <c:ptCount val="1"/>
                <c:pt idx="0">
                  <c:v>AHORRO BRUTO</c:v>
                </c:pt>
              </c:strCache>
            </c:strRef>
          </c:tx>
          <c:spPr>
            <a:ln>
              <a:solidFill>
                <a:schemeClr val="accent4"/>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Egues'!$N$28:$V$28</c:f>
              <c:numCache>
                <c:formatCode>#,##0.00</c:formatCode>
                <c:ptCount val="9"/>
                <c:pt idx="0">
                  <c:v>706220.99999999814</c:v>
                </c:pt>
                <c:pt idx="1">
                  <c:v>1580999.0000000019</c:v>
                </c:pt>
                <c:pt idx="2">
                  <c:v>953302.79000000097</c:v>
                </c:pt>
                <c:pt idx="3">
                  <c:v>1117568.7599999961</c:v>
                </c:pt>
                <c:pt idx="4">
                  <c:v>267722.14000000432</c:v>
                </c:pt>
                <c:pt idx="5">
                  <c:v>728479.09999999776</c:v>
                </c:pt>
                <c:pt idx="6">
                  <c:v>-20810.60000000149</c:v>
                </c:pt>
                <c:pt idx="7">
                  <c:v>380576.85999999754</c:v>
                </c:pt>
                <c:pt idx="8">
                  <c:v>825818.78999999911</c:v>
                </c:pt>
              </c:numCache>
            </c:numRef>
          </c:val>
          <c:smooth val="0"/>
        </c:ser>
        <c:ser>
          <c:idx val="12"/>
          <c:order val="4"/>
          <c:tx>
            <c:strRef>
              <c:f>'Barañáin Burlada Egues'!$M$29</c:f>
              <c:strCache>
                <c:ptCount val="1"/>
                <c:pt idx="0">
                  <c:v>Ingresos tributarios</c:v>
                </c:pt>
              </c:strCache>
            </c:strRef>
          </c:tx>
          <c:spPr>
            <a:ln>
              <a:solidFill>
                <a:schemeClr val="accent3"/>
              </a:solidFill>
            </a:ln>
          </c:spPr>
          <c:marker>
            <c:symbol val="none"/>
          </c:marker>
          <c:cat>
            <c:numRef>
              <c:f>'Barañáin Burlada Egues'!$N$23:$V$23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Egues'!$N$29:$V$29</c:f>
              <c:numCache>
                <c:formatCode>#,##0.00</c:formatCode>
                <c:ptCount val="9"/>
                <c:pt idx="0">
                  <c:v>7546588.129999999</c:v>
                </c:pt>
                <c:pt idx="1">
                  <c:v>7614732.1199999992</c:v>
                </c:pt>
                <c:pt idx="2">
                  <c:v>7848085.5399999991</c:v>
                </c:pt>
                <c:pt idx="3">
                  <c:v>7605008.4200000009</c:v>
                </c:pt>
                <c:pt idx="4">
                  <c:v>7015817.2000000002</c:v>
                </c:pt>
                <c:pt idx="5">
                  <c:v>7921185.0800000001</c:v>
                </c:pt>
                <c:pt idx="6">
                  <c:v>7179848.5599999987</c:v>
                </c:pt>
                <c:pt idx="7">
                  <c:v>7287848.7400000002</c:v>
                </c:pt>
                <c:pt idx="8">
                  <c:v>7567490.4000000004</c:v>
                </c:pt>
              </c:numCache>
            </c:numRef>
          </c:val>
          <c:smooth val="0"/>
        </c:ser>
        <c:dLbls>
          <c:showLegendKey val="0"/>
          <c:showVal val="0"/>
          <c:showCatName val="0"/>
          <c:showSerName val="0"/>
          <c:showPercent val="0"/>
          <c:showBubbleSize val="0"/>
        </c:dLbls>
        <c:marker val="1"/>
        <c:smooth val="0"/>
        <c:axId val="127899520"/>
        <c:axId val="127901056"/>
      </c:lineChart>
      <c:catAx>
        <c:axId val="127899520"/>
        <c:scaling>
          <c:orientation val="minMax"/>
        </c:scaling>
        <c:delete val="0"/>
        <c:axPos val="b"/>
        <c:numFmt formatCode="General" sourceLinked="1"/>
        <c:majorTickMark val="none"/>
        <c:minorTickMark val="none"/>
        <c:tickLblPos val="nextTo"/>
        <c:crossAx val="127901056"/>
        <c:crosses val="autoZero"/>
        <c:auto val="1"/>
        <c:lblAlgn val="ctr"/>
        <c:lblOffset val="100"/>
        <c:noMultiLvlLbl val="0"/>
      </c:catAx>
      <c:valAx>
        <c:axId val="127901056"/>
        <c:scaling>
          <c:orientation val="minMax"/>
        </c:scaling>
        <c:delete val="0"/>
        <c:axPos val="l"/>
        <c:majorGridlines/>
        <c:numFmt formatCode="#,##0.00" sourceLinked="1"/>
        <c:majorTickMark val="none"/>
        <c:minorTickMark val="none"/>
        <c:tickLblPos val="nextTo"/>
        <c:spPr>
          <a:ln w="9525">
            <a:noFill/>
          </a:ln>
        </c:spPr>
        <c:crossAx val="127899520"/>
        <c:crosses val="autoZero"/>
        <c:crossBetween val="between"/>
      </c:valAx>
      <c:valAx>
        <c:axId val="127906944"/>
        <c:scaling>
          <c:orientation val="minMax"/>
        </c:scaling>
        <c:delete val="0"/>
        <c:axPos val="r"/>
        <c:numFmt formatCode="#,##0" sourceLinked="1"/>
        <c:majorTickMark val="out"/>
        <c:minorTickMark val="none"/>
        <c:tickLblPos val="nextTo"/>
        <c:crossAx val="127908480"/>
        <c:crosses val="max"/>
        <c:crossBetween val="between"/>
      </c:valAx>
      <c:catAx>
        <c:axId val="127908480"/>
        <c:scaling>
          <c:orientation val="minMax"/>
        </c:scaling>
        <c:delete val="1"/>
        <c:axPos val="b"/>
        <c:numFmt formatCode="General" sourceLinked="1"/>
        <c:majorTickMark val="out"/>
        <c:minorTickMark val="none"/>
        <c:tickLblPos val="nextTo"/>
        <c:crossAx val="12790694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Valle de Egüés</a:t>
            </a:r>
          </a:p>
        </c:rich>
      </c:tx>
      <c:overlay val="0"/>
    </c:title>
    <c:autoTitleDeleted val="0"/>
    <c:plotArea>
      <c:layout/>
      <c:barChart>
        <c:barDir val="col"/>
        <c:grouping val="clustered"/>
        <c:varyColors val="0"/>
        <c:ser>
          <c:idx val="1"/>
          <c:order val="4"/>
          <c:tx>
            <c:strRef>
              <c:f>'Barañáin Burlada Egues'!$M$47</c:f>
              <c:strCache>
                <c:ptCount val="1"/>
                <c:pt idx="0">
                  <c:v>Población</c:v>
                </c:pt>
              </c:strCache>
            </c:strRef>
          </c:tx>
          <c:spPr>
            <a:solidFill>
              <a:schemeClr val="tx2">
                <a:lumMod val="20000"/>
                <a:lumOff val="80000"/>
              </a:schemeClr>
            </a:solidFill>
          </c:spPr>
          <c:invertIfNegative val="0"/>
          <c:val>
            <c:numRef>
              <c:f>'Barañáin Burlada Egues'!$N$47:$V$47</c:f>
              <c:numCache>
                <c:formatCode>#,##0</c:formatCode>
                <c:ptCount val="9"/>
                <c:pt idx="0">
                  <c:v>10787</c:v>
                </c:pt>
                <c:pt idx="1">
                  <c:v>14354</c:v>
                </c:pt>
                <c:pt idx="2">
                  <c:v>16222</c:v>
                </c:pt>
                <c:pt idx="3">
                  <c:v>17450</c:v>
                </c:pt>
                <c:pt idx="4">
                  <c:v>18414</c:v>
                </c:pt>
                <c:pt idx="5">
                  <c:v>19014</c:v>
                </c:pt>
                <c:pt idx="6">
                  <c:v>19603</c:v>
                </c:pt>
                <c:pt idx="7">
                  <c:v>20046</c:v>
                </c:pt>
                <c:pt idx="8">
                  <c:v>20417</c:v>
                </c:pt>
              </c:numCache>
            </c:numRef>
          </c:val>
        </c:ser>
        <c:dLbls>
          <c:showLegendKey val="0"/>
          <c:showVal val="0"/>
          <c:showCatName val="0"/>
          <c:showSerName val="0"/>
          <c:showPercent val="0"/>
          <c:showBubbleSize val="0"/>
        </c:dLbls>
        <c:gapWidth val="75"/>
        <c:axId val="129873792"/>
        <c:axId val="129872256"/>
      </c:barChart>
      <c:lineChart>
        <c:grouping val="standard"/>
        <c:varyColors val="0"/>
        <c:ser>
          <c:idx val="10"/>
          <c:order val="0"/>
          <c:tx>
            <c:strRef>
              <c:f>'Barañáin Burlada Egues'!$M$41</c:f>
              <c:strCache>
                <c:ptCount val="1"/>
                <c:pt idx="0">
                  <c:v>Fondo transferencias(FT)</c:v>
                </c:pt>
              </c:strCache>
            </c:strRef>
          </c:tx>
          <c:spPr>
            <a:ln w="63500">
              <a:solidFill>
                <a:srgbClr val="FF0000"/>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Egues'!$N$41:$V$41</c:f>
              <c:numCache>
                <c:formatCode>#,##0</c:formatCode>
                <c:ptCount val="9"/>
                <c:pt idx="0">
                  <c:v>1669635.04</c:v>
                </c:pt>
                <c:pt idx="1">
                  <c:v>1761822.82</c:v>
                </c:pt>
                <c:pt idx="2">
                  <c:v>2275492.5399999996</c:v>
                </c:pt>
                <c:pt idx="3">
                  <c:v>2410745.5699999998</c:v>
                </c:pt>
                <c:pt idx="4">
                  <c:v>2916179.51</c:v>
                </c:pt>
                <c:pt idx="5">
                  <c:v>3376786.11</c:v>
                </c:pt>
                <c:pt idx="6">
                  <c:v>3376786.0799999996</c:v>
                </c:pt>
                <c:pt idx="7">
                  <c:v>3440945.0400000005</c:v>
                </c:pt>
                <c:pt idx="8">
                  <c:v>3485677.3999999994</c:v>
                </c:pt>
              </c:numCache>
            </c:numRef>
          </c:val>
          <c:smooth val="0"/>
        </c:ser>
        <c:ser>
          <c:idx val="11"/>
          <c:order val="1"/>
          <c:tx>
            <c:strRef>
              <c:f>'Barañáin Burlada Egues'!$M$42</c:f>
              <c:strCache>
                <c:ptCount val="1"/>
                <c:pt idx="0">
                  <c:v>Gastos de funcionamiento</c:v>
                </c:pt>
              </c:strCache>
            </c:strRef>
          </c:tx>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Egues'!$N$42:$V$42</c:f>
              <c:numCache>
                <c:formatCode>#,##0</c:formatCode>
                <c:ptCount val="9"/>
                <c:pt idx="0">
                  <c:v>7098985.870000001</c:v>
                </c:pt>
                <c:pt idx="1">
                  <c:v>7517913.7699999968</c:v>
                </c:pt>
                <c:pt idx="2">
                  <c:v>8265136.620000002</c:v>
                </c:pt>
                <c:pt idx="3">
                  <c:v>8335168.0300000003</c:v>
                </c:pt>
                <c:pt idx="4">
                  <c:v>9100889.9799999986</c:v>
                </c:pt>
                <c:pt idx="5">
                  <c:v>8999300.8799999971</c:v>
                </c:pt>
                <c:pt idx="6">
                  <c:v>9531938.8399999999</c:v>
                </c:pt>
                <c:pt idx="7">
                  <c:v>9885695.3899999969</c:v>
                </c:pt>
                <c:pt idx="8">
                  <c:v>10363692.879999999</c:v>
                </c:pt>
              </c:numCache>
            </c:numRef>
          </c:val>
          <c:smooth val="0"/>
        </c:ser>
        <c:ser>
          <c:idx val="12"/>
          <c:order val="2"/>
          <c:tx>
            <c:strRef>
              <c:f>'Barañáin Burlada Egues'!$M$44</c:f>
              <c:strCache>
                <c:ptCount val="1"/>
                <c:pt idx="0">
                  <c:v>Ingresos corrientes(sin FT)</c:v>
                </c:pt>
              </c:strCache>
            </c:strRef>
          </c:tx>
          <c:spPr>
            <a:ln>
              <a:solidFill>
                <a:schemeClr val="accent5"/>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Egues'!$N$44:$V$44</c:f>
              <c:numCache>
                <c:formatCode>#,##0</c:formatCode>
                <c:ptCount val="9"/>
                <c:pt idx="0">
                  <c:v>5875793.9300000006</c:v>
                </c:pt>
                <c:pt idx="1">
                  <c:v>7138665.6600000001</c:v>
                </c:pt>
                <c:pt idx="2">
                  <c:v>6063154.5500000007</c:v>
                </c:pt>
                <c:pt idx="3">
                  <c:v>5588719.4000000004</c:v>
                </c:pt>
                <c:pt idx="4">
                  <c:v>6774995.839999998</c:v>
                </c:pt>
                <c:pt idx="5">
                  <c:v>7154002.0800000038</c:v>
                </c:pt>
                <c:pt idx="6">
                  <c:v>7609040.959999999</c:v>
                </c:pt>
                <c:pt idx="7">
                  <c:v>8400396.6999999955</c:v>
                </c:pt>
                <c:pt idx="8">
                  <c:v>9307345.7599999979</c:v>
                </c:pt>
              </c:numCache>
            </c:numRef>
          </c:val>
          <c:smooth val="0"/>
        </c:ser>
        <c:ser>
          <c:idx val="0"/>
          <c:order val="3"/>
          <c:tx>
            <c:strRef>
              <c:f>'Barañáin Burlada Egues'!$M$46</c:f>
              <c:strCache>
                <c:ptCount val="1"/>
                <c:pt idx="0">
                  <c:v>Ingresos tributarios</c:v>
                </c:pt>
              </c:strCache>
            </c:strRef>
          </c:tx>
          <c:spPr>
            <a:ln>
              <a:solidFill>
                <a:schemeClr val="accent3"/>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Egues'!$N$46:$V$46</c:f>
              <c:numCache>
                <c:formatCode>#,##0</c:formatCode>
                <c:ptCount val="9"/>
                <c:pt idx="0">
                  <c:v>4737008.01</c:v>
                </c:pt>
                <c:pt idx="1">
                  <c:v>5645400.0700000003</c:v>
                </c:pt>
                <c:pt idx="2">
                  <c:v>4681710.5599999987</c:v>
                </c:pt>
                <c:pt idx="3">
                  <c:v>4439642.2200000007</c:v>
                </c:pt>
                <c:pt idx="4">
                  <c:v>5301138.71</c:v>
                </c:pt>
                <c:pt idx="5">
                  <c:v>5850948.5099999998</c:v>
                </c:pt>
                <c:pt idx="6">
                  <c:v>6131832.3199999984</c:v>
                </c:pt>
                <c:pt idx="7">
                  <c:v>6923920.2000000011</c:v>
                </c:pt>
                <c:pt idx="8">
                  <c:v>7707705.0899999989</c:v>
                </c:pt>
              </c:numCache>
            </c:numRef>
          </c:val>
          <c:smooth val="0"/>
        </c:ser>
        <c:ser>
          <c:idx val="2"/>
          <c:order val="5"/>
          <c:tx>
            <c:strRef>
              <c:f>'Barañáin Burlada Egues'!$M$45</c:f>
              <c:strCache>
                <c:ptCount val="1"/>
                <c:pt idx="0">
                  <c:v>AHORRO BRUTO</c:v>
                </c:pt>
              </c:strCache>
            </c:strRef>
          </c:tx>
          <c:spPr>
            <a:ln>
              <a:solidFill>
                <a:schemeClr val="accent4"/>
              </a:solidFill>
            </a:ln>
          </c:spPr>
          <c:marker>
            <c:symbol val="none"/>
          </c:marker>
          <c:cat>
            <c:numRef>
              <c:f>'Barañáin Burlada Egues'!$N$40:$V$40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'Barañáin Burlada Egues'!$N$45:$V$45</c:f>
              <c:numCache>
                <c:formatCode>#,##0</c:formatCode>
                <c:ptCount val="9"/>
                <c:pt idx="0">
                  <c:v>446443.09999999963</c:v>
                </c:pt>
                <c:pt idx="1">
                  <c:v>1382574.7100000037</c:v>
                </c:pt>
                <c:pt idx="2">
                  <c:v>73510.469999997877</c:v>
                </c:pt>
                <c:pt idx="3">
                  <c:v>-335703.06000000052</c:v>
                </c:pt>
                <c:pt idx="4">
                  <c:v>590285.36999999918</c:v>
                </c:pt>
                <c:pt idx="5">
                  <c:v>1531487.3100000061</c:v>
                </c:pt>
                <c:pt idx="6">
                  <c:v>1453888.1999999993</c:v>
                </c:pt>
                <c:pt idx="7">
                  <c:v>1955646.3499999996</c:v>
                </c:pt>
                <c:pt idx="8">
                  <c:v>2429330.2799999975</c:v>
                </c:pt>
              </c:numCache>
            </c:numRef>
          </c:val>
          <c:smooth val="0"/>
        </c:ser>
        <c:dLbls>
          <c:showLegendKey val="0"/>
          <c:showVal val="0"/>
          <c:showCatName val="0"/>
          <c:showSerName val="0"/>
          <c:showPercent val="0"/>
          <c:showBubbleSize val="0"/>
        </c:dLbls>
        <c:marker val="1"/>
        <c:smooth val="0"/>
        <c:axId val="129864832"/>
        <c:axId val="129866368"/>
      </c:lineChart>
      <c:catAx>
        <c:axId val="129864832"/>
        <c:scaling>
          <c:orientation val="minMax"/>
        </c:scaling>
        <c:delete val="0"/>
        <c:axPos val="b"/>
        <c:numFmt formatCode="General" sourceLinked="1"/>
        <c:majorTickMark val="none"/>
        <c:minorTickMark val="none"/>
        <c:tickLblPos val="nextTo"/>
        <c:crossAx val="129866368"/>
        <c:crosses val="autoZero"/>
        <c:auto val="1"/>
        <c:lblAlgn val="ctr"/>
        <c:lblOffset val="100"/>
        <c:noMultiLvlLbl val="0"/>
      </c:catAx>
      <c:valAx>
        <c:axId val="129866368"/>
        <c:scaling>
          <c:orientation val="minMax"/>
        </c:scaling>
        <c:delete val="0"/>
        <c:axPos val="l"/>
        <c:majorGridlines/>
        <c:numFmt formatCode="#,##0" sourceLinked="1"/>
        <c:majorTickMark val="none"/>
        <c:minorTickMark val="none"/>
        <c:tickLblPos val="nextTo"/>
        <c:spPr>
          <a:ln w="9525">
            <a:noFill/>
          </a:ln>
        </c:spPr>
        <c:crossAx val="129864832"/>
        <c:crosses val="autoZero"/>
        <c:crossBetween val="between"/>
      </c:valAx>
      <c:valAx>
        <c:axId val="129872256"/>
        <c:scaling>
          <c:orientation val="minMax"/>
          <c:max val="23000"/>
          <c:min val="10000"/>
        </c:scaling>
        <c:delete val="0"/>
        <c:axPos val="r"/>
        <c:numFmt formatCode="#,##0" sourceLinked="1"/>
        <c:majorTickMark val="out"/>
        <c:minorTickMark val="none"/>
        <c:tickLblPos val="nextTo"/>
        <c:crossAx val="129873792"/>
        <c:crosses val="max"/>
        <c:crossBetween val="between"/>
        <c:majorUnit val="1000"/>
        <c:minorUnit val="400"/>
      </c:valAx>
      <c:catAx>
        <c:axId val="129873792"/>
        <c:scaling>
          <c:orientation val="minMax"/>
        </c:scaling>
        <c:delete val="1"/>
        <c:axPos val="b"/>
        <c:numFmt formatCode="General" sourceLinked="1"/>
        <c:majorTickMark val="out"/>
        <c:minorTickMark val="none"/>
        <c:tickLblPos val="nextTo"/>
        <c:crossAx val="129872256"/>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Zizur Mayor</a:t>
            </a:r>
          </a:p>
        </c:rich>
      </c:tx>
      <c:overlay val="0"/>
    </c:title>
    <c:autoTitleDeleted val="0"/>
    <c:plotArea>
      <c:layout/>
      <c:barChart>
        <c:barDir val="col"/>
        <c:grouping val="clustered"/>
        <c:varyColors val="0"/>
        <c:ser>
          <c:idx val="6"/>
          <c:order val="5"/>
          <c:tx>
            <c:strRef>
              <c:f>ZizurEstella!$M$14</c:f>
              <c:strCache>
                <c:ptCount val="1"/>
                <c:pt idx="0">
                  <c:v>Población</c:v>
                </c:pt>
              </c:strCache>
            </c:strRef>
          </c:tx>
          <c:spPr>
            <a:solidFill>
              <a:schemeClr val="tx2">
                <a:lumMod val="20000"/>
                <a:lumOff val="80000"/>
              </a:schemeClr>
            </a:solidFill>
          </c:spPr>
          <c:invertIfNegative val="0"/>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ZizurEstella!$N$14:$V$14</c:f>
              <c:numCache>
                <c:formatCode>#,##0</c:formatCode>
                <c:ptCount val="9"/>
                <c:pt idx="0">
                  <c:v>13345</c:v>
                </c:pt>
                <c:pt idx="1">
                  <c:v>13316</c:v>
                </c:pt>
                <c:pt idx="2">
                  <c:v>13871</c:v>
                </c:pt>
                <c:pt idx="3">
                  <c:v>14084</c:v>
                </c:pt>
                <c:pt idx="4">
                  <c:v>14120</c:v>
                </c:pt>
                <c:pt idx="5">
                  <c:v>14253</c:v>
                </c:pt>
                <c:pt idx="6">
                  <c:v>14493</c:v>
                </c:pt>
                <c:pt idx="7">
                  <c:v>14612</c:v>
                </c:pt>
                <c:pt idx="8">
                  <c:v>14686</c:v>
                </c:pt>
              </c:numCache>
            </c:numRef>
          </c:val>
        </c:ser>
        <c:dLbls>
          <c:showLegendKey val="0"/>
          <c:showVal val="0"/>
          <c:showCatName val="0"/>
          <c:showSerName val="0"/>
          <c:showPercent val="0"/>
          <c:showBubbleSize val="0"/>
        </c:dLbls>
        <c:gapWidth val="75"/>
        <c:axId val="107835776"/>
        <c:axId val="107833984"/>
      </c:barChart>
      <c:lineChart>
        <c:grouping val="standard"/>
        <c:varyColors val="0"/>
        <c:ser>
          <c:idx val="2"/>
          <c:order val="0"/>
          <c:tx>
            <c:strRef>
              <c:f>ZizurEstella!$M$8</c:f>
              <c:strCache>
                <c:ptCount val="1"/>
                <c:pt idx="0">
                  <c:v>Fondo transferencias(FT)</c:v>
                </c:pt>
              </c:strCache>
            </c:strRef>
          </c:tx>
          <c:spPr>
            <a:ln w="63500">
              <a:solidFill>
                <a:srgbClr val="FF0000"/>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ZizurEstella!$N$8:$V$8</c:f>
              <c:numCache>
                <c:formatCode>#,##0</c:formatCode>
                <c:ptCount val="9"/>
                <c:pt idx="0">
                  <c:v>3306684.3</c:v>
                </c:pt>
                <c:pt idx="1">
                  <c:v>3306684.3</c:v>
                </c:pt>
                <c:pt idx="2">
                  <c:v>3265274.04</c:v>
                </c:pt>
                <c:pt idx="3">
                  <c:v>3265274.04</c:v>
                </c:pt>
                <c:pt idx="4">
                  <c:v>3289945.68</c:v>
                </c:pt>
                <c:pt idx="5">
                  <c:v>3345308.95</c:v>
                </c:pt>
                <c:pt idx="6">
                  <c:v>3345308.96</c:v>
                </c:pt>
                <c:pt idx="7">
                  <c:v>3408869.82</c:v>
                </c:pt>
                <c:pt idx="8">
                  <c:v>3453185.12</c:v>
                </c:pt>
              </c:numCache>
            </c:numRef>
          </c:val>
          <c:smooth val="0"/>
        </c:ser>
        <c:ser>
          <c:idx val="3"/>
          <c:order val="1"/>
          <c:tx>
            <c:strRef>
              <c:f>ZizurEstella!$M$9</c:f>
              <c:strCache>
                <c:ptCount val="1"/>
                <c:pt idx="0">
                  <c:v>Gastos de funcionamiento</c:v>
                </c:pt>
              </c:strCache>
            </c:strRef>
          </c:tx>
          <c:spPr>
            <a:ln>
              <a:solidFill>
                <a:schemeClr val="accent6"/>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ZizurEstella!$N$9:$V$9</c:f>
              <c:numCache>
                <c:formatCode>#,##0</c:formatCode>
                <c:ptCount val="9"/>
                <c:pt idx="0">
                  <c:v>11443161.860000001</c:v>
                </c:pt>
                <c:pt idx="1">
                  <c:v>11555521.929999998</c:v>
                </c:pt>
                <c:pt idx="2">
                  <c:v>11268539.800000004</c:v>
                </c:pt>
                <c:pt idx="3">
                  <c:v>11760184.590000002</c:v>
                </c:pt>
                <c:pt idx="4">
                  <c:v>11378582.489999996</c:v>
                </c:pt>
                <c:pt idx="5">
                  <c:v>11428055.269999998</c:v>
                </c:pt>
                <c:pt idx="6">
                  <c:v>11448891.510000002</c:v>
                </c:pt>
                <c:pt idx="7">
                  <c:v>11320557.660000002</c:v>
                </c:pt>
                <c:pt idx="8">
                  <c:v>11100013.360000001</c:v>
                </c:pt>
              </c:numCache>
            </c:numRef>
          </c:val>
          <c:smooth val="0"/>
        </c:ser>
        <c:ser>
          <c:idx val="0"/>
          <c:order val="2"/>
          <c:tx>
            <c:strRef>
              <c:f>ZizurEstella!$M$11</c:f>
              <c:strCache>
                <c:ptCount val="1"/>
                <c:pt idx="0">
                  <c:v>Ingresos corrientes(sin FT)</c:v>
                </c:pt>
              </c:strCache>
            </c:strRef>
          </c:tx>
          <c:spPr>
            <a:ln>
              <a:solidFill>
                <a:schemeClr val="accent5"/>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ZizurEstella!$N$11:$V$11</c:f>
              <c:numCache>
                <c:formatCode>#,##0</c:formatCode>
                <c:ptCount val="9"/>
                <c:pt idx="0">
                  <c:v>8015680.0000000009</c:v>
                </c:pt>
                <c:pt idx="1">
                  <c:v>8639378.2300000004</c:v>
                </c:pt>
                <c:pt idx="2">
                  <c:v>10266189.330000002</c:v>
                </c:pt>
                <c:pt idx="3">
                  <c:v>8256354.0600000015</c:v>
                </c:pt>
                <c:pt idx="4">
                  <c:v>8018640.9400000032</c:v>
                </c:pt>
                <c:pt idx="5">
                  <c:v>8044880.4500000002</c:v>
                </c:pt>
                <c:pt idx="6">
                  <c:v>8846573.7700000033</c:v>
                </c:pt>
                <c:pt idx="7">
                  <c:v>8199949.6599999983</c:v>
                </c:pt>
                <c:pt idx="8">
                  <c:v>8214271.3999999994</c:v>
                </c:pt>
              </c:numCache>
            </c:numRef>
          </c:val>
          <c:smooth val="0"/>
        </c:ser>
        <c:ser>
          <c:idx val="4"/>
          <c:order val="3"/>
          <c:tx>
            <c:strRef>
              <c:f>ZizurEstella!$M$12</c:f>
              <c:strCache>
                <c:ptCount val="1"/>
                <c:pt idx="0">
                  <c:v>AHORRO BRUTO</c:v>
                </c:pt>
              </c:strCache>
            </c:strRef>
          </c:tx>
          <c:spPr>
            <a:ln>
              <a:solidFill>
                <a:schemeClr val="accent4"/>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ZizurEstella!$N$12:$V$12</c:f>
              <c:numCache>
                <c:formatCode>#,##0</c:formatCode>
                <c:ptCount val="9"/>
                <c:pt idx="0">
                  <c:v>-120797.56000000052</c:v>
                </c:pt>
                <c:pt idx="1">
                  <c:v>390540.60000000149</c:v>
                </c:pt>
                <c:pt idx="2">
                  <c:v>2262923.5699999966</c:v>
                </c:pt>
                <c:pt idx="3">
                  <c:v>-238556.49000000022</c:v>
                </c:pt>
                <c:pt idx="4">
                  <c:v>-69995.869999993593</c:v>
                </c:pt>
                <c:pt idx="5">
                  <c:v>-37865.869999997318</c:v>
                </c:pt>
                <c:pt idx="6">
                  <c:v>742991.22000000067</c:v>
                </c:pt>
                <c:pt idx="7">
                  <c:v>288261.81999999657</c:v>
                </c:pt>
                <c:pt idx="8">
                  <c:v>567443.15999999829</c:v>
                </c:pt>
              </c:numCache>
            </c:numRef>
          </c:val>
          <c:smooth val="0"/>
        </c:ser>
        <c:ser>
          <c:idx val="5"/>
          <c:order val="4"/>
          <c:tx>
            <c:strRef>
              <c:f>ZizurEstella!$M$13</c:f>
              <c:strCache>
                <c:ptCount val="1"/>
                <c:pt idx="0">
                  <c:v>Ingresos tributarios</c:v>
                </c:pt>
              </c:strCache>
            </c:strRef>
          </c:tx>
          <c:spPr>
            <a:ln>
              <a:solidFill>
                <a:schemeClr val="accent3"/>
              </a:solidFill>
            </a:ln>
          </c:spPr>
          <c:marker>
            <c:symbol val="none"/>
          </c:marker>
          <c:cat>
            <c:numRef>
              <c:f>ZizurEstella!$N$7:$V$7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ZizurEstella!$N$13:$V$13</c:f>
              <c:numCache>
                <c:formatCode>#,##0</c:formatCode>
                <c:ptCount val="9"/>
                <c:pt idx="0">
                  <c:v>5351585.6800000006</c:v>
                </c:pt>
                <c:pt idx="1">
                  <c:v>5905752.6099999994</c:v>
                </c:pt>
                <c:pt idx="2">
                  <c:v>8097649.5899999999</c:v>
                </c:pt>
                <c:pt idx="3">
                  <c:v>5687241.4699999988</c:v>
                </c:pt>
                <c:pt idx="4">
                  <c:v>6021695.1400000006</c:v>
                </c:pt>
                <c:pt idx="5">
                  <c:v>6282449.6899999995</c:v>
                </c:pt>
                <c:pt idx="6">
                  <c:v>6754927.2699999996</c:v>
                </c:pt>
                <c:pt idx="7">
                  <c:v>6361479.459999999</c:v>
                </c:pt>
                <c:pt idx="8">
                  <c:v>6426610.0800000001</c:v>
                </c:pt>
              </c:numCache>
            </c:numRef>
          </c:val>
          <c:smooth val="0"/>
        </c:ser>
        <c:dLbls>
          <c:showLegendKey val="0"/>
          <c:showVal val="0"/>
          <c:showCatName val="0"/>
          <c:showSerName val="0"/>
          <c:showPercent val="0"/>
          <c:showBubbleSize val="0"/>
        </c:dLbls>
        <c:marker val="1"/>
        <c:smooth val="0"/>
        <c:axId val="107826560"/>
        <c:axId val="107832448"/>
      </c:lineChart>
      <c:catAx>
        <c:axId val="107826560"/>
        <c:scaling>
          <c:orientation val="minMax"/>
        </c:scaling>
        <c:delete val="0"/>
        <c:axPos val="b"/>
        <c:numFmt formatCode="General" sourceLinked="1"/>
        <c:majorTickMark val="none"/>
        <c:minorTickMark val="none"/>
        <c:tickLblPos val="nextTo"/>
        <c:crossAx val="107832448"/>
        <c:crosses val="autoZero"/>
        <c:auto val="1"/>
        <c:lblAlgn val="ctr"/>
        <c:lblOffset val="100"/>
        <c:noMultiLvlLbl val="0"/>
      </c:catAx>
      <c:valAx>
        <c:axId val="107832448"/>
        <c:scaling>
          <c:orientation val="minMax"/>
        </c:scaling>
        <c:delete val="0"/>
        <c:axPos val="l"/>
        <c:majorGridlines/>
        <c:numFmt formatCode="#,##0" sourceLinked="1"/>
        <c:majorTickMark val="none"/>
        <c:minorTickMark val="none"/>
        <c:tickLblPos val="nextTo"/>
        <c:spPr>
          <a:ln w="9525">
            <a:noFill/>
          </a:ln>
        </c:spPr>
        <c:crossAx val="107826560"/>
        <c:crosses val="autoZero"/>
        <c:crossBetween val="between"/>
      </c:valAx>
      <c:valAx>
        <c:axId val="107833984"/>
        <c:scaling>
          <c:orientation val="minMax"/>
        </c:scaling>
        <c:delete val="0"/>
        <c:axPos val="r"/>
        <c:numFmt formatCode="#,##0" sourceLinked="1"/>
        <c:majorTickMark val="out"/>
        <c:minorTickMark val="none"/>
        <c:tickLblPos val="nextTo"/>
        <c:crossAx val="107835776"/>
        <c:crosses val="max"/>
        <c:crossBetween val="between"/>
      </c:valAx>
      <c:catAx>
        <c:axId val="107835776"/>
        <c:scaling>
          <c:orientation val="minMax"/>
        </c:scaling>
        <c:delete val="1"/>
        <c:axPos val="b"/>
        <c:numFmt formatCode="General" sourceLinked="1"/>
        <c:majorTickMark val="out"/>
        <c:minorTickMark val="none"/>
        <c:tickLblPos val="nextTo"/>
        <c:crossAx val="10783398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Estella</a:t>
            </a:r>
          </a:p>
        </c:rich>
      </c:tx>
      <c:overlay val="0"/>
    </c:title>
    <c:autoTitleDeleted val="0"/>
    <c:plotArea>
      <c:layout/>
      <c:barChart>
        <c:barDir val="col"/>
        <c:grouping val="clustered"/>
        <c:varyColors val="0"/>
        <c:ser>
          <c:idx val="6"/>
          <c:order val="5"/>
          <c:tx>
            <c:strRef>
              <c:f>ZizurEstella!$M$40</c:f>
              <c:strCache>
                <c:ptCount val="1"/>
                <c:pt idx="0">
                  <c:v>Población</c:v>
                </c:pt>
              </c:strCache>
            </c:strRef>
          </c:tx>
          <c:spPr>
            <a:solidFill>
              <a:schemeClr val="tx2">
                <a:lumMod val="20000"/>
                <a:lumOff val="80000"/>
              </a:schemeClr>
            </a:solidFill>
          </c:spPr>
          <c:invertIfNegative val="0"/>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ZizurEstella!$N$40:$V$40</c:f>
              <c:numCache>
                <c:formatCode>#,##0</c:formatCode>
                <c:ptCount val="9"/>
                <c:pt idx="0">
                  <c:v>14238</c:v>
                </c:pt>
                <c:pt idx="1">
                  <c:v>14207</c:v>
                </c:pt>
                <c:pt idx="2">
                  <c:v>14251</c:v>
                </c:pt>
                <c:pt idx="3">
                  <c:v>14138</c:v>
                </c:pt>
                <c:pt idx="4">
                  <c:v>13947</c:v>
                </c:pt>
                <c:pt idx="5">
                  <c:v>13695</c:v>
                </c:pt>
                <c:pt idx="6">
                  <c:v>13702</c:v>
                </c:pt>
                <c:pt idx="7">
                  <c:v>13668</c:v>
                </c:pt>
                <c:pt idx="8">
                  <c:v>13707</c:v>
                </c:pt>
              </c:numCache>
            </c:numRef>
          </c:val>
        </c:ser>
        <c:dLbls>
          <c:showLegendKey val="0"/>
          <c:showVal val="0"/>
          <c:showCatName val="0"/>
          <c:showSerName val="0"/>
          <c:showPercent val="0"/>
          <c:showBubbleSize val="0"/>
        </c:dLbls>
        <c:gapWidth val="75"/>
        <c:axId val="129902848"/>
        <c:axId val="129901312"/>
      </c:barChart>
      <c:lineChart>
        <c:grouping val="standard"/>
        <c:varyColors val="0"/>
        <c:ser>
          <c:idx val="3"/>
          <c:order val="0"/>
          <c:tx>
            <c:strRef>
              <c:f>ZizurEstella!$M$34</c:f>
              <c:strCache>
                <c:ptCount val="1"/>
                <c:pt idx="0">
                  <c:v>Fondo transferencias(FT)</c:v>
                </c:pt>
              </c:strCache>
            </c:strRef>
          </c:tx>
          <c:spPr>
            <a:ln w="63500">
              <a:solidFill>
                <a:srgbClr val="FF0000"/>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ZizurEstella!$N$34:$V$34</c:f>
              <c:numCache>
                <c:formatCode>#,##0</c:formatCode>
                <c:ptCount val="9"/>
                <c:pt idx="0">
                  <c:v>3685156.55</c:v>
                </c:pt>
                <c:pt idx="1">
                  <c:v>3686078.67</c:v>
                </c:pt>
                <c:pt idx="2">
                  <c:v>3639917.18</c:v>
                </c:pt>
                <c:pt idx="3">
                  <c:v>3639917.18</c:v>
                </c:pt>
                <c:pt idx="4">
                  <c:v>3639917.18</c:v>
                </c:pt>
                <c:pt idx="5">
                  <c:v>3639917.18</c:v>
                </c:pt>
                <c:pt idx="6">
                  <c:v>3639917.2</c:v>
                </c:pt>
                <c:pt idx="7">
                  <c:v>3709075.61</c:v>
                </c:pt>
                <c:pt idx="8">
                  <c:v>3757293.6</c:v>
                </c:pt>
              </c:numCache>
            </c:numRef>
          </c:val>
          <c:smooth val="0"/>
        </c:ser>
        <c:ser>
          <c:idx val="0"/>
          <c:order val="1"/>
          <c:tx>
            <c:strRef>
              <c:f>ZizurEstella!$M$35</c:f>
              <c:strCache>
                <c:ptCount val="1"/>
                <c:pt idx="0">
                  <c:v>Gastos de funcionamiento</c:v>
                </c:pt>
              </c:strCache>
            </c:strRef>
          </c:tx>
          <c:spPr>
            <a:ln>
              <a:solidFill>
                <a:schemeClr val="accent6"/>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ZizurEstella!$N$35:$V$35</c:f>
              <c:numCache>
                <c:formatCode>#,##0</c:formatCode>
                <c:ptCount val="9"/>
                <c:pt idx="0">
                  <c:v>10567738.120000001</c:v>
                </c:pt>
                <c:pt idx="1">
                  <c:v>10367629.800000001</c:v>
                </c:pt>
                <c:pt idx="2">
                  <c:v>10222823.720000004</c:v>
                </c:pt>
                <c:pt idx="3">
                  <c:v>9204749.4099999983</c:v>
                </c:pt>
                <c:pt idx="4">
                  <c:v>9547778.8099999987</c:v>
                </c:pt>
                <c:pt idx="5">
                  <c:v>9943524.7200000007</c:v>
                </c:pt>
                <c:pt idx="6">
                  <c:v>9531029.2000000011</c:v>
                </c:pt>
                <c:pt idx="7">
                  <c:v>9713721.0300000012</c:v>
                </c:pt>
                <c:pt idx="8">
                  <c:v>9802900.5699999984</c:v>
                </c:pt>
              </c:numCache>
            </c:numRef>
          </c:val>
          <c:smooth val="0"/>
        </c:ser>
        <c:ser>
          <c:idx val="1"/>
          <c:order val="2"/>
          <c:tx>
            <c:strRef>
              <c:f>ZizurEstella!$M$37</c:f>
              <c:strCache>
                <c:ptCount val="1"/>
                <c:pt idx="0">
                  <c:v>Ingresos corrientes(sin FT)</c:v>
                </c:pt>
              </c:strCache>
            </c:strRef>
          </c:tx>
          <c:spPr>
            <a:ln>
              <a:solidFill>
                <a:schemeClr val="accent5"/>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ZizurEstella!$N$37:$V$37</c:f>
              <c:numCache>
                <c:formatCode>#,##0</c:formatCode>
                <c:ptCount val="9"/>
                <c:pt idx="0">
                  <c:v>9160247.5199999996</c:v>
                </c:pt>
                <c:pt idx="1">
                  <c:v>8081280.620000001</c:v>
                </c:pt>
                <c:pt idx="2">
                  <c:v>8060458.2400000002</c:v>
                </c:pt>
                <c:pt idx="3">
                  <c:v>6912013.1499999985</c:v>
                </c:pt>
                <c:pt idx="4">
                  <c:v>7416527.0300000031</c:v>
                </c:pt>
                <c:pt idx="5">
                  <c:v>7666060.3599999994</c:v>
                </c:pt>
                <c:pt idx="6">
                  <c:v>8969793.9399999976</c:v>
                </c:pt>
                <c:pt idx="7">
                  <c:v>7840166.8900000025</c:v>
                </c:pt>
                <c:pt idx="8">
                  <c:v>7845740.7900000028</c:v>
                </c:pt>
              </c:numCache>
            </c:numRef>
          </c:val>
          <c:smooth val="0"/>
        </c:ser>
        <c:ser>
          <c:idx val="4"/>
          <c:order val="3"/>
          <c:tx>
            <c:strRef>
              <c:f>ZizurEstella!$M$38</c:f>
              <c:strCache>
                <c:ptCount val="1"/>
                <c:pt idx="0">
                  <c:v>AHORRO BRUTO</c:v>
                </c:pt>
              </c:strCache>
            </c:strRef>
          </c:tx>
          <c:spPr>
            <a:ln>
              <a:solidFill>
                <a:schemeClr val="accent4"/>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ZizurEstella!$N$38:$V$38</c:f>
              <c:numCache>
                <c:formatCode>#,##0</c:formatCode>
                <c:ptCount val="9"/>
                <c:pt idx="0">
                  <c:v>2277665.9499999993</c:v>
                </c:pt>
                <c:pt idx="1">
                  <c:v>1399729.4900000002</c:v>
                </c:pt>
                <c:pt idx="2">
                  <c:v>1477551.6999999955</c:v>
                </c:pt>
                <c:pt idx="3">
                  <c:v>1347180.92</c:v>
                </c:pt>
                <c:pt idx="4">
                  <c:v>1508665.4000000041</c:v>
                </c:pt>
                <c:pt idx="5">
                  <c:v>1362452.8199999984</c:v>
                </c:pt>
                <c:pt idx="6">
                  <c:v>3078681.9399999976</c:v>
                </c:pt>
                <c:pt idx="7">
                  <c:v>1835521.4700000007</c:v>
                </c:pt>
                <c:pt idx="8">
                  <c:v>1800133.820000004</c:v>
                </c:pt>
              </c:numCache>
            </c:numRef>
          </c:val>
          <c:smooth val="0"/>
        </c:ser>
        <c:ser>
          <c:idx val="5"/>
          <c:order val="4"/>
          <c:tx>
            <c:strRef>
              <c:f>ZizurEstella!$M$39</c:f>
              <c:strCache>
                <c:ptCount val="1"/>
                <c:pt idx="0">
                  <c:v>Ingresos tributarios</c:v>
                </c:pt>
              </c:strCache>
            </c:strRef>
          </c:tx>
          <c:spPr>
            <a:ln>
              <a:solidFill>
                <a:schemeClr val="accent3"/>
              </a:solidFill>
            </a:ln>
          </c:spPr>
          <c:marker>
            <c:symbol val="none"/>
          </c:marker>
          <c:cat>
            <c:numRef>
              <c:f>ZizurEstella!$N$33:$V$33</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ZizurEstella!$N$39:$V$39</c:f>
              <c:numCache>
                <c:formatCode>#,##0</c:formatCode>
                <c:ptCount val="9"/>
                <c:pt idx="0">
                  <c:v>6147557.6399999997</c:v>
                </c:pt>
                <c:pt idx="1">
                  <c:v>5722443.9199999999</c:v>
                </c:pt>
                <c:pt idx="2">
                  <c:v>5545016.79</c:v>
                </c:pt>
                <c:pt idx="3">
                  <c:v>5559760.7800000003</c:v>
                </c:pt>
                <c:pt idx="4">
                  <c:v>5673659.7200000007</c:v>
                </c:pt>
                <c:pt idx="5">
                  <c:v>5763349.8600000003</c:v>
                </c:pt>
                <c:pt idx="6">
                  <c:v>7167475.9299999997</c:v>
                </c:pt>
                <c:pt idx="7">
                  <c:v>5940162.5099999998</c:v>
                </c:pt>
                <c:pt idx="8">
                  <c:v>5978309.1799999997</c:v>
                </c:pt>
              </c:numCache>
            </c:numRef>
          </c:val>
          <c:smooth val="0"/>
        </c:ser>
        <c:dLbls>
          <c:showLegendKey val="0"/>
          <c:showVal val="0"/>
          <c:showCatName val="0"/>
          <c:showSerName val="0"/>
          <c:showPercent val="0"/>
          <c:showBubbleSize val="0"/>
        </c:dLbls>
        <c:marker val="1"/>
        <c:smooth val="0"/>
        <c:axId val="107865600"/>
        <c:axId val="107867136"/>
      </c:lineChart>
      <c:catAx>
        <c:axId val="107865600"/>
        <c:scaling>
          <c:orientation val="minMax"/>
        </c:scaling>
        <c:delete val="0"/>
        <c:axPos val="b"/>
        <c:numFmt formatCode="General" sourceLinked="1"/>
        <c:majorTickMark val="none"/>
        <c:minorTickMark val="none"/>
        <c:tickLblPos val="nextTo"/>
        <c:crossAx val="107867136"/>
        <c:crosses val="autoZero"/>
        <c:auto val="1"/>
        <c:lblAlgn val="ctr"/>
        <c:lblOffset val="100"/>
        <c:noMultiLvlLbl val="0"/>
      </c:catAx>
      <c:valAx>
        <c:axId val="107867136"/>
        <c:scaling>
          <c:orientation val="minMax"/>
        </c:scaling>
        <c:delete val="0"/>
        <c:axPos val="l"/>
        <c:majorGridlines/>
        <c:numFmt formatCode="#,##0" sourceLinked="1"/>
        <c:majorTickMark val="none"/>
        <c:minorTickMark val="none"/>
        <c:tickLblPos val="nextTo"/>
        <c:spPr>
          <a:ln w="9525">
            <a:noFill/>
          </a:ln>
        </c:spPr>
        <c:crossAx val="107865600"/>
        <c:crosses val="autoZero"/>
        <c:crossBetween val="between"/>
      </c:valAx>
      <c:valAx>
        <c:axId val="129901312"/>
        <c:scaling>
          <c:orientation val="minMax"/>
        </c:scaling>
        <c:delete val="0"/>
        <c:axPos val="r"/>
        <c:numFmt formatCode="#,##0" sourceLinked="1"/>
        <c:majorTickMark val="out"/>
        <c:minorTickMark val="none"/>
        <c:tickLblPos val="nextTo"/>
        <c:crossAx val="129902848"/>
        <c:crosses val="max"/>
        <c:crossBetween val="between"/>
      </c:valAx>
      <c:catAx>
        <c:axId val="129902848"/>
        <c:scaling>
          <c:orientation val="minMax"/>
        </c:scaling>
        <c:delete val="1"/>
        <c:axPos val="b"/>
        <c:numFmt formatCode="General" sourceLinked="1"/>
        <c:majorTickMark val="out"/>
        <c:minorTickMark val="none"/>
        <c:tickLblPos val="nextTo"/>
        <c:crossAx val="129901312"/>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Aranguren</a:t>
            </a:r>
          </a:p>
        </c:rich>
      </c:tx>
      <c:overlay val="0"/>
    </c:title>
    <c:autoTitleDeleted val="0"/>
    <c:plotArea>
      <c:layout/>
      <c:barChart>
        <c:barDir val="col"/>
        <c:grouping val="clustered"/>
        <c:varyColors val="0"/>
        <c:ser>
          <c:idx val="6"/>
          <c:order val="5"/>
          <c:tx>
            <c:strRef>
              <c:f>TafAnsVillBerriozArang!$L$14</c:f>
              <c:strCache>
                <c:ptCount val="1"/>
                <c:pt idx="0">
                  <c:v>Población</c:v>
                </c:pt>
              </c:strCache>
            </c:strRef>
          </c:tx>
          <c:spPr>
            <a:solidFill>
              <a:schemeClr val="tx2">
                <a:lumMod val="20000"/>
                <a:lumOff val="80000"/>
              </a:schemeClr>
            </a:solidFill>
          </c:spPr>
          <c:invertIfNegative val="0"/>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TafAnsVillBerriozArang!$M$14:$U$14</c:f>
              <c:numCache>
                <c:formatCode>#,##0</c:formatCode>
                <c:ptCount val="9"/>
                <c:pt idx="0">
                  <c:v>7139</c:v>
                </c:pt>
                <c:pt idx="1">
                  <c:v>7317</c:v>
                </c:pt>
                <c:pt idx="2">
                  <c:v>7586</c:v>
                </c:pt>
                <c:pt idx="3">
                  <c:v>8092</c:v>
                </c:pt>
                <c:pt idx="4">
                  <c:v>8579</c:v>
                </c:pt>
                <c:pt idx="5">
                  <c:v>8982</c:v>
                </c:pt>
                <c:pt idx="6">
                  <c:v>9398</c:v>
                </c:pt>
                <c:pt idx="7">
                  <c:v>9801</c:v>
                </c:pt>
                <c:pt idx="8">
                  <c:v>10239</c:v>
                </c:pt>
              </c:numCache>
            </c:numRef>
          </c:val>
        </c:ser>
        <c:dLbls>
          <c:showLegendKey val="0"/>
          <c:showVal val="0"/>
          <c:showCatName val="0"/>
          <c:showSerName val="0"/>
          <c:showPercent val="0"/>
          <c:showBubbleSize val="0"/>
        </c:dLbls>
        <c:gapWidth val="75"/>
        <c:axId val="129950464"/>
        <c:axId val="129936384"/>
      </c:barChart>
      <c:lineChart>
        <c:grouping val="standard"/>
        <c:varyColors val="0"/>
        <c:ser>
          <c:idx val="3"/>
          <c:order val="0"/>
          <c:tx>
            <c:strRef>
              <c:f>TafAnsVillBerriozArang!$L$8</c:f>
              <c:strCache>
                <c:ptCount val="1"/>
                <c:pt idx="0">
                  <c:v>Fondo transferencias(FT)</c:v>
                </c:pt>
              </c:strCache>
            </c:strRef>
          </c:tx>
          <c:spPr>
            <a:ln w="63500">
              <a:solidFill>
                <a:srgbClr val="FF0000"/>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TafAnsVillBerriozArang!$M$8:$U$8</c:f>
              <c:numCache>
                <c:formatCode>#,##0</c:formatCode>
                <c:ptCount val="9"/>
                <c:pt idx="0">
                  <c:v>1503301.1300000001</c:v>
                </c:pt>
                <c:pt idx="1">
                  <c:v>1516996.7600000002</c:v>
                </c:pt>
                <c:pt idx="2">
                  <c:v>1497999.1199999999</c:v>
                </c:pt>
                <c:pt idx="3">
                  <c:v>1521370.09</c:v>
                </c:pt>
                <c:pt idx="4">
                  <c:v>1633106.08</c:v>
                </c:pt>
                <c:pt idx="5">
                  <c:v>1761160.47</c:v>
                </c:pt>
                <c:pt idx="6">
                  <c:v>1761160.56</c:v>
                </c:pt>
                <c:pt idx="7">
                  <c:v>1794622.52</c:v>
                </c:pt>
                <c:pt idx="8">
                  <c:v>1817952.64</c:v>
                </c:pt>
              </c:numCache>
            </c:numRef>
          </c:val>
          <c:smooth val="0"/>
        </c:ser>
        <c:ser>
          <c:idx val="0"/>
          <c:order val="1"/>
          <c:tx>
            <c:strRef>
              <c:f>TafAnsVillBerriozArang!$L$9</c:f>
              <c:strCache>
                <c:ptCount val="1"/>
                <c:pt idx="0">
                  <c:v>Gastos de funcionamiento</c:v>
                </c:pt>
              </c:strCache>
            </c:strRef>
          </c:tx>
          <c:spPr>
            <a:ln>
              <a:solidFill>
                <a:schemeClr val="accent6"/>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TafAnsVillBerriozArang!$M$9:$U$9</c:f>
              <c:numCache>
                <c:formatCode>#,##0</c:formatCode>
                <c:ptCount val="9"/>
                <c:pt idx="0">
                  <c:v>8009878.0499999989</c:v>
                </c:pt>
                <c:pt idx="1">
                  <c:v>8297041.2300000004</c:v>
                </c:pt>
                <c:pt idx="2">
                  <c:v>8261890.4399999976</c:v>
                </c:pt>
                <c:pt idx="3">
                  <c:v>8578603.4699999969</c:v>
                </c:pt>
                <c:pt idx="4">
                  <c:v>7719385.1500000004</c:v>
                </c:pt>
                <c:pt idx="5">
                  <c:v>7551684.0899999989</c:v>
                </c:pt>
                <c:pt idx="6">
                  <c:v>7653685.6599999974</c:v>
                </c:pt>
                <c:pt idx="7">
                  <c:v>7746662.5400000019</c:v>
                </c:pt>
                <c:pt idx="8">
                  <c:v>8176678.3999999994</c:v>
                </c:pt>
              </c:numCache>
            </c:numRef>
          </c:val>
          <c:smooth val="0"/>
        </c:ser>
        <c:ser>
          <c:idx val="1"/>
          <c:order val="2"/>
          <c:tx>
            <c:strRef>
              <c:f>TafAnsVillBerriozArang!$L$11</c:f>
              <c:strCache>
                <c:ptCount val="1"/>
                <c:pt idx="0">
                  <c:v>Ingresos corrientes(sin FT)</c:v>
                </c:pt>
              </c:strCache>
            </c:strRef>
          </c:tx>
          <c:spPr>
            <a:ln>
              <a:solidFill>
                <a:schemeClr val="accent5"/>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TafAnsVillBerriozArang!$M$11:$U$11</c:f>
              <c:numCache>
                <c:formatCode>#,##0</c:formatCode>
                <c:ptCount val="9"/>
                <c:pt idx="0">
                  <c:v>8111326.5099999988</c:v>
                </c:pt>
                <c:pt idx="1">
                  <c:v>7440356.7999999989</c:v>
                </c:pt>
                <c:pt idx="2">
                  <c:v>7219764.1500000013</c:v>
                </c:pt>
                <c:pt idx="3">
                  <c:v>7404289.3699999992</c:v>
                </c:pt>
                <c:pt idx="4">
                  <c:v>6712147.29</c:v>
                </c:pt>
                <c:pt idx="5">
                  <c:v>7056704.7299999995</c:v>
                </c:pt>
                <c:pt idx="6">
                  <c:v>6630515.1999999993</c:v>
                </c:pt>
                <c:pt idx="7">
                  <c:v>7208963.5099999998</c:v>
                </c:pt>
                <c:pt idx="8">
                  <c:v>7996172.3799999999</c:v>
                </c:pt>
              </c:numCache>
            </c:numRef>
          </c:val>
          <c:smooth val="0"/>
        </c:ser>
        <c:ser>
          <c:idx val="4"/>
          <c:order val="3"/>
          <c:tx>
            <c:strRef>
              <c:f>TafAnsVillBerriozArang!$L$12</c:f>
              <c:strCache>
                <c:ptCount val="1"/>
                <c:pt idx="0">
                  <c:v>AHORRO BRUTO</c:v>
                </c:pt>
              </c:strCache>
            </c:strRef>
          </c:tx>
          <c:spPr>
            <a:ln>
              <a:solidFill>
                <a:schemeClr val="accent4"/>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TafAnsVillBerriozArang!$M$12:$U$12</c:f>
              <c:numCache>
                <c:formatCode>#,##0</c:formatCode>
                <c:ptCount val="9"/>
                <c:pt idx="0">
                  <c:v>1604749.5899999999</c:v>
                </c:pt>
                <c:pt idx="1">
                  <c:v>660312.32999999821</c:v>
                </c:pt>
                <c:pt idx="2">
                  <c:v>455872.8300000038</c:v>
                </c:pt>
                <c:pt idx="3">
                  <c:v>347055.99000000209</c:v>
                </c:pt>
                <c:pt idx="4">
                  <c:v>625868.21999999974</c:v>
                </c:pt>
                <c:pt idx="5">
                  <c:v>1266181.1100000003</c:v>
                </c:pt>
                <c:pt idx="6">
                  <c:v>737990.10000000242</c:v>
                </c:pt>
                <c:pt idx="7">
                  <c:v>1256923.4899999974</c:v>
                </c:pt>
                <c:pt idx="8">
                  <c:v>1637446.62</c:v>
                </c:pt>
              </c:numCache>
            </c:numRef>
          </c:val>
          <c:smooth val="0"/>
        </c:ser>
        <c:ser>
          <c:idx val="5"/>
          <c:order val="4"/>
          <c:tx>
            <c:strRef>
              <c:f>TafAnsVillBerriozArang!$L$13</c:f>
              <c:strCache>
                <c:ptCount val="1"/>
                <c:pt idx="0">
                  <c:v>Ingresos tributarios</c:v>
                </c:pt>
              </c:strCache>
            </c:strRef>
          </c:tx>
          <c:spPr>
            <a:ln>
              <a:solidFill>
                <a:schemeClr val="accent3"/>
              </a:solidFill>
            </a:ln>
          </c:spPr>
          <c:marker>
            <c:symbol val="none"/>
          </c:marker>
          <c:cat>
            <c:numRef>
              <c:f>TafAnsVillBerriozArang!$M$7:$U$7</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TafAnsVillBerriozArang!$M$13:$U$13</c:f>
              <c:numCache>
                <c:formatCode>#,##0</c:formatCode>
                <c:ptCount val="9"/>
                <c:pt idx="0">
                  <c:v>6993222.1599999992</c:v>
                </c:pt>
                <c:pt idx="1">
                  <c:v>5600705.5700000003</c:v>
                </c:pt>
                <c:pt idx="2">
                  <c:v>6176231.4900000002</c:v>
                </c:pt>
                <c:pt idx="3">
                  <c:v>6490725.8700000001</c:v>
                </c:pt>
                <c:pt idx="4">
                  <c:v>5969132.1699999999</c:v>
                </c:pt>
                <c:pt idx="5">
                  <c:v>6260036.5800000001</c:v>
                </c:pt>
                <c:pt idx="6">
                  <c:v>5877996.5499999998</c:v>
                </c:pt>
                <c:pt idx="7">
                  <c:v>6231264.5600000005</c:v>
                </c:pt>
                <c:pt idx="8">
                  <c:v>7140628.1099999994</c:v>
                </c:pt>
              </c:numCache>
            </c:numRef>
          </c:val>
          <c:smooth val="0"/>
        </c:ser>
        <c:dLbls>
          <c:showLegendKey val="0"/>
          <c:showVal val="0"/>
          <c:showCatName val="0"/>
          <c:showSerName val="0"/>
          <c:showPercent val="0"/>
          <c:showBubbleSize val="0"/>
        </c:dLbls>
        <c:marker val="1"/>
        <c:smooth val="0"/>
        <c:axId val="129933312"/>
        <c:axId val="129934848"/>
      </c:lineChart>
      <c:catAx>
        <c:axId val="129933312"/>
        <c:scaling>
          <c:orientation val="minMax"/>
        </c:scaling>
        <c:delete val="0"/>
        <c:axPos val="b"/>
        <c:numFmt formatCode="General" sourceLinked="1"/>
        <c:majorTickMark val="none"/>
        <c:minorTickMark val="none"/>
        <c:tickLblPos val="nextTo"/>
        <c:crossAx val="129934848"/>
        <c:crosses val="autoZero"/>
        <c:auto val="1"/>
        <c:lblAlgn val="ctr"/>
        <c:lblOffset val="100"/>
        <c:noMultiLvlLbl val="0"/>
      </c:catAx>
      <c:valAx>
        <c:axId val="129934848"/>
        <c:scaling>
          <c:orientation val="minMax"/>
        </c:scaling>
        <c:delete val="0"/>
        <c:axPos val="l"/>
        <c:majorGridlines/>
        <c:numFmt formatCode="#,##0" sourceLinked="1"/>
        <c:majorTickMark val="none"/>
        <c:minorTickMark val="none"/>
        <c:tickLblPos val="nextTo"/>
        <c:spPr>
          <a:ln w="9525">
            <a:noFill/>
          </a:ln>
        </c:spPr>
        <c:crossAx val="129933312"/>
        <c:crosses val="autoZero"/>
        <c:crossBetween val="between"/>
      </c:valAx>
      <c:valAx>
        <c:axId val="129936384"/>
        <c:scaling>
          <c:orientation val="minMax"/>
        </c:scaling>
        <c:delete val="0"/>
        <c:axPos val="r"/>
        <c:numFmt formatCode="#,##0" sourceLinked="1"/>
        <c:majorTickMark val="out"/>
        <c:minorTickMark val="none"/>
        <c:tickLblPos val="nextTo"/>
        <c:crossAx val="129950464"/>
        <c:crosses val="max"/>
        <c:crossBetween val="between"/>
      </c:valAx>
      <c:catAx>
        <c:axId val="129950464"/>
        <c:scaling>
          <c:orientation val="minMax"/>
        </c:scaling>
        <c:delete val="1"/>
        <c:axPos val="b"/>
        <c:numFmt formatCode="General" sourceLinked="1"/>
        <c:majorTickMark val="out"/>
        <c:minorTickMark val="none"/>
        <c:tickLblPos val="nextTo"/>
        <c:crossAx val="12993638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u="sng"/>
              <a:t>Tafalla</a:t>
            </a:r>
          </a:p>
        </c:rich>
      </c:tx>
      <c:overlay val="0"/>
    </c:title>
    <c:autoTitleDeleted val="0"/>
    <c:plotArea>
      <c:layout/>
      <c:barChart>
        <c:barDir val="col"/>
        <c:grouping val="clustered"/>
        <c:varyColors val="0"/>
        <c:ser>
          <c:idx val="6"/>
          <c:order val="5"/>
          <c:tx>
            <c:strRef>
              <c:f>TafAnsVillBerriozArang!$L$32</c:f>
              <c:strCache>
                <c:ptCount val="1"/>
                <c:pt idx="0">
                  <c:v>Población</c:v>
                </c:pt>
              </c:strCache>
            </c:strRef>
          </c:tx>
          <c:spPr>
            <a:solidFill>
              <a:schemeClr val="tx2">
                <a:lumMod val="20000"/>
                <a:lumOff val="80000"/>
              </a:schemeClr>
            </a:solidFill>
          </c:spPr>
          <c:invertIfNegative val="0"/>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TafAnsVillBerriozArang!$M$32:$U$32</c:f>
              <c:numCache>
                <c:formatCode>#,##0</c:formatCode>
                <c:ptCount val="9"/>
                <c:pt idx="0">
                  <c:v>11394</c:v>
                </c:pt>
                <c:pt idx="1">
                  <c:v>11413</c:v>
                </c:pt>
                <c:pt idx="2">
                  <c:v>11390</c:v>
                </c:pt>
                <c:pt idx="3">
                  <c:v>11256</c:v>
                </c:pt>
                <c:pt idx="4">
                  <c:v>11201</c:v>
                </c:pt>
                <c:pt idx="5">
                  <c:v>10966</c:v>
                </c:pt>
                <c:pt idx="6">
                  <c:v>10809</c:v>
                </c:pt>
                <c:pt idx="7">
                  <c:v>10660</c:v>
                </c:pt>
                <c:pt idx="8">
                  <c:v>10638</c:v>
                </c:pt>
              </c:numCache>
            </c:numRef>
          </c:val>
        </c:ser>
        <c:dLbls>
          <c:showLegendKey val="0"/>
          <c:showVal val="0"/>
          <c:showCatName val="0"/>
          <c:showSerName val="0"/>
          <c:showPercent val="0"/>
          <c:showBubbleSize val="0"/>
        </c:dLbls>
        <c:gapWidth val="75"/>
        <c:axId val="130120704"/>
        <c:axId val="130119168"/>
      </c:barChart>
      <c:lineChart>
        <c:grouping val="standard"/>
        <c:varyColors val="0"/>
        <c:ser>
          <c:idx val="0"/>
          <c:order val="0"/>
          <c:tx>
            <c:strRef>
              <c:f>TafAnsVillBerriozArang!$L$26</c:f>
              <c:strCache>
                <c:ptCount val="1"/>
                <c:pt idx="0">
                  <c:v>Fondo transferencias(FT)</c:v>
                </c:pt>
              </c:strCache>
            </c:strRef>
          </c:tx>
          <c:spPr>
            <a:ln w="63500">
              <a:solidFill>
                <a:srgbClr val="FF0000"/>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TafAnsVillBerriozArang!$M$26:$U$26</c:f>
              <c:numCache>
                <c:formatCode>#,##0</c:formatCode>
                <c:ptCount val="9"/>
                <c:pt idx="0">
                  <c:v>3018075.2</c:v>
                </c:pt>
                <c:pt idx="1">
                  <c:v>3020497.12</c:v>
                </c:pt>
                <c:pt idx="2">
                  <c:v>2982670.84</c:v>
                </c:pt>
                <c:pt idx="3">
                  <c:v>2985083.62</c:v>
                </c:pt>
                <c:pt idx="4">
                  <c:v>2985083.62</c:v>
                </c:pt>
                <c:pt idx="5">
                  <c:v>2985083.62</c:v>
                </c:pt>
                <c:pt idx="6">
                  <c:v>2985083.64</c:v>
                </c:pt>
                <c:pt idx="7">
                  <c:v>3041800.21</c:v>
                </c:pt>
                <c:pt idx="8">
                  <c:v>3081343.6</c:v>
                </c:pt>
              </c:numCache>
            </c:numRef>
          </c:val>
          <c:smooth val="0"/>
        </c:ser>
        <c:ser>
          <c:idx val="1"/>
          <c:order val="1"/>
          <c:tx>
            <c:strRef>
              <c:f>TafAnsVillBerriozArang!$L$27</c:f>
              <c:strCache>
                <c:ptCount val="1"/>
                <c:pt idx="0">
                  <c:v>Gastos de funcionamiento</c:v>
                </c:pt>
              </c:strCache>
            </c:strRef>
          </c:tx>
          <c:spPr>
            <a:ln>
              <a:solidFill>
                <a:schemeClr val="accent6"/>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TafAnsVillBerriozArang!$M$27:$U$27</c:f>
              <c:numCache>
                <c:formatCode>#,##0</c:formatCode>
                <c:ptCount val="9"/>
                <c:pt idx="0">
                  <c:v>9679691.7299999986</c:v>
                </c:pt>
                <c:pt idx="1">
                  <c:v>9798037.2800000012</c:v>
                </c:pt>
                <c:pt idx="2">
                  <c:v>9469990.2000000011</c:v>
                </c:pt>
                <c:pt idx="3">
                  <c:v>8883200.8099999968</c:v>
                </c:pt>
                <c:pt idx="4">
                  <c:v>9126580.0999999959</c:v>
                </c:pt>
                <c:pt idx="5">
                  <c:v>8756475.6300000027</c:v>
                </c:pt>
                <c:pt idx="6">
                  <c:v>8769640.7699999977</c:v>
                </c:pt>
                <c:pt idx="7">
                  <c:v>8844008.8300000019</c:v>
                </c:pt>
                <c:pt idx="8">
                  <c:v>8820620.9400000013</c:v>
                </c:pt>
              </c:numCache>
            </c:numRef>
          </c:val>
          <c:smooth val="0"/>
        </c:ser>
        <c:ser>
          <c:idx val="2"/>
          <c:order val="2"/>
          <c:tx>
            <c:strRef>
              <c:f>TafAnsVillBerriozArang!$L$29</c:f>
              <c:strCache>
                <c:ptCount val="1"/>
                <c:pt idx="0">
                  <c:v>Ingresos corrientes(sin FT)</c:v>
                </c:pt>
              </c:strCache>
            </c:strRef>
          </c:tx>
          <c:spPr>
            <a:ln>
              <a:solidFill>
                <a:schemeClr val="accent5"/>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TafAnsVillBerriozArang!$M$29:$U$29</c:f>
              <c:numCache>
                <c:formatCode>#,##0</c:formatCode>
                <c:ptCount val="9"/>
                <c:pt idx="0">
                  <c:v>7924971.2899999982</c:v>
                </c:pt>
                <c:pt idx="1">
                  <c:v>8070642.7199999979</c:v>
                </c:pt>
                <c:pt idx="2">
                  <c:v>7383895.7100000009</c:v>
                </c:pt>
                <c:pt idx="3">
                  <c:v>7034628.9900000012</c:v>
                </c:pt>
                <c:pt idx="4">
                  <c:v>6922946.2500000009</c:v>
                </c:pt>
                <c:pt idx="5">
                  <c:v>6658697.9200000009</c:v>
                </c:pt>
                <c:pt idx="6">
                  <c:v>6678827.7400000002</c:v>
                </c:pt>
                <c:pt idx="7">
                  <c:v>6756505.0899999989</c:v>
                </c:pt>
                <c:pt idx="8">
                  <c:v>6623003.5600000005</c:v>
                </c:pt>
              </c:numCache>
            </c:numRef>
          </c:val>
          <c:smooth val="0"/>
        </c:ser>
        <c:ser>
          <c:idx val="4"/>
          <c:order val="3"/>
          <c:tx>
            <c:strRef>
              <c:f>TafAnsVillBerriozArang!$L$30</c:f>
              <c:strCache>
                <c:ptCount val="1"/>
                <c:pt idx="0">
                  <c:v>AHORRO BRUTO</c:v>
                </c:pt>
              </c:strCache>
            </c:strRef>
          </c:tx>
          <c:spPr>
            <a:ln>
              <a:solidFill>
                <a:schemeClr val="accent4"/>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TafAnsVillBerriozArang!$M$30:$U$30</c:f>
              <c:numCache>
                <c:formatCode>#,##0</c:formatCode>
                <c:ptCount val="9"/>
                <c:pt idx="0">
                  <c:v>1263354.7599999998</c:v>
                </c:pt>
                <c:pt idx="1">
                  <c:v>1293102.5599999968</c:v>
                </c:pt>
                <c:pt idx="2">
                  <c:v>896576.34999999963</c:v>
                </c:pt>
                <c:pt idx="3">
                  <c:v>1136511.8000000045</c:v>
                </c:pt>
                <c:pt idx="4">
                  <c:v>781449.77000000514</c:v>
                </c:pt>
                <c:pt idx="5">
                  <c:v>887305.90999999829</c:v>
                </c:pt>
                <c:pt idx="6">
                  <c:v>894270.61000000313</c:v>
                </c:pt>
                <c:pt idx="7">
                  <c:v>954296.46999999695</c:v>
                </c:pt>
                <c:pt idx="8">
                  <c:v>883726.21999999881</c:v>
                </c:pt>
              </c:numCache>
            </c:numRef>
          </c:val>
          <c:smooth val="0"/>
        </c:ser>
        <c:ser>
          <c:idx val="5"/>
          <c:order val="4"/>
          <c:tx>
            <c:strRef>
              <c:f>TafAnsVillBerriozArang!$L$31</c:f>
              <c:strCache>
                <c:ptCount val="1"/>
                <c:pt idx="0">
                  <c:v>Ingresos tributarios</c:v>
                </c:pt>
              </c:strCache>
            </c:strRef>
          </c:tx>
          <c:spPr>
            <a:ln>
              <a:solidFill>
                <a:schemeClr val="accent3"/>
              </a:solidFill>
            </a:ln>
          </c:spPr>
          <c:marker>
            <c:symbol val="none"/>
          </c:marker>
          <c:cat>
            <c:numRef>
              <c:f>TafAnsVillBerriozArang!$M$25:$U$25</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TafAnsVillBerriozArang!$M$31:$U$31</c:f>
              <c:numCache>
                <c:formatCode>#,##0</c:formatCode>
                <c:ptCount val="9"/>
                <c:pt idx="0">
                  <c:v>5452265.7999999998</c:v>
                </c:pt>
                <c:pt idx="1">
                  <c:v>5474700.8099999996</c:v>
                </c:pt>
                <c:pt idx="2">
                  <c:v>5088915.3999999994</c:v>
                </c:pt>
                <c:pt idx="3">
                  <c:v>5061136.91</c:v>
                </c:pt>
                <c:pt idx="4">
                  <c:v>4846683.16</c:v>
                </c:pt>
                <c:pt idx="5">
                  <c:v>4767622.1199999992</c:v>
                </c:pt>
                <c:pt idx="6">
                  <c:v>4771291.2299999995</c:v>
                </c:pt>
                <c:pt idx="7">
                  <c:v>4928649.46</c:v>
                </c:pt>
                <c:pt idx="8">
                  <c:v>4923876.91</c:v>
                </c:pt>
              </c:numCache>
            </c:numRef>
          </c:val>
          <c:smooth val="0"/>
        </c:ser>
        <c:dLbls>
          <c:showLegendKey val="0"/>
          <c:showVal val="0"/>
          <c:showCatName val="0"/>
          <c:showSerName val="0"/>
          <c:showPercent val="0"/>
          <c:showBubbleSize val="0"/>
        </c:dLbls>
        <c:marker val="1"/>
        <c:smooth val="0"/>
        <c:axId val="130115840"/>
        <c:axId val="130117632"/>
      </c:lineChart>
      <c:catAx>
        <c:axId val="130115840"/>
        <c:scaling>
          <c:orientation val="minMax"/>
        </c:scaling>
        <c:delete val="0"/>
        <c:axPos val="b"/>
        <c:numFmt formatCode="General" sourceLinked="1"/>
        <c:majorTickMark val="none"/>
        <c:minorTickMark val="none"/>
        <c:tickLblPos val="nextTo"/>
        <c:crossAx val="130117632"/>
        <c:crosses val="autoZero"/>
        <c:auto val="1"/>
        <c:lblAlgn val="ctr"/>
        <c:lblOffset val="100"/>
        <c:noMultiLvlLbl val="0"/>
      </c:catAx>
      <c:valAx>
        <c:axId val="130117632"/>
        <c:scaling>
          <c:orientation val="minMax"/>
        </c:scaling>
        <c:delete val="0"/>
        <c:axPos val="l"/>
        <c:majorGridlines/>
        <c:numFmt formatCode="#,##0" sourceLinked="1"/>
        <c:majorTickMark val="none"/>
        <c:minorTickMark val="none"/>
        <c:tickLblPos val="nextTo"/>
        <c:spPr>
          <a:ln w="9525">
            <a:noFill/>
          </a:ln>
        </c:spPr>
        <c:crossAx val="130115840"/>
        <c:crosses val="autoZero"/>
        <c:crossBetween val="between"/>
      </c:valAx>
      <c:valAx>
        <c:axId val="130119168"/>
        <c:scaling>
          <c:orientation val="minMax"/>
        </c:scaling>
        <c:delete val="0"/>
        <c:axPos val="r"/>
        <c:numFmt formatCode="#,##0" sourceLinked="1"/>
        <c:majorTickMark val="out"/>
        <c:minorTickMark val="none"/>
        <c:tickLblPos val="nextTo"/>
        <c:crossAx val="130120704"/>
        <c:crosses val="max"/>
        <c:crossBetween val="between"/>
      </c:valAx>
      <c:catAx>
        <c:axId val="130120704"/>
        <c:scaling>
          <c:orientation val="minMax"/>
        </c:scaling>
        <c:delete val="1"/>
        <c:axPos val="b"/>
        <c:numFmt formatCode="General" sourceLinked="1"/>
        <c:majorTickMark val="out"/>
        <c:minorTickMark val="none"/>
        <c:tickLblPos val="nextTo"/>
        <c:crossAx val="13011916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21D5-3E56-43DE-B840-B9935528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11314</Words>
  <Characters>62230</Characters>
  <Application>Microsoft Office Word</Application>
  <DocSecurity>4</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2</cp:revision>
  <cp:lastPrinted>2019-03-21T08:29:00Z</cp:lastPrinted>
  <dcterms:created xsi:type="dcterms:W3CDTF">2019-05-15T08:10:00Z</dcterms:created>
  <dcterms:modified xsi:type="dcterms:W3CDTF">2019-05-15T08:10:00Z</dcterms:modified>
</cp:coreProperties>
</file>