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7D" w:rsidRDefault="0006150C" w:rsidP="00CA544A">
      <w:pPr>
        <w:spacing w:after="120"/>
        <w:rPr>
          <w:rFonts w:cs="Arial"/>
        </w:rPr>
      </w:pPr>
      <w:r w:rsidRPr="00F87313">
        <w:rPr>
          <w:rFonts w:cs="Arial"/>
        </w:rPr>
        <w:t xml:space="preserve">El </w:t>
      </w:r>
      <w:r w:rsidR="00F15BE5" w:rsidRPr="00F87313">
        <w:rPr>
          <w:rFonts w:cs="Arial"/>
        </w:rPr>
        <w:t>Consejero</w:t>
      </w:r>
      <w:r w:rsidRPr="00F87313">
        <w:rPr>
          <w:rFonts w:cs="Arial"/>
        </w:rPr>
        <w:t xml:space="preserve"> de Derechos Sociales </w:t>
      </w:r>
      <w:r w:rsidR="00865890" w:rsidRPr="00F87313">
        <w:rPr>
          <w:rFonts w:cs="Arial"/>
        </w:rPr>
        <w:t>del Gobierno de Navarra</w:t>
      </w:r>
      <w:r w:rsidRPr="00F87313">
        <w:rPr>
          <w:rFonts w:cs="Arial"/>
        </w:rPr>
        <w:t xml:space="preserve">, en relación </w:t>
      </w:r>
      <w:r w:rsidR="00B67C4B" w:rsidRPr="00F87313">
        <w:rPr>
          <w:rFonts w:cs="Arial"/>
        </w:rPr>
        <w:t>con</w:t>
      </w:r>
      <w:r w:rsidRPr="00F87313">
        <w:rPr>
          <w:rFonts w:cs="Arial"/>
        </w:rPr>
        <w:t xml:space="preserve"> la </w:t>
      </w:r>
      <w:r w:rsidR="00CB3E16" w:rsidRPr="00F87313">
        <w:rPr>
          <w:rFonts w:cs="Arial"/>
        </w:rPr>
        <w:t>p</w:t>
      </w:r>
      <w:r w:rsidR="00F87313" w:rsidRPr="00F87313">
        <w:rPr>
          <w:rFonts w:cs="Arial"/>
        </w:rPr>
        <w:t>regunta</w:t>
      </w:r>
      <w:r w:rsidRPr="00F87313">
        <w:rPr>
          <w:rFonts w:cs="Arial"/>
        </w:rPr>
        <w:t xml:space="preserve"> </w:t>
      </w:r>
      <w:r w:rsidR="00865890" w:rsidRPr="00F87313">
        <w:rPr>
          <w:rFonts w:cs="Arial"/>
        </w:rPr>
        <w:t>formulada</w:t>
      </w:r>
      <w:r w:rsidRPr="00F87313">
        <w:rPr>
          <w:rFonts w:cs="Arial"/>
        </w:rPr>
        <w:t xml:space="preserve"> por </w:t>
      </w:r>
      <w:r w:rsidR="00EA2D5B" w:rsidRPr="00F87313">
        <w:rPr>
          <w:rFonts w:cs="Arial"/>
        </w:rPr>
        <w:t>la</w:t>
      </w:r>
      <w:r w:rsidR="003860DD" w:rsidRPr="00F87313">
        <w:rPr>
          <w:rFonts w:cs="Arial"/>
        </w:rPr>
        <w:t xml:space="preserve"> parlamentari</w:t>
      </w:r>
      <w:r w:rsidR="00EA2D5B" w:rsidRPr="00F87313">
        <w:rPr>
          <w:rFonts w:cs="Arial"/>
        </w:rPr>
        <w:t>a</w:t>
      </w:r>
      <w:r w:rsidR="00B67C4B" w:rsidRPr="00F87313">
        <w:rPr>
          <w:rFonts w:cs="Arial"/>
        </w:rPr>
        <w:t xml:space="preserve"> d</w:t>
      </w:r>
      <w:r w:rsidR="00EC31C9" w:rsidRPr="00F87313">
        <w:rPr>
          <w:rFonts w:cs="Arial"/>
        </w:rPr>
        <w:t>o</w:t>
      </w:r>
      <w:r w:rsidR="00EA2D5B" w:rsidRPr="00F87313">
        <w:rPr>
          <w:rFonts w:cs="Arial"/>
        </w:rPr>
        <w:t>ña</w:t>
      </w:r>
      <w:r w:rsidRPr="00F87313">
        <w:rPr>
          <w:rFonts w:cs="Arial"/>
        </w:rPr>
        <w:t xml:space="preserve"> </w:t>
      </w:r>
      <w:r w:rsidR="00EA2D5B" w:rsidRPr="00F87313">
        <w:rPr>
          <w:rFonts w:cs="Arial"/>
        </w:rPr>
        <w:t>Maribel García Malo</w:t>
      </w:r>
      <w:r w:rsidRPr="00F87313">
        <w:rPr>
          <w:rFonts w:cs="Arial"/>
        </w:rPr>
        <w:t>, adscrit</w:t>
      </w:r>
      <w:r w:rsidR="00EA2D5B" w:rsidRPr="00F87313">
        <w:rPr>
          <w:rFonts w:cs="Arial"/>
        </w:rPr>
        <w:t>a</w:t>
      </w:r>
      <w:r w:rsidRPr="00F87313">
        <w:rPr>
          <w:rFonts w:cs="Arial"/>
        </w:rPr>
        <w:t xml:space="preserve"> al Grupo </w:t>
      </w:r>
      <w:r w:rsidR="00B67C4B" w:rsidRPr="00F87313">
        <w:rPr>
          <w:rFonts w:cs="Arial"/>
        </w:rPr>
        <w:t>P</w:t>
      </w:r>
      <w:r w:rsidRPr="00F87313">
        <w:rPr>
          <w:rFonts w:cs="Arial"/>
        </w:rPr>
        <w:t xml:space="preserve">arlamentario </w:t>
      </w:r>
      <w:r w:rsidR="007704FF" w:rsidRPr="00F87313">
        <w:rPr>
          <w:rFonts w:cs="Arial"/>
        </w:rPr>
        <w:t>Unión del Pueblo Navarro</w:t>
      </w:r>
      <w:r w:rsidRPr="00F87313">
        <w:rPr>
          <w:rFonts w:cs="Arial"/>
        </w:rPr>
        <w:t xml:space="preserve">, </w:t>
      </w:r>
      <w:r w:rsidR="003860DD" w:rsidRPr="00F87313">
        <w:rPr>
          <w:rFonts w:cs="Arial"/>
        </w:rPr>
        <w:t xml:space="preserve">sobre </w:t>
      </w:r>
      <w:r w:rsidR="00F87313" w:rsidRPr="00F87313">
        <w:rPr>
          <w:rFonts w:cs="Arial"/>
        </w:rPr>
        <w:t xml:space="preserve">las personas que han </w:t>
      </w:r>
      <w:r w:rsidR="00912F8C">
        <w:rPr>
          <w:rFonts w:cs="Arial"/>
        </w:rPr>
        <w:t>recibido</w:t>
      </w:r>
      <w:r w:rsidR="00F87313" w:rsidRPr="00F87313">
        <w:rPr>
          <w:rFonts w:cs="Arial"/>
        </w:rPr>
        <w:t xml:space="preserve"> la habilitación provisional para cada una de las diferentes categorías profesionales de cuidador, </w:t>
      </w:r>
      <w:proofErr w:type="spellStart"/>
      <w:r w:rsidR="00F87313" w:rsidRPr="00F87313">
        <w:rPr>
          <w:rFonts w:cs="Arial"/>
        </w:rPr>
        <w:t>gerocultor</w:t>
      </w:r>
      <w:proofErr w:type="spellEnd"/>
      <w:r w:rsidR="00F87313" w:rsidRPr="00F87313">
        <w:rPr>
          <w:rFonts w:cs="Arial"/>
        </w:rPr>
        <w:t>, auxiliar de ayuda a domicilio y asistente personal</w:t>
      </w:r>
      <w:r w:rsidR="003860DD" w:rsidRPr="00F87313">
        <w:rPr>
          <w:rFonts w:cs="Arial"/>
        </w:rPr>
        <w:t xml:space="preserve"> </w:t>
      </w:r>
      <w:r w:rsidR="008B7359" w:rsidRPr="00F87313">
        <w:rPr>
          <w:rFonts w:cs="Arial"/>
        </w:rPr>
        <w:t>(9-19</w:t>
      </w:r>
      <w:r w:rsidR="00BF65B2" w:rsidRPr="00F87313">
        <w:rPr>
          <w:rFonts w:cs="Arial"/>
        </w:rPr>
        <w:t>/PE</w:t>
      </w:r>
      <w:r w:rsidR="00F87313" w:rsidRPr="00F87313">
        <w:rPr>
          <w:rFonts w:cs="Arial"/>
        </w:rPr>
        <w:t>S</w:t>
      </w:r>
      <w:r w:rsidR="00BF65B2" w:rsidRPr="00F87313">
        <w:rPr>
          <w:rFonts w:cs="Arial"/>
        </w:rPr>
        <w:t>-00</w:t>
      </w:r>
      <w:r w:rsidR="00F87313" w:rsidRPr="00F87313">
        <w:rPr>
          <w:rFonts w:cs="Arial"/>
        </w:rPr>
        <w:t>01</w:t>
      </w:r>
      <w:r w:rsidR="00912F8C">
        <w:rPr>
          <w:rFonts w:cs="Arial"/>
        </w:rPr>
        <w:t>4</w:t>
      </w:r>
      <w:r w:rsidR="00865890" w:rsidRPr="00F87313">
        <w:rPr>
          <w:rFonts w:cs="Arial"/>
        </w:rPr>
        <w:t>)</w:t>
      </w:r>
      <w:r w:rsidRPr="00F87313">
        <w:rPr>
          <w:rFonts w:cs="Arial"/>
        </w:rPr>
        <w:t xml:space="preserve">, </w:t>
      </w:r>
      <w:r w:rsidR="00CB3E16" w:rsidRPr="00F87313">
        <w:rPr>
          <w:rFonts w:cs="Arial"/>
        </w:rPr>
        <w:t>tiene el honor de informarle lo siguiente</w:t>
      </w:r>
      <w:r w:rsidR="00EC3319" w:rsidRPr="00F87313">
        <w:rPr>
          <w:rFonts w:cs="Arial"/>
        </w:rPr>
        <w:t>:</w:t>
      </w:r>
    </w:p>
    <w:p w:rsidR="00912F8C" w:rsidRPr="00912F8C" w:rsidRDefault="00912F8C" w:rsidP="00912F8C">
      <w:r w:rsidRPr="00912F8C">
        <w:t xml:space="preserve">El número de personas que han </w:t>
      </w:r>
      <w:r w:rsidR="000840BB">
        <w:t>recibido</w:t>
      </w:r>
      <w:r w:rsidRPr="00912F8C">
        <w:t xml:space="preserve"> la </w:t>
      </w:r>
      <w:r w:rsidRPr="00912F8C">
        <w:rPr>
          <w:b/>
        </w:rPr>
        <w:t>habilitación provisional</w:t>
      </w:r>
      <w:r w:rsidRPr="00912F8C">
        <w:t xml:space="preserve"> desde la publicación de la resolución que aprobaba los procedimientos de habilitación (BON nº 76 de 20 de abril) hasta el 11 de febrero de </w:t>
      </w:r>
      <w:smartTag w:uri="urn:schemas-microsoft-com:office:smarttags" w:element="metricconverter">
        <w:smartTagPr>
          <w:attr w:name="ProductID" w:val="2019 ha"/>
        </w:smartTagPr>
        <w:r w:rsidRPr="00912F8C">
          <w:t>2019 ha</w:t>
        </w:r>
      </w:smartTag>
      <w:r w:rsidRPr="00912F8C">
        <w:t xml:space="preserve"> sido, por categorías profesionales: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1322"/>
        <w:gridCol w:w="1323"/>
        <w:gridCol w:w="1323"/>
      </w:tblGrid>
      <w:tr w:rsidR="00912F8C" w:rsidRPr="00A720F8" w:rsidTr="00A720F8">
        <w:tc>
          <w:tcPr>
            <w:tcW w:w="3392" w:type="dxa"/>
            <w:shd w:val="clear" w:color="auto" w:fill="auto"/>
            <w:vAlign w:val="center"/>
          </w:tcPr>
          <w:p w:rsidR="00912F8C" w:rsidRPr="00A720F8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12F8C" w:rsidRPr="00A720F8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12F8C" w:rsidRPr="00A720F8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12F8C" w:rsidRPr="00A720F8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Total</w:t>
            </w:r>
          </w:p>
        </w:tc>
      </w:tr>
      <w:tr w:rsidR="000840BB" w:rsidRPr="00A720F8" w:rsidTr="00A720F8">
        <w:tc>
          <w:tcPr>
            <w:tcW w:w="3392" w:type="dxa"/>
            <w:shd w:val="clear" w:color="auto" w:fill="auto"/>
            <w:vAlign w:val="center"/>
          </w:tcPr>
          <w:p w:rsidR="000840BB" w:rsidRPr="00A720F8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Auxiliar de ayuda a domicilio</w:t>
            </w:r>
          </w:p>
        </w:tc>
        <w:tc>
          <w:tcPr>
            <w:tcW w:w="1322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36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39</w:t>
            </w:r>
          </w:p>
        </w:tc>
      </w:tr>
      <w:tr w:rsidR="000840BB" w:rsidRPr="00A720F8" w:rsidTr="00A720F8">
        <w:tc>
          <w:tcPr>
            <w:tcW w:w="3392" w:type="dxa"/>
            <w:shd w:val="clear" w:color="auto" w:fill="auto"/>
            <w:vAlign w:val="center"/>
          </w:tcPr>
          <w:p w:rsidR="000840BB" w:rsidRPr="00A720F8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720F8">
              <w:rPr>
                <w:sz w:val="18"/>
                <w:szCs w:val="18"/>
              </w:rPr>
              <w:t>Gerocultor</w:t>
            </w:r>
            <w:proofErr w:type="spellEnd"/>
            <w:r w:rsidRPr="00A720F8">
              <w:rPr>
                <w:sz w:val="18"/>
                <w:szCs w:val="18"/>
              </w:rPr>
              <w:t>/a</w:t>
            </w:r>
          </w:p>
        </w:tc>
        <w:tc>
          <w:tcPr>
            <w:tcW w:w="1322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32</w:t>
            </w:r>
          </w:p>
        </w:tc>
      </w:tr>
      <w:tr w:rsidR="000840BB" w:rsidRPr="00A720F8" w:rsidTr="00A720F8">
        <w:tc>
          <w:tcPr>
            <w:tcW w:w="3392" w:type="dxa"/>
            <w:shd w:val="clear" w:color="auto" w:fill="auto"/>
            <w:vAlign w:val="center"/>
          </w:tcPr>
          <w:p w:rsidR="000840BB" w:rsidRPr="00A720F8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Cuidador/a</w:t>
            </w:r>
          </w:p>
        </w:tc>
        <w:tc>
          <w:tcPr>
            <w:tcW w:w="1322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11</w:t>
            </w:r>
          </w:p>
        </w:tc>
      </w:tr>
      <w:tr w:rsidR="000840BB" w:rsidRPr="00A720F8" w:rsidTr="00A720F8">
        <w:tc>
          <w:tcPr>
            <w:tcW w:w="3392" w:type="dxa"/>
            <w:shd w:val="clear" w:color="auto" w:fill="auto"/>
            <w:vAlign w:val="center"/>
          </w:tcPr>
          <w:p w:rsidR="000840BB" w:rsidRPr="00A720F8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Asistente Personal</w:t>
            </w:r>
          </w:p>
        </w:tc>
        <w:tc>
          <w:tcPr>
            <w:tcW w:w="1322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2</w:t>
            </w:r>
          </w:p>
        </w:tc>
      </w:tr>
      <w:tr w:rsidR="000840BB" w:rsidRPr="00A720F8" w:rsidTr="00A720F8">
        <w:tc>
          <w:tcPr>
            <w:tcW w:w="3392" w:type="dxa"/>
            <w:shd w:val="clear" w:color="auto" w:fill="auto"/>
            <w:vAlign w:val="center"/>
          </w:tcPr>
          <w:p w:rsidR="000840BB" w:rsidRPr="00A720F8" w:rsidRDefault="000840BB" w:rsidP="00912F8C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2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77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0840BB" w:rsidRPr="00A720F8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84</w:t>
            </w:r>
          </w:p>
        </w:tc>
      </w:tr>
    </w:tbl>
    <w:p w:rsidR="00912F8C" w:rsidRDefault="00912F8C" w:rsidP="00912F8C"/>
    <w:p w:rsidR="000840BB" w:rsidRPr="00912F8C" w:rsidRDefault="000840BB" w:rsidP="000840BB">
      <w:r w:rsidRPr="00912F8C">
        <w:t xml:space="preserve">De </w:t>
      </w:r>
      <w:r>
        <w:t>las</w:t>
      </w:r>
      <w:r w:rsidRPr="00912F8C">
        <w:t xml:space="preserve"> solicitudes</w:t>
      </w:r>
      <w:r>
        <w:t xml:space="preserve"> recibidas</w:t>
      </w:r>
      <w:r w:rsidRPr="00912F8C">
        <w:t>, se han denegado 34 por los siguientes motivos:</w:t>
      </w:r>
    </w:p>
    <w:p w:rsidR="000840BB" w:rsidRPr="00912F8C" w:rsidRDefault="000840BB" w:rsidP="000840BB">
      <w:pPr>
        <w:numPr>
          <w:ilvl w:val="0"/>
          <w:numId w:val="9"/>
        </w:numPr>
      </w:pPr>
      <w:r w:rsidRPr="00912F8C">
        <w:t>Acredita trabajos de otra categoría (4 solicitudes)</w:t>
      </w:r>
    </w:p>
    <w:p w:rsidR="000840BB" w:rsidRPr="00912F8C" w:rsidRDefault="000840BB" w:rsidP="000840BB">
      <w:pPr>
        <w:numPr>
          <w:ilvl w:val="0"/>
          <w:numId w:val="9"/>
        </w:numPr>
      </w:pPr>
      <w:r w:rsidRPr="00912F8C">
        <w:t>No acredita trabajos en la categoría solicitada (23 solicitudes)</w:t>
      </w:r>
    </w:p>
    <w:p w:rsidR="000840BB" w:rsidRPr="00912F8C" w:rsidRDefault="000840BB" w:rsidP="000840BB">
      <w:pPr>
        <w:numPr>
          <w:ilvl w:val="0"/>
          <w:numId w:val="9"/>
        </w:numPr>
      </w:pPr>
      <w:r w:rsidRPr="00912F8C">
        <w:t>Acredita trabajos pero posteriores a 31-12-2017 (3 solicitudes)</w:t>
      </w:r>
    </w:p>
    <w:p w:rsidR="000840BB" w:rsidRPr="00912F8C" w:rsidRDefault="000840BB" w:rsidP="000840BB">
      <w:pPr>
        <w:numPr>
          <w:ilvl w:val="0"/>
          <w:numId w:val="9"/>
        </w:numPr>
      </w:pPr>
      <w:r w:rsidRPr="00912F8C">
        <w:t>Los trabajos de cuidador han sido realizados en centros escolares (3 solicitudes)</w:t>
      </w:r>
    </w:p>
    <w:p w:rsidR="000840BB" w:rsidRPr="00912F8C" w:rsidRDefault="000840BB" w:rsidP="000840BB">
      <w:pPr>
        <w:numPr>
          <w:ilvl w:val="0"/>
          <w:numId w:val="9"/>
        </w:numPr>
      </w:pPr>
      <w:r w:rsidRPr="00912F8C">
        <w:t>No aporta ninguna documentación acreditativa de los requisitos y no subsana (1 solicitud).</w:t>
      </w:r>
    </w:p>
    <w:p w:rsidR="009C6E7D" w:rsidRDefault="000840BB" w:rsidP="000840BB">
      <w:r w:rsidRPr="00912F8C">
        <w:t>Señalar que una misma persona puede pedir la acreditación en varias categorías profesionales.</w:t>
      </w:r>
    </w:p>
    <w:p w:rsidR="000840BB" w:rsidRPr="00912F8C" w:rsidRDefault="000840BB" w:rsidP="000840BB">
      <w:r w:rsidRPr="00912F8C">
        <w:t>Las solicitudes denegadas correspondían a las siguientes categorías profesionales: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0840BB" w:rsidRPr="00A720F8" w:rsidTr="008B01D6">
        <w:tc>
          <w:tcPr>
            <w:tcW w:w="3969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Auxiliar de ayuda a domicilio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13</w:t>
            </w:r>
          </w:p>
        </w:tc>
      </w:tr>
      <w:tr w:rsidR="000840BB" w:rsidRPr="00A720F8" w:rsidTr="008B01D6">
        <w:tc>
          <w:tcPr>
            <w:tcW w:w="3969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proofErr w:type="spellStart"/>
            <w:r w:rsidRPr="00A720F8">
              <w:rPr>
                <w:sz w:val="18"/>
                <w:szCs w:val="18"/>
              </w:rPr>
              <w:t>Gerocultor</w:t>
            </w:r>
            <w:proofErr w:type="spellEnd"/>
            <w:r w:rsidRPr="00A720F8">
              <w:rPr>
                <w:sz w:val="18"/>
                <w:szCs w:val="18"/>
              </w:rPr>
              <w:t>/a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6</w:t>
            </w:r>
          </w:p>
        </w:tc>
      </w:tr>
      <w:tr w:rsidR="000840BB" w:rsidRPr="00A720F8" w:rsidTr="008B01D6">
        <w:tc>
          <w:tcPr>
            <w:tcW w:w="3969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Cuidador/a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7</w:t>
            </w:r>
          </w:p>
        </w:tc>
      </w:tr>
      <w:tr w:rsidR="000840BB" w:rsidRPr="00A720F8" w:rsidTr="008B01D6">
        <w:tc>
          <w:tcPr>
            <w:tcW w:w="3969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Asistente personal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0BB" w:rsidRPr="00A720F8" w:rsidRDefault="000840BB" w:rsidP="008B01D6">
            <w:pPr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8</w:t>
            </w:r>
          </w:p>
        </w:tc>
      </w:tr>
    </w:tbl>
    <w:p w:rsidR="009C6E7D" w:rsidRDefault="009C6E7D" w:rsidP="00912F8C"/>
    <w:p w:rsidR="00912F8C" w:rsidRPr="00912F8C" w:rsidRDefault="00912F8C" w:rsidP="00912F8C">
      <w:pPr>
        <w:rPr>
          <w:i/>
        </w:rPr>
      </w:pPr>
      <w:r w:rsidRPr="00912F8C">
        <w:rPr>
          <w:i/>
        </w:rPr>
        <w:t>Relación de personas (suficiente con señalar el DNI a efectos de salvaguardar la protección de datos) por sexo, edad, nacionalidad de cada una de las categorías profesionales.</w:t>
      </w:r>
    </w:p>
    <w:p w:rsidR="009C6E7D" w:rsidRDefault="00912F8C" w:rsidP="00912F8C">
      <w:r w:rsidRPr="00912F8C">
        <w:lastRenderedPageBreak/>
        <w:t>No podemos proporcionar el DNI de las personas solicitantes por ley de protección de datos. Tampoco la nacionalidad, ya que es un dato que no se exig</w:t>
      </w:r>
      <w:r w:rsidR="00B83539">
        <w:t>e</w:t>
      </w:r>
      <w:r w:rsidRPr="00912F8C">
        <w:t xml:space="preserve"> en la solicitud. Por último, la edad no se ha registrado en el fichero de control de las solicitudes recibidas.</w:t>
      </w:r>
    </w:p>
    <w:p w:rsidR="000840BB" w:rsidRPr="00F87313" w:rsidRDefault="000840BB" w:rsidP="000840BB">
      <w:pPr>
        <w:rPr>
          <w:b/>
        </w:rPr>
      </w:pPr>
      <w:r w:rsidRPr="00F87313">
        <w:t xml:space="preserve">Sí podemos ofrecer el dato del número de personas a las que se ha expedido la </w:t>
      </w:r>
      <w:r w:rsidRPr="00F87313">
        <w:rPr>
          <w:b/>
        </w:rPr>
        <w:t>habilitación excepcional: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417"/>
        <w:gridCol w:w="1417"/>
        <w:gridCol w:w="1418"/>
      </w:tblGrid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Total</w:t>
            </w:r>
          </w:p>
        </w:tc>
      </w:tr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Auxiliar de ayuda a domicilio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279</w:t>
            </w:r>
          </w:p>
        </w:tc>
      </w:tr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720F8">
              <w:rPr>
                <w:sz w:val="18"/>
                <w:szCs w:val="18"/>
              </w:rPr>
              <w:t>Gerocultor</w:t>
            </w:r>
            <w:proofErr w:type="spellEnd"/>
            <w:r w:rsidRPr="00A720F8">
              <w:rPr>
                <w:sz w:val="18"/>
                <w:szCs w:val="18"/>
              </w:rPr>
              <w:t>/a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120</w:t>
            </w:r>
          </w:p>
        </w:tc>
      </w:tr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Cuidador/a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55</w:t>
            </w:r>
          </w:p>
        </w:tc>
      </w:tr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Asistente Personal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3</w:t>
            </w:r>
          </w:p>
        </w:tc>
      </w:tr>
      <w:tr w:rsidR="000840BB" w:rsidRPr="00A720F8" w:rsidTr="008B01D6">
        <w:tc>
          <w:tcPr>
            <w:tcW w:w="354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457</w:t>
            </w:r>
          </w:p>
        </w:tc>
      </w:tr>
    </w:tbl>
    <w:p w:rsidR="000840BB" w:rsidRPr="00F87313" w:rsidRDefault="000840BB" w:rsidP="000840BB"/>
    <w:p w:rsidR="000840BB" w:rsidRPr="00F87313" w:rsidRDefault="000840BB" w:rsidP="000840BB">
      <w:r w:rsidRPr="00F87313">
        <w:t>También podemos ofrecer los datos referidos al número de personas que han obtenido el certificado de profesionalidad en Atención a personas dependientes en instituciones y en Atención a personas dependientes en domicilio en Navarra a fecha de 11 de febrero de 2019: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685"/>
      </w:tblGrid>
      <w:tr w:rsidR="000840BB" w:rsidRPr="00A720F8" w:rsidTr="008B01D6">
        <w:tc>
          <w:tcPr>
            <w:tcW w:w="4536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A720F8">
              <w:rPr>
                <w:b/>
                <w:sz w:val="18"/>
                <w:szCs w:val="18"/>
              </w:rPr>
              <w:t>Certificado de profesionalidad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 xml:space="preserve">Nº CP </w:t>
            </w:r>
            <w:proofErr w:type="spellStart"/>
            <w:r w:rsidRPr="00A720F8">
              <w:rPr>
                <w:b/>
                <w:sz w:val="18"/>
                <w:szCs w:val="18"/>
              </w:rPr>
              <w:t>registradosy</w:t>
            </w:r>
            <w:proofErr w:type="spellEnd"/>
            <w:r w:rsidRPr="00A720F8">
              <w:rPr>
                <w:b/>
                <w:sz w:val="18"/>
                <w:szCs w:val="18"/>
              </w:rPr>
              <w:t xml:space="preserve"> emitidos</w:t>
            </w:r>
          </w:p>
        </w:tc>
      </w:tr>
      <w:tr w:rsidR="000840BB" w:rsidRPr="00A720F8" w:rsidTr="008B01D6">
        <w:tc>
          <w:tcPr>
            <w:tcW w:w="4536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Atención a personas dependientes en domicilio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636</w:t>
            </w:r>
          </w:p>
        </w:tc>
      </w:tr>
      <w:tr w:rsidR="000840BB" w:rsidRPr="00A720F8" w:rsidTr="008B01D6">
        <w:tc>
          <w:tcPr>
            <w:tcW w:w="4536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720F8">
              <w:rPr>
                <w:sz w:val="18"/>
                <w:szCs w:val="18"/>
              </w:rPr>
              <w:t>Atención a personas dependientes en instituciones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40BB" w:rsidRPr="00A720F8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720F8">
              <w:rPr>
                <w:b/>
                <w:sz w:val="18"/>
                <w:szCs w:val="18"/>
              </w:rPr>
              <w:t>3.151</w:t>
            </w:r>
          </w:p>
        </w:tc>
      </w:tr>
      <w:bookmarkEnd w:id="0"/>
    </w:tbl>
    <w:p w:rsidR="009C6E7D" w:rsidRDefault="009C6E7D" w:rsidP="00F87313"/>
    <w:p w:rsidR="009C6E7D" w:rsidRDefault="0006150C" w:rsidP="00CA544A">
      <w:pPr>
        <w:spacing w:after="120"/>
        <w:rPr>
          <w:rFonts w:cs="Arial"/>
        </w:rPr>
      </w:pPr>
      <w:r w:rsidRPr="00F87313">
        <w:rPr>
          <w:rFonts w:cs="Arial"/>
        </w:rPr>
        <w:t>Es cuanto tengo el honor de informar en cumplimiento del artículo 1</w:t>
      </w:r>
      <w:r w:rsidR="009C6E7D">
        <w:rPr>
          <w:rFonts w:cs="Arial"/>
        </w:rPr>
        <w:t>9</w:t>
      </w:r>
      <w:r w:rsidRPr="00F87313">
        <w:rPr>
          <w:rFonts w:cs="Arial"/>
        </w:rPr>
        <w:t>4 del Reglamento del Parlamento de Navarra.</w:t>
      </w:r>
    </w:p>
    <w:p w:rsidR="009C6E7D" w:rsidRDefault="0006150C" w:rsidP="00CA544A">
      <w:pPr>
        <w:spacing w:after="120"/>
        <w:jc w:val="center"/>
        <w:outlineLvl w:val="0"/>
        <w:rPr>
          <w:rFonts w:cs="Arial"/>
        </w:rPr>
      </w:pPr>
      <w:r w:rsidRPr="00F87313">
        <w:rPr>
          <w:rFonts w:cs="Arial"/>
        </w:rPr>
        <w:t xml:space="preserve">Pamplona, </w:t>
      </w:r>
      <w:r w:rsidR="005110B8">
        <w:rPr>
          <w:rFonts w:cs="Arial"/>
        </w:rPr>
        <w:t>2</w:t>
      </w:r>
      <w:r w:rsidR="00B83539">
        <w:rPr>
          <w:rFonts w:cs="Arial"/>
        </w:rPr>
        <w:t>2</w:t>
      </w:r>
      <w:r w:rsidR="005110B8">
        <w:rPr>
          <w:rFonts w:cs="Arial"/>
        </w:rPr>
        <w:t xml:space="preserve"> de febrero de 2019</w:t>
      </w:r>
      <w:r w:rsidRPr="00F87313">
        <w:rPr>
          <w:rFonts w:cs="Arial"/>
        </w:rPr>
        <w:t>.</w:t>
      </w:r>
    </w:p>
    <w:p w:rsidR="009C6E7D" w:rsidRPr="009C6E7D" w:rsidRDefault="00D45F8B" w:rsidP="009C6E7D">
      <w:pPr>
        <w:spacing w:after="120"/>
        <w:jc w:val="center"/>
        <w:rPr>
          <w:rFonts w:cs="Arial"/>
        </w:rPr>
      </w:pPr>
      <w:r w:rsidRPr="00F87313">
        <w:rPr>
          <w:rFonts w:cs="Arial"/>
        </w:rPr>
        <w:t xml:space="preserve">El </w:t>
      </w:r>
      <w:r w:rsidR="00F15BE5" w:rsidRPr="00F87313">
        <w:rPr>
          <w:rFonts w:cs="Arial"/>
        </w:rPr>
        <w:t>Consejero</w:t>
      </w:r>
      <w:r w:rsidRPr="00F87313">
        <w:rPr>
          <w:rFonts w:cs="Arial"/>
        </w:rPr>
        <w:t xml:space="preserve"> de Derechos Sociales</w:t>
      </w:r>
      <w:r w:rsidR="009C6E7D">
        <w:rPr>
          <w:rFonts w:cs="Arial"/>
        </w:rPr>
        <w:t xml:space="preserve">: </w:t>
      </w:r>
      <w:r w:rsidRPr="00F87313">
        <w:rPr>
          <w:rFonts w:cs="Arial"/>
        </w:rPr>
        <w:t xml:space="preserve">Miguel </w:t>
      </w:r>
      <w:proofErr w:type="spellStart"/>
      <w:r w:rsidRPr="00F87313">
        <w:rPr>
          <w:rFonts w:cs="Arial"/>
        </w:rPr>
        <w:t>Laparra</w:t>
      </w:r>
      <w:proofErr w:type="spellEnd"/>
      <w:r w:rsidRPr="00F87313">
        <w:rPr>
          <w:rFonts w:cs="Arial"/>
        </w:rPr>
        <w:t xml:space="preserve"> Navarro</w:t>
      </w:r>
    </w:p>
    <w:p w:rsidR="005E5A1A" w:rsidRPr="00F87313" w:rsidRDefault="005E5A1A" w:rsidP="00CA544A">
      <w:pPr>
        <w:spacing w:after="120"/>
        <w:rPr>
          <w:rFonts w:cs="Arial"/>
        </w:rPr>
      </w:pPr>
    </w:p>
    <w:sectPr w:rsidR="005E5A1A" w:rsidRPr="00F87313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7D" w:rsidRDefault="00403B7D">
      <w:r>
        <w:separator/>
      </w:r>
    </w:p>
  </w:endnote>
  <w:endnote w:type="continuationSeparator" w:id="0">
    <w:p w:rsidR="00403B7D" w:rsidRDefault="004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7D" w:rsidRDefault="00403B7D">
      <w:r>
        <w:separator/>
      </w:r>
    </w:p>
  </w:footnote>
  <w:footnote w:type="continuationSeparator" w:id="0">
    <w:p w:rsidR="00403B7D" w:rsidRDefault="0040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E5E3B"/>
    <w:multiLevelType w:val="hybridMultilevel"/>
    <w:tmpl w:val="601C83B0"/>
    <w:lvl w:ilvl="0" w:tplc="7E6A2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840BB"/>
    <w:rsid w:val="001207D5"/>
    <w:rsid w:val="0015056C"/>
    <w:rsid w:val="0019679B"/>
    <w:rsid w:val="001B397B"/>
    <w:rsid w:val="001D2F3E"/>
    <w:rsid w:val="00225C7D"/>
    <w:rsid w:val="002358F7"/>
    <w:rsid w:val="00241092"/>
    <w:rsid w:val="00252442"/>
    <w:rsid w:val="002835DC"/>
    <w:rsid w:val="00315635"/>
    <w:rsid w:val="00332E76"/>
    <w:rsid w:val="00360CD5"/>
    <w:rsid w:val="003770D5"/>
    <w:rsid w:val="003860DD"/>
    <w:rsid w:val="003926A4"/>
    <w:rsid w:val="00394EE0"/>
    <w:rsid w:val="003E7CAB"/>
    <w:rsid w:val="00403B7D"/>
    <w:rsid w:val="00462A9A"/>
    <w:rsid w:val="004D3ACF"/>
    <w:rsid w:val="005110B8"/>
    <w:rsid w:val="0055627E"/>
    <w:rsid w:val="0056046D"/>
    <w:rsid w:val="0058384E"/>
    <w:rsid w:val="005D4333"/>
    <w:rsid w:val="005E5A1A"/>
    <w:rsid w:val="005F73CD"/>
    <w:rsid w:val="00625CDC"/>
    <w:rsid w:val="006345F0"/>
    <w:rsid w:val="00641778"/>
    <w:rsid w:val="00652453"/>
    <w:rsid w:val="00666A3F"/>
    <w:rsid w:val="006E4F65"/>
    <w:rsid w:val="007008C6"/>
    <w:rsid w:val="007130CC"/>
    <w:rsid w:val="0072343A"/>
    <w:rsid w:val="00744665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36CF"/>
    <w:rsid w:val="008442C4"/>
    <w:rsid w:val="00865890"/>
    <w:rsid w:val="008A7332"/>
    <w:rsid w:val="008B01D6"/>
    <w:rsid w:val="008B7359"/>
    <w:rsid w:val="008F0A77"/>
    <w:rsid w:val="00912F8C"/>
    <w:rsid w:val="00970F18"/>
    <w:rsid w:val="00980A6E"/>
    <w:rsid w:val="009A245D"/>
    <w:rsid w:val="009C1765"/>
    <w:rsid w:val="009C6E7D"/>
    <w:rsid w:val="009D7AC7"/>
    <w:rsid w:val="009F57C2"/>
    <w:rsid w:val="00A720F8"/>
    <w:rsid w:val="00A90748"/>
    <w:rsid w:val="00AA3582"/>
    <w:rsid w:val="00AA6EA2"/>
    <w:rsid w:val="00AB306A"/>
    <w:rsid w:val="00AF1536"/>
    <w:rsid w:val="00B123A0"/>
    <w:rsid w:val="00B6563A"/>
    <w:rsid w:val="00B67C4B"/>
    <w:rsid w:val="00B83539"/>
    <w:rsid w:val="00BF65B2"/>
    <w:rsid w:val="00C01B8F"/>
    <w:rsid w:val="00C46301"/>
    <w:rsid w:val="00C517F4"/>
    <w:rsid w:val="00C703AD"/>
    <w:rsid w:val="00C8667E"/>
    <w:rsid w:val="00CA544A"/>
    <w:rsid w:val="00CB0E0F"/>
    <w:rsid w:val="00CB1CBC"/>
    <w:rsid w:val="00CB3E16"/>
    <w:rsid w:val="00CC0679"/>
    <w:rsid w:val="00CD7DE9"/>
    <w:rsid w:val="00CE4740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87313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9C6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9C6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2019-02-25T12:15:00Z</cp:lastPrinted>
  <dcterms:created xsi:type="dcterms:W3CDTF">2019-03-27T13:52:00Z</dcterms:created>
  <dcterms:modified xsi:type="dcterms:W3CDTF">2019-05-08T10:19:00Z</dcterms:modified>
</cp:coreProperties>
</file>