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declarar Bien de Interés Cultural las centrales hidroeléctricas de Oronoz y Endarlatza, aprobada por el Pleno del Parlamento de Navarra en sesión celebrada el día 17 de octubre de 2019, cuyo texto se inserta a continuación:</w:t>
      </w:r>
    </w:p>
    <w:p>
      <w:pPr>
        <w:pStyle w:val="0"/>
        <w:suppressAutoHyphens w:val="false"/>
        <w:rPr>
          <w:rStyle w:val="1"/>
        </w:rPr>
      </w:pPr>
      <w:r>
        <w:rPr>
          <w:rStyle w:val="1"/>
        </w:rPr>
        <w:t xml:space="preserve">“El Parlamento de Navarra insta al Gobierno de Navarra a declarar Bien de Interés Cultural las centrales de Oronoz y Endarlatza por considerarse que tienen interés histórico y artístico y están en riesgo de desaparición”.</w:t>
      </w:r>
    </w:p>
    <w:p>
      <w:pPr>
        <w:pStyle w:val="0"/>
        <w:suppressAutoHyphens w:val="false"/>
        <w:rPr>
          <w:rStyle w:val="1"/>
        </w:rPr>
      </w:pPr>
      <w:r>
        <w:rPr>
          <w:rStyle w:val="1"/>
        </w:rPr>
        <w:t xml:space="preserve">Pamplona, 18 de octubre de 2019</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