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estado de la transferencia de fondos a las Administraciones navarras en el marco del Pacto de Estado contra la Violencia de Género, formulada por la Ilma. Sra. D.ª Uxue Barkos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por el vicepresidente de Presidencia, Igualdad, Función Pública e Interior del Gobierno de Navarra.</w:t>
      </w:r>
    </w:p>
    <w:p>
      <w:pPr>
        <w:pStyle w:val="0"/>
        <w:suppressAutoHyphens w:val="false"/>
        <w:rPr>
          <w:rStyle w:val="1"/>
        </w:rPr>
      </w:pPr>
      <w:r>
        <w:rPr>
          <w:rStyle w:val="1"/>
        </w:rPr>
        <w:t xml:space="preserve">¿Cuál es el estado de la transferencia de fondos a las administraciones navarras en el marco del Pacto de Estado contra la Violencia de Género? </w:t>
      </w:r>
    </w:p>
    <w:p>
      <w:pPr>
        <w:pStyle w:val="0"/>
        <w:suppressAutoHyphens w:val="false"/>
        <w:rPr>
          <w:rStyle w:val="1"/>
        </w:rPr>
      </w:pPr>
      <w:r>
        <w:rPr>
          <w:rStyle w:val="1"/>
        </w:rPr>
        <w:t xml:space="preserve">Pamplona-lruña a 18 de noviembre de 2019</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