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líneas generales de actuación y nuevas iniciativas en las políticas de promoción de la creación artística,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Tanto en la comparecencia en la que la Señora Consejera de Cultura desgranara sus ejes fundamentales de actuación como en diferentes manifestaciones públicas no hemos encontrado reflexiones y directrices definidas con respecto a la creación artística. Por ello, con respecto a las iniciativas y políticas de promoción de la creación artística este parlamentario desea conocer: </w:t>
      </w:r>
    </w:p>
    <w:p>
      <w:pPr>
        <w:pStyle w:val="0"/>
        <w:suppressAutoHyphens w:val="false"/>
        <w:rPr>
          <w:rStyle w:val="1"/>
        </w:rPr>
      </w:pPr>
      <w:r>
        <w:rPr>
          <w:rStyle w:val="1"/>
        </w:rPr>
        <w:t xml:space="preserve">Las líneas generales de actuación y las nuevas iniciativas que tiene diseñado implementar en este ámbito.</w:t>
      </w:r>
    </w:p>
    <w:p>
      <w:pPr>
        <w:pStyle w:val="0"/>
        <w:suppressAutoHyphens w:val="false"/>
        <w:rPr>
          <w:rStyle w:val="1"/>
        </w:rPr>
      </w:pPr>
      <w:r>
        <w:rPr>
          <w:rStyle w:val="1"/>
        </w:rPr>
        <w:t xml:space="preserve">En Iruñea, a 16 de enero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