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cumplimiento de la Agenda de Desarrollo de Economía Circular,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Podemos-Ahal Dugu Navarra, al amparo de lo dispuesto en el Reglamento de esta Cámara presenta la siguiente pregunta oral, a fin de que sea respondida en el próximo Pleno de la Cámara por parte de la Sra. Consejera de Desarrollo Rural y Medio Ambiente de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el último eurobarómetro, el cambio climático es la primera o segunda preocupación de la mayoría de la ciudadanía europea, incluyéndose también otras preocupaciones de índole medioambiental como la contaminación o la deforestación. Y según el informe "Actitudes frente a la basuraleza" del proyecto Libera, desarrollado por las entidades ambientales SEO/Birdlife y Ecoembe hace un año, el abandono de basura en espacios naturales preocupaba al 57% de la población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Dadas estas preocupaciones, la Unión Europea ha decidido invertir un billón de euros durante los próximos diez años en frenar el cambio climático.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Sabemos que en la pasada legislatura el Gobierno de Navarra, a instancias de este Parlamento, decidió llevar un seguimiento de las políticas relacionadas con los Objetivos de Desarrollo Sostenible en nuestra Comunidad y que en abril del año pasado se aprobó la Agenda de Desarrollo de Economía Circular de Navarra.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Queremos saber: ¿qué acciones concretas está realizando el Gobierno de Navarra para cumplir con la Agenda de Desarrollo de Economía Circular?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6 de febrero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