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proceso para que en la autorización de residencia de los menores extranjeros no acompañados con edades comprendidas entre los 16 y los 18 años se reconozca la habilitación para trabajar por cuenta ajena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Regulez Álvarez, parlamentaria foral adscrita al Grupo Parlamentario Geroa Bai, al amparo de lo dispuesto en el Reglamento de esta Cámara, presenta la siguiente pregunta oral con el fin de que sea respondida en el Pleno de la Cámara por el Consejero de Políticas Migratorias y Justicia del Gobierno de Navarra.</w:t>
      </w:r>
    </w:p>
    <w:p>
      <w:pPr>
        <w:pStyle w:val="0"/>
        <w:suppressAutoHyphens w:val="false"/>
        <w:rPr>
          <w:rStyle w:val="1"/>
        </w:rPr>
      </w:pPr>
      <w:r>
        <w:rPr>
          <w:rStyle w:val="1"/>
        </w:rPr>
        <w:t xml:space="preserve">Al amparo de la Instrucción 1/2020 de la Secretaria de Estado de Migraciones del Ministerio de Inclusión, Seguridad Social y Migraciones del Gobierno de España:</w:t>
      </w:r>
    </w:p>
    <w:p>
      <w:pPr>
        <w:pStyle w:val="0"/>
        <w:suppressAutoHyphens w:val="false"/>
        <w:rPr>
          <w:rStyle w:val="1"/>
        </w:rPr>
      </w:pPr>
      <w:r>
        <w:rPr>
          <w:rStyle w:val="1"/>
        </w:rPr>
        <w:t xml:space="preserve">¿Cuál va a ser el proceso para que en la autorización de residencia de los menores extranjeros no acompañados de edades comprendidas entre los 16 y los 18 años, cuya tutela tiene el Gobierno de Navarra en la actualidad, esté reconocida la habilitación para trabajar por cuenta ajena?</w:t>
      </w:r>
    </w:p>
    <w:p>
      <w:pPr>
        <w:pStyle w:val="0"/>
        <w:suppressAutoHyphens w:val="false"/>
        <w:rPr>
          <w:rStyle w:val="1"/>
        </w:rPr>
      </w:pPr>
      <w:r>
        <w:rPr>
          <w:rStyle w:val="1"/>
        </w:rPr>
        <w:t xml:space="preserve">Pamplona-Iruña, a 11 de marzo de 2020</w:t>
      </w:r>
    </w:p>
    <w:p>
      <w:pPr>
        <w:pStyle w:val="0"/>
        <w:suppressAutoHyphens w:val="false"/>
        <w:rPr>
          <w:rStyle w:val="1"/>
        </w:rPr>
      </w:pPr>
      <w:r>
        <w:rPr>
          <w:rStyle w:val="1"/>
        </w:rPr>
        <w:t xml:space="preserve">La Parlamentaria Foral: Blanca Regulez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