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11 de mayo de 2020,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 </w:t>
      </w:r>
      <w:r>
        <w:rPr>
          <w:rStyle w:val="1"/>
        </w:rPr>
        <w:t xml:space="preserve">Darse por enterada de la retirada de las siguientes mociones presentadas por miembros de diferentes grupos parlamentarios:</w:t>
      </w:r>
    </w:p>
    <w:p>
      <w:pPr>
        <w:pStyle w:val="0"/>
        <w:spacing w:after="56.693" w:before="0" w:line="210" w:lineRule="exact"/>
        <w:suppressAutoHyphens w:val="false"/>
        <w:rPr>
          <w:rStyle w:val="1"/>
        </w:rPr>
      </w:pPr>
      <w:r>
        <w:rPr>
          <w:rStyle w:val="1"/>
        </w:rPr>
        <w:t xml:space="preserve">10-19/MOC-00045</w:t>
      </w:r>
    </w:p>
    <w:p>
      <w:pPr>
        <w:pStyle w:val="0"/>
        <w:spacing w:after="56.693" w:before="0" w:line="210" w:lineRule="exact"/>
        <w:suppressAutoHyphens w:val="false"/>
        <w:rPr>
          <w:rStyle w:val="1"/>
        </w:rPr>
      </w:pPr>
      <w:r>
        <w:rPr>
          <w:rStyle w:val="1"/>
        </w:rPr>
        <w:t xml:space="preserve">10-19/MOC-00064</w:t>
      </w:r>
    </w:p>
    <w:p>
      <w:pPr>
        <w:pStyle w:val="0"/>
        <w:spacing w:after="56.693" w:before="0" w:line="210" w:lineRule="exact"/>
        <w:suppressAutoHyphens w:val="false"/>
        <w:rPr>
          <w:rStyle w:val="1"/>
        </w:rPr>
      </w:pPr>
      <w:r>
        <w:rPr>
          <w:rStyle w:val="1"/>
        </w:rPr>
        <w:t xml:space="preserve">10-19/MOC-00065</w:t>
      </w:r>
    </w:p>
    <w:p>
      <w:pPr>
        <w:pStyle w:val="0"/>
        <w:spacing w:after="56.693" w:before="0" w:line="210" w:lineRule="exact"/>
        <w:suppressAutoHyphens w:val="false"/>
        <w:rPr>
          <w:rStyle w:val="1"/>
        </w:rPr>
      </w:pPr>
      <w:r>
        <w:rPr>
          <w:rStyle w:val="1"/>
        </w:rPr>
        <w:t xml:space="preserve">10-19/MOC-00066</w:t>
      </w:r>
    </w:p>
    <w:p>
      <w:pPr>
        <w:pStyle w:val="0"/>
        <w:spacing w:after="56.693" w:before="0" w:line="210" w:lineRule="exact"/>
        <w:suppressAutoHyphens w:val="false"/>
        <w:rPr>
          <w:rStyle w:val="1"/>
        </w:rPr>
      </w:pPr>
      <w:r>
        <w:rPr>
          <w:rStyle w:val="1"/>
        </w:rPr>
        <w:t xml:space="preserve">10-19/MOC-00073</w:t>
      </w:r>
    </w:p>
    <w:p>
      <w:pPr>
        <w:pStyle w:val="0"/>
        <w:spacing w:after="56.693" w:before="0" w:line="210" w:lineRule="exact"/>
        <w:suppressAutoHyphens w:val="false"/>
        <w:rPr>
          <w:rStyle w:val="1"/>
        </w:rPr>
      </w:pPr>
      <w:r>
        <w:rPr>
          <w:rStyle w:val="1"/>
        </w:rPr>
        <w:t xml:space="preserve">10-19/MOC-00084</w:t>
      </w:r>
    </w:p>
    <w:p>
      <w:pPr>
        <w:pStyle w:val="0"/>
        <w:spacing w:after="56.693" w:before="0" w:line="210" w:lineRule="exact"/>
        <w:suppressAutoHyphens w:val="false"/>
        <w:rPr>
          <w:rStyle w:val="1"/>
        </w:rPr>
      </w:pPr>
      <w:r>
        <w:rPr>
          <w:rStyle w:val="1"/>
        </w:rPr>
        <w:t xml:space="preserve">10-19/MOC-00085</w:t>
      </w:r>
    </w:p>
    <w:p>
      <w:pPr>
        <w:pStyle w:val="0"/>
        <w:spacing w:after="56.693" w:before="0" w:line="210" w:lineRule="exact"/>
        <w:suppressAutoHyphens w:val="false"/>
        <w:rPr>
          <w:rStyle w:val="1"/>
        </w:rPr>
      </w:pPr>
      <w:r>
        <w:rPr>
          <w:rStyle w:val="1"/>
        </w:rPr>
        <w:t xml:space="preserve">10-19/MOC-00086</w:t>
      </w:r>
    </w:p>
    <w:p>
      <w:pPr>
        <w:pStyle w:val="0"/>
        <w:spacing w:after="56.693" w:before="0" w:line="210" w:lineRule="exact"/>
        <w:suppressAutoHyphens w:val="false"/>
        <w:rPr>
          <w:rStyle w:val="1"/>
        </w:rPr>
      </w:pPr>
      <w:r>
        <w:rPr>
          <w:rStyle w:val="1"/>
        </w:rPr>
        <w:t xml:space="preserve">10-19/MOC-00087</w:t>
      </w:r>
    </w:p>
    <w:p>
      <w:pPr>
        <w:pStyle w:val="0"/>
        <w:spacing w:after="56.693" w:before="0" w:line="210" w:lineRule="exact"/>
        <w:suppressAutoHyphens w:val="false"/>
        <w:rPr>
          <w:rStyle w:val="1"/>
        </w:rPr>
      </w:pPr>
      <w:r>
        <w:rPr>
          <w:rStyle w:val="1"/>
        </w:rPr>
        <w:t xml:space="preserve">10-19/MOC-00104</w:t>
      </w:r>
    </w:p>
    <w:p>
      <w:pPr>
        <w:pStyle w:val="0"/>
        <w:spacing w:after="56.693" w:before="0" w:line="210" w:lineRule="exact"/>
        <w:suppressAutoHyphens w:val="false"/>
        <w:rPr>
          <w:rStyle w:val="1"/>
        </w:rPr>
      </w:pPr>
      <w:r>
        <w:rPr>
          <w:rStyle w:val="1"/>
        </w:rPr>
        <w:t xml:space="preserve">10-19/MOC-00106</w:t>
      </w:r>
    </w:p>
    <w:p>
      <w:pPr>
        <w:pStyle w:val="0"/>
        <w:spacing w:after="56.693" w:before="0" w:line="210" w:lineRule="exact"/>
        <w:suppressAutoHyphens w:val="false"/>
        <w:rPr>
          <w:rStyle w:val="1"/>
        </w:rPr>
      </w:pPr>
      <w:r>
        <w:rPr>
          <w:rStyle w:val="1"/>
        </w:rPr>
        <w:t xml:space="preserve">10-19/MOC-00107</w:t>
        <w:t xml:space="preserve">�</w:t>
      </w:r>
    </w:p>
    <w:p>
      <w:pPr>
        <w:pStyle w:val="0"/>
        <w:spacing w:after="56.693" w:before="0" w:line="210" w:lineRule="exact"/>
        <w:suppressAutoHyphens w:val="false"/>
        <w:rPr>
          <w:rStyle w:val="1"/>
        </w:rPr>
      </w:pPr>
      <w:r>
        <w:rPr>
          <w:rStyle w:val="1"/>
        </w:rPr>
        <w:t xml:space="preserve">10-20/MOC-00004</w:t>
      </w:r>
    </w:p>
    <w:p>
      <w:pPr>
        <w:pStyle w:val="0"/>
        <w:spacing w:after="56.693" w:before="0" w:line="210" w:lineRule="exact"/>
        <w:suppressAutoHyphens w:val="false"/>
        <w:rPr>
          <w:rStyle w:val="1"/>
        </w:rPr>
      </w:pPr>
      <w:r>
        <w:rPr>
          <w:rStyle w:val="1"/>
        </w:rPr>
        <w:t xml:space="preserve">10-20/MOC-00020</w:t>
      </w:r>
    </w:p>
    <w:p>
      <w:pPr>
        <w:pStyle w:val="0"/>
        <w:spacing w:after="56.693" w:before="0" w:line="210" w:lineRule="exact"/>
        <w:suppressAutoHyphens w:val="false"/>
        <w:rPr>
          <w:rStyle w:val="1"/>
        </w:rPr>
      </w:pPr>
      <w:r>
        <w:rPr>
          <w:rStyle w:val="1"/>
        </w:rPr>
        <w:t xml:space="preserve">10-20/MOC-00031</w:t>
      </w:r>
    </w:p>
    <w:p>
      <w:pPr>
        <w:pStyle w:val="0"/>
        <w:spacing w:after="113.386" w:before="0" w:line="210" w:lineRule="exact"/>
        <w:suppressAutoHyphens w:val="false"/>
        <w:rPr>
          <w:rStyle w:val="1"/>
        </w:rPr>
      </w:pPr>
      <w:r>
        <w:rPr>
          <w:rStyle w:val="1"/>
        </w:rPr>
        <w:t xml:space="preserve">10-20/MOC-00039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 </w:t>
      </w:r>
      <w:r>
        <w:rPr>
          <w:rStyle w:val="1"/>
        </w:rPr>
        <w:t xml:space="preserve">Publicar el presente Acuerdo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11 de mayo de 2020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