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modificaciones fiscales aprobadas por el Gobierno de España al objeto de favorecer la actividad cinematográfica y audiovisual en el Estado,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las recientes modificaciones fiscales aprobadas por el Gobierno de España al objeto de favorecer la actividad cinematográfica y audiovisual en territorio del Estado, este Parlamentario desea conocer:</w:t>
      </w:r>
    </w:p>
    <w:p>
      <w:pPr>
        <w:pStyle w:val="0"/>
        <w:suppressAutoHyphens w:val="false"/>
        <w:rPr>
          <w:rStyle w:val="1"/>
        </w:rPr>
      </w:pPr>
      <w:r>
        <w:rPr>
          <w:rStyle w:val="1"/>
        </w:rPr>
        <w:t xml:space="preserve">¿Cuál es la valoración de la Consejera de Cultura sobre la afección que puedan tener las mismas en el atractivo que pudiera suponer el régimen fiscal favorable a estas actividades establecido años antes en Navarra?</w:t>
      </w:r>
    </w:p>
    <w:p>
      <w:pPr>
        <w:pStyle w:val="0"/>
        <w:suppressAutoHyphens w:val="false"/>
        <w:rPr>
          <w:rStyle w:val="1"/>
        </w:rPr>
      </w:pPr>
      <w:r>
        <w:rPr>
          <w:rStyle w:val="1"/>
        </w:rPr>
        <w:t xml:space="preserve">Pamplona-Iruñea, a 15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