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gestión del circuito de Los Arcos,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Con respecto a la gestión del circuito de Los Arcos, este Parlamentario desea conocer:</w:t>
      </w:r>
    </w:p>
    <w:p>
      <w:pPr>
        <w:pStyle w:val="0"/>
        <w:suppressAutoHyphens w:val="false"/>
        <w:rPr>
          <w:rStyle w:val="1"/>
        </w:rPr>
      </w:pPr>
      <w:r>
        <w:rPr>
          <w:rStyle w:val="1"/>
        </w:rPr>
        <w:t xml:space="preserve">¿Cuáles han sido las afecciones económicas directas de la crisis de la covid-19 en las previsiones de resultados del circuito?</w:t>
      </w:r>
    </w:p>
    <w:p>
      <w:pPr>
        <w:pStyle w:val="0"/>
        <w:suppressAutoHyphens w:val="false"/>
        <w:rPr>
          <w:rStyle w:val="1"/>
        </w:rPr>
      </w:pPr>
      <w:r>
        <w:rPr>
          <w:rStyle w:val="1"/>
        </w:rPr>
        <w:t xml:space="preserve">Pamplona-Iruñea, 27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