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personas fallecidas en las residencias, formulada por la Ilma. Sra. D.ª Marta Álvarez Alonso.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15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Marta Álvarez Alonso, miembro de las Cortes de Navarra, adscrita al Grupo Parlamentario Navarra Suma, al amparo de lo dispuesto en los artículos 188 y siguientes del Reglamento de la Cámara, realiza la siguiente pregunta escrita: </w:t>
      </w:r>
    </w:p>
    <w:p>
      <w:pPr>
        <w:pStyle w:val="0"/>
        <w:suppressAutoHyphens w:val="false"/>
        <w:rPr>
          <w:rStyle w:val="1"/>
        </w:rPr>
      </w:pPr>
      <w:r>
        <w:rPr>
          <w:rStyle w:val="1"/>
        </w:rPr>
        <w:t xml:space="preserve">Con fecha 12 de mayo de 2020 esta parlamentaria preguntó al Departamento de Derechos Sociales por la razón por la que ha ido bajando el número de personas fallecidas con síntomas con respecto a las de días anteriores en residencias de mayores. </w:t>
      </w:r>
    </w:p>
    <w:p>
      <w:pPr>
        <w:pStyle w:val="0"/>
        <w:suppressAutoHyphens w:val="false"/>
        <w:rPr>
          <w:rStyle w:val="1"/>
        </w:rPr>
      </w:pPr>
      <w:r>
        <w:rPr>
          <w:rStyle w:val="1"/>
        </w:rPr>
        <w:t xml:space="preserve">El 9 de junio la Consejera de Derechos Sociales respondió a la pregunta de la siguiente forma: “Los casos que inicialmente se han reportado por las residencias como fallecidos con síntomas compatibles no confirmados han terminado siendo o casos confirmados covid-19 por el Departamento de Salud o fallecidos por otras causas no covid-19”.</w:t>
      </w:r>
    </w:p>
    <w:p>
      <w:pPr>
        <w:pStyle w:val="0"/>
        <w:suppressAutoHyphens w:val="false"/>
        <w:rPr>
          <w:rStyle w:val="1"/>
        </w:rPr>
      </w:pPr>
      <w:r>
        <w:rPr>
          <w:rStyle w:val="1"/>
        </w:rPr>
        <w:t xml:space="preserve">Teniendo en cuenta que las personas reportadas por las residencias ya eran personas fallecidas, ¿cómo es posible que se hayan considerado casos confirmados por covid-19 o fallecidos por otras causas no covid-19 con posterioridad a su muerte? </w:t>
      </w:r>
    </w:p>
    <w:p>
      <w:pPr>
        <w:pStyle w:val="0"/>
        <w:suppressAutoHyphens w:val="false"/>
        <w:rPr>
          <w:rStyle w:val="1"/>
        </w:rPr>
      </w:pPr>
      <w:r>
        <w:rPr>
          <w:rStyle w:val="1"/>
        </w:rPr>
        <w:t xml:space="preserve">Se solicita a este respecto que el Departamento de Salud remita explicación individualizada para cada uno de los casos en los que se haya cambiado el criterio y quién ha sido el órgano concreto o unidad que ha realizado dicho cambio. </w:t>
      </w:r>
    </w:p>
    <w:p>
      <w:pPr>
        <w:pStyle w:val="0"/>
        <w:suppressAutoHyphens w:val="false"/>
        <w:rPr>
          <w:rStyle w:val="1"/>
        </w:rPr>
      </w:pPr>
      <w:r>
        <w:rPr>
          <w:rStyle w:val="1"/>
        </w:rPr>
        <w:t xml:space="preserve">Pamplona, a 10 de junio de 2020</w:t>
      </w:r>
    </w:p>
    <w:p>
      <w:pPr>
        <w:pStyle w:val="0"/>
        <w:suppressAutoHyphens w:val="false"/>
        <w:rPr>
          <w:rStyle w:val="1"/>
        </w:rPr>
      </w:pPr>
      <w:r>
        <w:rPr>
          <w:rStyle w:val="1"/>
        </w:rPr>
        <w:t xml:space="preserve">La Parlamentaria Foral: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