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situación en que se encuentra la aprobación del Decreto Foral de Regulación de Venta directa al consumidor por parte de agricultores y ganaderos de Navarra,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22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oral para que sea respondida por el Gobierno de Navarra en el Pleno de la Cámara:</w:t>
      </w:r>
    </w:p>
    <w:p>
      <w:pPr>
        <w:pStyle w:val="0"/>
        <w:suppressAutoHyphens w:val="false"/>
        <w:rPr>
          <w:rStyle w:val="1"/>
        </w:rPr>
      </w:pPr>
      <w:r>
        <w:rPr>
          <w:rStyle w:val="1"/>
        </w:rPr>
        <w:t xml:space="preserve">• ¿En qué situación se encuentra la aprobación del Decreto Foral de Regulación de Venta directa al consumidor por parte de agricultores y ganaderos de Navarra?</w:t>
      </w:r>
    </w:p>
    <w:p>
      <w:pPr>
        <w:pStyle w:val="0"/>
        <w:suppressAutoHyphens w:val="false"/>
        <w:rPr>
          <w:rStyle w:val="1"/>
        </w:rPr>
      </w:pPr>
      <w:r>
        <w:rPr>
          <w:rStyle w:val="1"/>
        </w:rPr>
        <w:t xml:space="preserve">En Iruñea, a 18 de junio de 2020</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