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rotulación de la fachada del edificio de Euskarabidea,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agosto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de Navarra Suma, al amparo de lo dispuesto en el Reglamento de la Cámara, realiza la siguiente pregunta escrita: </w:t>
      </w:r>
    </w:p>
    <w:p>
      <w:pPr>
        <w:pStyle w:val="0"/>
        <w:suppressAutoHyphens w:val="false"/>
        <w:rPr>
          <w:rStyle w:val="1"/>
        </w:rPr>
      </w:pPr>
      <w:r>
        <w:rPr>
          <w:rStyle w:val="1"/>
        </w:rPr>
        <w:t xml:space="preserve">¿Cuándo tiene previsto (fecha aproximada) el departamento de Relaciones Ciudadanas añadir la rotulación en castellano en la fachada del edificio de Euskarabidea, tal y como ha pedido el Defensor del Pueblo de Navarra, y cuáles son los motivos que han llevado a que no se incluyera la inscripción en bilingüe desde un primer momento?</w:t>
      </w:r>
    </w:p>
    <w:p>
      <w:pPr>
        <w:pStyle w:val="0"/>
        <w:suppressAutoHyphens w:val="false"/>
        <w:rPr>
          <w:rStyle w:val="1"/>
        </w:rPr>
      </w:pPr>
      <w:r>
        <w:rPr>
          <w:rStyle w:val="1"/>
        </w:rPr>
        <w:t xml:space="preserve">Pamplona, 29 de julio de 2020 </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