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abono a las entidades financieras por parte de las entidades locales de algún importe por el mantenimiento de los remanentes, formulada por la Ilma. Sra. D.ª Yolanda Ibáñez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Yolanda Ibáñez Pérez, miembro de las Cortes de Navarra, adscrita al Grupo Parlamentario de Navarra Suma, al amparo de lo dispuesto en el Reglamento de la Cámara, realiza la siguiente pregunta escrita. </w:t>
      </w:r>
    </w:p>
    <w:p>
      <w:pPr>
        <w:pStyle w:val="0"/>
        <w:suppressAutoHyphens w:val="false"/>
        <w:rPr>
          <w:rStyle w:val="1"/>
        </w:rPr>
      </w:pPr>
      <w:r>
        <w:rPr>
          <w:rStyle w:val="1"/>
        </w:rPr>
        <w:t xml:space="preserve">¿Tiene constancia el Departamento de Cohesión Territorial de que las entidades locales abonan a las entidades financieras algún importe por el mantenimiento de los remanentes? </w:t>
      </w:r>
    </w:p>
    <w:p>
      <w:pPr>
        <w:pStyle w:val="0"/>
        <w:suppressAutoHyphens w:val="false"/>
        <w:rPr>
          <w:rStyle w:val="1"/>
        </w:rPr>
      </w:pPr>
      <w:r>
        <w:rPr>
          <w:rStyle w:val="1"/>
        </w:rPr>
        <w:t xml:space="preserve">En caso de tener conocimiento, ¿qué entidades se ven afectadas y cuál es el importe? </w:t>
      </w:r>
    </w:p>
    <w:p>
      <w:pPr>
        <w:pStyle w:val="0"/>
        <w:suppressAutoHyphens w:val="false"/>
        <w:rPr>
          <w:rStyle w:val="1"/>
        </w:rPr>
      </w:pPr>
      <w:r>
        <w:rPr>
          <w:rStyle w:val="1"/>
        </w:rPr>
        <w:t xml:space="preserve">Pamplona, 12 de agosto de 2020 </w:t>
      </w:r>
    </w:p>
    <w:p>
      <w:pPr>
        <w:pStyle w:val="0"/>
        <w:suppressAutoHyphens w:val="false"/>
        <w:rPr>
          <w:rStyle w:val="1"/>
        </w:rPr>
      </w:pPr>
      <w:r>
        <w:rPr>
          <w:rStyle w:val="1"/>
        </w:rPr>
        <w:t xml:space="preserve">La Parlamentaria Foral: Yolanda Ibáñez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