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02" w:rsidRDefault="00F011E0" w:rsidP="00A81875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La </w:t>
      </w:r>
      <w:r w:rsidR="00D96B65" w:rsidRPr="00031327">
        <w:rPr>
          <w:rFonts w:ascii="Arial" w:hAnsi="Arial" w:cs="Arial"/>
          <w:sz w:val="20"/>
          <w:szCs w:val="20"/>
        </w:rPr>
        <w:t>C</w:t>
      </w:r>
      <w:r w:rsidRPr="00031327">
        <w:rPr>
          <w:rFonts w:ascii="Arial" w:hAnsi="Arial" w:cs="Arial"/>
          <w:sz w:val="20"/>
          <w:szCs w:val="20"/>
        </w:rPr>
        <w:t>onsejera de Cultura y</w:t>
      </w:r>
      <w:r w:rsidR="00AB4047" w:rsidRPr="00031327">
        <w:rPr>
          <w:rFonts w:ascii="Arial" w:hAnsi="Arial" w:cs="Arial"/>
          <w:sz w:val="20"/>
          <w:szCs w:val="20"/>
        </w:rPr>
        <w:t xml:space="preserve"> Deporte</w:t>
      </w:r>
      <w:r w:rsidR="00DF5E0F">
        <w:rPr>
          <w:rFonts w:ascii="Arial" w:hAnsi="Arial" w:cs="Arial"/>
          <w:sz w:val="20"/>
          <w:szCs w:val="20"/>
        </w:rPr>
        <w:t xml:space="preserve"> del Gobierno de Navarra</w:t>
      </w:r>
      <w:r w:rsidR="00D16702">
        <w:rPr>
          <w:rFonts w:ascii="Arial" w:hAnsi="Arial" w:cs="Arial"/>
          <w:sz w:val="20"/>
          <w:szCs w:val="20"/>
        </w:rPr>
        <w:t>, en relación con</w:t>
      </w:r>
      <w:r w:rsidR="00AB4047" w:rsidRPr="00031327">
        <w:rPr>
          <w:rFonts w:ascii="Arial" w:hAnsi="Arial" w:cs="Arial"/>
          <w:sz w:val="20"/>
          <w:szCs w:val="20"/>
        </w:rPr>
        <w:t xml:space="preserve"> la p</w:t>
      </w:r>
      <w:r w:rsidR="003A236A" w:rsidRPr="00031327">
        <w:rPr>
          <w:rFonts w:ascii="Arial" w:hAnsi="Arial" w:cs="Arial"/>
          <w:sz w:val="20"/>
          <w:szCs w:val="20"/>
        </w:rPr>
        <w:t>regunta escrita formulada por el parlamentario foral D</w:t>
      </w:r>
      <w:r w:rsidR="00AB4047" w:rsidRPr="000313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2E09" w:rsidRPr="00031327">
        <w:rPr>
          <w:rFonts w:ascii="Arial" w:hAnsi="Arial" w:cs="Arial"/>
          <w:sz w:val="20"/>
          <w:szCs w:val="20"/>
        </w:rPr>
        <w:t>Maiorga</w:t>
      </w:r>
      <w:proofErr w:type="spellEnd"/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Ramírez</w:t>
      </w:r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Erro</w:t>
      </w:r>
      <w:r w:rsidR="003A236A" w:rsidRPr="00031327">
        <w:rPr>
          <w:rFonts w:ascii="Arial" w:hAnsi="Arial" w:cs="Arial"/>
          <w:sz w:val="20"/>
          <w:szCs w:val="20"/>
        </w:rPr>
        <w:t>, adscrito</w:t>
      </w:r>
      <w:r w:rsidR="00AB4047" w:rsidRPr="00031327">
        <w:rPr>
          <w:rFonts w:ascii="Arial" w:hAnsi="Arial" w:cs="Arial"/>
          <w:sz w:val="20"/>
          <w:szCs w:val="20"/>
        </w:rPr>
        <w:t xml:space="preserve"> al Grupo Parlamentario </w:t>
      </w:r>
      <w:r w:rsidR="00D13E5C" w:rsidRPr="00031327">
        <w:rPr>
          <w:rFonts w:ascii="Arial" w:hAnsi="Arial" w:cs="Arial"/>
          <w:sz w:val="20"/>
          <w:szCs w:val="20"/>
        </w:rPr>
        <w:t xml:space="preserve">EH </w:t>
      </w:r>
      <w:r w:rsidR="00F172BF" w:rsidRPr="00031327">
        <w:rPr>
          <w:rFonts w:ascii="Arial" w:hAnsi="Arial" w:cs="Arial"/>
          <w:sz w:val="20"/>
          <w:szCs w:val="20"/>
        </w:rPr>
        <w:t>Bildu</w:t>
      </w:r>
      <w:r w:rsidR="00A47D13" w:rsidRPr="00031327">
        <w:rPr>
          <w:rFonts w:ascii="Arial" w:hAnsi="Arial" w:cs="Arial"/>
          <w:sz w:val="20"/>
          <w:szCs w:val="20"/>
        </w:rPr>
        <w:t xml:space="preserve">, </w:t>
      </w:r>
      <w:r w:rsidR="00DA532C">
        <w:rPr>
          <w:rFonts w:ascii="Arial" w:hAnsi="Arial" w:cs="Arial"/>
          <w:sz w:val="20"/>
          <w:szCs w:val="20"/>
        </w:rPr>
        <w:t xml:space="preserve">sobre las recientes modificaciones fiscales aprobadas por el Gobierno de España al objeto de favorecer la actividad cinematográfica y audiovisual en territorio del Estado </w:t>
      </w:r>
      <w:r w:rsidR="003A236A" w:rsidRPr="00031327">
        <w:rPr>
          <w:rFonts w:ascii="Arial" w:hAnsi="Arial" w:cs="Arial"/>
          <w:sz w:val="20"/>
          <w:szCs w:val="20"/>
        </w:rPr>
        <w:t>(</w:t>
      </w:r>
      <w:r w:rsidR="00A47D13" w:rsidRPr="00031327">
        <w:rPr>
          <w:rFonts w:ascii="Arial" w:hAnsi="Arial" w:cs="Arial"/>
          <w:sz w:val="20"/>
          <w:szCs w:val="20"/>
        </w:rPr>
        <w:t>10</w:t>
      </w:r>
      <w:r w:rsidR="00A81875">
        <w:rPr>
          <w:rFonts w:ascii="Arial" w:hAnsi="Arial" w:cs="Arial"/>
          <w:sz w:val="20"/>
          <w:szCs w:val="20"/>
        </w:rPr>
        <w:t>-20</w:t>
      </w:r>
      <w:r w:rsidR="003A236A" w:rsidRPr="00031327">
        <w:rPr>
          <w:rFonts w:ascii="Arial" w:hAnsi="Arial" w:cs="Arial"/>
          <w:sz w:val="20"/>
          <w:szCs w:val="20"/>
        </w:rPr>
        <w:t>/PES-00</w:t>
      </w:r>
      <w:r w:rsidR="00A81875">
        <w:rPr>
          <w:rFonts w:ascii="Arial" w:hAnsi="Arial" w:cs="Arial"/>
          <w:sz w:val="20"/>
          <w:szCs w:val="20"/>
        </w:rPr>
        <w:t>0</w:t>
      </w:r>
      <w:r w:rsidR="00DA532C">
        <w:rPr>
          <w:rFonts w:ascii="Arial" w:hAnsi="Arial" w:cs="Arial"/>
          <w:sz w:val="20"/>
          <w:szCs w:val="20"/>
        </w:rPr>
        <w:t>94</w:t>
      </w:r>
      <w:r w:rsidR="003A236A" w:rsidRPr="00031327">
        <w:rPr>
          <w:rFonts w:ascii="Arial" w:hAnsi="Arial" w:cs="Arial"/>
          <w:sz w:val="20"/>
          <w:szCs w:val="20"/>
        </w:rPr>
        <w:t>)</w:t>
      </w:r>
      <w:r w:rsidR="00AB4047" w:rsidRPr="00031327">
        <w:rPr>
          <w:rFonts w:ascii="Arial" w:hAnsi="Arial" w:cs="Arial"/>
          <w:sz w:val="20"/>
          <w:szCs w:val="20"/>
        </w:rPr>
        <w:t xml:space="preserve">, tiene el honor de </w:t>
      </w:r>
      <w:r w:rsidR="006E1385">
        <w:rPr>
          <w:rFonts w:ascii="Arial" w:hAnsi="Arial" w:cs="Arial"/>
          <w:sz w:val="20"/>
          <w:szCs w:val="20"/>
        </w:rPr>
        <w:t>informarle lo siguiente</w:t>
      </w:r>
      <w:r w:rsidR="00DA532C">
        <w:rPr>
          <w:rFonts w:ascii="Arial" w:hAnsi="Arial" w:cs="Arial"/>
          <w:sz w:val="20"/>
          <w:szCs w:val="20"/>
        </w:rPr>
        <w:t xml:space="preserve"> en respuesta a la pregunta planteada</w:t>
      </w:r>
      <w:r w:rsidR="006E1385">
        <w:rPr>
          <w:rFonts w:ascii="Arial" w:hAnsi="Arial" w:cs="Arial"/>
          <w:sz w:val="20"/>
          <w:szCs w:val="20"/>
        </w:rPr>
        <w:t>:</w:t>
      </w:r>
    </w:p>
    <w:p w:rsidR="00D16702" w:rsidRDefault="00DA532C" w:rsidP="00A81875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b/>
          <w:sz w:val="20"/>
          <w:szCs w:val="20"/>
        </w:rPr>
      </w:pPr>
      <w:r w:rsidRPr="00DA532C">
        <w:rPr>
          <w:rFonts w:ascii="Arial" w:hAnsi="Arial" w:cs="Arial"/>
          <w:b/>
          <w:sz w:val="20"/>
          <w:szCs w:val="20"/>
        </w:rPr>
        <w:t>¿Cuál es la valoración de la Consejera de Cultura sobre la afección que puedan tener las mismas en el atractivo que pudiera suponer el régimen fiscal favorable a estas actividades establecido años antes en Navarra?</w:t>
      </w:r>
    </w:p>
    <w:p w:rsidR="00D16702" w:rsidRDefault="00476D78" w:rsidP="00E5607B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 xml:space="preserve">El incentivo fiscal a las producciones audiovisuales en Navarra viene regulado en </w:t>
      </w:r>
      <w:smartTag w:uri="urn:schemas-microsoft-com:office:smarttags" w:element="PersonName">
        <w:smartTagPr>
          <w:attr w:name="ProductID" w:val="la Ley Foral"/>
        </w:smartTagPr>
        <w:r w:rsidRPr="00DA532C">
          <w:rPr>
            <w:rFonts w:ascii="Arial" w:hAnsi="Arial" w:cs="Arial"/>
            <w:sz w:val="20"/>
            <w:szCs w:val="20"/>
          </w:rPr>
          <w:t>la Ley Foral</w:t>
        </w:r>
      </w:smartTag>
      <w:r w:rsidRPr="00DA532C">
        <w:rPr>
          <w:rFonts w:ascii="Arial" w:hAnsi="Arial" w:cs="Arial"/>
          <w:sz w:val="20"/>
          <w:szCs w:val="20"/>
        </w:rPr>
        <w:t xml:space="preserve"> 26/2016, de 28 de diciembre, del Impuesto de Sociedades.</w:t>
      </w:r>
    </w:p>
    <w:p w:rsidR="00D16702" w:rsidRDefault="00476D78" w:rsidP="00E5607B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 xml:space="preserve">En la misma, en su artículo 65 </w:t>
      </w:r>
      <w:r w:rsidRPr="00DA532C">
        <w:rPr>
          <w:rFonts w:ascii="Arial" w:hAnsi="Arial" w:cs="Arial"/>
          <w:i/>
          <w:sz w:val="20"/>
          <w:szCs w:val="20"/>
        </w:rPr>
        <w:t>Deducción por inversiones en producciones cinematográficas y series audiovisuales</w:t>
      </w:r>
      <w:r w:rsidRPr="00DA532C">
        <w:rPr>
          <w:rFonts w:ascii="Arial" w:hAnsi="Arial" w:cs="Arial"/>
          <w:sz w:val="20"/>
          <w:szCs w:val="20"/>
        </w:rPr>
        <w:t xml:space="preserve">, se establecen las condiciones del mencionado incentivo. </w:t>
      </w:r>
    </w:p>
    <w:p w:rsidR="00476D78" w:rsidRPr="00DA532C" w:rsidRDefault="00476D78" w:rsidP="00E5607B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El incentivo fiscal tiene dos áreas principales de cobertura y afecta siempre al Impuesto sobre Sociedades, en forma de crédito fiscal:</w:t>
      </w:r>
    </w:p>
    <w:p w:rsidR="00476D78" w:rsidRPr="00DA532C" w:rsidRDefault="00476D78" w:rsidP="00752906">
      <w:pPr>
        <w:numPr>
          <w:ilvl w:val="0"/>
          <w:numId w:val="36"/>
        </w:numPr>
        <w:spacing w:line="276" w:lineRule="auto"/>
        <w:ind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Productor o coproductor, con domicilio fiscal en Navarra</w:t>
      </w:r>
      <w:r w:rsidR="00E5607B">
        <w:rPr>
          <w:rFonts w:ascii="Arial" w:hAnsi="Arial" w:cs="Arial"/>
          <w:sz w:val="20"/>
          <w:szCs w:val="20"/>
        </w:rPr>
        <w:t>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Áreas de aplicación: Inversiones en producciones de películas y series de televisión (ficción, animación, y/o documentales).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Porcentaje de crédito fiscal: 35% de los gastos deducibles.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Base de gasto deducible: Coste total de la producción, así como gastos de copias, publicidad y promoción.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Requerimientos: +40% de la base de gasto deducible gastado en Navarra.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Límites por producción: 3 millones de euros.</w:t>
      </w:r>
    </w:p>
    <w:p w:rsidR="00476D78" w:rsidRPr="00DA532C" w:rsidRDefault="00476D78" w:rsidP="00752906">
      <w:pPr>
        <w:numPr>
          <w:ilvl w:val="0"/>
          <w:numId w:val="36"/>
        </w:numPr>
        <w:spacing w:line="276" w:lineRule="auto"/>
        <w:ind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Empresa con domicilio fiscal en Navarra, que presta los servicios a productoras nacionales o internacionales</w:t>
      </w:r>
      <w:r w:rsidR="00E5607B">
        <w:rPr>
          <w:rFonts w:ascii="Arial" w:hAnsi="Arial" w:cs="Arial"/>
          <w:sz w:val="20"/>
          <w:szCs w:val="20"/>
        </w:rPr>
        <w:t>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Áreas de aplicación: Servic</w:t>
      </w:r>
      <w:r w:rsidR="00752906">
        <w:rPr>
          <w:rFonts w:ascii="Arial" w:hAnsi="Arial" w:cs="Arial"/>
          <w:sz w:val="20"/>
          <w:szCs w:val="20"/>
        </w:rPr>
        <w:t>io</w:t>
      </w:r>
      <w:r w:rsidRPr="00DA532C">
        <w:rPr>
          <w:rFonts w:ascii="Arial" w:hAnsi="Arial" w:cs="Arial"/>
          <w:sz w:val="20"/>
          <w:szCs w:val="20"/>
        </w:rPr>
        <w:t>s para producciones de películas y series de televisión.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Porcentaje de crédito fiscal: 35% de los gastos deducibles.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Base de gasto deducible: Coste total de la producción, así como gastos de copias, publicidad y promoción.</w:t>
      </w:r>
    </w:p>
    <w:p w:rsidR="00476D78" w:rsidRPr="00DA532C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Requerimientos: Periodo de rodaje mínimo de una semana en Navarra.</w:t>
      </w:r>
    </w:p>
    <w:p w:rsidR="00D16702" w:rsidRDefault="00476D78" w:rsidP="00752906">
      <w:pPr>
        <w:spacing w:line="276" w:lineRule="auto"/>
        <w:ind w:left="709" w:right="1881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Límites por producción: 3 millones de euros.</w:t>
      </w:r>
    </w:p>
    <w:p w:rsidR="00D16702" w:rsidRDefault="00476D78" w:rsidP="00E5607B">
      <w:pPr>
        <w:spacing w:line="360" w:lineRule="auto"/>
        <w:ind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>El Gobierno de España, por medio de una modificación del artículo 36 de la Ley 27/2014, de 27 de noviembre, del Impuesto sobre Sociedades, ha establecido que el porcentaje de la deducción para aquellas inversiones en producciones españolas de largometrajes y cortometrajes cinematográficos y de series audiovisuales será del 30</w:t>
      </w:r>
      <w:r w:rsidR="00F172BF">
        <w:rPr>
          <w:rFonts w:ascii="Arial" w:hAnsi="Arial" w:cs="Arial"/>
          <w:sz w:val="20"/>
          <w:szCs w:val="20"/>
        </w:rPr>
        <w:t xml:space="preserve"> </w:t>
      </w:r>
      <w:r w:rsidRPr="00DA532C">
        <w:rPr>
          <w:rFonts w:ascii="Arial" w:hAnsi="Arial" w:cs="Arial"/>
          <w:sz w:val="20"/>
          <w:szCs w:val="20"/>
        </w:rPr>
        <w:t>% respecto del primer millón de base y al 25</w:t>
      </w:r>
      <w:r w:rsidR="00F172BF">
        <w:rPr>
          <w:rFonts w:ascii="Arial" w:hAnsi="Arial" w:cs="Arial"/>
          <w:sz w:val="20"/>
          <w:szCs w:val="20"/>
        </w:rPr>
        <w:t xml:space="preserve"> </w:t>
      </w:r>
      <w:r w:rsidRPr="00DA532C">
        <w:rPr>
          <w:rFonts w:ascii="Arial" w:hAnsi="Arial" w:cs="Arial"/>
          <w:sz w:val="20"/>
          <w:szCs w:val="20"/>
        </w:rPr>
        <w:t>% sobre el exceso de dicho importe.</w:t>
      </w:r>
    </w:p>
    <w:p w:rsidR="00D16702" w:rsidRDefault="00476D78" w:rsidP="00E5607B">
      <w:pPr>
        <w:spacing w:line="360" w:lineRule="auto"/>
        <w:ind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 xml:space="preserve">De esta forma, </w:t>
      </w:r>
      <w:smartTag w:uri="urn:schemas-microsoft-com:office:smarttags" w:element="PersonName">
        <w:smartTagPr>
          <w:attr w:name="ProductID" w:val="la Comunidad Foral"/>
        </w:smartTagPr>
        <w:r w:rsidRPr="00DA532C">
          <w:rPr>
            <w:rFonts w:ascii="Arial" w:hAnsi="Arial" w:cs="Arial"/>
            <w:sz w:val="20"/>
            <w:szCs w:val="20"/>
          </w:rPr>
          <w:t>la Comunidad Foral</w:t>
        </w:r>
      </w:smartTag>
      <w:r w:rsidRPr="00DA532C">
        <w:rPr>
          <w:rFonts w:ascii="Arial" w:hAnsi="Arial" w:cs="Arial"/>
          <w:sz w:val="20"/>
          <w:szCs w:val="20"/>
        </w:rPr>
        <w:t xml:space="preserve"> de Navarra ofrece una ventaja de cinco puntos con respecto a la normativa estatal. </w:t>
      </w:r>
    </w:p>
    <w:p w:rsidR="00D16702" w:rsidRDefault="00476D78" w:rsidP="00E5607B">
      <w:pPr>
        <w:spacing w:line="360" w:lineRule="auto"/>
        <w:ind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 xml:space="preserve">El apoyo a las industrias audiovisuales y digitales viene recogido en el marco de </w:t>
      </w:r>
      <w:smartTag w:uri="urn:schemas-microsoft-com:office:smarttags" w:element="PersonName">
        <w:smartTagPr>
          <w:attr w:name="ProductID" w:val="la Estrategia"/>
        </w:smartTagPr>
        <w:r w:rsidRPr="00DA532C">
          <w:rPr>
            <w:rFonts w:ascii="Arial" w:hAnsi="Arial" w:cs="Arial"/>
            <w:sz w:val="20"/>
            <w:szCs w:val="20"/>
          </w:rPr>
          <w:t>la Estrategia</w:t>
        </w:r>
      </w:smartTag>
      <w:r w:rsidRPr="00DA532C">
        <w:rPr>
          <w:rFonts w:ascii="Arial" w:hAnsi="Arial" w:cs="Arial"/>
          <w:sz w:val="20"/>
          <w:szCs w:val="20"/>
        </w:rPr>
        <w:t xml:space="preserve"> de Especialización Inteligente de Navarra S3. Fruto del interés por el sector surge en 2017 el CLAVNA, Clúster Audiovisual de Navarra, que ha demostrado una alta sinergia y capacidad de trabajo en común entre la administración y las empresas y profesionales. La instalación de empresas especializadas en Navarra, o la creación de un estudio de grabación, son muestras </w:t>
      </w:r>
      <w:r w:rsidRPr="00DA532C">
        <w:rPr>
          <w:rFonts w:ascii="Arial" w:hAnsi="Arial" w:cs="Arial"/>
          <w:sz w:val="20"/>
          <w:szCs w:val="20"/>
        </w:rPr>
        <w:lastRenderedPageBreak/>
        <w:t xml:space="preserve">del buen hacer del Clúster y de </w:t>
      </w:r>
      <w:smartTag w:uri="urn:schemas-microsoft-com:office:smarttags" w:element="PersonName">
        <w:smartTagPr>
          <w:attr w:name="ProductID" w:val="la Navarra Film"/>
        </w:smartTagPr>
        <w:r w:rsidRPr="00DA532C">
          <w:rPr>
            <w:rFonts w:ascii="Arial" w:hAnsi="Arial" w:cs="Arial"/>
            <w:sz w:val="20"/>
            <w:szCs w:val="20"/>
          </w:rPr>
          <w:t>la Navarra Film</w:t>
        </w:r>
      </w:smartTag>
      <w:r w:rsidRPr="00DA532C">
        <w:rPr>
          <w:rFonts w:ascii="Arial" w:hAnsi="Arial" w:cs="Arial"/>
          <w:sz w:val="20"/>
          <w:szCs w:val="20"/>
        </w:rPr>
        <w:t xml:space="preserve"> Co</w:t>
      </w:r>
      <w:r w:rsidR="00752906">
        <w:rPr>
          <w:rFonts w:ascii="Arial" w:hAnsi="Arial" w:cs="Arial"/>
          <w:sz w:val="20"/>
          <w:szCs w:val="20"/>
        </w:rPr>
        <w:t>m</w:t>
      </w:r>
      <w:r w:rsidRPr="00DA532C">
        <w:rPr>
          <w:rFonts w:ascii="Arial" w:hAnsi="Arial" w:cs="Arial"/>
          <w:sz w:val="20"/>
          <w:szCs w:val="20"/>
        </w:rPr>
        <w:t xml:space="preserve">mission para atraer talento, trabajar en el desarrollo del sector, creación de nuevas oportunidades y el apoyo al emprendimiento. </w:t>
      </w:r>
    </w:p>
    <w:p w:rsidR="00D16702" w:rsidRDefault="00476D78" w:rsidP="00E5607B">
      <w:pPr>
        <w:spacing w:line="360" w:lineRule="auto"/>
        <w:ind w:right="1314"/>
        <w:jc w:val="both"/>
        <w:rPr>
          <w:rFonts w:ascii="Arial" w:hAnsi="Arial" w:cs="Arial"/>
          <w:sz w:val="20"/>
          <w:szCs w:val="20"/>
        </w:rPr>
      </w:pPr>
      <w:r w:rsidRPr="00DA532C">
        <w:rPr>
          <w:rFonts w:ascii="Arial" w:hAnsi="Arial" w:cs="Arial"/>
          <w:sz w:val="20"/>
          <w:szCs w:val="20"/>
        </w:rPr>
        <w:t xml:space="preserve">Navarra está bien posicionada a la hora de atraer rodajes y proyectos audiovisuales siendo conscientes de que existe capacidad de mejora y crecimiento. Por eso, seguiremos analizando, de forma interdepartamental entre </w:t>
      </w:r>
      <w:r w:rsidR="00F065D6">
        <w:rPr>
          <w:rFonts w:ascii="Arial" w:hAnsi="Arial" w:cs="Arial"/>
          <w:sz w:val="20"/>
          <w:szCs w:val="20"/>
        </w:rPr>
        <w:t xml:space="preserve">Economía y </w:t>
      </w:r>
      <w:r w:rsidRPr="00DA532C">
        <w:rPr>
          <w:rFonts w:ascii="Arial" w:hAnsi="Arial" w:cs="Arial"/>
          <w:sz w:val="20"/>
          <w:szCs w:val="20"/>
        </w:rPr>
        <w:t>Hacienda, Desarrollo Económico y Cultura</w:t>
      </w:r>
      <w:r w:rsidR="00F065D6">
        <w:rPr>
          <w:rFonts w:ascii="Arial" w:hAnsi="Arial" w:cs="Arial"/>
          <w:sz w:val="20"/>
          <w:szCs w:val="20"/>
        </w:rPr>
        <w:t xml:space="preserve"> y Deporte</w:t>
      </w:r>
      <w:r w:rsidRPr="00DA532C">
        <w:rPr>
          <w:rFonts w:ascii="Arial" w:hAnsi="Arial" w:cs="Arial"/>
          <w:sz w:val="20"/>
          <w:szCs w:val="20"/>
        </w:rPr>
        <w:t xml:space="preserve">, todas aquellas cuestiones de índole fiscal y legal que puedan mejorar las posibilidades de atracción hacia </w:t>
      </w:r>
      <w:smartTag w:uri="urn:schemas-microsoft-com:office:smarttags" w:element="PersonName">
        <w:smartTagPr>
          <w:attr w:name="ProductID" w:val="la Comunidad Foral"/>
        </w:smartTagPr>
        <w:r w:rsidRPr="00DA532C">
          <w:rPr>
            <w:rFonts w:ascii="Arial" w:hAnsi="Arial" w:cs="Arial"/>
            <w:sz w:val="20"/>
            <w:szCs w:val="20"/>
          </w:rPr>
          <w:t>la Comunidad Foral</w:t>
        </w:r>
      </w:smartTag>
      <w:r w:rsidRPr="00DA532C">
        <w:rPr>
          <w:rFonts w:ascii="Arial" w:hAnsi="Arial" w:cs="Arial"/>
          <w:sz w:val="20"/>
          <w:szCs w:val="20"/>
        </w:rPr>
        <w:t>; así como la cartera de servicios que se puedan ofrecer por parte de las instituciones públicas hacia las empresas del sector audiovisual</w:t>
      </w:r>
      <w:r w:rsidR="00752906">
        <w:rPr>
          <w:rFonts w:ascii="Arial" w:hAnsi="Arial" w:cs="Arial"/>
          <w:sz w:val="20"/>
          <w:szCs w:val="20"/>
        </w:rPr>
        <w:t>.</w:t>
      </w:r>
    </w:p>
    <w:p w:rsidR="00D16702" w:rsidRDefault="00312DEF" w:rsidP="00E5607B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D16702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Pamplona-Iruña, </w:t>
      </w:r>
      <w:r w:rsidR="004D368D">
        <w:rPr>
          <w:rFonts w:ascii="Arial" w:hAnsi="Arial" w:cs="Arial"/>
          <w:sz w:val="20"/>
          <w:szCs w:val="20"/>
        </w:rPr>
        <w:t>16</w:t>
      </w:r>
      <w:r w:rsidR="008C35ED">
        <w:rPr>
          <w:rFonts w:ascii="Arial" w:hAnsi="Arial" w:cs="Arial"/>
          <w:sz w:val="20"/>
          <w:szCs w:val="20"/>
        </w:rPr>
        <w:t xml:space="preserve"> </w:t>
      </w:r>
      <w:r w:rsidRPr="00031327">
        <w:rPr>
          <w:rFonts w:ascii="Arial" w:hAnsi="Arial" w:cs="Arial"/>
          <w:sz w:val="20"/>
          <w:szCs w:val="20"/>
        </w:rPr>
        <w:t xml:space="preserve">de </w:t>
      </w:r>
      <w:r w:rsidR="008C35ED">
        <w:rPr>
          <w:rFonts w:ascii="Arial" w:hAnsi="Arial" w:cs="Arial"/>
          <w:sz w:val="20"/>
          <w:szCs w:val="20"/>
        </w:rPr>
        <w:t>junio</w:t>
      </w:r>
      <w:r w:rsidRPr="00031327">
        <w:rPr>
          <w:rFonts w:ascii="Arial" w:hAnsi="Arial" w:cs="Arial"/>
          <w:sz w:val="20"/>
          <w:szCs w:val="20"/>
        </w:rPr>
        <w:t xml:space="preserve"> de 2020</w:t>
      </w:r>
      <w:bookmarkStart w:id="0" w:name="_GoBack"/>
      <w:bookmarkEnd w:id="0"/>
    </w:p>
    <w:p w:rsidR="00D16702" w:rsidRDefault="00D16702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 xml:space="preserve">: </w:t>
      </w:r>
      <w:r w:rsidR="00312DEF" w:rsidRPr="00031327">
        <w:rPr>
          <w:rFonts w:ascii="Arial" w:hAnsi="Arial" w:cs="Arial"/>
          <w:sz w:val="20"/>
          <w:szCs w:val="20"/>
        </w:rPr>
        <w:t>Rebeca Esnaola Bermejo</w:t>
      </w:r>
    </w:p>
    <w:p w:rsidR="008C149E" w:rsidRPr="00031327" w:rsidRDefault="008C149E" w:rsidP="000E084F">
      <w:pPr>
        <w:ind w:right="1314"/>
        <w:rPr>
          <w:rFonts w:ascii="Arial" w:hAnsi="Arial" w:cs="Arial"/>
          <w:sz w:val="20"/>
          <w:szCs w:val="20"/>
        </w:rPr>
      </w:pPr>
    </w:p>
    <w:sectPr w:rsidR="008C149E" w:rsidRPr="00031327" w:rsidSect="00D16702">
      <w:footerReference w:type="even" r:id="rId9"/>
      <w:footerReference w:type="default" r:id="rId10"/>
      <w:type w:val="continuous"/>
      <w:pgSz w:w="11906" w:h="16838"/>
      <w:pgMar w:top="1985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E7" w:rsidRDefault="003B60E7">
      <w:r>
        <w:separator/>
      </w:r>
    </w:p>
  </w:endnote>
  <w:endnote w:type="continuationSeparator" w:id="0">
    <w:p w:rsidR="003B60E7" w:rsidRDefault="003B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E7" w:rsidRDefault="003B60E7">
      <w:r>
        <w:separator/>
      </w:r>
    </w:p>
  </w:footnote>
  <w:footnote w:type="continuationSeparator" w:id="0">
    <w:p w:rsidR="003B60E7" w:rsidRDefault="003B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97"/>
    <w:multiLevelType w:val="hybridMultilevel"/>
    <w:tmpl w:val="42DA0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C0562"/>
    <w:multiLevelType w:val="hybridMultilevel"/>
    <w:tmpl w:val="4538EDB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432C2"/>
    <w:multiLevelType w:val="hybridMultilevel"/>
    <w:tmpl w:val="35A0A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5FF32D83"/>
    <w:multiLevelType w:val="hybridMultilevel"/>
    <w:tmpl w:val="049652F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34"/>
  </w:num>
  <w:num w:numId="5">
    <w:abstractNumId w:val="21"/>
  </w:num>
  <w:num w:numId="6">
    <w:abstractNumId w:val="33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"/>
  </w:num>
  <w:num w:numId="10">
    <w:abstractNumId w:val="9"/>
  </w:num>
  <w:num w:numId="11">
    <w:abstractNumId w:val="27"/>
  </w:num>
  <w:num w:numId="12">
    <w:abstractNumId w:val="10"/>
  </w:num>
  <w:num w:numId="13">
    <w:abstractNumId w:val="32"/>
  </w:num>
  <w:num w:numId="14">
    <w:abstractNumId w:val="25"/>
  </w:num>
  <w:num w:numId="15">
    <w:abstractNumId w:val="11"/>
  </w:num>
  <w:num w:numId="16">
    <w:abstractNumId w:val="14"/>
  </w:num>
  <w:num w:numId="17">
    <w:abstractNumId w:val="3"/>
  </w:num>
  <w:num w:numId="18">
    <w:abstractNumId w:val="24"/>
  </w:num>
  <w:num w:numId="19">
    <w:abstractNumId w:val="12"/>
  </w:num>
  <w:num w:numId="20">
    <w:abstractNumId w:val="28"/>
  </w:num>
  <w:num w:numId="21">
    <w:abstractNumId w:val="8"/>
  </w:num>
  <w:num w:numId="22">
    <w:abstractNumId w:val="4"/>
  </w:num>
  <w:num w:numId="23">
    <w:abstractNumId w:val="13"/>
  </w:num>
  <w:num w:numId="24">
    <w:abstractNumId w:val="18"/>
  </w:num>
  <w:num w:numId="25">
    <w:abstractNumId w:val="35"/>
  </w:num>
  <w:num w:numId="26">
    <w:abstractNumId w:val="16"/>
  </w:num>
  <w:num w:numId="27">
    <w:abstractNumId w:val="7"/>
  </w:num>
  <w:num w:numId="28">
    <w:abstractNumId w:val="2"/>
  </w:num>
  <w:num w:numId="29">
    <w:abstractNumId w:val="19"/>
  </w:num>
  <w:num w:numId="30">
    <w:abstractNumId w:val="20"/>
  </w:num>
  <w:num w:numId="31">
    <w:abstractNumId w:val="15"/>
  </w:num>
  <w:num w:numId="32">
    <w:abstractNumId w:val="22"/>
  </w:num>
  <w:num w:numId="33">
    <w:abstractNumId w:val="31"/>
  </w:num>
  <w:num w:numId="34">
    <w:abstractNumId w:val="5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B60E7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76D78"/>
    <w:rsid w:val="00485F3D"/>
    <w:rsid w:val="004965E9"/>
    <w:rsid w:val="004A008A"/>
    <w:rsid w:val="004A6523"/>
    <w:rsid w:val="004B1665"/>
    <w:rsid w:val="004B22AB"/>
    <w:rsid w:val="004C0414"/>
    <w:rsid w:val="004C0DC0"/>
    <w:rsid w:val="004D368D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01C4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995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2906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45B0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6702"/>
    <w:rsid w:val="00D2224B"/>
    <w:rsid w:val="00D2695E"/>
    <w:rsid w:val="00D27E2A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532C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607B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065D6"/>
    <w:rsid w:val="00F15972"/>
    <w:rsid w:val="00F168F4"/>
    <w:rsid w:val="00F172BF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60F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33CA-F8AE-4576-B15F-22DF9C2C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5</cp:revision>
  <cp:lastPrinted>2020-01-29T10:04:00Z</cp:lastPrinted>
  <dcterms:created xsi:type="dcterms:W3CDTF">2020-06-18T12:10:00Z</dcterms:created>
  <dcterms:modified xsi:type="dcterms:W3CDTF">2020-08-24T10:06:00Z</dcterms:modified>
</cp:coreProperties>
</file>