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La necesidad de reformar el Código Penal, para el endurecimiento de las penas en casos de especial crueldad hacia los animales, así como reformar el Código Civil, para distinguir a los animales de las cosas en la línea del Tratado de Lisboa.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La necesidad de aprobar una Ley Marco de Protección Animal aplicable a todo el territorio español que podría recoger el espíritu de la Ley Foral 19/2019, de 4 de abril, de protección de los animales de compañía.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La necesidad de incluir y trabajar de forma interdisciplinar la protección animal y la convivencia responsable en todos los elementos comprendidos del currículum escolar obligatorio.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La necesidad de formación de empleadas y empleados públicos para la gestión y ejecución de las políticas públicas de protección animal y la aplicación normativa para el desarrollo de la Ley Foral 19/2019, de 4 de abril, de protección de los animales de compañía.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La necesidad de que las entidades locales de nuestra Comunidad Foral aprueben con el mayor consenso social y político posible, nuevas ordenanzas de protección animal actualizadas a los marcos normativos europeos, nacionales y autonómicos.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Enviar esta declaración institucional al Departamento de Desarrollo Rural y Medio Ambiente, a la Federación Navarra de Municipios y Concejos y a la Dirección General de Bienestar Animal del Gobierno de España”. (10-20/DEC-00080)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