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mozioa, zeinaren bidez Espainiako Gobernua premiatzen baita albait lasterren has ditzan Indultu-grazia baliatzeko arauei buruzko Legea, 1870eko ekainaren 18koa, aldatzeko lege proiektu bat aurkezteko egin beharreko lanak.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Migrazio Politiketako eta Justiziako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irailaren 28an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Jorge Esparza Garrido jaunak, Legebiltzarreko Erregelamenduan xedatuaren babesean, honako mozio hau aurkezten du, Migrazio Politiketako eta Justiziako Batzordean eztabaidatzeko:</w:t>
      </w:r>
    </w:p>
    <w:p>
      <w:pPr>
        <w:pStyle w:val="0"/>
        <w:suppressAutoHyphens w:val="false"/>
        <w:rPr>
          <w:rStyle w:val="1"/>
        </w:rPr>
      </w:pPr>
      <w:r>
        <w:rPr>
          <w:rStyle w:val="1"/>
        </w:rPr>
        <w:t xml:space="preserve">Indultu-grazia baliatzeko arauei buruzko Legeak, zeina 1870eko ekainaren 18koa baita, 150 urte baino gehiago ditu, eta jatorrizko testuak garai hartako gizartearen beharrizan berekiei erantzutea zuen xede.</w:t>
      </w:r>
    </w:p>
    <w:p>
      <w:pPr>
        <w:pStyle w:val="0"/>
        <w:suppressAutoHyphens w:val="false"/>
        <w:rPr>
          <w:rStyle w:val="1"/>
        </w:rPr>
      </w:pPr>
      <w:r>
        <w:rPr>
          <w:rStyle w:val="1"/>
        </w:rPr>
        <w:t xml:space="preserve">Indarrean sartu zenez geroztik, lege horrek ez du ia aldaketarik izan orain arte, urtarrilaren 14ko 1/1988 Legean eta martxoaren 30eko 1/2015 Lege Organikoaren azken xedapenetako lehendabizikoan jasotakoez aparte.</w:t>
      </w:r>
    </w:p>
    <w:p>
      <w:pPr>
        <w:pStyle w:val="0"/>
        <w:suppressAutoHyphens w:val="false"/>
        <w:rPr>
          <w:rStyle w:val="1"/>
        </w:rPr>
      </w:pPr>
      <w:r>
        <w:rPr>
          <w:rStyle w:val="1"/>
        </w:rPr>
        <w:t xml:space="preserve">Horregatik beharbada, azken urteotan zenbait legegintza-ekimen bultzatu dituzte alderdi politikoek, araua gure egunotarako errealitatera egokitu nahian, eragingarriagoa izateaz gain iritzi publikotik babesteko asmoz, zeren eta figura horrek arbuioaren eta erabateko premiaren arteko kontraesana sortzen baitu zenbaitetan.</w:t>
      </w:r>
    </w:p>
    <w:p>
      <w:pPr>
        <w:pStyle w:val="0"/>
        <w:suppressAutoHyphens w:val="false"/>
        <w:rPr>
          <w:rStyle w:val="1"/>
        </w:rPr>
      </w:pPr>
      <w:r>
        <w:rPr>
          <w:rStyle w:val="1"/>
        </w:rPr>
        <w:t xml:space="preserve">Agertoki horretan dauka inoiz ez bezala Espainiako Gobernuak, hain zuzen ere, figura hori alderdi politikoen arteko gatazkatik eta herriaren judiziotik babesteko betebeharra.</w:t>
      </w:r>
    </w:p>
    <w:p>
      <w:pPr>
        <w:pStyle w:val="0"/>
        <w:suppressAutoHyphens w:val="false"/>
        <w:rPr>
          <w:rStyle w:val="1"/>
        </w:rPr>
      </w:pPr>
      <w:r>
        <w:rPr>
          <w:rStyle w:val="1"/>
        </w:rPr>
        <w:t xml:space="preserve">Indultuaren figura salbuespenezko baliabide bat da eta izan behar du, epaitegiek eta auzitegiek legeari jarraikiz ezarritako zigor-erantzukizuna zeharo nahiz partzialki betearazteko, eta demokraziaren ikuspuntutik soilik da onargarria justizia, ekitatea edo erabilgarritasuna direla-eta ematen denean.</w:t>
      </w:r>
    </w:p>
    <w:p>
      <w:pPr>
        <w:pStyle w:val="0"/>
        <w:suppressAutoHyphens w:val="false"/>
        <w:rPr>
          <w:rStyle w:val="1"/>
        </w:rPr>
      </w:pPr>
      <w:r>
        <w:rPr>
          <w:rStyle w:val="1"/>
        </w:rPr>
        <w:t xml:space="preserve">Eta botere publikoek esparru horretan jokabide arbitrario bat izatea ekiditeko modurik onena da exigitzea indultu ororekin zehaztea, erabatekoa nahi partziala izan, Gobernuak zer arrazoi izan duen indultua emateko. Hau da, exigitzea indultua emateko errege-dekretuak ziodunak izan daitezen, 1988ko aldaketan kendu zen baldintza hori berreskuratuz.</w:t>
      </w:r>
    </w:p>
    <w:p>
      <w:pPr>
        <w:pStyle w:val="0"/>
        <w:suppressAutoHyphens w:val="false"/>
        <w:rPr>
          <w:rStyle w:val="1"/>
        </w:rPr>
      </w:pPr>
      <w:r>
        <w:rPr>
          <w:rStyle w:val="1"/>
        </w:rPr>
        <w:t xml:space="preserve">Bestalde, salbuespenezko baliabide hori delitu-tipo jakin batzuetan aplikatzea ezin da justifikatuta egon. Alegia, sarritan esaten dugun horren manifestazioa eta adierazpidea izan behar du: zero tolerantzia gai jakin batzuetan. Jokabide horiek sortzen duten erabateko arbuioaren manifestazio bat da kondenatu horiek indultua jaso ahal izatea ekiditea.</w:t>
      </w:r>
    </w:p>
    <w:p>
      <w:pPr>
        <w:pStyle w:val="0"/>
        <w:suppressAutoHyphens w:val="false"/>
        <w:rPr>
          <w:rStyle w:val="1"/>
        </w:rPr>
      </w:pPr>
      <w:r>
        <w:rPr>
          <w:rStyle w:val="1"/>
        </w:rPr>
        <w:t xml:space="preserve">Azkenik, uste dugu erabateko indultua emateko beharrezkoa dela epaia eman duen magistratua edo auzitegia ados egotea. Ez auzibidera itzultzeko modu gisa interpretatuta, baizik eta erregearen izenean emandako epaiak erregeak baliatutako indultuarekin alderatzeko modu gisa.</w:t>
      </w:r>
    </w:p>
    <w:p>
      <w:pPr>
        <w:pStyle w:val="0"/>
        <w:suppressAutoHyphens w:val="false"/>
        <w:rPr>
          <w:rStyle w:val="1"/>
        </w:rPr>
      </w:pPr>
      <w:r>
        <w:rPr>
          <w:rStyle w:val="1"/>
        </w:rPr>
        <w:t xml:space="preserve">Halere, planteamendu horren aitzinean, herritar gehienok sekula ikusi gabeko egoera bat bizi dugu gaur egun; izan ere, gizartean berealdiko alarma sortu du Gobernuak gogoan izateak indultua ematea sedizioagatik eta funts publikoak bidegabeki erabiltzeagatik jada kondenatuei, gobernu zentrala osatzen duten alderdien eta Estatuko Aurrekontu Orokorrak izapidetzeko bidelagun nahi dituzten alderdien arteko trukada gisa.</w:t>
      </w:r>
    </w:p>
    <w:p>
      <w:pPr>
        <w:pStyle w:val="0"/>
        <w:suppressAutoHyphens w:val="false"/>
        <w:rPr>
          <w:rStyle w:val="1"/>
        </w:rPr>
      </w:pPr>
      <w:r>
        <w:rPr>
          <w:rStyle w:val="1"/>
        </w:rPr>
        <w:t xml:space="preserve">Figura juridiko hori xede zeharo alderdikarietarako erabiltzeak indultu-graziaren izaera bera gainazpikatuko luke, demokraziaren oinarrizko zutabeen aurkako eraso bat ekarriko luke –hala nola diren botereen arteko banaketa eta legearen aitzineko berdintasuna–, eta espainiar gizartearen bizikidetasun-arauak hautsiko lituzke.</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Espainiako Gobernua premiatzen du albait lasterren has ditzan 1870eko ekainaren 18ko Legea, Indultu-grazia baliatzeko arauei buruzkoa, aldatzeko lege proiektu bat aurkezteko egin beharreko lanak, figura juridiko hori ez dadin erabil xede politiko alderdikarietarako truke-txanpon gisa. Proiektu horrek, besteak beste, honako hauek jaso behar ditu:</w:t>
      </w:r>
    </w:p>
    <w:p>
      <w:pPr>
        <w:pStyle w:val="0"/>
        <w:suppressAutoHyphens w:val="false"/>
        <w:rPr>
          <w:rStyle w:val="1"/>
        </w:rPr>
      </w:pPr>
      <w:r>
        <w:rPr>
          <w:rStyle w:val="1"/>
        </w:rPr>
        <w:t xml:space="preserve">a) Zenbait delituren kasuan ezin izanen dela erabili figura hori, ez osoki ez partzialki; gutxienez ere honako hauetan: ustelkeria; genero-indarkeriarekin lotutakoak; terrorismoa; sexu-trafikoa; pederastia; adingabeen aurkako indarkeria; matxinada, eta sedizioa.</w:t>
      </w:r>
    </w:p>
    <w:p>
      <w:pPr>
        <w:pStyle w:val="0"/>
        <w:suppressAutoHyphens w:val="false"/>
        <w:rPr>
          <w:rStyle w:val="1"/>
        </w:rPr>
      </w:pPr>
      <w:r>
        <w:rPr>
          <w:rStyle w:val="1"/>
        </w:rPr>
        <w:t xml:space="preserve">b) Gobernuaren ustez indultua justifikatzen duen txosten ziodun bat egin beharra, eta Estatuko Aldizkari Ofizialean hala jaso behar izatea.</w:t>
      </w:r>
    </w:p>
    <w:p>
      <w:pPr>
        <w:pStyle w:val="0"/>
        <w:suppressAutoHyphens w:val="false"/>
        <w:rPr>
          <w:rStyle w:val="1"/>
        </w:rPr>
      </w:pPr>
      <w:r>
        <w:rPr>
          <w:rStyle w:val="1"/>
        </w:rPr>
        <w:t xml:space="preserve">c) Indultu osoa eman ahal izateko epaia eman zuen auzitegiaren edo epailearen aldeko iritzia exigitzea, adierazita hala gomendatzen duten arrazoiak daudela, justizia, ekitatea, erabilgarritasun publikoa edo kondenatua behar bezala gizarteratu izana direla-eta.</w:t>
      </w:r>
    </w:p>
    <w:p>
      <w:pPr>
        <w:pStyle w:val="0"/>
        <w:suppressAutoHyphens w:val="false"/>
        <w:rPr>
          <w:rStyle w:val="1"/>
        </w:rPr>
      </w:pPr>
      <w:r>
        <w:rPr>
          <w:rStyle w:val="1"/>
        </w:rPr>
        <w:t xml:space="preserve">Iruñean, 2020ko irailaren 24an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