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32" w:rsidRPr="008F67F5" w:rsidRDefault="00FA495F" w:rsidP="00942D49">
      <w:pPr>
        <w:pStyle w:val="EstiloPortada"/>
        <w:ind w:left="5760" w:right="-58" w:hanging="2036"/>
        <w:rPr>
          <w:rFonts w:ascii="Arial" w:hAnsi="Arial" w:cs="Arial"/>
          <w:color w:val="808080"/>
          <w:sz w:val="40"/>
        </w:rPr>
      </w:pPr>
      <w:r w:rsidRPr="008F67F5">
        <w:rPr>
          <w:rFonts w:ascii="Arial" w:hAnsi="Arial" w:cs="Arial"/>
          <w:noProof/>
          <w:color w:val="808080"/>
          <w:sz w:val="40"/>
          <w:lang w:val="es-ES" w:eastAsia="es-ES"/>
        </w:rPr>
        <mc:AlternateContent>
          <mc:Choice Requires="wps">
            <w:drawing>
              <wp:anchor distT="0" distB="0" distL="114300" distR="114300" simplePos="0" relativeHeight="251657728" behindDoc="0" locked="0" layoutInCell="1" allowOverlap="1" wp14:anchorId="3BEE1014" wp14:editId="36EBAC41">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3D47C0" w:rsidRPr="003A7956" w:rsidRDefault="003D47C0" w:rsidP="004C3423">
                            <w:pPr>
                              <w:spacing w:after="0"/>
                              <w:ind w:firstLine="0"/>
                              <w:jc w:val="center"/>
                              <w:rPr>
                                <w:sz w:val="18"/>
                                <w:szCs w:val="18"/>
                                <w:lang w:val="es-ES"/>
                              </w:rPr>
                            </w:pPr>
                            <w:r w:rsidRPr="003A7956">
                              <w:rPr>
                                <w:sz w:val="18"/>
                                <w:szCs w:val="18"/>
                                <w:lang w:val="es-ES"/>
                              </w:rPr>
                              <w:t>CAMARA DE</w:t>
                            </w:r>
                          </w:p>
                          <w:p w:rsidR="003D47C0" w:rsidRPr="003A7956" w:rsidRDefault="003D47C0" w:rsidP="004C3423">
                            <w:pPr>
                              <w:spacing w:after="0"/>
                              <w:ind w:firstLine="0"/>
                              <w:jc w:val="center"/>
                              <w:rPr>
                                <w:sz w:val="18"/>
                                <w:szCs w:val="18"/>
                                <w:lang w:val="es-ES"/>
                              </w:rPr>
                            </w:pPr>
                            <w:r w:rsidRPr="003A7956">
                              <w:rPr>
                                <w:sz w:val="18"/>
                                <w:szCs w:val="18"/>
                                <w:lang w:val="es-ES"/>
                              </w:rPr>
                              <w:t>COMPTOS</w:t>
                            </w:r>
                          </w:p>
                          <w:p w:rsidR="003D47C0" w:rsidRPr="003A7956" w:rsidRDefault="003D47C0" w:rsidP="004C3423">
                            <w:pPr>
                              <w:spacing w:after="0"/>
                              <w:ind w:firstLine="0"/>
                              <w:jc w:val="center"/>
                              <w:rPr>
                                <w:sz w:val="18"/>
                                <w:szCs w:val="18"/>
                                <w:lang w:val="es-ES"/>
                              </w:rPr>
                            </w:pPr>
                            <w:r w:rsidRPr="003A7956">
                              <w:rPr>
                                <w:sz w:val="18"/>
                                <w:szCs w:val="18"/>
                                <w:lang w:val="es-ES"/>
                              </w:rPr>
                              <w:t>DE NAVARRA</w:t>
                            </w:r>
                          </w:p>
                          <w:p w:rsidR="003D47C0" w:rsidRPr="003A7956" w:rsidRDefault="003D47C0" w:rsidP="004C3423">
                            <w:pPr>
                              <w:spacing w:after="0"/>
                              <w:ind w:firstLine="0"/>
                              <w:jc w:val="center"/>
                              <w:rPr>
                                <w:color w:val="808080"/>
                                <w:sz w:val="18"/>
                                <w:szCs w:val="18"/>
                                <w:lang w:val="es-ES"/>
                              </w:rPr>
                            </w:pPr>
                            <w:r w:rsidRPr="003A7956">
                              <w:rPr>
                                <w:color w:val="808080"/>
                                <w:sz w:val="18"/>
                                <w:szCs w:val="18"/>
                                <w:lang w:val="es-ES"/>
                              </w:rPr>
                              <w:t>NAFARROAKO</w:t>
                            </w:r>
                          </w:p>
                          <w:p w:rsidR="003D47C0" w:rsidRPr="003A7956" w:rsidRDefault="003D47C0" w:rsidP="004C3423">
                            <w:pPr>
                              <w:spacing w:after="0"/>
                              <w:ind w:firstLine="0"/>
                              <w:jc w:val="center"/>
                              <w:rPr>
                                <w:color w:val="808080"/>
                                <w:sz w:val="18"/>
                                <w:szCs w:val="18"/>
                                <w:lang w:val="es-ES"/>
                              </w:rPr>
                            </w:pPr>
                            <w:r w:rsidRPr="003A7956">
                              <w:rPr>
                                <w:color w:val="808080"/>
                                <w:sz w:val="18"/>
                                <w:szCs w:val="18"/>
                                <w:lang w:val="es-ES"/>
                              </w:rPr>
                              <w:t>KONTUEN</w:t>
                            </w:r>
                          </w:p>
                          <w:p w:rsidR="003D47C0" w:rsidRPr="003A7956" w:rsidRDefault="003D47C0" w:rsidP="004C3423">
                            <w:pPr>
                              <w:spacing w:after="0"/>
                              <w:ind w:firstLine="0"/>
                              <w:jc w:val="center"/>
                              <w:rPr>
                                <w:color w:val="808080"/>
                                <w:sz w:val="18"/>
                                <w:szCs w:val="18"/>
                                <w:lang w:val="es-ES"/>
                              </w:rPr>
                            </w:pPr>
                            <w:r w:rsidRPr="003A7956">
                              <w:rPr>
                                <w:color w:val="808080"/>
                                <w:sz w:val="18"/>
                                <w:szCs w:val="18"/>
                                <w:lang w:val="es-ES"/>
                              </w:rPr>
                              <w:t>GANBERA</w:t>
                            </w:r>
                          </w:p>
                          <w:p w:rsidR="003D47C0" w:rsidRPr="002C7026" w:rsidRDefault="003D47C0"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BEE1014"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3D47C0" w:rsidRPr="003A7956" w:rsidRDefault="003D47C0" w:rsidP="004C3423">
                      <w:pPr>
                        <w:spacing w:after="0"/>
                        <w:ind w:firstLine="0"/>
                        <w:jc w:val="center"/>
                        <w:rPr>
                          <w:sz w:val="18"/>
                          <w:szCs w:val="18"/>
                          <w:lang w:val="es-ES"/>
                        </w:rPr>
                      </w:pPr>
                      <w:r w:rsidRPr="003A7956">
                        <w:rPr>
                          <w:sz w:val="18"/>
                          <w:szCs w:val="18"/>
                          <w:lang w:val="es-ES"/>
                        </w:rPr>
                        <w:t>CAMARA DE</w:t>
                      </w:r>
                    </w:p>
                    <w:p w:rsidR="003D47C0" w:rsidRPr="003A7956" w:rsidRDefault="003D47C0" w:rsidP="004C3423">
                      <w:pPr>
                        <w:spacing w:after="0"/>
                        <w:ind w:firstLine="0"/>
                        <w:jc w:val="center"/>
                        <w:rPr>
                          <w:sz w:val="18"/>
                          <w:szCs w:val="18"/>
                          <w:lang w:val="es-ES"/>
                        </w:rPr>
                      </w:pPr>
                      <w:r w:rsidRPr="003A7956">
                        <w:rPr>
                          <w:sz w:val="18"/>
                          <w:szCs w:val="18"/>
                          <w:lang w:val="es-ES"/>
                        </w:rPr>
                        <w:t>COMPTOS</w:t>
                      </w:r>
                    </w:p>
                    <w:p w:rsidR="003D47C0" w:rsidRPr="003A7956" w:rsidRDefault="003D47C0" w:rsidP="004C3423">
                      <w:pPr>
                        <w:spacing w:after="0"/>
                        <w:ind w:firstLine="0"/>
                        <w:jc w:val="center"/>
                        <w:rPr>
                          <w:sz w:val="18"/>
                          <w:szCs w:val="18"/>
                          <w:lang w:val="es-ES"/>
                        </w:rPr>
                      </w:pPr>
                      <w:r w:rsidRPr="003A7956">
                        <w:rPr>
                          <w:sz w:val="18"/>
                          <w:szCs w:val="18"/>
                          <w:lang w:val="es-ES"/>
                        </w:rPr>
                        <w:t>DE NAVARRA</w:t>
                      </w:r>
                    </w:p>
                    <w:p w:rsidR="003D47C0" w:rsidRPr="003A7956" w:rsidRDefault="003D47C0" w:rsidP="004C3423">
                      <w:pPr>
                        <w:spacing w:after="0"/>
                        <w:ind w:firstLine="0"/>
                        <w:jc w:val="center"/>
                        <w:rPr>
                          <w:color w:val="808080"/>
                          <w:sz w:val="18"/>
                          <w:szCs w:val="18"/>
                          <w:lang w:val="es-ES"/>
                        </w:rPr>
                      </w:pPr>
                      <w:r w:rsidRPr="003A7956">
                        <w:rPr>
                          <w:color w:val="808080"/>
                          <w:sz w:val="18"/>
                          <w:szCs w:val="18"/>
                          <w:lang w:val="es-ES"/>
                        </w:rPr>
                        <w:t>NAFARROAKO</w:t>
                      </w:r>
                    </w:p>
                    <w:p w:rsidR="003D47C0" w:rsidRPr="003A7956" w:rsidRDefault="003D47C0" w:rsidP="004C3423">
                      <w:pPr>
                        <w:spacing w:after="0"/>
                        <w:ind w:firstLine="0"/>
                        <w:jc w:val="center"/>
                        <w:rPr>
                          <w:color w:val="808080"/>
                          <w:sz w:val="18"/>
                          <w:szCs w:val="18"/>
                          <w:lang w:val="es-ES"/>
                        </w:rPr>
                      </w:pPr>
                      <w:r w:rsidRPr="003A7956">
                        <w:rPr>
                          <w:color w:val="808080"/>
                          <w:sz w:val="18"/>
                          <w:szCs w:val="18"/>
                          <w:lang w:val="es-ES"/>
                        </w:rPr>
                        <w:t>KONTUEN</w:t>
                      </w:r>
                    </w:p>
                    <w:p w:rsidR="003D47C0" w:rsidRPr="003A7956" w:rsidRDefault="003D47C0" w:rsidP="004C3423">
                      <w:pPr>
                        <w:spacing w:after="0"/>
                        <w:ind w:firstLine="0"/>
                        <w:jc w:val="center"/>
                        <w:rPr>
                          <w:color w:val="808080"/>
                          <w:sz w:val="18"/>
                          <w:szCs w:val="18"/>
                          <w:lang w:val="es-ES"/>
                        </w:rPr>
                      </w:pPr>
                      <w:r w:rsidRPr="003A7956">
                        <w:rPr>
                          <w:color w:val="808080"/>
                          <w:sz w:val="18"/>
                          <w:szCs w:val="18"/>
                          <w:lang w:val="es-ES"/>
                        </w:rPr>
                        <w:t>GANBERA</w:t>
                      </w:r>
                    </w:p>
                    <w:p w:rsidR="003D47C0" w:rsidRPr="002C7026" w:rsidRDefault="003D47C0" w:rsidP="002C7026">
                      <w:pPr>
                        <w:spacing w:after="0"/>
                        <w:ind w:firstLine="0"/>
                        <w:jc w:val="center"/>
                        <w:rPr>
                          <w:rFonts w:ascii="Trajan" w:hAnsi="Trajan"/>
                          <w:color w:val="808080"/>
                          <w:sz w:val="18"/>
                          <w:szCs w:val="18"/>
                          <w:lang w:val="es-ES"/>
                        </w:rPr>
                      </w:pPr>
                    </w:p>
                  </w:txbxContent>
                </v:textbox>
              </v:shape>
            </w:pict>
          </mc:Fallback>
        </mc:AlternateContent>
      </w:r>
      <w:r w:rsidR="004179C3">
        <w:rPr>
          <w:rFonts w:ascii="Arial" w:hAnsi="Arial" w:cs="Arial"/>
          <w:color w:val="808080"/>
          <w:sz w:val="40"/>
        </w:rPr>
        <w:t xml:space="preserve"> </w:t>
      </w:r>
    </w:p>
    <w:p w:rsidR="009D0F24" w:rsidRDefault="00D426D2" w:rsidP="000B44FC">
      <w:pPr>
        <w:pStyle w:val="EstiloPortada"/>
        <w:ind w:left="3724"/>
      </w:pPr>
      <w:r>
        <w:t>Ayuntamiento</w:t>
      </w:r>
      <w:r w:rsidR="00852C80">
        <w:t xml:space="preserve"> de</w:t>
      </w:r>
      <w:r w:rsidR="00BE251C">
        <w:t>l</w:t>
      </w:r>
    </w:p>
    <w:p w:rsidR="001C3A32" w:rsidRPr="001D4F09" w:rsidRDefault="00BE251C" w:rsidP="000B44FC">
      <w:pPr>
        <w:pStyle w:val="EstiloPortada"/>
        <w:ind w:left="3724"/>
      </w:pPr>
      <w:r>
        <w:t xml:space="preserve">Valle de </w:t>
      </w:r>
      <w:proofErr w:type="spellStart"/>
      <w:r>
        <w:t>Egüés</w:t>
      </w:r>
      <w:proofErr w:type="spellEnd"/>
      <w:r>
        <w:t>, 2019</w:t>
      </w:r>
    </w:p>
    <w:p w:rsidR="001C3A32" w:rsidRPr="00204979" w:rsidRDefault="001C3A32" w:rsidP="00891D73">
      <w:pPr>
        <w:pStyle w:val="texto"/>
      </w:pPr>
    </w:p>
    <w:p w:rsidR="001C3A32" w:rsidRPr="00204979" w:rsidRDefault="001C3A32"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844F74" w:rsidRDefault="00844F74" w:rsidP="00891D73">
      <w:pPr>
        <w:pStyle w:val="texto"/>
      </w:pPr>
    </w:p>
    <w:p w:rsidR="009E4407" w:rsidRPr="00204979" w:rsidRDefault="009E4407" w:rsidP="00891D73">
      <w:pPr>
        <w:pStyle w:val="texto"/>
      </w:pPr>
    </w:p>
    <w:p w:rsidR="00844F74" w:rsidRPr="00204979" w:rsidRDefault="00844F74" w:rsidP="00891D73">
      <w:pPr>
        <w:pStyle w:val="texto"/>
      </w:pPr>
    </w:p>
    <w:p w:rsidR="00157B09" w:rsidRDefault="00157B09" w:rsidP="009936FC">
      <w:pPr>
        <w:pStyle w:val="Fechaportada"/>
      </w:pPr>
    </w:p>
    <w:p w:rsidR="00157B09" w:rsidRDefault="00157B09" w:rsidP="009936FC">
      <w:pPr>
        <w:pStyle w:val="Fechaportada"/>
      </w:pPr>
    </w:p>
    <w:p w:rsidR="00157B09" w:rsidRDefault="00157B09" w:rsidP="009936FC">
      <w:pPr>
        <w:pStyle w:val="Fechaportada"/>
      </w:pPr>
    </w:p>
    <w:p w:rsidR="00157B09" w:rsidRDefault="00157B09" w:rsidP="009936FC">
      <w:pPr>
        <w:pStyle w:val="Fechaportada"/>
      </w:pPr>
    </w:p>
    <w:p w:rsidR="00157B09" w:rsidRDefault="00157B09" w:rsidP="009936FC">
      <w:pPr>
        <w:pStyle w:val="Fechaportada"/>
      </w:pPr>
    </w:p>
    <w:p w:rsidR="00157B09" w:rsidRDefault="00157B09" w:rsidP="009936FC">
      <w:pPr>
        <w:pStyle w:val="Fechaportada"/>
      </w:pPr>
    </w:p>
    <w:p w:rsidR="00716463" w:rsidRPr="00697C58" w:rsidRDefault="00A8555C" w:rsidP="009936FC">
      <w:pPr>
        <w:pStyle w:val="Fechaportada"/>
      </w:pPr>
      <w:r>
        <w:t>Septiembre</w:t>
      </w:r>
      <w:r w:rsidR="00253E78" w:rsidRPr="00697C58">
        <w:t xml:space="preserve"> de 20</w:t>
      </w:r>
      <w:r w:rsidR="00326429">
        <w:t>20</w:t>
      </w:r>
    </w:p>
    <w:p w:rsidR="008E3FFE" w:rsidRPr="00697C58" w:rsidRDefault="008E3FFE" w:rsidP="00891D73">
      <w:pPr>
        <w:pStyle w:val="ndice"/>
        <w:rPr>
          <w:rFonts w:ascii="Times New Roman" w:hAnsi="Times New Roman"/>
          <w:b w:val="0"/>
          <w:color w:val="auto"/>
        </w:rPr>
        <w:sectPr w:rsidR="008E3FFE" w:rsidRPr="00697C58"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1C3A32" w:rsidRDefault="00891D73" w:rsidP="00891D73">
      <w:pPr>
        <w:pStyle w:val="ndice"/>
      </w:pPr>
      <w:r w:rsidRPr="00891D73">
        <w:lastRenderedPageBreak/>
        <w:t>Índice</w:t>
      </w:r>
    </w:p>
    <w:p w:rsidR="00156CD3" w:rsidRPr="00EF5FA7" w:rsidRDefault="00156CD3" w:rsidP="00156CD3">
      <w:pPr>
        <w:pStyle w:val="ndice"/>
        <w:ind w:right="-310"/>
        <w:jc w:val="right"/>
        <w:rPr>
          <w:b w:val="0"/>
          <w:i/>
          <w:sz w:val="15"/>
          <w:szCs w:val="15"/>
        </w:rPr>
      </w:pPr>
      <w:r w:rsidRPr="00EF5FA7">
        <w:rPr>
          <w:b w:val="0"/>
          <w:i/>
          <w:sz w:val="15"/>
          <w:szCs w:val="15"/>
        </w:rPr>
        <w:t>Página</w:t>
      </w:r>
    </w:p>
    <w:p w:rsidR="00DB7924" w:rsidRDefault="00156CD3">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50018572" w:history="1">
        <w:r w:rsidR="00DB7924" w:rsidRPr="00B83813">
          <w:rPr>
            <w:rStyle w:val="Hipervnculo"/>
            <w:rFonts w:cs="Arial"/>
            <w:noProof/>
          </w:rPr>
          <w:t>I. Introducción</w:t>
        </w:r>
        <w:r w:rsidR="00DB7924">
          <w:rPr>
            <w:noProof/>
            <w:webHidden/>
          </w:rPr>
          <w:tab/>
        </w:r>
        <w:r w:rsidR="00DB7924">
          <w:rPr>
            <w:noProof/>
            <w:webHidden/>
          </w:rPr>
          <w:fldChar w:fldCharType="begin"/>
        </w:r>
        <w:r w:rsidR="00DB7924">
          <w:rPr>
            <w:noProof/>
            <w:webHidden/>
          </w:rPr>
          <w:instrText xml:space="preserve"> PAGEREF _Toc50018572 \h </w:instrText>
        </w:r>
        <w:r w:rsidR="00DB7924">
          <w:rPr>
            <w:noProof/>
            <w:webHidden/>
          </w:rPr>
        </w:r>
        <w:r w:rsidR="00DB7924">
          <w:rPr>
            <w:noProof/>
            <w:webHidden/>
          </w:rPr>
          <w:fldChar w:fldCharType="separate"/>
        </w:r>
        <w:r w:rsidR="00266C34">
          <w:rPr>
            <w:noProof/>
            <w:webHidden/>
          </w:rPr>
          <w:t>3</w:t>
        </w:r>
        <w:r w:rsidR="00DB7924">
          <w:rPr>
            <w:noProof/>
            <w:webHidden/>
          </w:rPr>
          <w:fldChar w:fldCharType="end"/>
        </w:r>
      </w:hyperlink>
    </w:p>
    <w:p w:rsidR="00DB7924" w:rsidRDefault="00412E50">
      <w:pPr>
        <w:pStyle w:val="TDC1"/>
        <w:rPr>
          <w:rFonts w:asciiTheme="minorHAnsi" w:eastAsiaTheme="minorEastAsia" w:hAnsiTheme="minorHAnsi" w:cstheme="minorBidi"/>
          <w:smallCaps w:val="0"/>
          <w:noProof/>
          <w:szCs w:val="22"/>
          <w:lang w:val="es-ES" w:eastAsia="es-ES"/>
        </w:rPr>
      </w:pPr>
      <w:hyperlink w:anchor="_Toc50018573" w:history="1">
        <w:r w:rsidR="00DB7924" w:rsidRPr="00B83813">
          <w:rPr>
            <w:rStyle w:val="Hipervnculo"/>
            <w:rFonts w:cs="Arial"/>
            <w:noProof/>
          </w:rPr>
          <w:t>II. El Ayuntamiento del Valle de Egüés</w:t>
        </w:r>
        <w:r w:rsidR="00DB7924">
          <w:rPr>
            <w:noProof/>
            <w:webHidden/>
          </w:rPr>
          <w:tab/>
        </w:r>
        <w:r w:rsidR="00DB7924">
          <w:rPr>
            <w:noProof/>
            <w:webHidden/>
          </w:rPr>
          <w:fldChar w:fldCharType="begin"/>
        </w:r>
        <w:r w:rsidR="00DB7924">
          <w:rPr>
            <w:noProof/>
            <w:webHidden/>
          </w:rPr>
          <w:instrText xml:space="preserve"> PAGEREF _Toc50018573 \h </w:instrText>
        </w:r>
        <w:r w:rsidR="00DB7924">
          <w:rPr>
            <w:noProof/>
            <w:webHidden/>
          </w:rPr>
        </w:r>
        <w:r w:rsidR="00DB7924">
          <w:rPr>
            <w:noProof/>
            <w:webHidden/>
          </w:rPr>
          <w:fldChar w:fldCharType="separate"/>
        </w:r>
        <w:r w:rsidR="00266C34">
          <w:rPr>
            <w:noProof/>
            <w:webHidden/>
          </w:rPr>
          <w:t>4</w:t>
        </w:r>
        <w:r w:rsidR="00DB7924">
          <w:rPr>
            <w:noProof/>
            <w:webHidden/>
          </w:rPr>
          <w:fldChar w:fldCharType="end"/>
        </w:r>
      </w:hyperlink>
    </w:p>
    <w:p w:rsidR="00DB7924" w:rsidRDefault="00412E50">
      <w:pPr>
        <w:pStyle w:val="TDC1"/>
        <w:rPr>
          <w:rFonts w:asciiTheme="minorHAnsi" w:eastAsiaTheme="minorEastAsia" w:hAnsiTheme="minorHAnsi" w:cstheme="minorBidi"/>
          <w:smallCaps w:val="0"/>
          <w:noProof/>
          <w:szCs w:val="22"/>
          <w:lang w:val="es-ES" w:eastAsia="es-ES"/>
        </w:rPr>
      </w:pPr>
      <w:hyperlink w:anchor="_Toc50018574" w:history="1">
        <w:r w:rsidR="00DB7924" w:rsidRPr="00B83813">
          <w:rPr>
            <w:rStyle w:val="Hipervnculo"/>
            <w:rFonts w:cs="Arial"/>
            <w:noProof/>
          </w:rPr>
          <w:t>III. Objetivos y alcance de la fiscalización</w:t>
        </w:r>
        <w:r w:rsidR="00DB7924">
          <w:rPr>
            <w:noProof/>
            <w:webHidden/>
          </w:rPr>
          <w:tab/>
        </w:r>
        <w:r w:rsidR="00DB7924">
          <w:rPr>
            <w:noProof/>
            <w:webHidden/>
          </w:rPr>
          <w:fldChar w:fldCharType="begin"/>
        </w:r>
        <w:r w:rsidR="00DB7924">
          <w:rPr>
            <w:noProof/>
            <w:webHidden/>
          </w:rPr>
          <w:instrText xml:space="preserve"> PAGEREF _Toc50018574 \h </w:instrText>
        </w:r>
        <w:r w:rsidR="00DB7924">
          <w:rPr>
            <w:noProof/>
            <w:webHidden/>
          </w:rPr>
        </w:r>
        <w:r w:rsidR="00DB7924">
          <w:rPr>
            <w:noProof/>
            <w:webHidden/>
          </w:rPr>
          <w:fldChar w:fldCharType="separate"/>
        </w:r>
        <w:r w:rsidR="00266C34">
          <w:rPr>
            <w:noProof/>
            <w:webHidden/>
          </w:rPr>
          <w:t>6</w:t>
        </w:r>
        <w:r w:rsidR="00DB7924">
          <w:rPr>
            <w:noProof/>
            <w:webHidden/>
          </w:rPr>
          <w:fldChar w:fldCharType="end"/>
        </w:r>
      </w:hyperlink>
    </w:p>
    <w:p w:rsidR="00DB7924" w:rsidRDefault="00412E50">
      <w:pPr>
        <w:pStyle w:val="TDC1"/>
        <w:rPr>
          <w:rFonts w:asciiTheme="minorHAnsi" w:eastAsiaTheme="minorEastAsia" w:hAnsiTheme="minorHAnsi" w:cstheme="minorBidi"/>
          <w:smallCaps w:val="0"/>
          <w:noProof/>
          <w:szCs w:val="22"/>
          <w:lang w:val="es-ES" w:eastAsia="es-ES"/>
        </w:rPr>
      </w:pPr>
      <w:hyperlink w:anchor="_Toc50018575" w:history="1">
        <w:r w:rsidR="00DB7924" w:rsidRPr="00B83813">
          <w:rPr>
            <w:rStyle w:val="Hipervnculo"/>
            <w:rFonts w:cs="Arial"/>
            <w:noProof/>
          </w:rPr>
          <w:t>IV. Opinión</w:t>
        </w:r>
        <w:r w:rsidR="00DB7924">
          <w:rPr>
            <w:noProof/>
            <w:webHidden/>
          </w:rPr>
          <w:tab/>
        </w:r>
        <w:r w:rsidR="00DB7924">
          <w:rPr>
            <w:noProof/>
            <w:webHidden/>
          </w:rPr>
          <w:fldChar w:fldCharType="begin"/>
        </w:r>
        <w:r w:rsidR="00DB7924">
          <w:rPr>
            <w:noProof/>
            <w:webHidden/>
          </w:rPr>
          <w:instrText xml:space="preserve"> PAGEREF _Toc50018575 \h </w:instrText>
        </w:r>
        <w:r w:rsidR="00DB7924">
          <w:rPr>
            <w:noProof/>
            <w:webHidden/>
          </w:rPr>
        </w:r>
        <w:r w:rsidR="00DB7924">
          <w:rPr>
            <w:noProof/>
            <w:webHidden/>
          </w:rPr>
          <w:fldChar w:fldCharType="separate"/>
        </w:r>
        <w:r w:rsidR="00266C34">
          <w:rPr>
            <w:noProof/>
            <w:webHidden/>
          </w:rPr>
          <w:t>7</w:t>
        </w:r>
        <w:r w:rsidR="00DB7924">
          <w:rPr>
            <w:noProof/>
            <w:webHidden/>
          </w:rPr>
          <w:fldChar w:fldCharType="end"/>
        </w:r>
      </w:hyperlink>
    </w:p>
    <w:p w:rsidR="00DB7924" w:rsidRDefault="00412E50">
      <w:pPr>
        <w:pStyle w:val="TDC2"/>
        <w:rPr>
          <w:rFonts w:asciiTheme="minorHAnsi" w:eastAsiaTheme="minorEastAsia" w:hAnsiTheme="minorHAnsi" w:cstheme="minorBidi"/>
          <w:noProof/>
          <w:szCs w:val="22"/>
          <w:lang w:val="es-ES" w:eastAsia="es-ES"/>
        </w:rPr>
      </w:pPr>
      <w:hyperlink w:anchor="_Toc50018576" w:history="1">
        <w:r w:rsidR="00DB7924" w:rsidRPr="00B83813">
          <w:rPr>
            <w:rStyle w:val="Hipervnculo"/>
            <w:rFonts w:cs="Arial"/>
            <w:noProof/>
          </w:rPr>
          <w:t>IV.1. Opinión de auditoría financiera</w:t>
        </w:r>
        <w:r w:rsidR="00DB7924">
          <w:rPr>
            <w:noProof/>
            <w:webHidden/>
          </w:rPr>
          <w:tab/>
        </w:r>
        <w:r w:rsidR="00DB7924">
          <w:rPr>
            <w:noProof/>
            <w:webHidden/>
          </w:rPr>
          <w:fldChar w:fldCharType="begin"/>
        </w:r>
        <w:r w:rsidR="00DB7924">
          <w:rPr>
            <w:noProof/>
            <w:webHidden/>
          </w:rPr>
          <w:instrText xml:space="preserve"> PAGEREF _Toc50018576 \h </w:instrText>
        </w:r>
        <w:r w:rsidR="00DB7924">
          <w:rPr>
            <w:noProof/>
            <w:webHidden/>
          </w:rPr>
        </w:r>
        <w:r w:rsidR="00DB7924">
          <w:rPr>
            <w:noProof/>
            <w:webHidden/>
          </w:rPr>
          <w:fldChar w:fldCharType="separate"/>
        </w:r>
        <w:r w:rsidR="00266C34">
          <w:rPr>
            <w:noProof/>
            <w:webHidden/>
          </w:rPr>
          <w:t>8</w:t>
        </w:r>
        <w:r w:rsidR="00DB7924">
          <w:rPr>
            <w:noProof/>
            <w:webHidden/>
          </w:rPr>
          <w:fldChar w:fldCharType="end"/>
        </w:r>
      </w:hyperlink>
    </w:p>
    <w:p w:rsidR="00DB7924" w:rsidRDefault="00412E50">
      <w:pPr>
        <w:pStyle w:val="TDC2"/>
        <w:rPr>
          <w:rFonts w:asciiTheme="minorHAnsi" w:eastAsiaTheme="minorEastAsia" w:hAnsiTheme="minorHAnsi" w:cstheme="minorBidi"/>
          <w:noProof/>
          <w:szCs w:val="22"/>
          <w:lang w:val="es-ES" w:eastAsia="es-ES"/>
        </w:rPr>
      </w:pPr>
      <w:hyperlink w:anchor="_Toc50018577" w:history="1">
        <w:r w:rsidR="00DB7924" w:rsidRPr="00B83813">
          <w:rPr>
            <w:rStyle w:val="Hipervnculo"/>
            <w:noProof/>
          </w:rPr>
          <w:t>IV.2. Opinión de cumplimiento de la legalidad</w:t>
        </w:r>
        <w:r w:rsidR="00DB7924">
          <w:rPr>
            <w:noProof/>
            <w:webHidden/>
          </w:rPr>
          <w:tab/>
        </w:r>
        <w:r w:rsidR="00DB7924">
          <w:rPr>
            <w:noProof/>
            <w:webHidden/>
          </w:rPr>
          <w:fldChar w:fldCharType="begin"/>
        </w:r>
        <w:r w:rsidR="00DB7924">
          <w:rPr>
            <w:noProof/>
            <w:webHidden/>
          </w:rPr>
          <w:instrText xml:space="preserve"> PAGEREF _Toc50018577 \h </w:instrText>
        </w:r>
        <w:r w:rsidR="00DB7924">
          <w:rPr>
            <w:noProof/>
            <w:webHidden/>
          </w:rPr>
        </w:r>
        <w:r w:rsidR="00DB7924">
          <w:rPr>
            <w:noProof/>
            <w:webHidden/>
          </w:rPr>
          <w:fldChar w:fldCharType="separate"/>
        </w:r>
        <w:r w:rsidR="00266C34">
          <w:rPr>
            <w:noProof/>
            <w:webHidden/>
          </w:rPr>
          <w:t>8</w:t>
        </w:r>
        <w:r w:rsidR="00DB7924">
          <w:rPr>
            <w:noProof/>
            <w:webHidden/>
          </w:rPr>
          <w:fldChar w:fldCharType="end"/>
        </w:r>
      </w:hyperlink>
    </w:p>
    <w:p w:rsidR="00DB7924" w:rsidRDefault="00412E50">
      <w:pPr>
        <w:pStyle w:val="TDC1"/>
        <w:rPr>
          <w:rFonts w:asciiTheme="minorHAnsi" w:eastAsiaTheme="minorEastAsia" w:hAnsiTheme="minorHAnsi" w:cstheme="minorBidi"/>
          <w:smallCaps w:val="0"/>
          <w:noProof/>
          <w:szCs w:val="22"/>
          <w:lang w:val="es-ES" w:eastAsia="es-ES"/>
        </w:rPr>
      </w:pPr>
      <w:hyperlink w:anchor="_Toc50018578" w:history="1">
        <w:r w:rsidR="00DB7924" w:rsidRPr="00B83813">
          <w:rPr>
            <w:rStyle w:val="Hipervnculo"/>
            <w:rFonts w:cs="Arial"/>
            <w:noProof/>
          </w:rPr>
          <w:t>V. Resumen de la Cuenta General</w:t>
        </w:r>
        <w:r w:rsidR="00DB7924">
          <w:rPr>
            <w:noProof/>
            <w:webHidden/>
          </w:rPr>
          <w:tab/>
        </w:r>
        <w:r w:rsidR="00DB7924">
          <w:rPr>
            <w:noProof/>
            <w:webHidden/>
          </w:rPr>
          <w:fldChar w:fldCharType="begin"/>
        </w:r>
        <w:r w:rsidR="00DB7924">
          <w:rPr>
            <w:noProof/>
            <w:webHidden/>
          </w:rPr>
          <w:instrText xml:space="preserve"> PAGEREF _Toc50018578 \h </w:instrText>
        </w:r>
        <w:r w:rsidR="00DB7924">
          <w:rPr>
            <w:noProof/>
            <w:webHidden/>
          </w:rPr>
        </w:r>
        <w:r w:rsidR="00DB7924">
          <w:rPr>
            <w:noProof/>
            <w:webHidden/>
          </w:rPr>
          <w:fldChar w:fldCharType="separate"/>
        </w:r>
        <w:r w:rsidR="00266C34">
          <w:rPr>
            <w:noProof/>
            <w:webHidden/>
          </w:rPr>
          <w:t>9</w:t>
        </w:r>
        <w:r w:rsidR="00DB7924">
          <w:rPr>
            <w:noProof/>
            <w:webHidden/>
          </w:rPr>
          <w:fldChar w:fldCharType="end"/>
        </w:r>
      </w:hyperlink>
    </w:p>
    <w:p w:rsidR="00DB7924" w:rsidRDefault="00412E50">
      <w:pPr>
        <w:pStyle w:val="TDC2"/>
        <w:rPr>
          <w:rFonts w:asciiTheme="minorHAnsi" w:eastAsiaTheme="minorEastAsia" w:hAnsiTheme="minorHAnsi" w:cstheme="minorBidi"/>
          <w:noProof/>
          <w:szCs w:val="22"/>
          <w:lang w:val="es-ES" w:eastAsia="es-ES"/>
        </w:rPr>
      </w:pPr>
      <w:hyperlink w:anchor="_Toc50018579" w:history="1">
        <w:r w:rsidR="00DB7924" w:rsidRPr="00B83813">
          <w:rPr>
            <w:rStyle w:val="Hipervnculo"/>
            <w:noProof/>
            <w:spacing w:val="2"/>
          </w:rPr>
          <w:t>V.1. Estado de liquidación del presupuesto del ejercicio 2019</w:t>
        </w:r>
        <w:r w:rsidR="00DB7924">
          <w:rPr>
            <w:noProof/>
            <w:webHidden/>
          </w:rPr>
          <w:tab/>
        </w:r>
        <w:r w:rsidR="00DB7924">
          <w:rPr>
            <w:noProof/>
            <w:webHidden/>
          </w:rPr>
          <w:fldChar w:fldCharType="begin"/>
        </w:r>
        <w:r w:rsidR="00DB7924">
          <w:rPr>
            <w:noProof/>
            <w:webHidden/>
          </w:rPr>
          <w:instrText xml:space="preserve"> PAGEREF _Toc50018579 \h </w:instrText>
        </w:r>
        <w:r w:rsidR="00DB7924">
          <w:rPr>
            <w:noProof/>
            <w:webHidden/>
          </w:rPr>
        </w:r>
        <w:r w:rsidR="00DB7924">
          <w:rPr>
            <w:noProof/>
            <w:webHidden/>
          </w:rPr>
          <w:fldChar w:fldCharType="separate"/>
        </w:r>
        <w:r w:rsidR="00266C34">
          <w:rPr>
            <w:noProof/>
            <w:webHidden/>
          </w:rPr>
          <w:t>9</w:t>
        </w:r>
        <w:r w:rsidR="00DB7924">
          <w:rPr>
            <w:noProof/>
            <w:webHidden/>
          </w:rPr>
          <w:fldChar w:fldCharType="end"/>
        </w:r>
      </w:hyperlink>
    </w:p>
    <w:p w:rsidR="00DB7924" w:rsidRDefault="00412E50">
      <w:pPr>
        <w:pStyle w:val="TDC2"/>
        <w:rPr>
          <w:rFonts w:asciiTheme="minorHAnsi" w:eastAsiaTheme="minorEastAsia" w:hAnsiTheme="minorHAnsi" w:cstheme="minorBidi"/>
          <w:noProof/>
          <w:szCs w:val="22"/>
          <w:lang w:val="es-ES" w:eastAsia="es-ES"/>
        </w:rPr>
      </w:pPr>
      <w:hyperlink w:anchor="_Toc50018580" w:history="1">
        <w:r w:rsidR="00DB7924" w:rsidRPr="00B83813">
          <w:rPr>
            <w:rStyle w:val="Hipervnculo"/>
            <w:noProof/>
            <w:spacing w:val="2"/>
          </w:rPr>
          <w:t>V.2. Resultado presupuestario</w:t>
        </w:r>
        <w:r w:rsidR="00DB7924">
          <w:rPr>
            <w:noProof/>
            <w:webHidden/>
          </w:rPr>
          <w:tab/>
        </w:r>
        <w:r w:rsidR="00DB7924">
          <w:rPr>
            <w:noProof/>
            <w:webHidden/>
          </w:rPr>
          <w:fldChar w:fldCharType="begin"/>
        </w:r>
        <w:r w:rsidR="00DB7924">
          <w:rPr>
            <w:noProof/>
            <w:webHidden/>
          </w:rPr>
          <w:instrText xml:space="preserve"> PAGEREF _Toc50018580 \h </w:instrText>
        </w:r>
        <w:r w:rsidR="00DB7924">
          <w:rPr>
            <w:noProof/>
            <w:webHidden/>
          </w:rPr>
        </w:r>
        <w:r w:rsidR="00DB7924">
          <w:rPr>
            <w:noProof/>
            <w:webHidden/>
          </w:rPr>
          <w:fldChar w:fldCharType="separate"/>
        </w:r>
        <w:r w:rsidR="00266C34">
          <w:rPr>
            <w:noProof/>
            <w:webHidden/>
          </w:rPr>
          <w:t>10</w:t>
        </w:r>
        <w:r w:rsidR="00DB7924">
          <w:rPr>
            <w:noProof/>
            <w:webHidden/>
          </w:rPr>
          <w:fldChar w:fldCharType="end"/>
        </w:r>
      </w:hyperlink>
    </w:p>
    <w:p w:rsidR="00DB7924" w:rsidRDefault="00412E50">
      <w:pPr>
        <w:pStyle w:val="TDC2"/>
        <w:rPr>
          <w:rFonts w:asciiTheme="minorHAnsi" w:eastAsiaTheme="minorEastAsia" w:hAnsiTheme="minorHAnsi" w:cstheme="minorBidi"/>
          <w:noProof/>
          <w:szCs w:val="22"/>
          <w:lang w:val="es-ES" w:eastAsia="es-ES"/>
        </w:rPr>
      </w:pPr>
      <w:hyperlink w:anchor="_Toc50018581" w:history="1">
        <w:r w:rsidR="00DB7924" w:rsidRPr="00B83813">
          <w:rPr>
            <w:rStyle w:val="Hipervnculo"/>
            <w:noProof/>
            <w:spacing w:val="2"/>
          </w:rPr>
          <w:t>V.3. Estado de remanente de tesorería</w:t>
        </w:r>
        <w:r w:rsidR="00DB7924">
          <w:rPr>
            <w:noProof/>
            <w:webHidden/>
          </w:rPr>
          <w:tab/>
        </w:r>
        <w:r w:rsidR="00DB7924">
          <w:rPr>
            <w:noProof/>
            <w:webHidden/>
          </w:rPr>
          <w:fldChar w:fldCharType="begin"/>
        </w:r>
        <w:r w:rsidR="00DB7924">
          <w:rPr>
            <w:noProof/>
            <w:webHidden/>
          </w:rPr>
          <w:instrText xml:space="preserve"> PAGEREF _Toc50018581 \h </w:instrText>
        </w:r>
        <w:r w:rsidR="00DB7924">
          <w:rPr>
            <w:noProof/>
            <w:webHidden/>
          </w:rPr>
        </w:r>
        <w:r w:rsidR="00DB7924">
          <w:rPr>
            <w:noProof/>
            <w:webHidden/>
          </w:rPr>
          <w:fldChar w:fldCharType="separate"/>
        </w:r>
        <w:r w:rsidR="00266C34">
          <w:rPr>
            <w:noProof/>
            <w:webHidden/>
          </w:rPr>
          <w:t>10</w:t>
        </w:r>
        <w:r w:rsidR="00DB7924">
          <w:rPr>
            <w:noProof/>
            <w:webHidden/>
          </w:rPr>
          <w:fldChar w:fldCharType="end"/>
        </w:r>
      </w:hyperlink>
    </w:p>
    <w:p w:rsidR="00DB7924" w:rsidRDefault="00412E50">
      <w:pPr>
        <w:pStyle w:val="TDC2"/>
        <w:rPr>
          <w:rFonts w:asciiTheme="minorHAnsi" w:eastAsiaTheme="minorEastAsia" w:hAnsiTheme="minorHAnsi" w:cstheme="minorBidi"/>
          <w:noProof/>
          <w:szCs w:val="22"/>
          <w:lang w:val="es-ES" w:eastAsia="es-ES"/>
        </w:rPr>
      </w:pPr>
      <w:hyperlink w:anchor="_Toc50018582" w:history="1">
        <w:r w:rsidR="00DB7924" w:rsidRPr="00B83813">
          <w:rPr>
            <w:rStyle w:val="Hipervnculo"/>
            <w:rFonts w:eastAsia="Arial"/>
            <w:noProof/>
            <w:spacing w:val="2"/>
          </w:rPr>
          <w:t>V.4. Balance</w:t>
        </w:r>
        <w:r w:rsidR="00DB7924">
          <w:rPr>
            <w:noProof/>
            <w:webHidden/>
          </w:rPr>
          <w:tab/>
        </w:r>
        <w:r w:rsidR="00DB7924">
          <w:rPr>
            <w:noProof/>
            <w:webHidden/>
          </w:rPr>
          <w:fldChar w:fldCharType="begin"/>
        </w:r>
        <w:r w:rsidR="00DB7924">
          <w:rPr>
            <w:noProof/>
            <w:webHidden/>
          </w:rPr>
          <w:instrText xml:space="preserve"> PAGEREF _Toc50018582 \h </w:instrText>
        </w:r>
        <w:r w:rsidR="00DB7924">
          <w:rPr>
            <w:noProof/>
            <w:webHidden/>
          </w:rPr>
        </w:r>
        <w:r w:rsidR="00DB7924">
          <w:rPr>
            <w:noProof/>
            <w:webHidden/>
          </w:rPr>
          <w:fldChar w:fldCharType="separate"/>
        </w:r>
        <w:r w:rsidR="00266C34">
          <w:rPr>
            <w:noProof/>
            <w:webHidden/>
          </w:rPr>
          <w:t>11</w:t>
        </w:r>
        <w:r w:rsidR="00DB7924">
          <w:rPr>
            <w:noProof/>
            <w:webHidden/>
          </w:rPr>
          <w:fldChar w:fldCharType="end"/>
        </w:r>
      </w:hyperlink>
    </w:p>
    <w:p w:rsidR="00DB7924" w:rsidRDefault="00412E50">
      <w:pPr>
        <w:pStyle w:val="TDC2"/>
        <w:rPr>
          <w:rFonts w:asciiTheme="minorHAnsi" w:eastAsiaTheme="minorEastAsia" w:hAnsiTheme="minorHAnsi" w:cstheme="minorBidi"/>
          <w:noProof/>
          <w:szCs w:val="22"/>
          <w:lang w:val="es-ES" w:eastAsia="es-ES"/>
        </w:rPr>
      </w:pPr>
      <w:hyperlink w:anchor="_Toc50018583" w:history="1">
        <w:r w:rsidR="00DB7924" w:rsidRPr="00B83813">
          <w:rPr>
            <w:rStyle w:val="Hipervnculo"/>
            <w:rFonts w:eastAsia="Arial"/>
            <w:noProof/>
            <w:spacing w:val="2"/>
          </w:rPr>
          <w:t>V.5. Cuenta de resultados</w:t>
        </w:r>
        <w:r w:rsidR="00DB7924">
          <w:rPr>
            <w:noProof/>
            <w:webHidden/>
          </w:rPr>
          <w:tab/>
        </w:r>
        <w:r w:rsidR="00DB7924">
          <w:rPr>
            <w:noProof/>
            <w:webHidden/>
          </w:rPr>
          <w:fldChar w:fldCharType="begin"/>
        </w:r>
        <w:r w:rsidR="00DB7924">
          <w:rPr>
            <w:noProof/>
            <w:webHidden/>
          </w:rPr>
          <w:instrText xml:space="preserve"> PAGEREF _Toc50018583 \h </w:instrText>
        </w:r>
        <w:r w:rsidR="00DB7924">
          <w:rPr>
            <w:noProof/>
            <w:webHidden/>
          </w:rPr>
        </w:r>
        <w:r w:rsidR="00DB7924">
          <w:rPr>
            <w:noProof/>
            <w:webHidden/>
          </w:rPr>
          <w:fldChar w:fldCharType="separate"/>
        </w:r>
        <w:r w:rsidR="00266C34">
          <w:rPr>
            <w:noProof/>
            <w:webHidden/>
          </w:rPr>
          <w:t>12</w:t>
        </w:r>
        <w:r w:rsidR="00DB7924">
          <w:rPr>
            <w:noProof/>
            <w:webHidden/>
          </w:rPr>
          <w:fldChar w:fldCharType="end"/>
        </w:r>
      </w:hyperlink>
    </w:p>
    <w:p w:rsidR="00DB7924" w:rsidRDefault="00412E50">
      <w:pPr>
        <w:pStyle w:val="TDC1"/>
        <w:rPr>
          <w:rFonts w:asciiTheme="minorHAnsi" w:eastAsiaTheme="minorEastAsia" w:hAnsiTheme="minorHAnsi" w:cstheme="minorBidi"/>
          <w:smallCaps w:val="0"/>
          <w:noProof/>
          <w:szCs w:val="22"/>
          <w:lang w:val="es-ES" w:eastAsia="es-ES"/>
        </w:rPr>
      </w:pPr>
      <w:hyperlink w:anchor="_Toc50018584" w:history="1">
        <w:r w:rsidR="00DB7924" w:rsidRPr="00B83813">
          <w:rPr>
            <w:rStyle w:val="Hipervnculo"/>
            <w:rFonts w:cs="Arial"/>
            <w:noProof/>
          </w:rPr>
          <w:t>VI. Conclusiones y recomendaciones</w:t>
        </w:r>
        <w:r w:rsidR="00DB7924">
          <w:rPr>
            <w:noProof/>
            <w:webHidden/>
          </w:rPr>
          <w:tab/>
        </w:r>
        <w:r w:rsidR="00DB7924">
          <w:rPr>
            <w:noProof/>
            <w:webHidden/>
          </w:rPr>
          <w:fldChar w:fldCharType="begin"/>
        </w:r>
        <w:r w:rsidR="00DB7924">
          <w:rPr>
            <w:noProof/>
            <w:webHidden/>
          </w:rPr>
          <w:instrText xml:space="preserve"> PAGEREF _Toc50018584 \h </w:instrText>
        </w:r>
        <w:r w:rsidR="00DB7924">
          <w:rPr>
            <w:noProof/>
            <w:webHidden/>
          </w:rPr>
        </w:r>
        <w:r w:rsidR="00DB7924">
          <w:rPr>
            <w:noProof/>
            <w:webHidden/>
          </w:rPr>
          <w:fldChar w:fldCharType="separate"/>
        </w:r>
        <w:r w:rsidR="00266C34">
          <w:rPr>
            <w:noProof/>
            <w:webHidden/>
          </w:rPr>
          <w:t>13</w:t>
        </w:r>
        <w:r w:rsidR="00DB7924">
          <w:rPr>
            <w:noProof/>
            <w:webHidden/>
          </w:rPr>
          <w:fldChar w:fldCharType="end"/>
        </w:r>
      </w:hyperlink>
    </w:p>
    <w:p w:rsidR="00DB7924" w:rsidRDefault="00412E50">
      <w:pPr>
        <w:pStyle w:val="TDC2"/>
        <w:rPr>
          <w:rFonts w:asciiTheme="minorHAnsi" w:eastAsiaTheme="minorEastAsia" w:hAnsiTheme="minorHAnsi" w:cstheme="minorBidi"/>
          <w:noProof/>
          <w:szCs w:val="22"/>
          <w:lang w:val="es-ES" w:eastAsia="es-ES"/>
        </w:rPr>
      </w:pPr>
      <w:hyperlink w:anchor="_Toc50018585" w:history="1">
        <w:r w:rsidR="00DB7924" w:rsidRPr="00B83813">
          <w:rPr>
            <w:rStyle w:val="Hipervnculo"/>
            <w:noProof/>
            <w:spacing w:val="2"/>
          </w:rPr>
          <w:t>VI.1. Presupuesto General</w:t>
        </w:r>
        <w:r w:rsidR="00DB7924">
          <w:rPr>
            <w:noProof/>
            <w:webHidden/>
          </w:rPr>
          <w:tab/>
        </w:r>
        <w:r w:rsidR="00DB7924">
          <w:rPr>
            <w:noProof/>
            <w:webHidden/>
          </w:rPr>
          <w:fldChar w:fldCharType="begin"/>
        </w:r>
        <w:r w:rsidR="00DB7924">
          <w:rPr>
            <w:noProof/>
            <w:webHidden/>
          </w:rPr>
          <w:instrText xml:space="preserve"> PAGEREF _Toc50018585 \h </w:instrText>
        </w:r>
        <w:r w:rsidR="00DB7924">
          <w:rPr>
            <w:noProof/>
            <w:webHidden/>
          </w:rPr>
        </w:r>
        <w:r w:rsidR="00DB7924">
          <w:rPr>
            <w:noProof/>
            <w:webHidden/>
          </w:rPr>
          <w:fldChar w:fldCharType="separate"/>
        </w:r>
        <w:r w:rsidR="00266C34">
          <w:rPr>
            <w:noProof/>
            <w:webHidden/>
          </w:rPr>
          <w:t>13</w:t>
        </w:r>
        <w:r w:rsidR="00DB7924">
          <w:rPr>
            <w:noProof/>
            <w:webHidden/>
          </w:rPr>
          <w:fldChar w:fldCharType="end"/>
        </w:r>
      </w:hyperlink>
    </w:p>
    <w:p w:rsidR="00DB7924" w:rsidRDefault="00412E50">
      <w:pPr>
        <w:pStyle w:val="TDC2"/>
        <w:rPr>
          <w:rFonts w:asciiTheme="minorHAnsi" w:eastAsiaTheme="minorEastAsia" w:hAnsiTheme="minorHAnsi" w:cstheme="minorBidi"/>
          <w:noProof/>
          <w:szCs w:val="22"/>
          <w:lang w:val="es-ES" w:eastAsia="es-ES"/>
        </w:rPr>
      </w:pPr>
      <w:hyperlink w:anchor="_Toc50018586" w:history="1">
        <w:r w:rsidR="00DB7924" w:rsidRPr="00B83813">
          <w:rPr>
            <w:rStyle w:val="Hipervnculo"/>
            <w:noProof/>
            <w:spacing w:val="2"/>
          </w:rPr>
          <w:t>VI.2. Situación económico-financiera del ayuntamiento a 31 de diciembre de 2019</w:t>
        </w:r>
        <w:r w:rsidR="00DB7924">
          <w:rPr>
            <w:noProof/>
            <w:webHidden/>
          </w:rPr>
          <w:tab/>
        </w:r>
        <w:r w:rsidR="00DB7924">
          <w:rPr>
            <w:noProof/>
            <w:webHidden/>
          </w:rPr>
          <w:fldChar w:fldCharType="begin"/>
        </w:r>
        <w:r w:rsidR="00DB7924">
          <w:rPr>
            <w:noProof/>
            <w:webHidden/>
          </w:rPr>
          <w:instrText xml:space="preserve"> PAGEREF _Toc50018586 \h </w:instrText>
        </w:r>
        <w:r w:rsidR="00DB7924">
          <w:rPr>
            <w:noProof/>
            <w:webHidden/>
          </w:rPr>
        </w:r>
        <w:r w:rsidR="00DB7924">
          <w:rPr>
            <w:noProof/>
            <w:webHidden/>
          </w:rPr>
          <w:fldChar w:fldCharType="separate"/>
        </w:r>
        <w:r w:rsidR="00266C34">
          <w:rPr>
            <w:noProof/>
            <w:webHidden/>
          </w:rPr>
          <w:t>14</w:t>
        </w:r>
        <w:r w:rsidR="00DB7924">
          <w:rPr>
            <w:noProof/>
            <w:webHidden/>
          </w:rPr>
          <w:fldChar w:fldCharType="end"/>
        </w:r>
      </w:hyperlink>
    </w:p>
    <w:p w:rsidR="00DB7924" w:rsidRDefault="00412E50">
      <w:pPr>
        <w:pStyle w:val="TDC2"/>
        <w:rPr>
          <w:rFonts w:asciiTheme="minorHAnsi" w:eastAsiaTheme="minorEastAsia" w:hAnsiTheme="minorHAnsi" w:cstheme="minorBidi"/>
          <w:noProof/>
          <w:szCs w:val="22"/>
          <w:lang w:val="es-ES" w:eastAsia="es-ES"/>
        </w:rPr>
      </w:pPr>
      <w:hyperlink w:anchor="_Toc50018587" w:history="1">
        <w:r w:rsidR="00DB7924" w:rsidRPr="00B83813">
          <w:rPr>
            <w:rStyle w:val="Hipervnculo"/>
            <w:noProof/>
          </w:rPr>
          <w:t>VI.3. Cumplimiento de los objetivos de estabilidad presupuestaria y sostenibilidad financiera</w:t>
        </w:r>
        <w:r w:rsidR="00DB7924">
          <w:rPr>
            <w:noProof/>
            <w:webHidden/>
          </w:rPr>
          <w:tab/>
        </w:r>
        <w:r w:rsidR="00DB7924">
          <w:rPr>
            <w:noProof/>
            <w:webHidden/>
          </w:rPr>
          <w:fldChar w:fldCharType="begin"/>
        </w:r>
        <w:r w:rsidR="00DB7924">
          <w:rPr>
            <w:noProof/>
            <w:webHidden/>
          </w:rPr>
          <w:instrText xml:space="preserve"> PAGEREF _Toc50018587 \h </w:instrText>
        </w:r>
        <w:r w:rsidR="00DB7924">
          <w:rPr>
            <w:noProof/>
            <w:webHidden/>
          </w:rPr>
        </w:r>
        <w:r w:rsidR="00DB7924">
          <w:rPr>
            <w:noProof/>
            <w:webHidden/>
          </w:rPr>
          <w:fldChar w:fldCharType="separate"/>
        </w:r>
        <w:r w:rsidR="00266C34">
          <w:rPr>
            <w:noProof/>
            <w:webHidden/>
          </w:rPr>
          <w:t>15</w:t>
        </w:r>
        <w:r w:rsidR="00DB7924">
          <w:rPr>
            <w:noProof/>
            <w:webHidden/>
          </w:rPr>
          <w:fldChar w:fldCharType="end"/>
        </w:r>
      </w:hyperlink>
    </w:p>
    <w:p w:rsidR="00DB7924" w:rsidRDefault="00412E50">
      <w:pPr>
        <w:pStyle w:val="TDC2"/>
        <w:rPr>
          <w:rFonts w:asciiTheme="minorHAnsi" w:eastAsiaTheme="minorEastAsia" w:hAnsiTheme="minorHAnsi" w:cstheme="minorBidi"/>
          <w:noProof/>
          <w:szCs w:val="22"/>
          <w:lang w:val="es-ES" w:eastAsia="es-ES"/>
        </w:rPr>
      </w:pPr>
      <w:hyperlink w:anchor="_Toc50018588" w:history="1">
        <w:r w:rsidR="00DB7924" w:rsidRPr="00B83813">
          <w:rPr>
            <w:rStyle w:val="Hipervnculo"/>
            <w:noProof/>
          </w:rPr>
          <w:t>VI.4. Seguimiento de las recomendaciones de ejercicios anteriores</w:t>
        </w:r>
        <w:r w:rsidR="00DB7924">
          <w:rPr>
            <w:noProof/>
            <w:webHidden/>
          </w:rPr>
          <w:tab/>
        </w:r>
        <w:r w:rsidR="00DB7924">
          <w:rPr>
            <w:noProof/>
            <w:webHidden/>
          </w:rPr>
          <w:fldChar w:fldCharType="begin"/>
        </w:r>
        <w:r w:rsidR="00DB7924">
          <w:rPr>
            <w:noProof/>
            <w:webHidden/>
          </w:rPr>
          <w:instrText xml:space="preserve"> PAGEREF _Toc50018588 \h </w:instrText>
        </w:r>
        <w:r w:rsidR="00DB7924">
          <w:rPr>
            <w:noProof/>
            <w:webHidden/>
          </w:rPr>
        </w:r>
        <w:r w:rsidR="00DB7924">
          <w:rPr>
            <w:noProof/>
            <w:webHidden/>
          </w:rPr>
          <w:fldChar w:fldCharType="separate"/>
        </w:r>
        <w:r w:rsidR="00266C34">
          <w:rPr>
            <w:noProof/>
            <w:webHidden/>
          </w:rPr>
          <w:t>17</w:t>
        </w:r>
        <w:r w:rsidR="00DB7924">
          <w:rPr>
            <w:noProof/>
            <w:webHidden/>
          </w:rPr>
          <w:fldChar w:fldCharType="end"/>
        </w:r>
      </w:hyperlink>
    </w:p>
    <w:p w:rsidR="00DB7924" w:rsidRDefault="00412E50">
      <w:pPr>
        <w:pStyle w:val="TDC2"/>
        <w:rPr>
          <w:rFonts w:asciiTheme="minorHAnsi" w:eastAsiaTheme="minorEastAsia" w:hAnsiTheme="minorHAnsi" w:cstheme="minorBidi"/>
          <w:noProof/>
          <w:szCs w:val="22"/>
          <w:lang w:val="es-ES" w:eastAsia="es-ES"/>
        </w:rPr>
      </w:pPr>
      <w:hyperlink w:anchor="_Toc50018589" w:history="1">
        <w:r w:rsidR="00DB7924" w:rsidRPr="00B83813">
          <w:rPr>
            <w:rStyle w:val="Hipervnculo"/>
            <w:noProof/>
          </w:rPr>
          <w:t>VI.5. Áreas de gestión relevantes</w:t>
        </w:r>
        <w:r w:rsidR="00DB7924">
          <w:rPr>
            <w:noProof/>
            <w:webHidden/>
          </w:rPr>
          <w:tab/>
        </w:r>
        <w:r w:rsidR="00DB7924">
          <w:rPr>
            <w:noProof/>
            <w:webHidden/>
          </w:rPr>
          <w:fldChar w:fldCharType="begin"/>
        </w:r>
        <w:r w:rsidR="00DB7924">
          <w:rPr>
            <w:noProof/>
            <w:webHidden/>
          </w:rPr>
          <w:instrText xml:space="preserve"> PAGEREF _Toc50018589 \h </w:instrText>
        </w:r>
        <w:r w:rsidR="00DB7924">
          <w:rPr>
            <w:noProof/>
            <w:webHidden/>
          </w:rPr>
        </w:r>
        <w:r w:rsidR="00DB7924">
          <w:rPr>
            <w:noProof/>
            <w:webHidden/>
          </w:rPr>
          <w:fldChar w:fldCharType="separate"/>
        </w:r>
        <w:r w:rsidR="00266C34">
          <w:rPr>
            <w:noProof/>
            <w:webHidden/>
          </w:rPr>
          <w:t>17</w:t>
        </w:r>
        <w:r w:rsidR="00DB7924">
          <w:rPr>
            <w:noProof/>
            <w:webHidden/>
          </w:rPr>
          <w:fldChar w:fldCharType="end"/>
        </w:r>
      </w:hyperlink>
    </w:p>
    <w:p w:rsidR="00DB7924" w:rsidRDefault="00DB7924">
      <w:pPr>
        <w:pStyle w:val="TDC1"/>
        <w:rPr>
          <w:rStyle w:val="Hipervnculo"/>
          <w:noProof/>
        </w:rPr>
      </w:pPr>
    </w:p>
    <w:p w:rsidR="00DB7924" w:rsidRDefault="00412E50">
      <w:pPr>
        <w:pStyle w:val="TDC1"/>
        <w:rPr>
          <w:rFonts w:asciiTheme="minorHAnsi" w:eastAsiaTheme="minorEastAsia" w:hAnsiTheme="minorHAnsi" w:cstheme="minorBidi"/>
          <w:smallCaps w:val="0"/>
          <w:noProof/>
          <w:szCs w:val="22"/>
          <w:lang w:val="es-ES" w:eastAsia="es-ES"/>
        </w:rPr>
      </w:pPr>
      <w:hyperlink w:anchor="_Toc50018590" w:history="1">
        <w:r w:rsidR="00DB7924" w:rsidRPr="00B83813">
          <w:rPr>
            <w:rStyle w:val="Hipervnculo"/>
            <w:noProof/>
          </w:rPr>
          <w:t>Alegaciones presentadas al informe provisional</w:t>
        </w:r>
        <w:r w:rsidR="00DB7924">
          <w:rPr>
            <w:noProof/>
            <w:webHidden/>
          </w:rPr>
          <w:tab/>
        </w:r>
        <w:r w:rsidR="00DB7924">
          <w:rPr>
            <w:noProof/>
            <w:webHidden/>
          </w:rPr>
          <w:fldChar w:fldCharType="begin"/>
        </w:r>
        <w:r w:rsidR="00DB7924">
          <w:rPr>
            <w:noProof/>
            <w:webHidden/>
          </w:rPr>
          <w:instrText xml:space="preserve"> PAGEREF _Toc50018590 \h </w:instrText>
        </w:r>
        <w:r w:rsidR="00DB7924">
          <w:rPr>
            <w:noProof/>
            <w:webHidden/>
          </w:rPr>
        </w:r>
        <w:r w:rsidR="00DB7924">
          <w:rPr>
            <w:noProof/>
            <w:webHidden/>
          </w:rPr>
          <w:fldChar w:fldCharType="separate"/>
        </w:r>
        <w:r w:rsidR="00266C34">
          <w:rPr>
            <w:noProof/>
            <w:webHidden/>
          </w:rPr>
          <w:t>32</w:t>
        </w:r>
        <w:r w:rsidR="00DB7924">
          <w:rPr>
            <w:noProof/>
            <w:webHidden/>
          </w:rPr>
          <w:fldChar w:fldCharType="end"/>
        </w:r>
      </w:hyperlink>
    </w:p>
    <w:p w:rsidR="00DB7924" w:rsidRDefault="00412E50">
      <w:pPr>
        <w:pStyle w:val="TDC1"/>
        <w:rPr>
          <w:rFonts w:asciiTheme="minorHAnsi" w:eastAsiaTheme="minorEastAsia" w:hAnsiTheme="minorHAnsi" w:cstheme="minorBidi"/>
          <w:smallCaps w:val="0"/>
          <w:noProof/>
          <w:szCs w:val="22"/>
          <w:lang w:val="es-ES" w:eastAsia="es-ES"/>
        </w:rPr>
      </w:pPr>
      <w:hyperlink w:anchor="_Toc50018591" w:history="1">
        <w:r w:rsidR="00DB7924" w:rsidRPr="00B83813">
          <w:rPr>
            <w:rStyle w:val="Hipervnculo"/>
            <w:noProof/>
          </w:rPr>
          <w:t>Contestación a las alegaciones presentadas al informe provisional</w:t>
        </w:r>
      </w:hyperlink>
    </w:p>
    <w:p w:rsidR="00891D73" w:rsidRPr="00DA230E" w:rsidRDefault="00156CD3" w:rsidP="00156CD3">
      <w:pPr>
        <w:pStyle w:val="texto"/>
        <w:rPr>
          <w:lang w:val="es-ES"/>
        </w:rPr>
      </w:pPr>
      <w:r>
        <w:fldChar w:fldCharType="end"/>
      </w:r>
    </w:p>
    <w:p w:rsidR="00891D73" w:rsidRPr="00E703B6" w:rsidRDefault="00891D73" w:rsidP="00E703B6"/>
    <w:p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rsidR="0067725A" w:rsidRPr="00C801EE" w:rsidRDefault="0067725A" w:rsidP="0067725A">
      <w:pPr>
        <w:pStyle w:val="atitulo1"/>
        <w:rPr>
          <w:rFonts w:cs="Arial"/>
          <w:szCs w:val="25"/>
        </w:rPr>
      </w:pPr>
      <w:bookmarkStart w:id="0" w:name="_Toc430935356"/>
      <w:bookmarkStart w:id="1" w:name="_Toc22495429"/>
      <w:bookmarkStart w:id="2" w:name="_Toc50018572"/>
      <w:r w:rsidRPr="00C801EE">
        <w:rPr>
          <w:rFonts w:cs="Arial"/>
          <w:szCs w:val="25"/>
        </w:rPr>
        <w:lastRenderedPageBreak/>
        <w:t>I. Introducción</w:t>
      </w:r>
      <w:bookmarkEnd w:id="0"/>
      <w:bookmarkEnd w:id="1"/>
      <w:bookmarkEnd w:id="2"/>
    </w:p>
    <w:p w:rsidR="00B24EC9" w:rsidRPr="00A33C98" w:rsidRDefault="0067725A" w:rsidP="00A33C98">
      <w:pPr>
        <w:pStyle w:val="texto"/>
        <w:tabs>
          <w:tab w:val="clear" w:pos="2835"/>
          <w:tab w:val="clear" w:pos="3969"/>
          <w:tab w:val="clear" w:pos="5103"/>
          <w:tab w:val="clear" w:pos="6237"/>
          <w:tab w:val="clear" w:pos="7371"/>
        </w:tabs>
      </w:pPr>
      <w:r w:rsidRPr="00A33C98">
        <w:t>La Cámara de Comptos, de conformidad con su Ley Foral reguladora 19/1984, de 20 de diciembre, y con su programa de actuación de 20</w:t>
      </w:r>
      <w:r w:rsidR="008A7AFB">
        <w:t>20</w:t>
      </w:r>
      <w:r w:rsidRPr="00A33C98">
        <w:t xml:space="preserve">, ha fiscalizado la Cuenta General del </w:t>
      </w:r>
      <w:r w:rsidR="00A041D7">
        <w:t>A</w:t>
      </w:r>
      <w:r w:rsidR="00D426D2">
        <w:t>yuntamiento</w:t>
      </w:r>
      <w:r w:rsidRPr="00A33C98">
        <w:t xml:space="preserve"> </w:t>
      </w:r>
      <w:r w:rsidR="008A7AFB">
        <w:t xml:space="preserve">del Valle de </w:t>
      </w:r>
      <w:proofErr w:type="spellStart"/>
      <w:r w:rsidR="008A7AFB">
        <w:t>Egüés</w:t>
      </w:r>
      <w:proofErr w:type="spellEnd"/>
      <w:r w:rsidR="008A7AFB">
        <w:t xml:space="preserve"> </w:t>
      </w:r>
      <w:r w:rsidRPr="00A33C98">
        <w:t xml:space="preserve">correspondiente al ejercicio </w:t>
      </w:r>
      <w:r w:rsidR="009133CF" w:rsidRPr="00A33C98">
        <w:t>201</w:t>
      </w:r>
      <w:r w:rsidR="008A7AFB">
        <w:t>9</w:t>
      </w:r>
      <w:r w:rsidR="009133CF" w:rsidRPr="00A33C98">
        <w:t xml:space="preserve">. </w:t>
      </w:r>
    </w:p>
    <w:p w:rsidR="0067725A" w:rsidRPr="00E04998" w:rsidRDefault="0067725A" w:rsidP="004D712A">
      <w:pPr>
        <w:pStyle w:val="texto"/>
        <w:tabs>
          <w:tab w:val="clear" w:pos="2835"/>
          <w:tab w:val="clear" w:pos="3969"/>
          <w:tab w:val="clear" w:pos="5103"/>
          <w:tab w:val="clear" w:pos="6237"/>
          <w:tab w:val="clear" w:pos="7371"/>
        </w:tabs>
      </w:pPr>
      <w:r w:rsidRPr="00B83007">
        <w:t xml:space="preserve">El informe se estructura en </w:t>
      </w:r>
      <w:r>
        <w:t xml:space="preserve">seis </w:t>
      </w:r>
      <w:r w:rsidRPr="00B83007">
        <w:t xml:space="preserve">epígrafes, incluyendo esta introducción. </w:t>
      </w:r>
      <w:r>
        <w:t>En e</w:t>
      </w:r>
      <w:r w:rsidRPr="00EF5A11">
        <w:t xml:space="preserve">l segundo </w:t>
      </w:r>
      <w:r>
        <w:t>describimos los datos más significativos del</w:t>
      </w:r>
      <w:r w:rsidR="00BE4D3A">
        <w:t xml:space="preserve"> </w:t>
      </w:r>
      <w:r w:rsidR="00A041D7">
        <w:t>a</w:t>
      </w:r>
      <w:r w:rsidR="00D426D2">
        <w:t>yuntamiento</w:t>
      </w:r>
      <w:r w:rsidR="00B24EC9">
        <w:t xml:space="preserve">; </w:t>
      </w:r>
      <w:r>
        <w:t xml:space="preserve">en el tercero identificamos los objetivos y el alcance de </w:t>
      </w:r>
      <w:r w:rsidR="00BE4D3A">
        <w:t>l</w:t>
      </w:r>
      <w:r>
        <w:t>a fiscaliza</w:t>
      </w:r>
      <w:r w:rsidR="00B24EC9">
        <w:t>ción;</w:t>
      </w:r>
      <w:r>
        <w:t xml:space="preserve"> en el cuarto </w:t>
      </w:r>
      <w:r w:rsidR="00BE4D3A">
        <w:t>emitimos la</w:t>
      </w:r>
      <w:r w:rsidRPr="00EF5A11">
        <w:t xml:space="preserve"> opinión </w:t>
      </w:r>
      <w:r>
        <w:t>financiera y de</w:t>
      </w:r>
      <w:r w:rsidRPr="00EF5A11">
        <w:t xml:space="preserve"> cumplimiento de legalidad</w:t>
      </w:r>
      <w:r>
        <w:t xml:space="preserve"> sobre la Cuenta General </w:t>
      </w:r>
      <w:r w:rsidR="00A4601D">
        <w:t xml:space="preserve">del </w:t>
      </w:r>
      <w:r w:rsidR="008A7AFB">
        <w:t>a</w:t>
      </w:r>
      <w:r w:rsidR="00D426D2">
        <w:t>yuntamiento</w:t>
      </w:r>
      <w:r>
        <w:t xml:space="preserve"> correspondiente al ejercicio 201</w:t>
      </w:r>
      <w:r w:rsidR="008A7AFB">
        <w:t>9</w:t>
      </w:r>
      <w:r>
        <w:t xml:space="preserve"> cuyo resumen se adjunta en el quinto. En el sexto </w:t>
      </w:r>
      <w:r w:rsidRPr="00EF5A11">
        <w:t>incluimos</w:t>
      </w:r>
      <w:r>
        <w:t xml:space="preserve"> un conjunto de conclusiones y recomendaciones s</w:t>
      </w:r>
      <w:r>
        <w:t>o</w:t>
      </w:r>
      <w:r>
        <w:t>bre la situación presupuestaria y finan</w:t>
      </w:r>
      <w:r w:rsidR="00BA38F3">
        <w:t xml:space="preserve">ciera del </w:t>
      </w:r>
      <w:r w:rsidR="008A7AFB">
        <w:t>a</w:t>
      </w:r>
      <w:r w:rsidR="00D426D2">
        <w:t>yuntamiento</w:t>
      </w:r>
      <w:r>
        <w:t>, el cumplimiento de los principios de estabilidad presupuestaria y sostenibilidad financiera, el segu</w:t>
      </w:r>
      <w:r>
        <w:t>i</w:t>
      </w:r>
      <w:r>
        <w:t>miento de recomendaciones de informes anteriores y las áreas de gestión más rel</w:t>
      </w:r>
      <w:r>
        <w:t>e</w:t>
      </w:r>
      <w:r>
        <w:t>vantes.</w:t>
      </w:r>
    </w:p>
    <w:p w:rsidR="0067725A" w:rsidRDefault="0067725A" w:rsidP="004D712A">
      <w:pPr>
        <w:pStyle w:val="texto"/>
        <w:tabs>
          <w:tab w:val="clear" w:pos="2835"/>
          <w:tab w:val="clear" w:pos="3969"/>
          <w:tab w:val="clear" w:pos="5103"/>
          <w:tab w:val="clear" w:pos="6237"/>
          <w:tab w:val="clear" w:pos="7371"/>
        </w:tabs>
      </w:pPr>
      <w:r>
        <w:t xml:space="preserve">El trabajo de campo </w:t>
      </w:r>
      <w:r w:rsidR="006941CE">
        <w:t>lo realizó</w:t>
      </w:r>
      <w:r w:rsidRPr="00C542E4">
        <w:t xml:space="preserve"> </w:t>
      </w:r>
      <w:r w:rsidRPr="008B5141">
        <w:t xml:space="preserve">entre </w:t>
      </w:r>
      <w:r w:rsidR="008A7AFB">
        <w:t>abril</w:t>
      </w:r>
      <w:r w:rsidRPr="008B5141">
        <w:t xml:space="preserve"> y </w:t>
      </w:r>
      <w:r w:rsidR="008A7AFB">
        <w:t>juni</w:t>
      </w:r>
      <w:r w:rsidR="00870D71" w:rsidRPr="008B5141">
        <w:t>o</w:t>
      </w:r>
      <w:r w:rsidR="00A4601D" w:rsidRPr="008B5141">
        <w:t xml:space="preserve"> </w:t>
      </w:r>
      <w:r w:rsidRPr="008B5141">
        <w:t>de 20</w:t>
      </w:r>
      <w:r w:rsidR="00870D71" w:rsidRPr="008B5141">
        <w:t>20</w:t>
      </w:r>
      <w:r w:rsidRPr="008B5141">
        <w:t xml:space="preserve"> un equipo formado </w:t>
      </w:r>
      <w:r w:rsidR="00A4601D" w:rsidRPr="008B5141">
        <w:t xml:space="preserve">por </w:t>
      </w:r>
      <w:r w:rsidR="00326429" w:rsidRPr="008B5141">
        <w:t>cuatro</w:t>
      </w:r>
      <w:r w:rsidRPr="008B5141">
        <w:t xml:space="preserve"> técnicos/as de auditoría y un</w:t>
      </w:r>
      <w:r w:rsidR="00513F60">
        <w:t>a</w:t>
      </w:r>
      <w:r w:rsidRPr="008B5141">
        <w:t xml:space="preserve"> auditor</w:t>
      </w:r>
      <w:r w:rsidR="00513F60">
        <w:t>a</w:t>
      </w:r>
      <w:r w:rsidRPr="008B5141">
        <w:t>, con la colaboración de los servicios jurídicos, informáticos y administrativos de la Cámara</w:t>
      </w:r>
      <w:r w:rsidRPr="00071848">
        <w:t>.</w:t>
      </w:r>
    </w:p>
    <w:p w:rsidR="00A8555C" w:rsidRPr="00797DEF" w:rsidRDefault="00A8555C" w:rsidP="00A8555C">
      <w:pPr>
        <w:pStyle w:val="texto"/>
        <w:tabs>
          <w:tab w:val="clear" w:pos="2835"/>
          <w:tab w:val="clear" w:pos="3969"/>
          <w:tab w:val="clear" w:pos="5103"/>
          <w:tab w:val="clear" w:pos="6237"/>
          <w:tab w:val="clear" w:pos="7371"/>
        </w:tabs>
      </w:pPr>
      <w:r w:rsidRPr="00797DEF">
        <w:t>Los resultados de esta actuación se pusieron de manifiesto a la alcaldesa</w:t>
      </w:r>
      <w:r w:rsidR="00797DEF" w:rsidRPr="00797DEF">
        <w:t xml:space="preserve"> y al exalcalde</w:t>
      </w:r>
      <w:r w:rsidRPr="00797DEF">
        <w:t xml:space="preserve"> del Ayuntamiento </w:t>
      </w:r>
      <w:r w:rsidR="00797DEF">
        <w:t xml:space="preserve">del Valle de </w:t>
      </w:r>
      <w:proofErr w:type="spellStart"/>
      <w:r w:rsidR="00797DEF">
        <w:t>Egüés</w:t>
      </w:r>
      <w:proofErr w:type="spellEnd"/>
      <w:r w:rsidRPr="00797DEF">
        <w:t xml:space="preserve"> para que formulase</w:t>
      </w:r>
      <w:r w:rsidR="00797DEF" w:rsidRPr="00797DEF">
        <w:t>n</w:t>
      </w:r>
      <w:r w:rsidRPr="00797DEF">
        <w:t>, en su caso, las alegaciones que estimase oportunas, de conformidad con lo previsto en el art. 11.2 de la Ley Foral 19/1984, reguladora de la Cámara de Comptos de Navarra.</w:t>
      </w:r>
    </w:p>
    <w:p w:rsidR="00A8555C" w:rsidRPr="00016A2C" w:rsidRDefault="00A8555C" w:rsidP="00A8555C">
      <w:pPr>
        <w:pStyle w:val="texto"/>
        <w:tabs>
          <w:tab w:val="clear" w:pos="2835"/>
          <w:tab w:val="clear" w:pos="3969"/>
          <w:tab w:val="clear" w:pos="5103"/>
          <w:tab w:val="clear" w:pos="6237"/>
          <w:tab w:val="clear" w:pos="7371"/>
        </w:tabs>
      </w:pPr>
      <w:r w:rsidRPr="00016A2C">
        <w:t xml:space="preserve">En el plazo fijado ha presentado alegaciones </w:t>
      </w:r>
      <w:r w:rsidR="00016A2C" w:rsidRPr="00016A2C">
        <w:t xml:space="preserve">la alcaldesa del Ayuntamiento del Valle de </w:t>
      </w:r>
      <w:proofErr w:type="spellStart"/>
      <w:r w:rsidR="00016A2C" w:rsidRPr="00016A2C">
        <w:t>Egüés</w:t>
      </w:r>
      <w:proofErr w:type="spellEnd"/>
      <w:r w:rsidRPr="00016A2C">
        <w:t>.</w:t>
      </w:r>
    </w:p>
    <w:p w:rsidR="0067725A" w:rsidRPr="009F5A89" w:rsidRDefault="0067725A" w:rsidP="004D712A">
      <w:pPr>
        <w:pStyle w:val="texto"/>
        <w:tabs>
          <w:tab w:val="clear" w:pos="2835"/>
          <w:tab w:val="clear" w:pos="3969"/>
          <w:tab w:val="clear" w:pos="5103"/>
          <w:tab w:val="clear" w:pos="6237"/>
          <w:tab w:val="clear" w:pos="7371"/>
        </w:tabs>
        <w:rPr>
          <w:color w:val="000000" w:themeColor="text1"/>
        </w:rPr>
      </w:pPr>
      <w:r w:rsidRPr="009F5A89">
        <w:rPr>
          <w:color w:val="000000" w:themeColor="text1"/>
        </w:rPr>
        <w:t>Agradecemos a</w:t>
      </w:r>
      <w:r w:rsidR="00BA38F3" w:rsidRPr="009F5A89">
        <w:rPr>
          <w:color w:val="000000" w:themeColor="text1"/>
        </w:rPr>
        <w:t xml:space="preserve">l personal del </w:t>
      </w:r>
      <w:r w:rsidR="008A7AFB" w:rsidRPr="009F5A89">
        <w:rPr>
          <w:color w:val="000000" w:themeColor="text1"/>
        </w:rPr>
        <w:t>a</w:t>
      </w:r>
      <w:r w:rsidR="00D426D2" w:rsidRPr="009F5A89">
        <w:rPr>
          <w:color w:val="000000" w:themeColor="text1"/>
        </w:rPr>
        <w:t>yuntamiento</w:t>
      </w:r>
      <w:r w:rsidR="00EF749D" w:rsidRPr="009F5A89">
        <w:rPr>
          <w:color w:val="000000" w:themeColor="text1"/>
        </w:rPr>
        <w:t xml:space="preserve"> y</w:t>
      </w:r>
      <w:r w:rsidR="007747F2" w:rsidRPr="009F5A89">
        <w:rPr>
          <w:color w:val="000000" w:themeColor="text1"/>
        </w:rPr>
        <w:t xml:space="preserve"> de la</w:t>
      </w:r>
      <w:r w:rsidR="00EF749D" w:rsidRPr="009F5A89">
        <w:rPr>
          <w:color w:val="000000" w:themeColor="text1"/>
        </w:rPr>
        <w:t xml:space="preserve"> </w:t>
      </w:r>
      <w:r w:rsidRPr="009F5A89">
        <w:rPr>
          <w:color w:val="000000" w:themeColor="text1"/>
        </w:rPr>
        <w:t>empresa p</w:t>
      </w:r>
      <w:r w:rsidR="00F70990" w:rsidRPr="009F5A89">
        <w:rPr>
          <w:color w:val="000000" w:themeColor="text1"/>
        </w:rPr>
        <w:t>úbli</w:t>
      </w:r>
      <w:r w:rsidR="008A7AFB" w:rsidRPr="009F5A89">
        <w:rPr>
          <w:color w:val="000000" w:themeColor="text1"/>
        </w:rPr>
        <w:t>ca</w:t>
      </w:r>
      <w:r w:rsidR="004D5553" w:rsidRPr="009F5A89">
        <w:rPr>
          <w:color w:val="000000" w:themeColor="text1"/>
        </w:rPr>
        <w:t xml:space="preserve"> municipal </w:t>
      </w:r>
      <w:proofErr w:type="spellStart"/>
      <w:r w:rsidR="00534DBA" w:rsidRPr="009F5A89">
        <w:rPr>
          <w:color w:val="000000" w:themeColor="text1"/>
        </w:rPr>
        <w:t>Andacelay</w:t>
      </w:r>
      <w:proofErr w:type="spellEnd"/>
      <w:r w:rsidR="00534DBA" w:rsidRPr="009F5A89">
        <w:rPr>
          <w:color w:val="000000" w:themeColor="text1"/>
        </w:rPr>
        <w:t xml:space="preserve">, S.L. </w:t>
      </w:r>
      <w:r w:rsidRPr="009F5A89">
        <w:rPr>
          <w:color w:val="000000" w:themeColor="text1"/>
        </w:rPr>
        <w:t>la colaboración prestada en la realización del presente trabajo.</w:t>
      </w:r>
    </w:p>
    <w:p w:rsidR="001A7A60" w:rsidRPr="009F5A89" w:rsidRDefault="001A7A60">
      <w:pPr>
        <w:spacing w:after="0"/>
        <w:ind w:firstLine="0"/>
        <w:jc w:val="left"/>
        <w:rPr>
          <w:color w:val="000000" w:themeColor="text1"/>
          <w:spacing w:val="6"/>
          <w:sz w:val="26"/>
          <w:szCs w:val="24"/>
        </w:rPr>
      </w:pPr>
      <w:r w:rsidRPr="009F5A89">
        <w:rPr>
          <w:color w:val="000000" w:themeColor="text1"/>
        </w:rPr>
        <w:br w:type="page"/>
      </w:r>
    </w:p>
    <w:p w:rsidR="0067725A" w:rsidRPr="00C801EE" w:rsidRDefault="0067725A" w:rsidP="0067725A">
      <w:pPr>
        <w:pStyle w:val="atitulo1"/>
        <w:rPr>
          <w:rFonts w:cs="Arial"/>
          <w:szCs w:val="25"/>
        </w:rPr>
      </w:pPr>
      <w:bookmarkStart w:id="3" w:name="_Toc22495430"/>
      <w:bookmarkStart w:id="4" w:name="_Toc50018573"/>
      <w:r w:rsidRPr="00C801EE">
        <w:rPr>
          <w:rFonts w:cs="Arial"/>
          <w:szCs w:val="25"/>
        </w:rPr>
        <w:lastRenderedPageBreak/>
        <w:t xml:space="preserve">II. El </w:t>
      </w:r>
      <w:r w:rsidR="00D426D2" w:rsidRPr="00C801EE">
        <w:rPr>
          <w:rFonts w:cs="Arial"/>
          <w:szCs w:val="25"/>
        </w:rPr>
        <w:t>Ayuntamiento</w:t>
      </w:r>
      <w:bookmarkEnd w:id="3"/>
      <w:r w:rsidR="008A7AFB" w:rsidRPr="00C801EE">
        <w:rPr>
          <w:rFonts w:cs="Arial"/>
          <w:szCs w:val="25"/>
        </w:rPr>
        <w:t xml:space="preserve"> </w:t>
      </w:r>
      <w:r w:rsidR="00E21822" w:rsidRPr="00C801EE">
        <w:rPr>
          <w:rFonts w:cs="Arial"/>
          <w:szCs w:val="25"/>
        </w:rPr>
        <w:t xml:space="preserve">del Valle de </w:t>
      </w:r>
      <w:proofErr w:type="spellStart"/>
      <w:r w:rsidR="00E21822" w:rsidRPr="00C801EE">
        <w:rPr>
          <w:rFonts w:cs="Arial"/>
          <w:szCs w:val="25"/>
        </w:rPr>
        <w:t>Egüés</w:t>
      </w:r>
      <w:bookmarkEnd w:id="4"/>
      <w:proofErr w:type="spellEnd"/>
    </w:p>
    <w:p w:rsidR="0067725A" w:rsidRPr="00FF265F" w:rsidRDefault="008A7AFB" w:rsidP="0067725A">
      <w:pPr>
        <w:pStyle w:val="texto"/>
      </w:pPr>
      <w:r>
        <w:t xml:space="preserve">El Valle de </w:t>
      </w:r>
      <w:proofErr w:type="spellStart"/>
      <w:r>
        <w:t>Egüés</w:t>
      </w:r>
      <w:proofErr w:type="spellEnd"/>
      <w:r>
        <w:t xml:space="preserve"> </w:t>
      </w:r>
      <w:r w:rsidR="0067725A" w:rsidRPr="00FF265F">
        <w:t xml:space="preserve">es un municipio </w:t>
      </w:r>
      <w:r>
        <w:t xml:space="preserve">compuesto </w:t>
      </w:r>
      <w:r w:rsidR="00326429">
        <w:t>situado en la Comarca de Pampl</w:t>
      </w:r>
      <w:r w:rsidR="00326429">
        <w:t>o</w:t>
      </w:r>
      <w:r w:rsidR="00326429">
        <w:t>na</w:t>
      </w:r>
      <w:r w:rsidR="008A43F3">
        <w:t>. A 1 de enero de 2019,</w:t>
      </w:r>
      <w:r w:rsidR="00326429">
        <w:t xml:space="preserve"> </w:t>
      </w:r>
      <w:r w:rsidR="0067725A" w:rsidRPr="00FF265F">
        <w:t xml:space="preserve">cuenta </w:t>
      </w:r>
      <w:r w:rsidR="0067725A">
        <w:t xml:space="preserve">con una población de derecho de </w:t>
      </w:r>
      <w:r>
        <w:t>21.128</w:t>
      </w:r>
      <w:r w:rsidR="0067725A">
        <w:t xml:space="preserve"> </w:t>
      </w:r>
      <w:r w:rsidR="0067725A" w:rsidRPr="00FF265F">
        <w:t>habita</w:t>
      </w:r>
      <w:r w:rsidR="0067725A" w:rsidRPr="00FF265F">
        <w:t>n</w:t>
      </w:r>
      <w:r w:rsidR="0067725A" w:rsidRPr="00FF265F">
        <w:t xml:space="preserve">tes y con una extensión de </w:t>
      </w:r>
      <w:r>
        <w:t>53,5</w:t>
      </w:r>
      <w:r w:rsidR="0067725A" w:rsidRPr="00FF265F">
        <w:t xml:space="preserve"> </w:t>
      </w:r>
      <w:proofErr w:type="spellStart"/>
      <w:r w:rsidR="0026438E">
        <w:t>k</w:t>
      </w:r>
      <w:r w:rsidR="0067725A" w:rsidRPr="00FF265F">
        <w:t>m</w:t>
      </w:r>
      <w:r w:rsidR="0067725A" w:rsidRPr="00BE4D3A">
        <w:rPr>
          <w:vertAlign w:val="superscript"/>
        </w:rPr>
        <w:t>2</w:t>
      </w:r>
      <w:proofErr w:type="spellEnd"/>
      <w:r w:rsidR="0067725A" w:rsidRPr="00FF265F">
        <w:t>.</w:t>
      </w:r>
      <w:r>
        <w:t xml:space="preserve"> </w:t>
      </w:r>
      <w:r w:rsidRPr="008A7AFB">
        <w:t xml:space="preserve">El municipio está formado por los concejos de </w:t>
      </w:r>
      <w:proofErr w:type="spellStart"/>
      <w:r w:rsidRPr="008A7AFB">
        <w:t>Alzuza</w:t>
      </w:r>
      <w:proofErr w:type="spellEnd"/>
      <w:r w:rsidRPr="008A7AFB">
        <w:t xml:space="preserve">, </w:t>
      </w:r>
      <w:proofErr w:type="spellStart"/>
      <w:r w:rsidRPr="008A7AFB">
        <w:t>Ardanaz</w:t>
      </w:r>
      <w:proofErr w:type="spellEnd"/>
      <w:r w:rsidRPr="008A7AFB">
        <w:t xml:space="preserve">, </w:t>
      </w:r>
      <w:proofErr w:type="spellStart"/>
      <w:r w:rsidRPr="008A7AFB">
        <w:t>Azpa</w:t>
      </w:r>
      <w:proofErr w:type="spellEnd"/>
      <w:r w:rsidRPr="008A7AFB">
        <w:t xml:space="preserve">, </w:t>
      </w:r>
      <w:proofErr w:type="spellStart"/>
      <w:r w:rsidRPr="008A7AFB">
        <w:t>Badostáin</w:t>
      </w:r>
      <w:proofErr w:type="spellEnd"/>
      <w:r w:rsidRPr="008A7AFB">
        <w:t xml:space="preserve">, </w:t>
      </w:r>
      <w:proofErr w:type="spellStart"/>
      <w:r w:rsidRPr="008A7AFB">
        <w:t>Egüés</w:t>
      </w:r>
      <w:proofErr w:type="spellEnd"/>
      <w:r w:rsidRPr="008A7AFB">
        <w:t xml:space="preserve">, Elcano, </w:t>
      </w:r>
      <w:proofErr w:type="spellStart"/>
      <w:r w:rsidRPr="008A7AFB">
        <w:t>Elía</w:t>
      </w:r>
      <w:proofErr w:type="spellEnd"/>
      <w:r w:rsidRPr="008A7AFB">
        <w:t xml:space="preserve">, </w:t>
      </w:r>
      <w:proofErr w:type="spellStart"/>
      <w:r w:rsidRPr="008A7AFB">
        <w:t>Ibiricu</w:t>
      </w:r>
      <w:proofErr w:type="spellEnd"/>
      <w:r w:rsidRPr="008A7AFB">
        <w:t xml:space="preserve">, </w:t>
      </w:r>
      <w:proofErr w:type="spellStart"/>
      <w:r w:rsidRPr="008A7AFB">
        <w:t>Olaz</w:t>
      </w:r>
      <w:proofErr w:type="spellEnd"/>
      <w:r w:rsidRPr="008A7AFB">
        <w:t xml:space="preserve"> y </w:t>
      </w:r>
      <w:proofErr w:type="spellStart"/>
      <w:r w:rsidRPr="008A7AFB">
        <w:t>Sagaseta</w:t>
      </w:r>
      <w:proofErr w:type="spellEnd"/>
      <w:r w:rsidRPr="008A7AFB">
        <w:t xml:space="preserve">, así como por las entidades singulares de población de </w:t>
      </w:r>
      <w:proofErr w:type="spellStart"/>
      <w:r w:rsidRPr="008A7AFB">
        <w:t>Echálaz</w:t>
      </w:r>
      <w:proofErr w:type="spellEnd"/>
      <w:r w:rsidRPr="008A7AFB">
        <w:t xml:space="preserve">, </w:t>
      </w:r>
      <w:proofErr w:type="spellStart"/>
      <w:r w:rsidRPr="008A7AFB">
        <w:t>Egulbati</w:t>
      </w:r>
      <w:proofErr w:type="spellEnd"/>
      <w:r w:rsidRPr="008A7AFB">
        <w:t xml:space="preserve">, </w:t>
      </w:r>
      <w:proofErr w:type="spellStart"/>
      <w:r w:rsidRPr="008A7AFB">
        <w:t>Eransus</w:t>
      </w:r>
      <w:proofErr w:type="spellEnd"/>
      <w:r w:rsidRPr="008A7AFB">
        <w:t xml:space="preserve">, </w:t>
      </w:r>
      <w:proofErr w:type="spellStart"/>
      <w:r w:rsidRPr="008A7AFB">
        <w:t>Gorraiz</w:t>
      </w:r>
      <w:proofErr w:type="spellEnd"/>
      <w:r w:rsidRPr="008A7AFB">
        <w:t xml:space="preserve">, </w:t>
      </w:r>
      <w:proofErr w:type="spellStart"/>
      <w:r w:rsidRPr="008A7AFB">
        <w:t>Sarriguren</w:t>
      </w:r>
      <w:proofErr w:type="spellEnd"/>
      <w:r w:rsidRPr="008A7AFB">
        <w:t xml:space="preserve"> y </w:t>
      </w:r>
      <w:proofErr w:type="spellStart"/>
      <w:r w:rsidRPr="008A7AFB">
        <w:t>Ustárroz</w:t>
      </w:r>
      <w:proofErr w:type="spellEnd"/>
      <w:r w:rsidRPr="008A7AFB">
        <w:t>.</w:t>
      </w:r>
      <w:r w:rsidR="0067725A" w:rsidRPr="00FF265F">
        <w:t xml:space="preserve"> </w:t>
      </w:r>
    </w:p>
    <w:p w:rsidR="0067725A" w:rsidRPr="00EF5A11" w:rsidRDefault="0067725A" w:rsidP="0067725A">
      <w:pPr>
        <w:pStyle w:val="texto"/>
      </w:pPr>
      <w:r w:rsidRPr="00EF5A11">
        <w:t xml:space="preserve">La organización municipal la conforman, entre otros, los siguientes órganos: el Pleno, órgano de máxima representación política, la Junta de Gobierno Local y la Alcaldía. </w:t>
      </w:r>
    </w:p>
    <w:p w:rsidR="0067725A" w:rsidRPr="000D720A" w:rsidRDefault="0067725A" w:rsidP="0067725A">
      <w:pPr>
        <w:pStyle w:val="texto"/>
      </w:pPr>
      <w:r w:rsidRPr="008C37A3">
        <w:t xml:space="preserve">La estructura administrativa del </w:t>
      </w:r>
      <w:r w:rsidR="008A7AFB">
        <w:t>a</w:t>
      </w:r>
      <w:r w:rsidR="00D426D2">
        <w:t>yuntamiento</w:t>
      </w:r>
      <w:r w:rsidRPr="008C37A3">
        <w:t xml:space="preserve"> en 201</w:t>
      </w:r>
      <w:r w:rsidR="008A7AFB">
        <w:t>9</w:t>
      </w:r>
      <w:r w:rsidRPr="008C37A3">
        <w:t xml:space="preserve"> está formada por </w:t>
      </w:r>
      <w:r w:rsidR="008A7AFB">
        <w:rPr>
          <w:szCs w:val="26"/>
        </w:rPr>
        <w:t>1</w:t>
      </w:r>
      <w:r w:rsidR="00E21822">
        <w:rPr>
          <w:szCs w:val="26"/>
        </w:rPr>
        <w:t>3</w:t>
      </w:r>
      <w:r w:rsidRPr="008C37A3">
        <w:rPr>
          <w:szCs w:val="26"/>
        </w:rPr>
        <w:t xml:space="preserve"> áreas, incluida Alcaldía</w:t>
      </w:r>
      <w:r w:rsidR="009D0F24">
        <w:rPr>
          <w:szCs w:val="26"/>
        </w:rPr>
        <w:t>.</w:t>
      </w:r>
    </w:p>
    <w:p w:rsidR="008A7AFB" w:rsidRPr="009F5A89" w:rsidRDefault="0067725A" w:rsidP="0067725A">
      <w:pPr>
        <w:pStyle w:val="texto"/>
        <w:rPr>
          <w:color w:val="000000" w:themeColor="text1"/>
        </w:rPr>
      </w:pPr>
      <w:r w:rsidRPr="00EF5A11">
        <w:t xml:space="preserve">El </w:t>
      </w:r>
      <w:r w:rsidR="008A7AFB">
        <w:t>a</w:t>
      </w:r>
      <w:r w:rsidR="00D426D2">
        <w:t>yuntamiento</w:t>
      </w:r>
      <w:r w:rsidRPr="00EF5A11">
        <w:t xml:space="preserve"> </w:t>
      </w:r>
      <w:r w:rsidR="008A7AFB">
        <w:t xml:space="preserve">creó en 2004 la sociedad mercantil </w:t>
      </w:r>
      <w:proofErr w:type="spellStart"/>
      <w:r w:rsidR="008A7AFB">
        <w:t>Andacelay</w:t>
      </w:r>
      <w:proofErr w:type="spellEnd"/>
      <w:r w:rsidR="008A7AFB">
        <w:t>, S.L., para la promoción urbanística. En 2016 se amplía el objeto social y se incluye la gesti</w:t>
      </w:r>
      <w:r w:rsidR="00534DBA">
        <w:t xml:space="preserve">ón de varios servicios </w:t>
      </w:r>
      <w:r w:rsidR="00534DBA" w:rsidRPr="009F5A89">
        <w:rPr>
          <w:color w:val="000000" w:themeColor="text1"/>
        </w:rPr>
        <w:t xml:space="preserve">públicos, entre otros, </w:t>
      </w:r>
      <w:r w:rsidR="00FC21A1" w:rsidRPr="009F5A89">
        <w:rPr>
          <w:color w:val="000000" w:themeColor="text1"/>
        </w:rPr>
        <w:t>la gestión de escuelas infantiles</w:t>
      </w:r>
      <w:r w:rsidR="00534DBA" w:rsidRPr="009F5A89">
        <w:rPr>
          <w:color w:val="000000" w:themeColor="text1"/>
        </w:rPr>
        <w:t xml:space="preserve"> y el serv</w:t>
      </w:r>
      <w:r w:rsidR="00534DBA" w:rsidRPr="009F5A89">
        <w:rPr>
          <w:color w:val="000000" w:themeColor="text1"/>
        </w:rPr>
        <w:t>i</w:t>
      </w:r>
      <w:r w:rsidR="00534DBA" w:rsidRPr="009F5A89">
        <w:rPr>
          <w:color w:val="000000" w:themeColor="text1"/>
        </w:rPr>
        <w:t>cio de limpieza</w:t>
      </w:r>
      <w:r w:rsidR="00FC21A1" w:rsidRPr="009F5A89">
        <w:rPr>
          <w:color w:val="000000" w:themeColor="text1"/>
        </w:rPr>
        <w:t xml:space="preserve"> de los edificios municipales</w:t>
      </w:r>
      <w:r w:rsidR="00534DBA" w:rsidRPr="009F5A89">
        <w:rPr>
          <w:color w:val="000000" w:themeColor="text1"/>
        </w:rPr>
        <w:t>.</w:t>
      </w:r>
    </w:p>
    <w:p w:rsidR="00E21822" w:rsidRPr="00DE2A0F" w:rsidRDefault="00E21822" w:rsidP="00E21822">
      <w:pPr>
        <w:spacing w:after="0"/>
        <w:ind w:firstLine="284"/>
        <w:rPr>
          <w:rFonts w:eastAsia="Calibri"/>
          <w:sz w:val="10"/>
          <w:szCs w:val="10"/>
          <w:lang w:eastAsia="es-ES"/>
        </w:rPr>
      </w:pPr>
    </w:p>
    <w:p w:rsidR="00E21822" w:rsidRDefault="00E21822" w:rsidP="00E21822">
      <w:pPr>
        <w:spacing w:after="0"/>
        <w:ind w:firstLine="284"/>
        <w:rPr>
          <w:rFonts w:eastAsia="Calibri"/>
          <w:sz w:val="26"/>
          <w:szCs w:val="26"/>
          <w:lang w:eastAsia="es-ES"/>
        </w:rPr>
      </w:pPr>
      <w:r w:rsidRPr="000D720A">
        <w:rPr>
          <w:rFonts w:eastAsia="Calibri"/>
          <w:sz w:val="26"/>
          <w:szCs w:val="26"/>
          <w:lang w:eastAsia="es-ES"/>
        </w:rPr>
        <w:t xml:space="preserve">Gráficamente, la estructura vigente es la siguiente: </w:t>
      </w:r>
    </w:p>
    <w:p w:rsidR="00E21822" w:rsidRDefault="00E21822" w:rsidP="00E21822">
      <w:pPr>
        <w:spacing w:after="0"/>
        <w:ind w:firstLine="284"/>
        <w:rPr>
          <w:rFonts w:eastAsia="Calibri"/>
          <w:sz w:val="26"/>
          <w:szCs w:val="26"/>
          <w:lang w:eastAsia="es-ES"/>
        </w:rPr>
      </w:pPr>
    </w:p>
    <w:p w:rsidR="00E21822" w:rsidRPr="000D720A" w:rsidRDefault="00E21822" w:rsidP="00E21822">
      <w:pPr>
        <w:spacing w:after="0"/>
        <w:ind w:firstLine="284"/>
        <w:rPr>
          <w:rFonts w:ascii="ITCCentury Book" w:eastAsia="Calibri" w:hAnsi="ITCCentury Book"/>
          <w:sz w:val="10"/>
          <w:szCs w:val="10"/>
          <w:lang w:eastAsia="es-ES"/>
        </w:rPr>
      </w:pPr>
    </w:p>
    <w:p w:rsidR="00E21822" w:rsidRDefault="00E21822" w:rsidP="0067725A">
      <w:pPr>
        <w:pStyle w:val="texto"/>
      </w:pPr>
      <w:r w:rsidRPr="00510987">
        <w:rPr>
          <w:noProof/>
          <w:sz w:val="22"/>
          <w:szCs w:val="22"/>
          <w:lang w:val="es-ES" w:eastAsia="es-ES"/>
        </w:rPr>
        <mc:AlternateContent>
          <mc:Choice Requires="wpc">
            <w:drawing>
              <wp:inline distT="0" distB="0" distL="0" distR="0" wp14:anchorId="7F1E2412" wp14:editId="425AB74E">
                <wp:extent cx="5528930" cy="2371061"/>
                <wp:effectExtent l="0" t="0" r="0" b="0"/>
                <wp:docPr id="44" name="Lienzo 4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 name="Line 68"/>
                        <wps:cNvCnPr>
                          <a:cxnSpLocks noChangeShapeType="1"/>
                        </wps:cNvCnPr>
                        <wps:spPr bwMode="auto">
                          <a:xfrm>
                            <a:off x="4091632" y="709835"/>
                            <a:ext cx="0" cy="84738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 name="Text Box 71"/>
                        <wps:cNvSpPr txBox="1">
                          <a:spLocks noChangeArrowheads="1"/>
                        </wps:cNvSpPr>
                        <wps:spPr bwMode="auto">
                          <a:xfrm>
                            <a:off x="1636026" y="90684"/>
                            <a:ext cx="2173974" cy="316230"/>
                          </a:xfrm>
                          <a:prstGeom prst="rect">
                            <a:avLst/>
                          </a:prstGeom>
                          <a:solidFill>
                            <a:srgbClr val="FFFFFF"/>
                          </a:solidFill>
                          <a:ln w="6350">
                            <a:solidFill>
                              <a:srgbClr val="000000"/>
                            </a:solidFill>
                            <a:miter lim="800000"/>
                            <a:headEnd/>
                            <a:tailEnd/>
                          </a:ln>
                        </wps:spPr>
                        <wps:txbx>
                          <w:txbxContent>
                            <w:p w:rsidR="003D47C0" w:rsidRPr="00A21BC1" w:rsidRDefault="003D47C0" w:rsidP="00E21822">
                              <w:pPr>
                                <w:spacing w:before="80" w:after="0"/>
                                <w:ind w:firstLine="0"/>
                                <w:jc w:val="center"/>
                                <w:rPr>
                                  <w:rFonts w:asciiTheme="minorHAnsi" w:hAnsiTheme="minorHAnsi" w:cs="Arial"/>
                                  <w:sz w:val="19"/>
                                  <w:szCs w:val="19"/>
                                </w:rPr>
                              </w:pPr>
                              <w:r>
                                <w:rPr>
                                  <w:rFonts w:asciiTheme="minorHAnsi" w:hAnsiTheme="minorHAnsi" w:cs="Arial"/>
                                  <w:sz w:val="19"/>
                                  <w:szCs w:val="19"/>
                                </w:rPr>
                                <w:t>AYUNTAMIENTO</w:t>
                              </w:r>
                              <w:r w:rsidRPr="00A21BC1">
                                <w:rPr>
                                  <w:rFonts w:asciiTheme="minorHAnsi" w:hAnsiTheme="minorHAnsi" w:cs="Arial"/>
                                  <w:sz w:val="19"/>
                                  <w:szCs w:val="19"/>
                                </w:rPr>
                                <w:t xml:space="preserve"> DE</w:t>
                              </w:r>
                              <w:r>
                                <w:rPr>
                                  <w:rFonts w:asciiTheme="minorHAnsi" w:hAnsiTheme="minorHAnsi" w:cs="Arial"/>
                                  <w:sz w:val="19"/>
                                  <w:szCs w:val="19"/>
                                </w:rPr>
                                <w:t>L VALLE DE EGÜÉS</w:t>
                              </w:r>
                            </w:p>
                          </w:txbxContent>
                        </wps:txbx>
                        <wps:bodyPr rot="0" vert="horz" wrap="square" lIns="83942" tIns="41971" rIns="83942" bIns="41971" anchor="t" anchorCtr="0" upright="1">
                          <a:noAutofit/>
                        </wps:bodyPr>
                      </wps:wsp>
                      <wps:wsp>
                        <wps:cNvPr id="11" name="Line 72"/>
                        <wps:cNvCnPr>
                          <a:cxnSpLocks noChangeShapeType="1"/>
                        </wps:cNvCnPr>
                        <wps:spPr bwMode="auto">
                          <a:xfrm>
                            <a:off x="2755070" y="406932"/>
                            <a:ext cx="635" cy="2997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 name="Line 73"/>
                        <wps:cNvCnPr>
                          <a:cxnSpLocks noChangeShapeType="1"/>
                        </wps:cNvCnPr>
                        <wps:spPr bwMode="auto">
                          <a:xfrm>
                            <a:off x="1367767" y="709772"/>
                            <a:ext cx="1424001" cy="2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 name="Line 82"/>
                        <wps:cNvCnPr>
                          <a:cxnSpLocks noChangeShapeType="1"/>
                        </wps:cNvCnPr>
                        <wps:spPr bwMode="auto">
                          <a:xfrm>
                            <a:off x="1353457" y="706717"/>
                            <a:ext cx="0" cy="31351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 name="Text Box 83"/>
                        <wps:cNvSpPr txBox="1">
                          <a:spLocks noChangeArrowheads="1"/>
                        </wps:cNvSpPr>
                        <wps:spPr bwMode="auto">
                          <a:xfrm>
                            <a:off x="3122100" y="1023447"/>
                            <a:ext cx="2124075" cy="317500"/>
                          </a:xfrm>
                          <a:prstGeom prst="rect">
                            <a:avLst/>
                          </a:prstGeom>
                          <a:solidFill>
                            <a:srgbClr val="FFFFFF"/>
                          </a:solidFill>
                          <a:ln w="6350">
                            <a:solidFill>
                              <a:srgbClr val="000000"/>
                            </a:solidFill>
                            <a:miter lim="800000"/>
                            <a:headEnd/>
                            <a:tailEnd/>
                          </a:ln>
                        </wps:spPr>
                        <wps:txbx>
                          <w:txbxContent>
                            <w:p w:rsidR="003D47C0" w:rsidRPr="00A21BC1" w:rsidRDefault="003D47C0" w:rsidP="00E21822">
                              <w:pPr>
                                <w:spacing w:before="80" w:after="0"/>
                                <w:ind w:firstLine="0"/>
                                <w:jc w:val="center"/>
                                <w:rPr>
                                  <w:rFonts w:asciiTheme="minorHAnsi" w:hAnsiTheme="minorHAnsi" w:cs="Arial"/>
                                  <w:sz w:val="19"/>
                                  <w:szCs w:val="19"/>
                                </w:rPr>
                              </w:pPr>
                              <w:r w:rsidRPr="00A21BC1">
                                <w:rPr>
                                  <w:rFonts w:asciiTheme="minorHAnsi" w:hAnsiTheme="minorHAnsi" w:cs="Arial"/>
                                  <w:sz w:val="19"/>
                                  <w:szCs w:val="19"/>
                                </w:rPr>
                                <w:t>SECTOR PÚBLICO EMPRESARIAL</w:t>
                              </w:r>
                            </w:p>
                          </w:txbxContent>
                        </wps:txbx>
                        <wps:bodyPr rot="0" vert="horz" wrap="square" lIns="83942" tIns="41971" rIns="83942" bIns="41971" anchor="t" anchorCtr="0" upright="1">
                          <a:noAutofit/>
                        </wps:bodyPr>
                      </wps:wsp>
                      <wps:wsp>
                        <wps:cNvPr id="38" name="Text Box 84"/>
                        <wps:cNvSpPr txBox="1">
                          <a:spLocks noChangeArrowheads="1"/>
                        </wps:cNvSpPr>
                        <wps:spPr bwMode="auto">
                          <a:xfrm>
                            <a:off x="3411959" y="1557153"/>
                            <a:ext cx="1385911" cy="376422"/>
                          </a:xfrm>
                          <a:prstGeom prst="rect">
                            <a:avLst/>
                          </a:prstGeom>
                          <a:solidFill>
                            <a:srgbClr val="FFFFFF"/>
                          </a:solidFill>
                          <a:ln w="6350">
                            <a:solidFill>
                              <a:srgbClr val="000000"/>
                            </a:solidFill>
                            <a:miter lim="800000"/>
                            <a:headEnd/>
                            <a:tailEnd/>
                          </a:ln>
                        </wps:spPr>
                        <wps:txbx>
                          <w:txbxContent>
                            <w:p w:rsidR="003D47C0" w:rsidRPr="00A21BC1" w:rsidRDefault="003D47C0" w:rsidP="00E21822">
                              <w:pPr>
                                <w:spacing w:before="80" w:after="0"/>
                                <w:ind w:firstLine="0"/>
                                <w:jc w:val="center"/>
                                <w:rPr>
                                  <w:rFonts w:asciiTheme="minorHAnsi" w:hAnsiTheme="minorHAnsi" w:cs="Arial"/>
                                  <w:sz w:val="17"/>
                                  <w:szCs w:val="17"/>
                                </w:rPr>
                              </w:pPr>
                              <w:r>
                                <w:rPr>
                                  <w:rFonts w:asciiTheme="minorHAnsi" w:hAnsiTheme="minorHAnsi" w:cs="Arial"/>
                                  <w:sz w:val="17"/>
                                  <w:szCs w:val="17"/>
                                </w:rPr>
                                <w:t>ANDACELAY, S.L.</w:t>
                              </w:r>
                            </w:p>
                          </w:txbxContent>
                        </wps:txbx>
                        <wps:bodyPr rot="0" vert="horz" wrap="square" lIns="83942" tIns="41971" rIns="83942" bIns="41971" anchor="t" anchorCtr="0" upright="1">
                          <a:noAutofit/>
                        </wps:bodyPr>
                      </wps:wsp>
                      <wps:wsp>
                        <wps:cNvPr id="41" name="Line 73"/>
                        <wps:cNvCnPr>
                          <a:cxnSpLocks noChangeShapeType="1"/>
                        </wps:cNvCnPr>
                        <wps:spPr bwMode="auto">
                          <a:xfrm>
                            <a:off x="2667952" y="709835"/>
                            <a:ext cx="14236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 name="Text Box 83"/>
                        <wps:cNvSpPr txBox="1">
                          <a:spLocks noChangeArrowheads="1"/>
                        </wps:cNvSpPr>
                        <wps:spPr bwMode="auto">
                          <a:xfrm>
                            <a:off x="389550" y="1032587"/>
                            <a:ext cx="2123440" cy="316865"/>
                          </a:xfrm>
                          <a:prstGeom prst="rect">
                            <a:avLst/>
                          </a:prstGeom>
                          <a:solidFill>
                            <a:srgbClr val="FFFFFF"/>
                          </a:solidFill>
                          <a:ln w="6350">
                            <a:solidFill>
                              <a:srgbClr val="000000"/>
                            </a:solidFill>
                            <a:miter lim="800000"/>
                            <a:headEnd/>
                            <a:tailEnd/>
                          </a:ln>
                        </wps:spPr>
                        <wps:txbx>
                          <w:txbxContent>
                            <w:p w:rsidR="003D47C0" w:rsidRDefault="003D47C0" w:rsidP="00E21822">
                              <w:pPr>
                                <w:pStyle w:val="NormalWeb"/>
                                <w:spacing w:before="80" w:beforeAutospacing="0" w:after="0" w:afterAutospacing="0"/>
                                <w:jc w:val="center"/>
                              </w:pPr>
                              <w:r>
                                <w:rPr>
                                  <w:rFonts w:ascii="Calibri" w:hAnsi="Calibri" w:cs="Arial"/>
                                  <w:sz w:val="19"/>
                                  <w:szCs w:val="19"/>
                                  <w:lang w:val="es-ES_tradnl"/>
                                </w:rPr>
                                <w:t>AYUNTAMIENTO</w:t>
                              </w:r>
                            </w:p>
                          </w:txbxContent>
                        </wps:txbx>
                        <wps:bodyPr rot="0" vert="horz" wrap="square" lIns="83942" tIns="41971" rIns="83942" bIns="41971" anchor="t" anchorCtr="0" upright="1">
                          <a:noAutofit/>
                        </wps:bodyPr>
                      </wps:wsp>
                    </wpc:wpc>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7F1E2412" id="Lienzo 44" o:spid="_x0000_s1027" editas="canvas" style="width:435.35pt;height:186.7pt;mso-position-horizontal-relative:char;mso-position-vertical-relative:line" coordsize="55283,23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5283;height:23704;visibility:visible;mso-wrap-style:square">
                  <v:fill o:detectmouseclick="t"/>
                  <v:path o:connecttype="none"/>
                </v:shape>
                <v:line id="Line 68" o:spid="_x0000_s1029" style="position:absolute;visibility:visible;mso-wrap-style:square" from="40916,7098" to="40916,15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" strokeweight=".5pt"/>
                <v:shape id="Text Box 71" o:spid="_x0000_s1030" type="#_x0000_t202" style="position:absolute;left:16360;top:906;width:21740;height:3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" strokeweight=".5pt">
                  <v:textbox inset="2.33172mm,1.1659mm,2.33172mm,1.1659mm">
                    <w:txbxContent>
                      <w:p w:rsidR="003D47C0" w:rsidRPr="00A21BC1" w:rsidRDefault="003D47C0" w:rsidP="00E21822">
                        <w:pPr>
                          <w:spacing w:before="80" w:after="0"/>
                          <w:ind w:firstLine="0"/>
                          <w:jc w:val="center"/>
                          <w:rPr>
                            <w:rFonts w:asciiTheme="minorHAnsi" w:hAnsiTheme="minorHAnsi" w:cs="Arial"/>
                            <w:sz w:val="19"/>
                            <w:szCs w:val="19"/>
                          </w:rPr>
                        </w:pPr>
                        <w:r>
                          <w:rPr>
                            <w:rFonts w:asciiTheme="minorHAnsi" w:hAnsiTheme="minorHAnsi" w:cs="Arial"/>
                            <w:sz w:val="19"/>
                            <w:szCs w:val="19"/>
                          </w:rPr>
                          <w:t>AYUNTAMIENTO</w:t>
                        </w:r>
                        <w:r w:rsidRPr="00A21BC1">
                          <w:rPr>
                            <w:rFonts w:asciiTheme="minorHAnsi" w:hAnsiTheme="minorHAnsi" w:cs="Arial"/>
                            <w:sz w:val="19"/>
                            <w:szCs w:val="19"/>
                          </w:rPr>
                          <w:t xml:space="preserve"> DE</w:t>
                        </w:r>
                        <w:r>
                          <w:rPr>
                            <w:rFonts w:asciiTheme="minorHAnsi" w:hAnsiTheme="minorHAnsi" w:cs="Arial"/>
                            <w:sz w:val="19"/>
                            <w:szCs w:val="19"/>
                          </w:rPr>
                          <w:t>L VALLE DE EGÜÉS</w:t>
                        </w:r>
                      </w:p>
                    </w:txbxContent>
                  </v:textbox>
                </v:shape>
                <v:line id="Line 72" o:spid="_x0000_s1031" style="position:absolute;visibility:visible;mso-wrap-style:square" from="27550,4069" to="27557,7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" strokeweight=".5pt"/>
                <v:line id="Line 73" o:spid="_x0000_s1032" style="position:absolute;visibility:visible;mso-wrap-style:square" from="13677,7097" to="27917,7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" strokeweight=".5pt"/>
                <v:line id="Line 82" o:spid="_x0000_s1033" style="position:absolute;visibility:visible;mso-wrap-style:square" from="13534,7067" to="13534,10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" strokeweight=".5pt"/>
                <v:shape id="Text Box 83" o:spid="_x0000_s1034" type="#_x0000_t202" style="position:absolute;left:31221;top:10234;width:21240;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" strokeweight=".5pt">
                  <v:textbox inset="2.33172mm,1.1659mm,2.33172mm,1.1659mm">
                    <w:txbxContent>
                      <w:p w:rsidR="003D47C0" w:rsidRPr="00A21BC1" w:rsidRDefault="003D47C0" w:rsidP="00E21822">
                        <w:pPr>
                          <w:spacing w:before="80" w:after="0"/>
                          <w:ind w:firstLine="0"/>
                          <w:jc w:val="center"/>
                          <w:rPr>
                            <w:rFonts w:asciiTheme="minorHAnsi" w:hAnsiTheme="minorHAnsi" w:cs="Arial"/>
                            <w:sz w:val="19"/>
                            <w:szCs w:val="19"/>
                          </w:rPr>
                        </w:pPr>
                        <w:r w:rsidRPr="00A21BC1">
                          <w:rPr>
                            <w:rFonts w:asciiTheme="minorHAnsi" w:hAnsiTheme="minorHAnsi" w:cs="Arial"/>
                            <w:sz w:val="19"/>
                            <w:szCs w:val="19"/>
                          </w:rPr>
                          <w:t>SECTOR PÚBLICO EMPRESARIAL</w:t>
                        </w:r>
                      </w:p>
                    </w:txbxContent>
                  </v:textbox>
                </v:shape>
                <v:shape id="Text Box 84" o:spid="_x0000_s1035" type="#_x0000_t202" style="position:absolute;left:34119;top:15571;width:13859;height:3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" strokeweight=".5pt">
                  <v:textbox inset="2.33172mm,1.1659mm,2.33172mm,1.1659mm">
                    <w:txbxContent>
                      <w:p w:rsidR="003D47C0" w:rsidRPr="00A21BC1" w:rsidRDefault="003D47C0" w:rsidP="00E21822">
                        <w:pPr>
                          <w:spacing w:before="80" w:after="0"/>
                          <w:ind w:firstLine="0"/>
                          <w:jc w:val="center"/>
                          <w:rPr>
                            <w:rFonts w:asciiTheme="minorHAnsi" w:hAnsiTheme="minorHAnsi" w:cs="Arial"/>
                            <w:sz w:val="17"/>
                            <w:szCs w:val="17"/>
                          </w:rPr>
                        </w:pPr>
                        <w:r>
                          <w:rPr>
                            <w:rFonts w:asciiTheme="minorHAnsi" w:hAnsiTheme="minorHAnsi" w:cs="Arial"/>
                            <w:sz w:val="17"/>
                            <w:szCs w:val="17"/>
                          </w:rPr>
                          <w:t>ANDACELAY, S.L.</w:t>
                        </w:r>
                      </w:p>
                    </w:txbxContent>
                  </v:textbox>
                </v:shape>
                <v:line id="Line 73" o:spid="_x0000_s1036" style="position:absolute;visibility:visible;mso-wrap-style:square" from="26679,7098" to="40916,7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" strokeweight=".5pt"/>
                <v:shape id="Text Box 83" o:spid="_x0000_s1037" type="#_x0000_t202" style="position:absolute;left:3895;top:10325;width:21234;height:3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" strokeweight=".5pt">
                  <v:textbox inset="2.33172mm,1.1659mm,2.33172mm,1.1659mm">
                    <w:txbxContent>
                      <w:p w:rsidR="003D47C0" w:rsidRDefault="003D47C0" w:rsidP="00E21822">
                        <w:pPr>
                          <w:pStyle w:val="NormalWeb"/>
                          <w:spacing w:before="80" w:beforeAutospacing="0" w:after="0" w:afterAutospacing="0"/>
                          <w:jc w:val="center"/>
                        </w:pPr>
                        <w:r>
                          <w:rPr>
                            <w:rFonts w:ascii="Calibri" w:hAnsi="Calibri" w:cs="Arial"/>
                            <w:sz w:val="19"/>
                            <w:szCs w:val="19"/>
                            <w:lang w:val="es-ES_tradnl"/>
                          </w:rPr>
                          <w:t>AYUNTAMIENTO</w:t>
                        </w:r>
                      </w:p>
                    </w:txbxContent>
                  </v:textbox>
                </v:shape>
                <w10:anchorlock/>
              </v:group>
            </w:pict>
          </mc:Fallback>
        </mc:AlternateContent>
      </w:r>
    </w:p>
    <w:p w:rsidR="008A7AFB" w:rsidRDefault="008A7AFB" w:rsidP="008A7AFB">
      <w:pPr>
        <w:pStyle w:val="texto"/>
        <w:tabs>
          <w:tab w:val="clear" w:pos="2835"/>
          <w:tab w:val="clear" w:pos="3969"/>
          <w:tab w:val="clear" w:pos="5103"/>
          <w:tab w:val="clear" w:pos="6237"/>
          <w:tab w:val="clear" w:pos="7371"/>
          <w:tab w:val="num" w:pos="600"/>
          <w:tab w:val="num" w:pos="720"/>
          <w:tab w:val="num" w:pos="1320"/>
        </w:tabs>
        <w:spacing w:after="220"/>
      </w:pPr>
      <w:r>
        <w:t>Los principales datos económicos y de personal del ayuntamiento y su ente d</w:t>
      </w:r>
      <w:r>
        <w:t>e</w:t>
      </w:r>
      <w:r>
        <w:t>pendiente, al cierre del ejercicio 2019, son los siguientes:</w:t>
      </w:r>
    </w:p>
    <w:p w:rsidR="008A7AFB" w:rsidRPr="008A7AFB" w:rsidRDefault="008A7AFB" w:rsidP="008A7AFB">
      <w:pPr>
        <w:pStyle w:val="texto"/>
        <w:numPr>
          <w:ilvl w:val="0"/>
          <w:numId w:val="1"/>
        </w:numPr>
        <w:tabs>
          <w:tab w:val="clear" w:pos="2835"/>
          <w:tab w:val="clear" w:pos="3969"/>
          <w:tab w:val="clear" w:pos="5103"/>
          <w:tab w:val="clear" w:pos="6237"/>
          <w:tab w:val="clear" w:pos="7371"/>
          <w:tab w:val="left" w:pos="142"/>
          <w:tab w:val="num" w:pos="360"/>
          <w:tab w:val="left" w:pos="480"/>
          <w:tab w:val="num" w:pos="600"/>
          <w:tab w:val="num" w:pos="720"/>
          <w:tab w:val="num" w:pos="1320"/>
          <w:tab w:val="num" w:pos="1637"/>
        </w:tabs>
        <w:spacing w:after="240"/>
        <w:ind w:left="0" w:firstLine="289"/>
        <w:rPr>
          <w:szCs w:val="26"/>
        </w:rPr>
      </w:pPr>
      <w:r w:rsidRPr="008A7AFB">
        <w:rPr>
          <w:szCs w:val="26"/>
        </w:rPr>
        <w:t>Sector público administrativo</w:t>
      </w:r>
    </w:p>
    <w:tbl>
      <w:tblPr>
        <w:tblW w:w="5000" w:type="pct"/>
        <w:jc w:val="center"/>
        <w:tblCellMar>
          <w:top w:w="28" w:type="dxa"/>
        </w:tblCellMar>
        <w:tblLook w:val="01E0" w:firstRow="1" w:lastRow="1" w:firstColumn="1" w:lastColumn="1" w:noHBand="0" w:noVBand="0"/>
      </w:tblPr>
      <w:tblGrid>
        <w:gridCol w:w="3601"/>
        <w:gridCol w:w="2380"/>
        <w:gridCol w:w="1786"/>
        <w:gridCol w:w="1663"/>
      </w:tblGrid>
      <w:tr w:rsidR="008A7AFB" w:rsidRPr="00C801EE" w:rsidTr="00B2755C">
        <w:trPr>
          <w:trHeight w:val="113"/>
          <w:jc w:val="center"/>
        </w:trPr>
        <w:tc>
          <w:tcPr>
            <w:tcW w:w="1909" w:type="pct"/>
            <w:tcBorders>
              <w:top w:val="single" w:sz="4" w:space="0" w:color="auto"/>
              <w:bottom w:val="single" w:sz="4" w:space="0" w:color="auto"/>
            </w:tcBorders>
            <w:shd w:val="clear" w:color="auto" w:fill="FABF8F" w:themeFill="accent6" w:themeFillTint="99"/>
            <w:vAlign w:val="center"/>
          </w:tcPr>
          <w:p w:rsidR="008A7AFB" w:rsidRPr="00C801EE" w:rsidRDefault="008A7AFB" w:rsidP="008C0C72">
            <w:pPr>
              <w:tabs>
                <w:tab w:val="left" w:pos="142"/>
              </w:tabs>
              <w:spacing w:after="0" w:line="276" w:lineRule="auto"/>
              <w:ind w:firstLine="0"/>
              <w:rPr>
                <w:rFonts w:ascii="Arial Narrow" w:hAnsi="Arial Narrow"/>
              </w:rPr>
            </w:pPr>
            <w:r w:rsidRPr="00C801EE">
              <w:rPr>
                <w:rFonts w:ascii="Arial Narrow" w:hAnsi="Arial Narrow"/>
              </w:rPr>
              <w:t>Entidad</w:t>
            </w:r>
          </w:p>
        </w:tc>
        <w:tc>
          <w:tcPr>
            <w:tcW w:w="1262" w:type="pct"/>
            <w:tcBorders>
              <w:top w:val="single" w:sz="4" w:space="0" w:color="auto"/>
              <w:bottom w:val="single" w:sz="4" w:space="0" w:color="auto"/>
            </w:tcBorders>
            <w:shd w:val="clear" w:color="auto" w:fill="FABF8F" w:themeFill="accent6" w:themeFillTint="99"/>
            <w:vAlign w:val="center"/>
          </w:tcPr>
          <w:p w:rsidR="008A7AFB" w:rsidRPr="00C801EE" w:rsidRDefault="008A7AFB" w:rsidP="008C0C72">
            <w:pPr>
              <w:tabs>
                <w:tab w:val="left" w:pos="142"/>
              </w:tabs>
              <w:spacing w:after="0" w:line="276" w:lineRule="auto"/>
              <w:ind w:firstLine="0"/>
              <w:jc w:val="center"/>
              <w:rPr>
                <w:rFonts w:ascii="Arial Narrow" w:hAnsi="Arial Narrow"/>
              </w:rPr>
            </w:pPr>
            <w:r w:rsidRPr="00C801EE">
              <w:rPr>
                <w:rFonts w:ascii="Arial Narrow" w:hAnsi="Arial Narrow"/>
              </w:rPr>
              <w:t>Derechos</w:t>
            </w:r>
          </w:p>
          <w:p w:rsidR="008A7AFB" w:rsidRPr="00C801EE" w:rsidRDefault="008A7AFB" w:rsidP="008C0C72">
            <w:pPr>
              <w:tabs>
                <w:tab w:val="left" w:pos="142"/>
              </w:tabs>
              <w:spacing w:after="0" w:line="276" w:lineRule="auto"/>
              <w:ind w:firstLine="0"/>
              <w:jc w:val="center"/>
              <w:rPr>
                <w:rFonts w:ascii="Arial Narrow" w:hAnsi="Arial Narrow"/>
              </w:rPr>
            </w:pPr>
            <w:r w:rsidRPr="00C801EE">
              <w:rPr>
                <w:rFonts w:ascii="Arial Narrow" w:hAnsi="Arial Narrow"/>
              </w:rPr>
              <w:t>reconocidos</w:t>
            </w:r>
          </w:p>
        </w:tc>
        <w:tc>
          <w:tcPr>
            <w:tcW w:w="947" w:type="pct"/>
            <w:tcBorders>
              <w:top w:val="single" w:sz="4" w:space="0" w:color="auto"/>
              <w:bottom w:val="single" w:sz="4" w:space="0" w:color="auto"/>
            </w:tcBorders>
            <w:shd w:val="clear" w:color="auto" w:fill="FABF8F" w:themeFill="accent6" w:themeFillTint="99"/>
            <w:vAlign w:val="center"/>
          </w:tcPr>
          <w:p w:rsidR="008A7AFB" w:rsidRPr="00C801EE" w:rsidRDefault="008A7AFB" w:rsidP="008C0C72">
            <w:pPr>
              <w:tabs>
                <w:tab w:val="left" w:pos="142"/>
              </w:tabs>
              <w:spacing w:after="0" w:line="276" w:lineRule="auto"/>
              <w:ind w:firstLine="0"/>
              <w:jc w:val="center"/>
              <w:rPr>
                <w:rFonts w:ascii="Arial Narrow" w:hAnsi="Arial Narrow"/>
              </w:rPr>
            </w:pPr>
            <w:r w:rsidRPr="00C801EE">
              <w:rPr>
                <w:rFonts w:ascii="Arial Narrow" w:hAnsi="Arial Narrow"/>
              </w:rPr>
              <w:t>Obligaciones</w:t>
            </w:r>
          </w:p>
          <w:p w:rsidR="008A7AFB" w:rsidRPr="00C801EE" w:rsidRDefault="008A7AFB" w:rsidP="008C0C72">
            <w:pPr>
              <w:tabs>
                <w:tab w:val="left" w:pos="142"/>
              </w:tabs>
              <w:spacing w:after="0" w:line="276" w:lineRule="auto"/>
              <w:ind w:firstLine="0"/>
              <w:jc w:val="center"/>
              <w:rPr>
                <w:rFonts w:ascii="Arial Narrow" w:hAnsi="Arial Narrow"/>
              </w:rPr>
            </w:pPr>
            <w:r w:rsidRPr="00C801EE">
              <w:rPr>
                <w:rFonts w:ascii="Arial Narrow" w:hAnsi="Arial Narrow"/>
              </w:rPr>
              <w:t>reconocidas</w:t>
            </w:r>
          </w:p>
        </w:tc>
        <w:tc>
          <w:tcPr>
            <w:tcW w:w="883" w:type="pct"/>
            <w:tcBorders>
              <w:top w:val="single" w:sz="4" w:space="0" w:color="auto"/>
              <w:bottom w:val="single" w:sz="4" w:space="0" w:color="auto"/>
            </w:tcBorders>
            <w:shd w:val="clear" w:color="auto" w:fill="FABF8F" w:themeFill="accent6" w:themeFillTint="99"/>
            <w:vAlign w:val="center"/>
          </w:tcPr>
          <w:p w:rsidR="008A7AFB" w:rsidRPr="00C801EE" w:rsidRDefault="008A7AFB" w:rsidP="008C0C72">
            <w:pPr>
              <w:tabs>
                <w:tab w:val="left" w:pos="142"/>
              </w:tabs>
              <w:spacing w:after="0" w:line="276" w:lineRule="auto"/>
              <w:ind w:firstLine="0"/>
              <w:jc w:val="right"/>
              <w:rPr>
                <w:rFonts w:ascii="Arial Narrow" w:hAnsi="Arial Narrow"/>
              </w:rPr>
            </w:pPr>
            <w:r w:rsidRPr="00C801EE">
              <w:rPr>
                <w:rFonts w:ascii="Arial Narrow" w:hAnsi="Arial Narrow"/>
              </w:rPr>
              <w:t xml:space="preserve">Personal a </w:t>
            </w:r>
          </w:p>
          <w:p w:rsidR="008A7AFB" w:rsidRPr="00C801EE" w:rsidRDefault="008A7AFB" w:rsidP="008C0C72">
            <w:pPr>
              <w:tabs>
                <w:tab w:val="left" w:pos="142"/>
              </w:tabs>
              <w:spacing w:after="0" w:line="276" w:lineRule="auto"/>
              <w:ind w:firstLine="0"/>
              <w:jc w:val="right"/>
              <w:rPr>
                <w:rFonts w:ascii="Arial Narrow" w:hAnsi="Arial Narrow"/>
              </w:rPr>
            </w:pPr>
            <w:r w:rsidRPr="00C801EE">
              <w:rPr>
                <w:rFonts w:ascii="Arial Narrow" w:hAnsi="Arial Narrow"/>
              </w:rPr>
              <w:t>31-12-2019</w:t>
            </w:r>
          </w:p>
        </w:tc>
      </w:tr>
      <w:tr w:rsidR="008A7AFB" w:rsidRPr="007747F2" w:rsidTr="00C801EE">
        <w:trPr>
          <w:trHeight w:val="20"/>
          <w:jc w:val="center"/>
        </w:trPr>
        <w:tc>
          <w:tcPr>
            <w:tcW w:w="1909" w:type="pct"/>
            <w:tcBorders>
              <w:top w:val="single" w:sz="4" w:space="0" w:color="auto"/>
              <w:bottom w:val="single" w:sz="2" w:space="0" w:color="auto"/>
            </w:tcBorders>
            <w:shd w:val="clear" w:color="auto" w:fill="auto"/>
            <w:vAlign w:val="center"/>
          </w:tcPr>
          <w:p w:rsidR="008A7AFB" w:rsidRPr="007747F2" w:rsidRDefault="008A7AFB" w:rsidP="008C0C72">
            <w:pPr>
              <w:tabs>
                <w:tab w:val="left" w:pos="142"/>
              </w:tabs>
              <w:spacing w:after="0" w:line="276" w:lineRule="auto"/>
              <w:ind w:firstLine="0"/>
              <w:jc w:val="left"/>
              <w:rPr>
                <w:rFonts w:ascii="Arial Narrow" w:hAnsi="Arial Narrow"/>
              </w:rPr>
            </w:pPr>
            <w:r w:rsidRPr="007747F2">
              <w:rPr>
                <w:rFonts w:ascii="Arial Narrow" w:hAnsi="Arial Narrow"/>
              </w:rPr>
              <w:t>Ayuntamiento</w:t>
            </w:r>
          </w:p>
        </w:tc>
        <w:tc>
          <w:tcPr>
            <w:tcW w:w="1262" w:type="pct"/>
            <w:tcBorders>
              <w:top w:val="single" w:sz="4" w:space="0" w:color="auto"/>
              <w:bottom w:val="single" w:sz="2" w:space="0" w:color="auto"/>
            </w:tcBorders>
            <w:shd w:val="clear" w:color="auto" w:fill="auto"/>
            <w:vAlign w:val="center"/>
          </w:tcPr>
          <w:p w:rsidR="008A7AFB" w:rsidRPr="007747F2" w:rsidRDefault="008A7AFB" w:rsidP="008C0C72">
            <w:pPr>
              <w:tabs>
                <w:tab w:val="left" w:pos="142"/>
              </w:tabs>
              <w:spacing w:after="0" w:line="276" w:lineRule="auto"/>
              <w:ind w:firstLine="0"/>
              <w:jc w:val="center"/>
              <w:rPr>
                <w:rFonts w:ascii="Arial Narrow" w:hAnsi="Arial Narrow"/>
              </w:rPr>
            </w:pPr>
            <w:r w:rsidRPr="007747F2">
              <w:rPr>
                <w:rFonts w:ascii="Arial Narrow" w:hAnsi="Arial Narrow"/>
              </w:rPr>
              <w:t>14.595.647</w:t>
            </w:r>
          </w:p>
        </w:tc>
        <w:tc>
          <w:tcPr>
            <w:tcW w:w="947" w:type="pct"/>
            <w:tcBorders>
              <w:top w:val="single" w:sz="4" w:space="0" w:color="auto"/>
              <w:bottom w:val="single" w:sz="2" w:space="0" w:color="auto"/>
            </w:tcBorders>
            <w:shd w:val="clear" w:color="auto" w:fill="auto"/>
            <w:vAlign w:val="center"/>
          </w:tcPr>
          <w:p w:rsidR="008A7AFB" w:rsidRPr="007747F2" w:rsidRDefault="008A7AFB" w:rsidP="008C0C72">
            <w:pPr>
              <w:tabs>
                <w:tab w:val="left" w:pos="142"/>
              </w:tabs>
              <w:spacing w:after="0" w:line="276" w:lineRule="auto"/>
              <w:ind w:firstLine="0"/>
              <w:jc w:val="center"/>
              <w:rPr>
                <w:rFonts w:ascii="Arial Narrow" w:hAnsi="Arial Narrow"/>
              </w:rPr>
            </w:pPr>
            <w:r w:rsidRPr="007747F2">
              <w:rPr>
                <w:rFonts w:ascii="Arial Narrow" w:hAnsi="Arial Narrow"/>
              </w:rPr>
              <w:t>14.770.534</w:t>
            </w:r>
          </w:p>
        </w:tc>
        <w:tc>
          <w:tcPr>
            <w:tcW w:w="883" w:type="pct"/>
            <w:tcBorders>
              <w:top w:val="single" w:sz="4" w:space="0" w:color="auto"/>
              <w:bottom w:val="single" w:sz="2" w:space="0" w:color="auto"/>
            </w:tcBorders>
            <w:shd w:val="clear" w:color="auto" w:fill="auto"/>
            <w:vAlign w:val="center"/>
          </w:tcPr>
          <w:p w:rsidR="008A7AFB" w:rsidRPr="007747F2" w:rsidRDefault="008A7AFB" w:rsidP="008C0C72">
            <w:pPr>
              <w:tabs>
                <w:tab w:val="left" w:pos="142"/>
              </w:tabs>
              <w:spacing w:after="0" w:line="276" w:lineRule="auto"/>
              <w:jc w:val="right"/>
              <w:rPr>
                <w:rFonts w:ascii="Arial Narrow" w:hAnsi="Arial Narrow"/>
              </w:rPr>
            </w:pPr>
            <w:r w:rsidRPr="007747F2">
              <w:rPr>
                <w:rFonts w:ascii="Arial Narrow" w:hAnsi="Arial Narrow"/>
              </w:rPr>
              <w:t>119</w:t>
            </w:r>
          </w:p>
        </w:tc>
      </w:tr>
      <w:tr w:rsidR="008A7AFB" w:rsidRPr="00C801EE" w:rsidTr="00B2755C">
        <w:trPr>
          <w:trHeight w:hRule="exact" w:val="312"/>
          <w:jc w:val="center"/>
        </w:trPr>
        <w:tc>
          <w:tcPr>
            <w:tcW w:w="1909" w:type="pct"/>
            <w:tcBorders>
              <w:top w:val="single" w:sz="4" w:space="0" w:color="auto"/>
              <w:bottom w:val="single" w:sz="4" w:space="0" w:color="auto"/>
            </w:tcBorders>
            <w:shd w:val="clear" w:color="auto" w:fill="FABF8F" w:themeFill="accent6" w:themeFillTint="99"/>
            <w:vAlign w:val="bottom"/>
          </w:tcPr>
          <w:p w:rsidR="008A7AFB" w:rsidRPr="00C801EE" w:rsidRDefault="008A7AFB" w:rsidP="00C801EE">
            <w:pPr>
              <w:tabs>
                <w:tab w:val="left" w:pos="142"/>
              </w:tabs>
              <w:spacing w:after="0" w:line="276" w:lineRule="auto"/>
              <w:ind w:firstLine="0"/>
              <w:rPr>
                <w:rFonts w:ascii="Arial Narrow" w:hAnsi="Arial Narrow"/>
              </w:rPr>
            </w:pPr>
            <w:r w:rsidRPr="00C801EE">
              <w:rPr>
                <w:rFonts w:ascii="Arial Narrow" w:hAnsi="Arial Narrow"/>
              </w:rPr>
              <w:t xml:space="preserve">Total </w:t>
            </w:r>
          </w:p>
        </w:tc>
        <w:tc>
          <w:tcPr>
            <w:tcW w:w="1262" w:type="pct"/>
            <w:tcBorders>
              <w:top w:val="single" w:sz="4" w:space="0" w:color="auto"/>
              <w:bottom w:val="single" w:sz="4" w:space="0" w:color="auto"/>
            </w:tcBorders>
            <w:shd w:val="clear" w:color="auto" w:fill="FABF8F" w:themeFill="accent6" w:themeFillTint="99"/>
            <w:vAlign w:val="bottom"/>
          </w:tcPr>
          <w:p w:rsidR="008A7AFB" w:rsidRPr="00C801EE" w:rsidRDefault="008A7AFB" w:rsidP="00C801EE">
            <w:pPr>
              <w:tabs>
                <w:tab w:val="left" w:pos="142"/>
              </w:tabs>
              <w:spacing w:after="0" w:line="276" w:lineRule="auto"/>
              <w:ind w:firstLine="0"/>
              <w:jc w:val="center"/>
              <w:rPr>
                <w:rFonts w:ascii="Arial Narrow" w:hAnsi="Arial Narrow"/>
              </w:rPr>
            </w:pPr>
            <w:r w:rsidRPr="00C801EE">
              <w:rPr>
                <w:rFonts w:ascii="Arial Narrow" w:hAnsi="Arial Narrow"/>
              </w:rPr>
              <w:t>14.595.647</w:t>
            </w:r>
          </w:p>
        </w:tc>
        <w:tc>
          <w:tcPr>
            <w:tcW w:w="947" w:type="pct"/>
            <w:tcBorders>
              <w:top w:val="single" w:sz="4" w:space="0" w:color="auto"/>
              <w:bottom w:val="single" w:sz="4" w:space="0" w:color="auto"/>
            </w:tcBorders>
            <w:shd w:val="clear" w:color="auto" w:fill="FABF8F" w:themeFill="accent6" w:themeFillTint="99"/>
            <w:vAlign w:val="bottom"/>
          </w:tcPr>
          <w:p w:rsidR="008A7AFB" w:rsidRPr="00C801EE" w:rsidRDefault="008A7AFB" w:rsidP="00C801EE">
            <w:pPr>
              <w:tabs>
                <w:tab w:val="left" w:pos="142"/>
              </w:tabs>
              <w:spacing w:after="0" w:line="276" w:lineRule="auto"/>
              <w:ind w:firstLine="0"/>
              <w:jc w:val="center"/>
              <w:rPr>
                <w:rFonts w:ascii="Arial Narrow" w:hAnsi="Arial Narrow"/>
              </w:rPr>
            </w:pPr>
            <w:r w:rsidRPr="00C801EE">
              <w:rPr>
                <w:rFonts w:ascii="Arial Narrow" w:hAnsi="Arial Narrow"/>
              </w:rPr>
              <w:t>14.770.534</w:t>
            </w:r>
          </w:p>
        </w:tc>
        <w:tc>
          <w:tcPr>
            <w:tcW w:w="883" w:type="pct"/>
            <w:tcBorders>
              <w:top w:val="single" w:sz="4" w:space="0" w:color="auto"/>
              <w:bottom w:val="single" w:sz="4" w:space="0" w:color="auto"/>
            </w:tcBorders>
            <w:shd w:val="clear" w:color="auto" w:fill="FABF8F" w:themeFill="accent6" w:themeFillTint="99"/>
            <w:vAlign w:val="bottom"/>
          </w:tcPr>
          <w:p w:rsidR="008A7AFB" w:rsidRPr="00C801EE" w:rsidRDefault="008A7AFB" w:rsidP="00C801EE">
            <w:pPr>
              <w:tabs>
                <w:tab w:val="left" w:pos="142"/>
              </w:tabs>
              <w:spacing w:after="0" w:line="276" w:lineRule="auto"/>
              <w:ind w:firstLine="0"/>
              <w:jc w:val="right"/>
              <w:rPr>
                <w:rFonts w:ascii="Arial Narrow" w:hAnsi="Arial Narrow"/>
              </w:rPr>
            </w:pPr>
            <w:r w:rsidRPr="00C801EE">
              <w:rPr>
                <w:rFonts w:ascii="Arial Narrow" w:hAnsi="Arial Narrow"/>
              </w:rPr>
              <w:t>119</w:t>
            </w:r>
          </w:p>
        </w:tc>
      </w:tr>
    </w:tbl>
    <w:p w:rsidR="008A7AFB" w:rsidRPr="00510987" w:rsidRDefault="008A7AFB" w:rsidP="008A7AFB">
      <w:pPr>
        <w:pStyle w:val="texto"/>
        <w:tabs>
          <w:tab w:val="clear" w:pos="2835"/>
          <w:tab w:val="clear" w:pos="3969"/>
          <w:tab w:val="clear" w:pos="5103"/>
          <w:tab w:val="clear" w:pos="6237"/>
          <w:tab w:val="clear" w:pos="7371"/>
          <w:tab w:val="left" w:pos="142"/>
        </w:tabs>
        <w:spacing w:before="180" w:after="120" w:line="276" w:lineRule="auto"/>
        <w:rPr>
          <w:sz w:val="24"/>
          <w:szCs w:val="22"/>
        </w:rPr>
      </w:pPr>
    </w:p>
    <w:p w:rsidR="008A7AFB" w:rsidRPr="008A7AFB" w:rsidRDefault="008A7AFB" w:rsidP="008A7AFB">
      <w:pPr>
        <w:pStyle w:val="texto"/>
        <w:numPr>
          <w:ilvl w:val="0"/>
          <w:numId w:val="1"/>
        </w:numPr>
        <w:tabs>
          <w:tab w:val="clear" w:pos="2835"/>
          <w:tab w:val="clear" w:pos="3969"/>
          <w:tab w:val="clear" w:pos="5103"/>
          <w:tab w:val="clear" w:pos="6237"/>
          <w:tab w:val="clear" w:pos="7371"/>
          <w:tab w:val="left" w:pos="142"/>
          <w:tab w:val="num" w:pos="360"/>
          <w:tab w:val="left" w:pos="480"/>
          <w:tab w:val="num" w:pos="600"/>
          <w:tab w:val="num" w:pos="720"/>
          <w:tab w:val="num" w:pos="1320"/>
          <w:tab w:val="num" w:pos="1637"/>
        </w:tabs>
        <w:spacing w:after="240"/>
        <w:ind w:left="0" w:firstLine="289"/>
        <w:rPr>
          <w:szCs w:val="26"/>
        </w:rPr>
      </w:pPr>
      <w:r w:rsidRPr="008A7AFB">
        <w:rPr>
          <w:szCs w:val="26"/>
        </w:rPr>
        <w:lastRenderedPageBreak/>
        <w:t>Sociedades mercantiles</w:t>
      </w:r>
      <w:r w:rsidR="002B1F77">
        <w:rPr>
          <w:szCs w:val="26"/>
        </w:rPr>
        <w:t>.</w:t>
      </w:r>
    </w:p>
    <w:tbl>
      <w:tblPr>
        <w:tblW w:w="5000" w:type="pct"/>
        <w:tblCellMar>
          <w:top w:w="28" w:type="dxa"/>
          <w:left w:w="80" w:type="dxa"/>
          <w:right w:w="80" w:type="dxa"/>
        </w:tblCellMar>
        <w:tblLook w:val="0000" w:firstRow="0" w:lastRow="0" w:firstColumn="0" w:lastColumn="0" w:noHBand="0" w:noVBand="0"/>
      </w:tblPr>
      <w:tblGrid>
        <w:gridCol w:w="2885"/>
        <w:gridCol w:w="1622"/>
        <w:gridCol w:w="1770"/>
        <w:gridCol w:w="1622"/>
        <w:gridCol w:w="1475"/>
      </w:tblGrid>
      <w:tr w:rsidR="008A7AFB" w:rsidRPr="007747F2" w:rsidTr="00B2755C">
        <w:trPr>
          <w:trHeight w:val="628"/>
        </w:trPr>
        <w:tc>
          <w:tcPr>
            <w:tcW w:w="1539" w:type="pct"/>
            <w:tcBorders>
              <w:top w:val="single" w:sz="4" w:space="0" w:color="auto"/>
              <w:bottom w:val="single" w:sz="4" w:space="0" w:color="auto"/>
            </w:tcBorders>
            <w:shd w:val="clear" w:color="auto" w:fill="FABF8F" w:themeFill="accent6" w:themeFillTint="99"/>
            <w:vAlign w:val="center"/>
          </w:tcPr>
          <w:p w:rsidR="008A7AFB" w:rsidRPr="007747F2" w:rsidRDefault="008A7AFB" w:rsidP="008C0C72">
            <w:pPr>
              <w:tabs>
                <w:tab w:val="left" w:pos="142"/>
              </w:tabs>
              <w:spacing w:after="0" w:line="276" w:lineRule="auto"/>
              <w:ind w:firstLine="0"/>
              <w:rPr>
                <w:rFonts w:ascii="Arial Narrow" w:hAnsi="Arial Narrow"/>
              </w:rPr>
            </w:pPr>
            <w:r w:rsidRPr="007747F2">
              <w:rPr>
                <w:rFonts w:ascii="Arial Narrow" w:hAnsi="Arial Narrow"/>
              </w:rPr>
              <w:t>Sociedad pública</w:t>
            </w:r>
          </w:p>
        </w:tc>
        <w:tc>
          <w:tcPr>
            <w:tcW w:w="865" w:type="pct"/>
            <w:tcBorders>
              <w:top w:val="single" w:sz="4" w:space="0" w:color="auto"/>
              <w:bottom w:val="single" w:sz="4" w:space="0" w:color="auto"/>
            </w:tcBorders>
            <w:shd w:val="clear" w:color="auto" w:fill="FABF8F" w:themeFill="accent6" w:themeFillTint="99"/>
            <w:vAlign w:val="center"/>
          </w:tcPr>
          <w:p w:rsidR="008A7AFB" w:rsidRPr="007747F2" w:rsidRDefault="008A7AFB" w:rsidP="008C0C72">
            <w:pPr>
              <w:tabs>
                <w:tab w:val="left" w:pos="142"/>
              </w:tabs>
              <w:spacing w:after="0" w:line="276" w:lineRule="auto"/>
              <w:ind w:firstLine="0"/>
              <w:jc w:val="left"/>
              <w:rPr>
                <w:rFonts w:ascii="Arial Narrow" w:hAnsi="Arial Narrow"/>
              </w:rPr>
            </w:pPr>
            <w:r w:rsidRPr="007747F2">
              <w:rPr>
                <w:rFonts w:ascii="Arial Narrow" w:hAnsi="Arial Narrow"/>
              </w:rPr>
              <w:t>Ingresos</w:t>
            </w:r>
          </w:p>
        </w:tc>
        <w:tc>
          <w:tcPr>
            <w:tcW w:w="944" w:type="pct"/>
            <w:tcBorders>
              <w:top w:val="single" w:sz="4" w:space="0" w:color="auto"/>
              <w:bottom w:val="single" w:sz="4" w:space="0" w:color="auto"/>
            </w:tcBorders>
            <w:shd w:val="clear" w:color="auto" w:fill="FABF8F" w:themeFill="accent6" w:themeFillTint="99"/>
            <w:vAlign w:val="center"/>
          </w:tcPr>
          <w:p w:rsidR="008A7AFB" w:rsidRPr="007747F2" w:rsidRDefault="008A7AFB" w:rsidP="008C0C72">
            <w:pPr>
              <w:tabs>
                <w:tab w:val="left" w:pos="142"/>
              </w:tabs>
              <w:spacing w:after="0" w:line="276" w:lineRule="auto"/>
              <w:ind w:firstLine="62"/>
              <w:jc w:val="left"/>
              <w:rPr>
                <w:rFonts w:ascii="Arial Narrow" w:hAnsi="Arial Narrow"/>
              </w:rPr>
            </w:pPr>
            <w:r w:rsidRPr="007747F2">
              <w:rPr>
                <w:rFonts w:ascii="Arial Narrow" w:hAnsi="Arial Narrow"/>
              </w:rPr>
              <w:t>Gastos</w:t>
            </w:r>
          </w:p>
        </w:tc>
        <w:tc>
          <w:tcPr>
            <w:tcW w:w="865" w:type="pct"/>
            <w:tcBorders>
              <w:top w:val="single" w:sz="4" w:space="0" w:color="auto"/>
              <w:bottom w:val="single" w:sz="4" w:space="0" w:color="auto"/>
            </w:tcBorders>
            <w:shd w:val="clear" w:color="auto" w:fill="FABF8F" w:themeFill="accent6" w:themeFillTint="99"/>
            <w:vAlign w:val="center"/>
          </w:tcPr>
          <w:p w:rsidR="008A7AFB" w:rsidRPr="007747F2" w:rsidRDefault="008A7AFB" w:rsidP="008C0C72">
            <w:pPr>
              <w:tabs>
                <w:tab w:val="left" w:pos="142"/>
              </w:tabs>
              <w:spacing w:after="0" w:line="276" w:lineRule="auto"/>
              <w:ind w:firstLine="0"/>
              <w:jc w:val="left"/>
              <w:rPr>
                <w:rFonts w:ascii="Arial Narrow" w:hAnsi="Arial Narrow"/>
              </w:rPr>
            </w:pPr>
            <w:r w:rsidRPr="007747F2">
              <w:rPr>
                <w:rFonts w:ascii="Arial Narrow" w:hAnsi="Arial Narrow"/>
              </w:rPr>
              <w:t>Resultados del ejercicio</w:t>
            </w:r>
          </w:p>
        </w:tc>
        <w:tc>
          <w:tcPr>
            <w:tcW w:w="787" w:type="pct"/>
            <w:tcBorders>
              <w:top w:val="single" w:sz="4" w:space="0" w:color="auto"/>
              <w:bottom w:val="single" w:sz="4" w:space="0" w:color="auto"/>
            </w:tcBorders>
            <w:shd w:val="clear" w:color="auto" w:fill="FABF8F" w:themeFill="accent6" w:themeFillTint="99"/>
            <w:vAlign w:val="center"/>
          </w:tcPr>
          <w:p w:rsidR="008A7AFB" w:rsidRPr="007747F2" w:rsidRDefault="008A7AFB" w:rsidP="008C0C72">
            <w:pPr>
              <w:tabs>
                <w:tab w:val="left" w:pos="142"/>
              </w:tabs>
              <w:spacing w:after="0" w:line="276" w:lineRule="auto"/>
              <w:ind w:firstLine="0"/>
              <w:jc w:val="right"/>
              <w:rPr>
                <w:rFonts w:ascii="Arial Narrow" w:hAnsi="Arial Narrow"/>
              </w:rPr>
            </w:pPr>
            <w:r w:rsidRPr="007747F2">
              <w:rPr>
                <w:rFonts w:ascii="Arial Narrow" w:hAnsi="Arial Narrow"/>
              </w:rPr>
              <w:t>Personal a 31/12/2019</w:t>
            </w:r>
          </w:p>
        </w:tc>
      </w:tr>
      <w:tr w:rsidR="008A7AFB" w:rsidRPr="007747F2" w:rsidTr="00C801EE">
        <w:trPr>
          <w:trHeight w:val="227"/>
        </w:trPr>
        <w:tc>
          <w:tcPr>
            <w:tcW w:w="1539" w:type="pct"/>
            <w:tcBorders>
              <w:top w:val="single" w:sz="4" w:space="0" w:color="auto"/>
              <w:bottom w:val="single" w:sz="4" w:space="0" w:color="auto"/>
            </w:tcBorders>
            <w:vAlign w:val="center"/>
          </w:tcPr>
          <w:p w:rsidR="008A7AFB" w:rsidRPr="007747F2" w:rsidRDefault="008A7AFB" w:rsidP="008C0C72">
            <w:pPr>
              <w:tabs>
                <w:tab w:val="left" w:pos="142"/>
              </w:tabs>
              <w:spacing w:after="0" w:line="276" w:lineRule="auto"/>
              <w:ind w:firstLine="0"/>
              <w:jc w:val="left"/>
              <w:rPr>
                <w:rFonts w:ascii="Arial Narrow" w:hAnsi="Arial Narrow"/>
              </w:rPr>
            </w:pPr>
            <w:proofErr w:type="spellStart"/>
            <w:r w:rsidRPr="007747F2">
              <w:rPr>
                <w:rFonts w:ascii="Arial Narrow" w:hAnsi="Arial Narrow"/>
              </w:rPr>
              <w:t>Andacelay</w:t>
            </w:r>
            <w:proofErr w:type="spellEnd"/>
            <w:r w:rsidRPr="007747F2">
              <w:rPr>
                <w:rFonts w:ascii="Arial Narrow" w:hAnsi="Arial Narrow"/>
              </w:rPr>
              <w:t>, S.L.</w:t>
            </w:r>
          </w:p>
        </w:tc>
        <w:tc>
          <w:tcPr>
            <w:tcW w:w="865" w:type="pct"/>
            <w:tcBorders>
              <w:top w:val="single" w:sz="4" w:space="0" w:color="auto"/>
              <w:bottom w:val="single" w:sz="4" w:space="0" w:color="auto"/>
            </w:tcBorders>
            <w:vAlign w:val="center"/>
          </w:tcPr>
          <w:p w:rsidR="008A7AFB" w:rsidRPr="007747F2" w:rsidRDefault="008A7AFB" w:rsidP="008C0C72">
            <w:pPr>
              <w:tabs>
                <w:tab w:val="left" w:pos="142"/>
              </w:tabs>
              <w:spacing w:after="0" w:line="276" w:lineRule="auto"/>
              <w:ind w:firstLine="0"/>
              <w:jc w:val="left"/>
              <w:rPr>
                <w:rFonts w:ascii="Arial Narrow" w:hAnsi="Arial Narrow"/>
              </w:rPr>
            </w:pPr>
            <w:r w:rsidRPr="007747F2">
              <w:rPr>
                <w:rFonts w:ascii="Arial Narrow" w:hAnsi="Arial Narrow"/>
              </w:rPr>
              <w:t>1.750.771</w:t>
            </w:r>
          </w:p>
        </w:tc>
        <w:tc>
          <w:tcPr>
            <w:tcW w:w="944" w:type="pct"/>
            <w:tcBorders>
              <w:top w:val="single" w:sz="4" w:space="0" w:color="auto"/>
              <w:bottom w:val="single" w:sz="4" w:space="0" w:color="auto"/>
            </w:tcBorders>
            <w:vAlign w:val="center"/>
          </w:tcPr>
          <w:p w:rsidR="008A7AFB" w:rsidRPr="007747F2" w:rsidRDefault="008A7AFB" w:rsidP="008C0C72">
            <w:pPr>
              <w:tabs>
                <w:tab w:val="left" w:pos="142"/>
              </w:tabs>
              <w:spacing w:after="0" w:line="276" w:lineRule="auto"/>
              <w:ind w:firstLine="62"/>
              <w:jc w:val="left"/>
              <w:rPr>
                <w:rFonts w:ascii="Arial Narrow" w:hAnsi="Arial Narrow"/>
              </w:rPr>
            </w:pPr>
            <w:r w:rsidRPr="007747F2">
              <w:rPr>
                <w:rFonts w:ascii="Arial Narrow" w:hAnsi="Arial Narrow"/>
              </w:rPr>
              <w:t>1.750.672</w:t>
            </w:r>
          </w:p>
        </w:tc>
        <w:tc>
          <w:tcPr>
            <w:tcW w:w="865" w:type="pct"/>
            <w:tcBorders>
              <w:top w:val="single" w:sz="4" w:space="0" w:color="auto"/>
              <w:bottom w:val="single" w:sz="4" w:space="0" w:color="auto"/>
            </w:tcBorders>
            <w:vAlign w:val="center"/>
          </w:tcPr>
          <w:p w:rsidR="008A7AFB" w:rsidRPr="007747F2" w:rsidRDefault="008A7AFB" w:rsidP="008C0C72">
            <w:pPr>
              <w:tabs>
                <w:tab w:val="left" w:pos="142"/>
              </w:tabs>
              <w:spacing w:after="0" w:line="276" w:lineRule="auto"/>
              <w:jc w:val="left"/>
              <w:rPr>
                <w:rFonts w:ascii="Arial Narrow" w:hAnsi="Arial Narrow"/>
              </w:rPr>
            </w:pPr>
            <w:r w:rsidRPr="007747F2">
              <w:rPr>
                <w:rFonts w:ascii="Arial Narrow" w:hAnsi="Arial Narrow"/>
              </w:rPr>
              <w:t>99</w:t>
            </w:r>
          </w:p>
        </w:tc>
        <w:tc>
          <w:tcPr>
            <w:tcW w:w="787" w:type="pct"/>
            <w:tcBorders>
              <w:top w:val="single" w:sz="4" w:space="0" w:color="auto"/>
              <w:bottom w:val="single" w:sz="4" w:space="0" w:color="auto"/>
            </w:tcBorders>
            <w:vAlign w:val="center"/>
          </w:tcPr>
          <w:p w:rsidR="008A7AFB" w:rsidRPr="00534DBA" w:rsidRDefault="008A7AFB" w:rsidP="00534DBA">
            <w:pPr>
              <w:tabs>
                <w:tab w:val="left" w:pos="142"/>
              </w:tabs>
              <w:spacing w:after="0" w:line="276" w:lineRule="auto"/>
              <w:jc w:val="center"/>
              <w:rPr>
                <w:rFonts w:ascii="Arial Narrow" w:hAnsi="Arial Narrow"/>
              </w:rPr>
            </w:pPr>
            <w:r w:rsidRPr="00534DBA">
              <w:rPr>
                <w:rFonts w:ascii="Arial Narrow" w:hAnsi="Arial Narrow"/>
              </w:rPr>
              <w:t>84</w:t>
            </w:r>
          </w:p>
        </w:tc>
      </w:tr>
    </w:tbl>
    <w:p w:rsidR="008A7AFB" w:rsidRDefault="008A7AFB" w:rsidP="008A7AFB">
      <w:pPr>
        <w:pStyle w:val="texto"/>
        <w:tabs>
          <w:tab w:val="left" w:pos="142"/>
        </w:tabs>
        <w:rPr>
          <w:sz w:val="24"/>
          <w:szCs w:val="22"/>
        </w:rPr>
      </w:pPr>
    </w:p>
    <w:p w:rsidR="008A7AFB" w:rsidRPr="008A7AFB" w:rsidRDefault="00A041D7" w:rsidP="008A7AFB">
      <w:pPr>
        <w:pStyle w:val="texto"/>
        <w:tabs>
          <w:tab w:val="left" w:pos="142"/>
        </w:tabs>
        <w:rPr>
          <w:color w:val="000000" w:themeColor="text1"/>
          <w:szCs w:val="26"/>
        </w:rPr>
      </w:pPr>
      <w:r>
        <w:rPr>
          <w:szCs w:val="26"/>
        </w:rPr>
        <w:t>El a</w:t>
      </w:r>
      <w:r w:rsidR="008A7AFB" w:rsidRPr="008A7AFB">
        <w:rPr>
          <w:szCs w:val="26"/>
        </w:rPr>
        <w:t>yuntamiento, asimismo, forma parte de la Mancomunidad de la Comarca de Pamplona, que presta los servicios de ciclo integral del agua, la gestión y trat</w:t>
      </w:r>
      <w:r w:rsidR="008A7AFB" w:rsidRPr="008A7AFB">
        <w:rPr>
          <w:szCs w:val="26"/>
        </w:rPr>
        <w:t>a</w:t>
      </w:r>
      <w:r w:rsidR="008A7AFB" w:rsidRPr="008A7AFB">
        <w:rPr>
          <w:szCs w:val="26"/>
        </w:rPr>
        <w:t xml:space="preserve">miento de los residuos sólidos urbanos, el transporte urbano comarcal y la gestión del parque fluvial. </w:t>
      </w:r>
      <w:r w:rsidR="008A7AFB" w:rsidRPr="008A7AFB">
        <w:rPr>
          <w:color w:val="000000" w:themeColor="text1"/>
          <w:szCs w:val="26"/>
        </w:rPr>
        <w:t>El gasto reconocido a favor de la misma en 2019 ha sido de 296.585 euros.</w:t>
      </w:r>
    </w:p>
    <w:p w:rsidR="00BE4D3A" w:rsidRDefault="00BE4D3A" w:rsidP="00642C71">
      <w:pPr>
        <w:pStyle w:val="texto"/>
        <w:spacing w:after="240"/>
        <w:rPr>
          <w:lang w:val="es-ES"/>
        </w:rPr>
      </w:pPr>
      <w:r w:rsidRPr="00B4366C">
        <w:rPr>
          <w:lang w:val="es-ES"/>
        </w:rPr>
        <w:t xml:space="preserve">Los servicios </w:t>
      </w:r>
      <w:r>
        <w:rPr>
          <w:lang w:val="es-ES"/>
        </w:rPr>
        <w:t xml:space="preserve">públicos </w:t>
      </w:r>
      <w:r w:rsidRPr="00B4366C">
        <w:rPr>
          <w:lang w:val="es-ES"/>
        </w:rPr>
        <w:t xml:space="preserve">que presta el </w:t>
      </w:r>
      <w:r w:rsidR="00E21822">
        <w:rPr>
          <w:lang w:val="es-ES"/>
        </w:rPr>
        <w:t>a</w:t>
      </w:r>
      <w:r w:rsidR="00D426D2">
        <w:rPr>
          <w:lang w:val="es-ES"/>
        </w:rPr>
        <w:t>yuntamiento</w:t>
      </w:r>
      <w:r w:rsidRPr="00B4366C">
        <w:rPr>
          <w:lang w:val="es-ES"/>
        </w:rPr>
        <w:t xml:space="preserve"> y la forma de prestación </w:t>
      </w:r>
      <w:r w:rsidRPr="00847E8C">
        <w:rPr>
          <w:lang w:val="es-ES"/>
        </w:rPr>
        <w:t>de los mismos</w:t>
      </w:r>
      <w:r w:rsidR="00534DBA">
        <w:rPr>
          <w:lang w:val="es-ES"/>
        </w:rPr>
        <w:t>,</w:t>
      </w:r>
      <w:r w:rsidRPr="00847E8C">
        <w:rPr>
          <w:lang w:val="es-ES"/>
        </w:rPr>
        <w:t xml:space="preserve"> es la siguiente: </w:t>
      </w:r>
    </w:p>
    <w:tbl>
      <w:tblPr>
        <w:tblW w:w="5051" w:type="pct"/>
        <w:jc w:val="center"/>
        <w:tblCellMar>
          <w:top w:w="28" w:type="dxa"/>
          <w:left w:w="80" w:type="dxa"/>
          <w:right w:w="80" w:type="dxa"/>
        </w:tblCellMar>
        <w:tblLook w:val="0000" w:firstRow="0" w:lastRow="0" w:firstColumn="0" w:lastColumn="0" w:noHBand="0" w:noVBand="0"/>
      </w:tblPr>
      <w:tblGrid>
        <w:gridCol w:w="3433"/>
        <w:gridCol w:w="1198"/>
        <w:gridCol w:w="182"/>
        <w:gridCol w:w="1159"/>
        <w:gridCol w:w="1299"/>
        <w:gridCol w:w="975"/>
        <w:gridCol w:w="1224"/>
      </w:tblGrid>
      <w:tr w:rsidR="006E30E1" w:rsidRPr="006E30E1" w:rsidTr="00B2755C">
        <w:trPr>
          <w:trHeight w:val="170"/>
          <w:jc w:val="center"/>
        </w:trPr>
        <w:tc>
          <w:tcPr>
            <w:tcW w:w="1812" w:type="pct"/>
            <w:tcBorders>
              <w:top w:val="single" w:sz="4" w:space="0" w:color="auto"/>
            </w:tcBorders>
            <w:shd w:val="clear" w:color="auto" w:fill="FABF8F" w:themeFill="accent6" w:themeFillTint="99"/>
            <w:vAlign w:val="center"/>
          </w:tcPr>
          <w:p w:rsidR="00E21822" w:rsidRPr="006E30E1" w:rsidRDefault="00E21822" w:rsidP="008C0C72">
            <w:pPr>
              <w:tabs>
                <w:tab w:val="left" w:pos="142"/>
                <w:tab w:val="left" w:pos="360"/>
              </w:tabs>
              <w:spacing w:after="0" w:line="276" w:lineRule="auto"/>
              <w:ind w:firstLine="0"/>
              <w:rPr>
                <w:rFonts w:ascii="Arial" w:hAnsi="Arial" w:cs="Arial"/>
                <w:sz w:val="16"/>
                <w:szCs w:val="16"/>
              </w:rPr>
            </w:pPr>
          </w:p>
        </w:tc>
        <w:tc>
          <w:tcPr>
            <w:tcW w:w="1340" w:type="pct"/>
            <w:gridSpan w:val="3"/>
            <w:tcBorders>
              <w:top w:val="single" w:sz="4" w:space="0" w:color="auto"/>
              <w:bottom w:val="single" w:sz="4" w:space="0" w:color="auto"/>
            </w:tcBorders>
            <w:shd w:val="clear" w:color="auto" w:fill="FABF8F" w:themeFill="accent6" w:themeFillTint="99"/>
            <w:vAlign w:val="center"/>
          </w:tcPr>
          <w:p w:rsidR="00E21822" w:rsidRPr="006E30E1" w:rsidRDefault="00E21822" w:rsidP="008C0C72">
            <w:pPr>
              <w:tabs>
                <w:tab w:val="left" w:pos="142"/>
              </w:tabs>
              <w:spacing w:after="0" w:line="276" w:lineRule="auto"/>
              <w:ind w:firstLine="0"/>
              <w:jc w:val="center"/>
              <w:rPr>
                <w:rFonts w:ascii="Arial" w:hAnsi="Arial" w:cs="Arial"/>
                <w:sz w:val="16"/>
                <w:szCs w:val="16"/>
              </w:rPr>
            </w:pPr>
            <w:r w:rsidRPr="006E30E1">
              <w:rPr>
                <w:rFonts w:ascii="Arial" w:hAnsi="Arial" w:cs="Arial"/>
                <w:sz w:val="16"/>
                <w:szCs w:val="16"/>
              </w:rPr>
              <w:t>Gestión directa</w:t>
            </w:r>
          </w:p>
        </w:tc>
        <w:tc>
          <w:tcPr>
            <w:tcW w:w="1201" w:type="pct"/>
            <w:gridSpan w:val="2"/>
            <w:tcBorders>
              <w:top w:val="single" w:sz="4" w:space="0" w:color="auto"/>
              <w:bottom w:val="single" w:sz="4" w:space="0" w:color="auto"/>
            </w:tcBorders>
            <w:shd w:val="clear" w:color="auto" w:fill="FABF8F" w:themeFill="accent6" w:themeFillTint="99"/>
            <w:vAlign w:val="center"/>
          </w:tcPr>
          <w:p w:rsidR="00E21822" w:rsidRPr="006E30E1" w:rsidRDefault="00E21822" w:rsidP="008C0C72">
            <w:pPr>
              <w:tabs>
                <w:tab w:val="left" w:pos="142"/>
              </w:tabs>
              <w:spacing w:after="0" w:line="276" w:lineRule="auto"/>
              <w:ind w:firstLine="0"/>
              <w:jc w:val="center"/>
              <w:rPr>
                <w:rFonts w:ascii="Arial" w:hAnsi="Arial" w:cs="Arial"/>
                <w:sz w:val="16"/>
                <w:szCs w:val="16"/>
              </w:rPr>
            </w:pPr>
            <w:r w:rsidRPr="006E30E1">
              <w:rPr>
                <w:rFonts w:ascii="Arial" w:hAnsi="Arial" w:cs="Arial"/>
                <w:sz w:val="16"/>
                <w:szCs w:val="16"/>
              </w:rPr>
              <w:t>Gestión indirecta</w:t>
            </w:r>
          </w:p>
        </w:tc>
        <w:tc>
          <w:tcPr>
            <w:tcW w:w="646" w:type="pct"/>
            <w:tcBorders>
              <w:top w:val="single" w:sz="4" w:space="0" w:color="auto"/>
            </w:tcBorders>
            <w:shd w:val="clear" w:color="auto" w:fill="FABF8F" w:themeFill="accent6" w:themeFillTint="99"/>
          </w:tcPr>
          <w:p w:rsidR="00E21822" w:rsidRPr="006E30E1" w:rsidRDefault="00E21822" w:rsidP="008C0C72">
            <w:pPr>
              <w:tabs>
                <w:tab w:val="left" w:pos="142"/>
              </w:tabs>
              <w:spacing w:after="0" w:line="276" w:lineRule="auto"/>
              <w:ind w:firstLine="0"/>
              <w:jc w:val="right"/>
              <w:rPr>
                <w:rFonts w:ascii="Arial" w:hAnsi="Arial" w:cs="Arial"/>
                <w:sz w:val="16"/>
                <w:szCs w:val="16"/>
              </w:rPr>
            </w:pPr>
          </w:p>
        </w:tc>
      </w:tr>
      <w:tr w:rsidR="006E30E1" w:rsidRPr="006E30E1" w:rsidTr="00B2755C">
        <w:trPr>
          <w:trHeight w:val="170"/>
          <w:jc w:val="center"/>
        </w:trPr>
        <w:tc>
          <w:tcPr>
            <w:tcW w:w="1812" w:type="pct"/>
            <w:tcBorders>
              <w:bottom w:val="single" w:sz="4" w:space="0" w:color="auto"/>
            </w:tcBorders>
            <w:shd w:val="clear" w:color="auto" w:fill="FABF8F" w:themeFill="accent6" w:themeFillTint="99"/>
            <w:vAlign w:val="center"/>
          </w:tcPr>
          <w:p w:rsidR="00E21822" w:rsidRPr="006E30E1" w:rsidRDefault="00E21822" w:rsidP="008C0C72">
            <w:pPr>
              <w:tabs>
                <w:tab w:val="left" w:pos="142"/>
                <w:tab w:val="left" w:pos="360"/>
              </w:tabs>
              <w:spacing w:after="0" w:line="276" w:lineRule="auto"/>
              <w:ind w:left="271" w:hanging="271"/>
              <w:rPr>
                <w:rFonts w:ascii="Arial" w:hAnsi="Arial" w:cs="Arial"/>
                <w:sz w:val="16"/>
                <w:szCs w:val="16"/>
              </w:rPr>
            </w:pPr>
            <w:r w:rsidRPr="006E30E1">
              <w:rPr>
                <w:rFonts w:ascii="Arial" w:hAnsi="Arial" w:cs="Arial"/>
                <w:sz w:val="16"/>
                <w:szCs w:val="16"/>
              </w:rPr>
              <w:t>Servicio</w:t>
            </w:r>
          </w:p>
        </w:tc>
        <w:tc>
          <w:tcPr>
            <w:tcW w:w="632" w:type="pct"/>
            <w:tcBorders>
              <w:top w:val="single" w:sz="4" w:space="0" w:color="auto"/>
              <w:bottom w:val="single" w:sz="4" w:space="0" w:color="auto"/>
            </w:tcBorders>
            <w:shd w:val="clear" w:color="auto" w:fill="FABF8F" w:themeFill="accent6" w:themeFillTint="99"/>
            <w:vAlign w:val="center"/>
          </w:tcPr>
          <w:p w:rsidR="00E21822" w:rsidRPr="006E30E1" w:rsidRDefault="00E21822" w:rsidP="008C0C72">
            <w:pPr>
              <w:tabs>
                <w:tab w:val="left" w:pos="142"/>
              </w:tabs>
              <w:spacing w:after="0" w:line="276" w:lineRule="auto"/>
              <w:ind w:left="-141" w:firstLine="0"/>
              <w:jc w:val="center"/>
              <w:rPr>
                <w:rFonts w:ascii="Arial" w:hAnsi="Arial" w:cs="Arial"/>
                <w:sz w:val="16"/>
                <w:szCs w:val="16"/>
              </w:rPr>
            </w:pPr>
            <w:r w:rsidRPr="006E30E1">
              <w:rPr>
                <w:rFonts w:ascii="Arial" w:hAnsi="Arial" w:cs="Arial"/>
                <w:sz w:val="16"/>
                <w:szCs w:val="16"/>
              </w:rPr>
              <w:t>Ayuntamiento</w:t>
            </w:r>
          </w:p>
        </w:tc>
        <w:tc>
          <w:tcPr>
            <w:tcW w:w="96" w:type="pct"/>
            <w:tcBorders>
              <w:top w:val="single" w:sz="4" w:space="0" w:color="auto"/>
              <w:bottom w:val="single" w:sz="4" w:space="0" w:color="auto"/>
            </w:tcBorders>
            <w:shd w:val="clear" w:color="auto" w:fill="FABF8F" w:themeFill="accent6" w:themeFillTint="99"/>
            <w:vAlign w:val="center"/>
          </w:tcPr>
          <w:p w:rsidR="00E21822" w:rsidRPr="006E30E1" w:rsidRDefault="00E21822" w:rsidP="008C0C72">
            <w:pPr>
              <w:tabs>
                <w:tab w:val="left" w:pos="142"/>
              </w:tabs>
              <w:spacing w:after="0" w:line="276" w:lineRule="auto"/>
              <w:ind w:left="-141" w:firstLine="0"/>
              <w:jc w:val="center"/>
              <w:rPr>
                <w:rFonts w:ascii="Arial" w:hAnsi="Arial" w:cs="Arial"/>
                <w:sz w:val="16"/>
                <w:szCs w:val="16"/>
              </w:rPr>
            </w:pPr>
          </w:p>
        </w:tc>
        <w:tc>
          <w:tcPr>
            <w:tcW w:w="612" w:type="pct"/>
            <w:tcBorders>
              <w:top w:val="single" w:sz="4" w:space="0" w:color="auto"/>
              <w:bottom w:val="single" w:sz="4" w:space="0" w:color="auto"/>
            </w:tcBorders>
            <w:shd w:val="clear" w:color="auto" w:fill="FABF8F" w:themeFill="accent6" w:themeFillTint="99"/>
            <w:vAlign w:val="center"/>
          </w:tcPr>
          <w:p w:rsidR="006E30E1" w:rsidRPr="006E30E1" w:rsidRDefault="00E21822" w:rsidP="008C0C72">
            <w:pPr>
              <w:tabs>
                <w:tab w:val="left" w:pos="142"/>
              </w:tabs>
              <w:spacing w:after="0" w:line="276" w:lineRule="auto"/>
              <w:ind w:firstLine="0"/>
              <w:jc w:val="center"/>
              <w:rPr>
                <w:rFonts w:ascii="Arial" w:hAnsi="Arial" w:cs="Arial"/>
                <w:sz w:val="16"/>
                <w:szCs w:val="16"/>
              </w:rPr>
            </w:pPr>
            <w:r w:rsidRPr="006E30E1">
              <w:rPr>
                <w:rFonts w:ascii="Arial" w:hAnsi="Arial" w:cs="Arial"/>
                <w:sz w:val="16"/>
                <w:szCs w:val="16"/>
              </w:rPr>
              <w:t xml:space="preserve">Empresa </w:t>
            </w:r>
          </w:p>
          <w:p w:rsidR="00E21822" w:rsidRPr="006E30E1" w:rsidRDefault="00E21822" w:rsidP="008C0C72">
            <w:pPr>
              <w:tabs>
                <w:tab w:val="left" w:pos="142"/>
              </w:tabs>
              <w:spacing w:after="0" w:line="276" w:lineRule="auto"/>
              <w:ind w:firstLine="0"/>
              <w:jc w:val="center"/>
              <w:rPr>
                <w:rFonts w:ascii="Arial" w:hAnsi="Arial" w:cs="Arial"/>
                <w:sz w:val="16"/>
                <w:szCs w:val="16"/>
              </w:rPr>
            </w:pPr>
            <w:r w:rsidRPr="006E30E1">
              <w:rPr>
                <w:rFonts w:ascii="Arial" w:hAnsi="Arial" w:cs="Arial"/>
                <w:sz w:val="16"/>
                <w:szCs w:val="16"/>
              </w:rPr>
              <w:t>pública</w:t>
            </w:r>
          </w:p>
        </w:tc>
        <w:tc>
          <w:tcPr>
            <w:tcW w:w="686" w:type="pct"/>
            <w:tcBorders>
              <w:top w:val="single" w:sz="4" w:space="0" w:color="auto"/>
              <w:bottom w:val="single" w:sz="4" w:space="0" w:color="auto"/>
            </w:tcBorders>
            <w:shd w:val="clear" w:color="auto" w:fill="FABF8F" w:themeFill="accent6" w:themeFillTint="99"/>
            <w:vAlign w:val="center"/>
          </w:tcPr>
          <w:p w:rsidR="00E21822" w:rsidRPr="006E30E1" w:rsidRDefault="00E21822" w:rsidP="008C0C72">
            <w:pPr>
              <w:tabs>
                <w:tab w:val="left" w:pos="142"/>
              </w:tabs>
              <w:spacing w:after="0" w:line="276" w:lineRule="auto"/>
              <w:ind w:left="-141" w:firstLine="0"/>
              <w:jc w:val="right"/>
              <w:rPr>
                <w:rFonts w:ascii="Arial" w:hAnsi="Arial" w:cs="Arial"/>
                <w:sz w:val="16"/>
                <w:szCs w:val="16"/>
              </w:rPr>
            </w:pPr>
            <w:r w:rsidRPr="006E30E1">
              <w:rPr>
                <w:rFonts w:ascii="Arial" w:hAnsi="Arial" w:cs="Arial"/>
                <w:sz w:val="16"/>
                <w:szCs w:val="16"/>
              </w:rPr>
              <w:t>Contrato conc</w:t>
            </w:r>
            <w:r w:rsidRPr="006E30E1">
              <w:rPr>
                <w:rFonts w:ascii="Arial" w:hAnsi="Arial" w:cs="Arial"/>
                <w:sz w:val="16"/>
                <w:szCs w:val="16"/>
              </w:rPr>
              <w:t>e</w:t>
            </w:r>
            <w:r w:rsidRPr="006E30E1">
              <w:rPr>
                <w:rFonts w:ascii="Arial" w:hAnsi="Arial" w:cs="Arial"/>
                <w:sz w:val="16"/>
                <w:szCs w:val="16"/>
              </w:rPr>
              <w:t>sión servicios</w:t>
            </w:r>
          </w:p>
        </w:tc>
        <w:tc>
          <w:tcPr>
            <w:tcW w:w="515" w:type="pct"/>
            <w:tcBorders>
              <w:top w:val="single" w:sz="4" w:space="0" w:color="auto"/>
              <w:bottom w:val="single" w:sz="4" w:space="0" w:color="auto"/>
            </w:tcBorders>
            <w:shd w:val="clear" w:color="auto" w:fill="FABF8F" w:themeFill="accent6" w:themeFillTint="99"/>
            <w:vAlign w:val="center"/>
          </w:tcPr>
          <w:p w:rsidR="006E30E1" w:rsidRDefault="00E21822" w:rsidP="008C0C72">
            <w:pPr>
              <w:tabs>
                <w:tab w:val="left" w:pos="142"/>
              </w:tabs>
              <w:spacing w:after="0" w:line="276" w:lineRule="auto"/>
              <w:ind w:left="-141" w:firstLine="0"/>
              <w:jc w:val="right"/>
              <w:rPr>
                <w:rFonts w:ascii="Arial" w:hAnsi="Arial" w:cs="Arial"/>
                <w:sz w:val="16"/>
                <w:szCs w:val="16"/>
              </w:rPr>
            </w:pPr>
            <w:r w:rsidRPr="006E30E1">
              <w:rPr>
                <w:rFonts w:ascii="Arial" w:hAnsi="Arial" w:cs="Arial"/>
                <w:sz w:val="16"/>
                <w:szCs w:val="16"/>
              </w:rPr>
              <w:t xml:space="preserve">Contrato </w:t>
            </w:r>
          </w:p>
          <w:p w:rsidR="00E21822" w:rsidRPr="006E30E1" w:rsidRDefault="00E21822" w:rsidP="008C0C72">
            <w:pPr>
              <w:tabs>
                <w:tab w:val="left" w:pos="142"/>
              </w:tabs>
              <w:spacing w:after="0" w:line="276" w:lineRule="auto"/>
              <w:ind w:left="-141" w:firstLine="0"/>
              <w:jc w:val="right"/>
              <w:rPr>
                <w:rFonts w:ascii="Arial" w:hAnsi="Arial" w:cs="Arial"/>
                <w:sz w:val="16"/>
                <w:szCs w:val="16"/>
              </w:rPr>
            </w:pPr>
            <w:r w:rsidRPr="006E30E1">
              <w:rPr>
                <w:rFonts w:ascii="Arial" w:hAnsi="Arial" w:cs="Arial"/>
                <w:sz w:val="16"/>
                <w:szCs w:val="16"/>
              </w:rPr>
              <w:t>servicio</w:t>
            </w:r>
          </w:p>
        </w:tc>
        <w:tc>
          <w:tcPr>
            <w:tcW w:w="646" w:type="pct"/>
            <w:tcBorders>
              <w:bottom w:val="single" w:sz="4" w:space="0" w:color="auto"/>
            </w:tcBorders>
            <w:shd w:val="clear" w:color="auto" w:fill="FABF8F" w:themeFill="accent6" w:themeFillTint="99"/>
            <w:vAlign w:val="center"/>
          </w:tcPr>
          <w:p w:rsidR="00E21822" w:rsidRPr="006E30E1" w:rsidRDefault="00E21822" w:rsidP="00F9084C">
            <w:pPr>
              <w:tabs>
                <w:tab w:val="left" w:pos="142"/>
              </w:tabs>
              <w:spacing w:after="0" w:line="276" w:lineRule="auto"/>
              <w:ind w:left="-141" w:firstLine="0"/>
              <w:jc w:val="right"/>
              <w:rPr>
                <w:rFonts w:ascii="Arial" w:hAnsi="Arial" w:cs="Arial"/>
                <w:sz w:val="16"/>
                <w:szCs w:val="16"/>
              </w:rPr>
            </w:pPr>
            <w:r w:rsidRPr="006E30E1">
              <w:rPr>
                <w:rFonts w:ascii="Arial" w:hAnsi="Arial" w:cs="Arial"/>
                <w:sz w:val="16"/>
                <w:szCs w:val="16"/>
              </w:rPr>
              <w:t>Manco-</w:t>
            </w:r>
          </w:p>
          <w:p w:rsidR="00E21822" w:rsidRPr="006E30E1" w:rsidRDefault="00E21822" w:rsidP="00F9084C">
            <w:pPr>
              <w:tabs>
                <w:tab w:val="left" w:pos="142"/>
              </w:tabs>
              <w:spacing w:after="0" w:line="276" w:lineRule="auto"/>
              <w:ind w:left="-141" w:firstLine="0"/>
              <w:jc w:val="right"/>
              <w:rPr>
                <w:rFonts w:ascii="Arial" w:hAnsi="Arial" w:cs="Arial"/>
                <w:sz w:val="16"/>
                <w:szCs w:val="16"/>
              </w:rPr>
            </w:pPr>
            <w:r w:rsidRPr="006E30E1">
              <w:rPr>
                <w:rFonts w:ascii="Arial" w:hAnsi="Arial" w:cs="Arial"/>
                <w:sz w:val="16"/>
                <w:szCs w:val="16"/>
              </w:rPr>
              <w:t>munidad</w:t>
            </w:r>
          </w:p>
        </w:tc>
      </w:tr>
      <w:tr w:rsidR="006E30E1" w:rsidRPr="006E30E1" w:rsidTr="00F9084C">
        <w:trPr>
          <w:trHeight w:val="255"/>
          <w:jc w:val="center"/>
        </w:trPr>
        <w:tc>
          <w:tcPr>
            <w:tcW w:w="1812" w:type="pct"/>
            <w:tcBorders>
              <w:top w:val="single" w:sz="4" w:space="0" w:color="auto"/>
              <w:bottom w:val="single" w:sz="2" w:space="0" w:color="auto"/>
            </w:tcBorders>
            <w:vAlign w:val="center"/>
          </w:tcPr>
          <w:p w:rsidR="00E21822" w:rsidRPr="006E30E1" w:rsidRDefault="00E21822" w:rsidP="008C0C72">
            <w:pPr>
              <w:tabs>
                <w:tab w:val="left" w:pos="142"/>
                <w:tab w:val="left" w:pos="360"/>
              </w:tabs>
              <w:spacing w:after="0" w:line="276" w:lineRule="auto"/>
              <w:ind w:firstLine="0"/>
              <w:jc w:val="left"/>
              <w:rPr>
                <w:rFonts w:ascii="Arial Narrow" w:hAnsi="Arial Narrow"/>
                <w:sz w:val="19"/>
                <w:szCs w:val="19"/>
                <w:lang w:val="es-ES"/>
              </w:rPr>
            </w:pPr>
            <w:r w:rsidRPr="006E30E1">
              <w:rPr>
                <w:rFonts w:ascii="Arial Narrow" w:hAnsi="Arial Narrow"/>
                <w:sz w:val="19"/>
                <w:szCs w:val="19"/>
                <w:lang w:val="es-ES"/>
              </w:rPr>
              <w:t xml:space="preserve">Alumbrado público </w:t>
            </w:r>
          </w:p>
        </w:tc>
        <w:tc>
          <w:tcPr>
            <w:tcW w:w="632"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r w:rsidRPr="006E30E1">
              <w:rPr>
                <w:rFonts w:ascii="Arial Narrow" w:hAnsi="Arial Narrow"/>
                <w:b/>
                <w:sz w:val="19"/>
                <w:szCs w:val="19"/>
              </w:rPr>
              <w:t>x</w:t>
            </w:r>
          </w:p>
        </w:tc>
        <w:tc>
          <w:tcPr>
            <w:tcW w:w="96"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612"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686"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515"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646"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r>
      <w:tr w:rsidR="006E30E1" w:rsidRPr="006E30E1" w:rsidTr="00F9084C">
        <w:trPr>
          <w:trHeight w:val="255"/>
          <w:jc w:val="center"/>
        </w:trPr>
        <w:tc>
          <w:tcPr>
            <w:tcW w:w="1812" w:type="pct"/>
            <w:tcBorders>
              <w:top w:val="single" w:sz="4" w:space="0" w:color="auto"/>
              <w:bottom w:val="single" w:sz="2" w:space="0" w:color="auto"/>
            </w:tcBorders>
            <w:vAlign w:val="center"/>
          </w:tcPr>
          <w:p w:rsidR="00E21822" w:rsidRPr="006E30E1" w:rsidRDefault="00E21822" w:rsidP="008C0C72">
            <w:pPr>
              <w:tabs>
                <w:tab w:val="left" w:pos="142"/>
                <w:tab w:val="left" w:pos="360"/>
              </w:tabs>
              <w:spacing w:after="0" w:line="276" w:lineRule="auto"/>
              <w:ind w:firstLine="0"/>
              <w:jc w:val="left"/>
              <w:rPr>
                <w:rFonts w:ascii="Arial Narrow" w:hAnsi="Arial Narrow"/>
                <w:sz w:val="19"/>
                <w:szCs w:val="19"/>
                <w:lang w:val="es-ES"/>
              </w:rPr>
            </w:pPr>
            <w:r w:rsidRPr="006E30E1">
              <w:rPr>
                <w:rFonts w:ascii="Arial Narrow" w:hAnsi="Arial Narrow"/>
                <w:sz w:val="19"/>
                <w:szCs w:val="19"/>
                <w:lang w:val="es-ES"/>
              </w:rPr>
              <w:t>Cementerio</w:t>
            </w:r>
          </w:p>
        </w:tc>
        <w:tc>
          <w:tcPr>
            <w:tcW w:w="632"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r w:rsidRPr="006E30E1">
              <w:rPr>
                <w:rFonts w:ascii="Arial Narrow" w:hAnsi="Arial Narrow"/>
                <w:b/>
                <w:sz w:val="19"/>
                <w:szCs w:val="19"/>
              </w:rPr>
              <w:t>x</w:t>
            </w:r>
          </w:p>
        </w:tc>
        <w:tc>
          <w:tcPr>
            <w:tcW w:w="96"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612"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686"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515"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646"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r>
      <w:tr w:rsidR="006E30E1" w:rsidRPr="006E30E1" w:rsidTr="00F9084C">
        <w:trPr>
          <w:trHeight w:val="255"/>
          <w:jc w:val="center"/>
        </w:trPr>
        <w:tc>
          <w:tcPr>
            <w:tcW w:w="1812" w:type="pct"/>
            <w:tcBorders>
              <w:top w:val="single" w:sz="4" w:space="0" w:color="auto"/>
              <w:bottom w:val="single" w:sz="2" w:space="0" w:color="auto"/>
            </w:tcBorders>
            <w:vAlign w:val="center"/>
          </w:tcPr>
          <w:p w:rsidR="00E21822" w:rsidRPr="006E30E1" w:rsidRDefault="00E21822" w:rsidP="008C0C72">
            <w:pPr>
              <w:tabs>
                <w:tab w:val="left" w:pos="142"/>
                <w:tab w:val="left" w:pos="360"/>
              </w:tabs>
              <w:spacing w:after="0" w:line="276" w:lineRule="auto"/>
              <w:ind w:firstLine="0"/>
              <w:jc w:val="left"/>
              <w:rPr>
                <w:rFonts w:ascii="Arial Narrow" w:hAnsi="Arial Narrow"/>
                <w:sz w:val="19"/>
                <w:szCs w:val="19"/>
                <w:lang w:val="es-ES"/>
              </w:rPr>
            </w:pPr>
            <w:r w:rsidRPr="006E30E1">
              <w:rPr>
                <w:rFonts w:ascii="Arial Narrow" w:hAnsi="Arial Narrow"/>
                <w:sz w:val="19"/>
                <w:szCs w:val="19"/>
                <w:lang w:val="es-ES"/>
              </w:rPr>
              <w:t xml:space="preserve">Recogida y </w:t>
            </w:r>
            <w:r w:rsidR="007747F2" w:rsidRPr="006E30E1">
              <w:rPr>
                <w:rFonts w:ascii="Arial Narrow" w:hAnsi="Arial Narrow"/>
                <w:sz w:val="19"/>
                <w:szCs w:val="19"/>
                <w:lang w:val="es-ES"/>
              </w:rPr>
              <w:t>tratamient</w:t>
            </w:r>
            <w:r w:rsidRPr="006E30E1">
              <w:rPr>
                <w:rFonts w:ascii="Arial Narrow" w:hAnsi="Arial Narrow"/>
                <w:sz w:val="19"/>
                <w:szCs w:val="19"/>
                <w:lang w:val="es-ES"/>
              </w:rPr>
              <w:t>o de Residuos Urbanos</w:t>
            </w:r>
          </w:p>
        </w:tc>
        <w:tc>
          <w:tcPr>
            <w:tcW w:w="632"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96"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612"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686"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515"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646" w:type="pct"/>
            <w:tcBorders>
              <w:top w:val="single" w:sz="4" w:space="0" w:color="auto"/>
              <w:bottom w:val="single" w:sz="2" w:space="0" w:color="auto"/>
            </w:tcBorders>
            <w:vAlign w:val="center"/>
          </w:tcPr>
          <w:p w:rsidR="00E21822" w:rsidRPr="006E30E1" w:rsidRDefault="008904EF" w:rsidP="008904EF">
            <w:pPr>
              <w:tabs>
                <w:tab w:val="left" w:pos="142"/>
              </w:tabs>
              <w:spacing w:after="0" w:line="276" w:lineRule="auto"/>
              <w:ind w:firstLine="0"/>
              <w:jc w:val="center"/>
              <w:rPr>
                <w:rFonts w:ascii="Arial Narrow" w:hAnsi="Arial Narrow"/>
                <w:b/>
                <w:sz w:val="19"/>
                <w:szCs w:val="19"/>
              </w:rPr>
            </w:pPr>
            <w:r w:rsidRPr="006E30E1">
              <w:rPr>
                <w:rFonts w:ascii="Arial Narrow" w:hAnsi="Arial Narrow"/>
                <w:b/>
                <w:sz w:val="19"/>
                <w:szCs w:val="19"/>
              </w:rPr>
              <w:t xml:space="preserve">     </w:t>
            </w:r>
            <w:r w:rsidR="00E21822" w:rsidRPr="006E30E1">
              <w:rPr>
                <w:rFonts w:ascii="Arial Narrow" w:hAnsi="Arial Narrow"/>
                <w:b/>
                <w:sz w:val="19"/>
                <w:szCs w:val="19"/>
              </w:rPr>
              <w:t>x</w:t>
            </w:r>
          </w:p>
        </w:tc>
      </w:tr>
      <w:tr w:rsidR="006E30E1" w:rsidRPr="006E30E1" w:rsidTr="00F9084C">
        <w:trPr>
          <w:trHeight w:val="255"/>
          <w:jc w:val="center"/>
        </w:trPr>
        <w:tc>
          <w:tcPr>
            <w:tcW w:w="1812" w:type="pct"/>
            <w:tcBorders>
              <w:top w:val="single" w:sz="4" w:space="0" w:color="auto"/>
              <w:bottom w:val="single" w:sz="2" w:space="0" w:color="auto"/>
            </w:tcBorders>
            <w:vAlign w:val="center"/>
          </w:tcPr>
          <w:p w:rsidR="00E21822" w:rsidRPr="006E30E1" w:rsidRDefault="00E21822" w:rsidP="008C0C72">
            <w:pPr>
              <w:tabs>
                <w:tab w:val="left" w:pos="142"/>
                <w:tab w:val="left" w:pos="360"/>
              </w:tabs>
              <w:spacing w:after="0" w:line="276" w:lineRule="auto"/>
              <w:ind w:firstLine="0"/>
              <w:jc w:val="left"/>
              <w:rPr>
                <w:rFonts w:ascii="Arial Narrow" w:hAnsi="Arial Narrow"/>
                <w:sz w:val="19"/>
                <w:szCs w:val="19"/>
                <w:lang w:val="es-ES"/>
              </w:rPr>
            </w:pPr>
            <w:r w:rsidRPr="006E30E1">
              <w:rPr>
                <w:rFonts w:ascii="Arial Narrow" w:hAnsi="Arial Narrow"/>
                <w:sz w:val="19"/>
                <w:szCs w:val="19"/>
                <w:lang w:val="es-ES"/>
              </w:rPr>
              <w:t>Limpieza viaria</w:t>
            </w:r>
          </w:p>
        </w:tc>
        <w:tc>
          <w:tcPr>
            <w:tcW w:w="632"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r w:rsidRPr="006E30E1">
              <w:rPr>
                <w:rFonts w:ascii="Arial Narrow" w:hAnsi="Arial Narrow"/>
                <w:b/>
                <w:sz w:val="19"/>
                <w:szCs w:val="19"/>
              </w:rPr>
              <w:t>x</w:t>
            </w:r>
          </w:p>
        </w:tc>
        <w:tc>
          <w:tcPr>
            <w:tcW w:w="96"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612"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686"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515"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646" w:type="pct"/>
            <w:tcBorders>
              <w:top w:val="single" w:sz="4" w:space="0" w:color="auto"/>
              <w:bottom w:val="single" w:sz="2" w:space="0" w:color="auto"/>
            </w:tcBorders>
            <w:vAlign w:val="center"/>
          </w:tcPr>
          <w:p w:rsidR="00E21822" w:rsidRPr="006E30E1" w:rsidRDefault="00E21822" w:rsidP="008904EF">
            <w:pPr>
              <w:tabs>
                <w:tab w:val="left" w:pos="142"/>
              </w:tabs>
              <w:spacing w:after="0" w:line="276" w:lineRule="auto"/>
              <w:ind w:firstLine="0"/>
              <w:jc w:val="right"/>
              <w:rPr>
                <w:rFonts w:ascii="Arial Narrow" w:hAnsi="Arial Narrow"/>
                <w:b/>
                <w:sz w:val="19"/>
                <w:szCs w:val="19"/>
              </w:rPr>
            </w:pPr>
          </w:p>
        </w:tc>
      </w:tr>
      <w:tr w:rsidR="006E30E1" w:rsidRPr="006E30E1" w:rsidTr="00F9084C">
        <w:trPr>
          <w:trHeight w:val="255"/>
          <w:jc w:val="center"/>
        </w:trPr>
        <w:tc>
          <w:tcPr>
            <w:tcW w:w="1812" w:type="pct"/>
            <w:tcBorders>
              <w:top w:val="single" w:sz="4" w:space="0" w:color="auto"/>
              <w:bottom w:val="single" w:sz="2" w:space="0" w:color="auto"/>
            </w:tcBorders>
            <w:vAlign w:val="center"/>
          </w:tcPr>
          <w:p w:rsidR="00E21822" w:rsidRPr="006E30E1" w:rsidRDefault="00E21822" w:rsidP="008C0C72">
            <w:pPr>
              <w:tabs>
                <w:tab w:val="left" w:pos="142"/>
                <w:tab w:val="left" w:pos="360"/>
              </w:tabs>
              <w:spacing w:after="0" w:line="276" w:lineRule="auto"/>
              <w:ind w:firstLine="0"/>
              <w:jc w:val="left"/>
              <w:rPr>
                <w:rFonts w:ascii="Arial Narrow" w:hAnsi="Arial Narrow"/>
                <w:sz w:val="19"/>
                <w:szCs w:val="19"/>
                <w:lang w:val="es-ES"/>
              </w:rPr>
            </w:pPr>
            <w:r w:rsidRPr="006E30E1">
              <w:rPr>
                <w:rFonts w:ascii="Arial Narrow" w:hAnsi="Arial Narrow"/>
                <w:sz w:val="19"/>
                <w:szCs w:val="19"/>
                <w:lang w:val="es-ES"/>
              </w:rPr>
              <w:t>Ciclo integral del agua</w:t>
            </w:r>
          </w:p>
        </w:tc>
        <w:tc>
          <w:tcPr>
            <w:tcW w:w="632"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96"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612"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686"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515"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646" w:type="pct"/>
            <w:tcBorders>
              <w:top w:val="single" w:sz="4" w:space="0" w:color="auto"/>
              <w:bottom w:val="single" w:sz="2" w:space="0" w:color="auto"/>
            </w:tcBorders>
            <w:vAlign w:val="center"/>
          </w:tcPr>
          <w:p w:rsidR="00E21822" w:rsidRPr="006E30E1" w:rsidRDefault="008904EF" w:rsidP="008904EF">
            <w:pPr>
              <w:tabs>
                <w:tab w:val="left" w:pos="142"/>
              </w:tabs>
              <w:spacing w:after="0" w:line="276" w:lineRule="auto"/>
              <w:ind w:firstLine="0"/>
              <w:jc w:val="center"/>
              <w:rPr>
                <w:rFonts w:ascii="Arial Narrow" w:hAnsi="Arial Narrow"/>
                <w:b/>
                <w:sz w:val="19"/>
                <w:szCs w:val="19"/>
              </w:rPr>
            </w:pPr>
            <w:r w:rsidRPr="006E30E1">
              <w:rPr>
                <w:rFonts w:ascii="Arial Narrow" w:hAnsi="Arial Narrow"/>
                <w:b/>
                <w:sz w:val="19"/>
                <w:szCs w:val="19"/>
              </w:rPr>
              <w:t xml:space="preserve">    </w:t>
            </w:r>
            <w:r w:rsidR="00E21822" w:rsidRPr="006E30E1">
              <w:rPr>
                <w:rFonts w:ascii="Arial Narrow" w:hAnsi="Arial Narrow"/>
                <w:b/>
                <w:sz w:val="19"/>
                <w:szCs w:val="19"/>
              </w:rPr>
              <w:t>x</w:t>
            </w:r>
          </w:p>
        </w:tc>
      </w:tr>
      <w:tr w:rsidR="006E30E1" w:rsidRPr="006E30E1" w:rsidTr="00F9084C">
        <w:trPr>
          <w:trHeight w:val="255"/>
          <w:jc w:val="center"/>
        </w:trPr>
        <w:tc>
          <w:tcPr>
            <w:tcW w:w="1812" w:type="pct"/>
            <w:tcBorders>
              <w:top w:val="single" w:sz="4" w:space="0" w:color="auto"/>
              <w:bottom w:val="single" w:sz="2" w:space="0" w:color="auto"/>
            </w:tcBorders>
            <w:vAlign w:val="center"/>
          </w:tcPr>
          <w:p w:rsidR="00E21822" w:rsidRPr="006E30E1" w:rsidRDefault="00E21822" w:rsidP="008C0C72">
            <w:pPr>
              <w:tabs>
                <w:tab w:val="left" w:pos="142"/>
                <w:tab w:val="left" w:pos="360"/>
              </w:tabs>
              <w:spacing w:after="0" w:line="276" w:lineRule="auto"/>
              <w:ind w:firstLine="0"/>
              <w:jc w:val="left"/>
              <w:rPr>
                <w:rFonts w:ascii="Arial Narrow" w:hAnsi="Arial Narrow"/>
                <w:sz w:val="19"/>
                <w:szCs w:val="19"/>
                <w:lang w:val="es-ES"/>
              </w:rPr>
            </w:pPr>
            <w:r w:rsidRPr="006E30E1">
              <w:rPr>
                <w:rFonts w:ascii="Arial Narrow" w:hAnsi="Arial Narrow"/>
                <w:sz w:val="19"/>
                <w:szCs w:val="19"/>
                <w:lang w:val="es-ES"/>
              </w:rPr>
              <w:t>Alcantarillado</w:t>
            </w:r>
          </w:p>
        </w:tc>
        <w:tc>
          <w:tcPr>
            <w:tcW w:w="632"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r w:rsidRPr="006E30E1">
              <w:rPr>
                <w:rFonts w:ascii="Arial Narrow" w:hAnsi="Arial Narrow"/>
                <w:b/>
                <w:sz w:val="19"/>
                <w:szCs w:val="19"/>
              </w:rPr>
              <w:t>x</w:t>
            </w:r>
          </w:p>
        </w:tc>
        <w:tc>
          <w:tcPr>
            <w:tcW w:w="96"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612"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686"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515"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646" w:type="pct"/>
            <w:tcBorders>
              <w:top w:val="single" w:sz="4" w:space="0" w:color="auto"/>
              <w:bottom w:val="single" w:sz="2" w:space="0" w:color="auto"/>
            </w:tcBorders>
            <w:vAlign w:val="center"/>
          </w:tcPr>
          <w:p w:rsidR="00E21822" w:rsidRPr="006E30E1" w:rsidRDefault="00E21822" w:rsidP="008904EF">
            <w:pPr>
              <w:tabs>
                <w:tab w:val="left" w:pos="142"/>
              </w:tabs>
              <w:spacing w:after="0" w:line="276" w:lineRule="auto"/>
              <w:ind w:firstLine="0"/>
              <w:jc w:val="center"/>
              <w:rPr>
                <w:rFonts w:ascii="Arial Narrow" w:hAnsi="Arial Narrow"/>
                <w:b/>
                <w:sz w:val="19"/>
                <w:szCs w:val="19"/>
              </w:rPr>
            </w:pPr>
          </w:p>
        </w:tc>
      </w:tr>
      <w:tr w:rsidR="006E30E1" w:rsidRPr="006E30E1" w:rsidTr="00F9084C">
        <w:trPr>
          <w:trHeight w:val="255"/>
          <w:jc w:val="center"/>
        </w:trPr>
        <w:tc>
          <w:tcPr>
            <w:tcW w:w="1812" w:type="pct"/>
            <w:tcBorders>
              <w:top w:val="single" w:sz="4" w:space="0" w:color="auto"/>
              <w:bottom w:val="single" w:sz="2" w:space="0" w:color="auto"/>
            </w:tcBorders>
            <w:vAlign w:val="center"/>
          </w:tcPr>
          <w:p w:rsidR="00E21822" w:rsidRPr="006E30E1" w:rsidRDefault="00E21822" w:rsidP="008C0C72">
            <w:pPr>
              <w:tabs>
                <w:tab w:val="left" w:pos="142"/>
                <w:tab w:val="left" w:pos="360"/>
              </w:tabs>
              <w:spacing w:after="0" w:line="276" w:lineRule="auto"/>
              <w:ind w:firstLine="0"/>
              <w:jc w:val="left"/>
              <w:rPr>
                <w:rFonts w:ascii="Arial Narrow" w:hAnsi="Arial Narrow"/>
                <w:sz w:val="19"/>
                <w:szCs w:val="19"/>
                <w:lang w:val="es-ES"/>
              </w:rPr>
            </w:pPr>
            <w:r w:rsidRPr="006E30E1">
              <w:rPr>
                <w:rFonts w:ascii="Arial Narrow" w:hAnsi="Arial Narrow"/>
                <w:sz w:val="19"/>
                <w:szCs w:val="19"/>
                <w:lang w:val="es-ES"/>
              </w:rPr>
              <w:t>Parque público</w:t>
            </w:r>
          </w:p>
        </w:tc>
        <w:tc>
          <w:tcPr>
            <w:tcW w:w="632"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r w:rsidRPr="006E30E1">
              <w:rPr>
                <w:rFonts w:ascii="Arial Narrow" w:hAnsi="Arial Narrow"/>
                <w:b/>
                <w:sz w:val="19"/>
                <w:szCs w:val="19"/>
              </w:rPr>
              <w:t>x</w:t>
            </w:r>
          </w:p>
        </w:tc>
        <w:tc>
          <w:tcPr>
            <w:tcW w:w="96"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612"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686"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515"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r w:rsidRPr="006E30E1">
              <w:rPr>
                <w:rFonts w:ascii="Arial Narrow" w:hAnsi="Arial Narrow"/>
                <w:b/>
                <w:sz w:val="19"/>
                <w:szCs w:val="19"/>
              </w:rPr>
              <w:t>x</w:t>
            </w:r>
          </w:p>
        </w:tc>
        <w:tc>
          <w:tcPr>
            <w:tcW w:w="646" w:type="pct"/>
            <w:tcBorders>
              <w:top w:val="single" w:sz="4" w:space="0" w:color="auto"/>
              <w:bottom w:val="single" w:sz="2" w:space="0" w:color="auto"/>
            </w:tcBorders>
            <w:vAlign w:val="center"/>
          </w:tcPr>
          <w:p w:rsidR="00E21822" w:rsidRPr="006E30E1" w:rsidRDefault="00E21822" w:rsidP="008904EF">
            <w:pPr>
              <w:tabs>
                <w:tab w:val="left" w:pos="142"/>
              </w:tabs>
              <w:spacing w:after="0" w:line="276" w:lineRule="auto"/>
              <w:ind w:firstLine="0"/>
              <w:jc w:val="center"/>
              <w:rPr>
                <w:rFonts w:ascii="Arial Narrow" w:hAnsi="Arial Narrow"/>
                <w:b/>
                <w:sz w:val="19"/>
                <w:szCs w:val="19"/>
              </w:rPr>
            </w:pPr>
          </w:p>
        </w:tc>
      </w:tr>
      <w:tr w:rsidR="006E30E1" w:rsidRPr="006E30E1" w:rsidTr="00F9084C">
        <w:trPr>
          <w:trHeight w:val="255"/>
          <w:jc w:val="center"/>
        </w:trPr>
        <w:tc>
          <w:tcPr>
            <w:tcW w:w="1812" w:type="pct"/>
            <w:tcBorders>
              <w:top w:val="single" w:sz="4" w:space="0" w:color="auto"/>
              <w:bottom w:val="single" w:sz="2" w:space="0" w:color="auto"/>
            </w:tcBorders>
            <w:vAlign w:val="center"/>
          </w:tcPr>
          <w:p w:rsidR="00E21822" w:rsidRPr="006E30E1" w:rsidRDefault="00E21822" w:rsidP="008C0C72">
            <w:pPr>
              <w:tabs>
                <w:tab w:val="left" w:pos="142"/>
                <w:tab w:val="left" w:pos="360"/>
              </w:tabs>
              <w:spacing w:after="0" w:line="276" w:lineRule="auto"/>
              <w:ind w:firstLine="0"/>
              <w:jc w:val="left"/>
              <w:rPr>
                <w:rFonts w:ascii="Arial Narrow" w:hAnsi="Arial Narrow"/>
                <w:sz w:val="19"/>
                <w:szCs w:val="19"/>
                <w:lang w:val="es-ES"/>
              </w:rPr>
            </w:pPr>
            <w:r w:rsidRPr="006E30E1">
              <w:rPr>
                <w:rFonts w:ascii="Arial Narrow" w:hAnsi="Arial Narrow"/>
                <w:sz w:val="19"/>
                <w:szCs w:val="19"/>
                <w:lang w:val="es-ES"/>
              </w:rPr>
              <w:t>Biblioteca-ludoteca</w:t>
            </w:r>
          </w:p>
        </w:tc>
        <w:tc>
          <w:tcPr>
            <w:tcW w:w="632"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r w:rsidRPr="006E30E1">
              <w:rPr>
                <w:rFonts w:ascii="Arial Narrow" w:hAnsi="Arial Narrow"/>
                <w:b/>
                <w:sz w:val="19"/>
                <w:szCs w:val="19"/>
              </w:rPr>
              <w:t>x</w:t>
            </w:r>
          </w:p>
        </w:tc>
        <w:tc>
          <w:tcPr>
            <w:tcW w:w="96"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612" w:type="pct"/>
            <w:tcBorders>
              <w:top w:val="single" w:sz="4" w:space="0" w:color="auto"/>
              <w:bottom w:val="single" w:sz="2" w:space="0" w:color="auto"/>
            </w:tcBorders>
            <w:vAlign w:val="center"/>
          </w:tcPr>
          <w:p w:rsidR="00E21822" w:rsidRPr="006E30E1" w:rsidRDefault="00E21822" w:rsidP="008C0C72">
            <w:pPr>
              <w:spacing w:after="0" w:line="276" w:lineRule="auto"/>
              <w:ind w:firstLine="0"/>
              <w:jc w:val="center"/>
              <w:rPr>
                <w:rFonts w:ascii="Arial Narrow" w:hAnsi="Arial Narrow"/>
                <w:b/>
                <w:sz w:val="19"/>
                <w:szCs w:val="19"/>
              </w:rPr>
            </w:pPr>
          </w:p>
        </w:tc>
        <w:tc>
          <w:tcPr>
            <w:tcW w:w="686"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515"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646" w:type="pct"/>
            <w:tcBorders>
              <w:top w:val="single" w:sz="4" w:space="0" w:color="auto"/>
              <w:bottom w:val="single" w:sz="2" w:space="0" w:color="auto"/>
            </w:tcBorders>
            <w:vAlign w:val="center"/>
          </w:tcPr>
          <w:p w:rsidR="00E21822" w:rsidRPr="006E30E1" w:rsidRDefault="00E21822" w:rsidP="008904EF">
            <w:pPr>
              <w:tabs>
                <w:tab w:val="left" w:pos="142"/>
              </w:tabs>
              <w:spacing w:after="0" w:line="276" w:lineRule="auto"/>
              <w:ind w:firstLine="0"/>
              <w:jc w:val="center"/>
              <w:rPr>
                <w:rFonts w:ascii="Arial Narrow" w:hAnsi="Arial Narrow"/>
                <w:b/>
                <w:sz w:val="19"/>
                <w:szCs w:val="19"/>
              </w:rPr>
            </w:pPr>
          </w:p>
        </w:tc>
      </w:tr>
      <w:tr w:rsidR="006E30E1" w:rsidRPr="006E30E1" w:rsidTr="00F9084C">
        <w:trPr>
          <w:trHeight w:val="255"/>
          <w:jc w:val="center"/>
        </w:trPr>
        <w:tc>
          <w:tcPr>
            <w:tcW w:w="1812" w:type="pct"/>
            <w:tcBorders>
              <w:top w:val="single" w:sz="4" w:space="0" w:color="auto"/>
              <w:bottom w:val="single" w:sz="2" w:space="0" w:color="auto"/>
            </w:tcBorders>
            <w:vAlign w:val="center"/>
          </w:tcPr>
          <w:p w:rsidR="00E21822" w:rsidRPr="006E30E1" w:rsidRDefault="00E21822" w:rsidP="008C0C72">
            <w:pPr>
              <w:tabs>
                <w:tab w:val="left" w:pos="142"/>
                <w:tab w:val="left" w:pos="360"/>
              </w:tabs>
              <w:spacing w:after="0" w:line="276" w:lineRule="auto"/>
              <w:ind w:left="172" w:hanging="172"/>
              <w:jc w:val="left"/>
              <w:rPr>
                <w:rFonts w:ascii="Arial Narrow" w:hAnsi="Arial Narrow"/>
                <w:sz w:val="19"/>
                <w:szCs w:val="19"/>
                <w:lang w:val="es-ES"/>
              </w:rPr>
            </w:pPr>
            <w:r w:rsidRPr="006E30E1">
              <w:rPr>
                <w:rFonts w:ascii="Arial Narrow" w:hAnsi="Arial Narrow"/>
                <w:sz w:val="19"/>
                <w:szCs w:val="19"/>
                <w:lang w:val="es-ES"/>
              </w:rPr>
              <w:t>Servicios sociales</w:t>
            </w:r>
          </w:p>
        </w:tc>
        <w:tc>
          <w:tcPr>
            <w:tcW w:w="632"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r w:rsidRPr="006E30E1">
              <w:rPr>
                <w:rFonts w:ascii="Arial Narrow" w:hAnsi="Arial Narrow"/>
                <w:b/>
                <w:sz w:val="19"/>
                <w:szCs w:val="19"/>
              </w:rPr>
              <w:t>x</w:t>
            </w:r>
          </w:p>
        </w:tc>
        <w:tc>
          <w:tcPr>
            <w:tcW w:w="96"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612" w:type="pct"/>
            <w:tcBorders>
              <w:top w:val="single" w:sz="4" w:space="0" w:color="auto"/>
              <w:bottom w:val="single" w:sz="2" w:space="0" w:color="auto"/>
            </w:tcBorders>
            <w:vAlign w:val="center"/>
          </w:tcPr>
          <w:p w:rsidR="00E21822" w:rsidRPr="006E30E1" w:rsidRDefault="00E21822" w:rsidP="008C0C72">
            <w:pPr>
              <w:spacing w:after="0" w:line="276" w:lineRule="auto"/>
              <w:ind w:firstLine="0"/>
              <w:jc w:val="center"/>
              <w:rPr>
                <w:rFonts w:ascii="Arial Narrow" w:hAnsi="Arial Narrow"/>
                <w:b/>
                <w:sz w:val="19"/>
                <w:szCs w:val="19"/>
              </w:rPr>
            </w:pPr>
            <w:r w:rsidRPr="006E30E1">
              <w:rPr>
                <w:rFonts w:ascii="Arial Narrow" w:hAnsi="Arial Narrow"/>
                <w:b/>
                <w:sz w:val="19"/>
                <w:szCs w:val="19"/>
              </w:rPr>
              <w:t>x</w:t>
            </w:r>
          </w:p>
        </w:tc>
        <w:tc>
          <w:tcPr>
            <w:tcW w:w="686"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515"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646" w:type="pct"/>
            <w:tcBorders>
              <w:top w:val="single" w:sz="4" w:space="0" w:color="auto"/>
              <w:bottom w:val="single" w:sz="2" w:space="0" w:color="auto"/>
            </w:tcBorders>
            <w:vAlign w:val="center"/>
          </w:tcPr>
          <w:p w:rsidR="00E21822" w:rsidRPr="006E30E1" w:rsidRDefault="00E21822" w:rsidP="008904EF">
            <w:pPr>
              <w:tabs>
                <w:tab w:val="left" w:pos="142"/>
              </w:tabs>
              <w:spacing w:after="0" w:line="276" w:lineRule="auto"/>
              <w:ind w:firstLine="0"/>
              <w:jc w:val="center"/>
              <w:rPr>
                <w:rFonts w:ascii="Arial Narrow" w:hAnsi="Arial Narrow"/>
                <w:b/>
                <w:sz w:val="19"/>
                <w:szCs w:val="19"/>
              </w:rPr>
            </w:pPr>
          </w:p>
        </w:tc>
      </w:tr>
      <w:tr w:rsidR="006E30E1" w:rsidRPr="006E30E1" w:rsidTr="00F9084C">
        <w:trPr>
          <w:trHeight w:val="255"/>
          <w:jc w:val="center"/>
        </w:trPr>
        <w:tc>
          <w:tcPr>
            <w:tcW w:w="1812" w:type="pct"/>
            <w:tcBorders>
              <w:top w:val="single" w:sz="4" w:space="0" w:color="auto"/>
              <w:bottom w:val="single" w:sz="2" w:space="0" w:color="auto"/>
            </w:tcBorders>
            <w:vAlign w:val="center"/>
          </w:tcPr>
          <w:p w:rsidR="00E21822" w:rsidRPr="006E30E1" w:rsidRDefault="00E21822" w:rsidP="008C0C72">
            <w:pPr>
              <w:tabs>
                <w:tab w:val="left" w:pos="142"/>
                <w:tab w:val="left" w:pos="360"/>
              </w:tabs>
              <w:spacing w:after="0" w:line="276" w:lineRule="auto"/>
              <w:ind w:firstLine="0"/>
              <w:jc w:val="left"/>
              <w:rPr>
                <w:rFonts w:ascii="Arial Narrow" w:hAnsi="Arial Narrow"/>
                <w:sz w:val="19"/>
                <w:szCs w:val="19"/>
                <w:lang w:val="es-ES"/>
              </w:rPr>
            </w:pPr>
            <w:r w:rsidRPr="006E30E1">
              <w:rPr>
                <w:rFonts w:ascii="Arial Narrow" w:hAnsi="Arial Narrow"/>
                <w:sz w:val="19"/>
                <w:szCs w:val="19"/>
                <w:lang w:val="es-ES"/>
              </w:rPr>
              <w:t>Instalaciones deportivas</w:t>
            </w:r>
          </w:p>
        </w:tc>
        <w:tc>
          <w:tcPr>
            <w:tcW w:w="632"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96"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612" w:type="pct"/>
            <w:tcBorders>
              <w:top w:val="single" w:sz="4" w:space="0" w:color="auto"/>
              <w:bottom w:val="single" w:sz="2" w:space="0" w:color="auto"/>
            </w:tcBorders>
            <w:vAlign w:val="center"/>
          </w:tcPr>
          <w:p w:rsidR="00E21822" w:rsidRPr="006E30E1" w:rsidRDefault="00E21822" w:rsidP="008C0C72">
            <w:pPr>
              <w:spacing w:after="0" w:line="276" w:lineRule="auto"/>
              <w:ind w:firstLine="0"/>
              <w:jc w:val="center"/>
              <w:rPr>
                <w:rFonts w:ascii="Arial Narrow" w:hAnsi="Arial Narrow"/>
                <w:b/>
                <w:sz w:val="19"/>
                <w:szCs w:val="19"/>
              </w:rPr>
            </w:pPr>
          </w:p>
        </w:tc>
        <w:tc>
          <w:tcPr>
            <w:tcW w:w="686" w:type="pct"/>
            <w:tcBorders>
              <w:top w:val="single" w:sz="4" w:space="0" w:color="auto"/>
              <w:bottom w:val="single" w:sz="2" w:space="0" w:color="auto"/>
            </w:tcBorders>
            <w:vAlign w:val="center"/>
          </w:tcPr>
          <w:p w:rsidR="00E21822" w:rsidRPr="006E30E1" w:rsidRDefault="00F808C1" w:rsidP="008C0C72">
            <w:pPr>
              <w:tabs>
                <w:tab w:val="left" w:pos="142"/>
              </w:tabs>
              <w:spacing w:after="0" w:line="276" w:lineRule="auto"/>
              <w:ind w:firstLine="0"/>
              <w:jc w:val="center"/>
              <w:rPr>
                <w:rFonts w:ascii="Arial Narrow" w:hAnsi="Arial Narrow"/>
                <w:b/>
                <w:sz w:val="19"/>
                <w:szCs w:val="19"/>
              </w:rPr>
            </w:pPr>
            <w:r w:rsidRPr="006E30E1">
              <w:rPr>
                <w:rFonts w:ascii="Arial Narrow" w:hAnsi="Arial Narrow"/>
                <w:b/>
                <w:sz w:val="19"/>
                <w:szCs w:val="19"/>
              </w:rPr>
              <w:t>x</w:t>
            </w:r>
          </w:p>
        </w:tc>
        <w:tc>
          <w:tcPr>
            <w:tcW w:w="515"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646" w:type="pct"/>
            <w:tcBorders>
              <w:top w:val="single" w:sz="4" w:space="0" w:color="auto"/>
              <w:bottom w:val="single" w:sz="2" w:space="0" w:color="auto"/>
            </w:tcBorders>
            <w:vAlign w:val="center"/>
          </w:tcPr>
          <w:p w:rsidR="00E21822" w:rsidRPr="006E30E1" w:rsidRDefault="00E21822" w:rsidP="008904EF">
            <w:pPr>
              <w:tabs>
                <w:tab w:val="left" w:pos="142"/>
              </w:tabs>
              <w:spacing w:after="0" w:line="276" w:lineRule="auto"/>
              <w:ind w:firstLine="0"/>
              <w:jc w:val="center"/>
              <w:rPr>
                <w:rFonts w:ascii="Arial Narrow" w:hAnsi="Arial Narrow"/>
                <w:b/>
                <w:sz w:val="19"/>
                <w:szCs w:val="19"/>
              </w:rPr>
            </w:pPr>
          </w:p>
        </w:tc>
      </w:tr>
      <w:tr w:rsidR="006E30E1" w:rsidRPr="006E30E1" w:rsidTr="00F9084C">
        <w:trPr>
          <w:trHeight w:val="255"/>
          <w:jc w:val="center"/>
        </w:trPr>
        <w:tc>
          <w:tcPr>
            <w:tcW w:w="1812" w:type="pct"/>
            <w:tcBorders>
              <w:top w:val="single" w:sz="4" w:space="0" w:color="auto"/>
              <w:bottom w:val="single" w:sz="2" w:space="0" w:color="auto"/>
            </w:tcBorders>
            <w:vAlign w:val="center"/>
          </w:tcPr>
          <w:p w:rsidR="00E21822" w:rsidRPr="006E30E1" w:rsidRDefault="00E21822" w:rsidP="008C0C72">
            <w:pPr>
              <w:tabs>
                <w:tab w:val="left" w:pos="142"/>
                <w:tab w:val="left" w:pos="360"/>
              </w:tabs>
              <w:spacing w:after="0" w:line="276" w:lineRule="auto"/>
              <w:ind w:firstLine="0"/>
              <w:jc w:val="left"/>
              <w:rPr>
                <w:rFonts w:ascii="Arial Narrow" w:hAnsi="Arial Narrow"/>
                <w:sz w:val="19"/>
                <w:szCs w:val="19"/>
                <w:lang w:val="es-ES"/>
              </w:rPr>
            </w:pPr>
            <w:r w:rsidRPr="006E30E1">
              <w:rPr>
                <w:rFonts w:ascii="Arial Narrow" w:hAnsi="Arial Narrow"/>
                <w:sz w:val="19"/>
                <w:szCs w:val="19"/>
                <w:lang w:val="es-ES"/>
              </w:rPr>
              <w:t>Transporte colectivo urbano de viajeros</w:t>
            </w:r>
          </w:p>
        </w:tc>
        <w:tc>
          <w:tcPr>
            <w:tcW w:w="632"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96"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612" w:type="pct"/>
            <w:tcBorders>
              <w:top w:val="single" w:sz="4" w:space="0" w:color="auto"/>
              <w:bottom w:val="single" w:sz="2" w:space="0" w:color="auto"/>
            </w:tcBorders>
            <w:vAlign w:val="center"/>
          </w:tcPr>
          <w:p w:rsidR="00E21822" w:rsidRPr="006E30E1" w:rsidRDefault="00E21822" w:rsidP="008C0C72">
            <w:pPr>
              <w:spacing w:after="0" w:line="276" w:lineRule="auto"/>
              <w:ind w:firstLine="0"/>
              <w:jc w:val="center"/>
              <w:rPr>
                <w:rFonts w:ascii="Arial Narrow" w:hAnsi="Arial Narrow"/>
                <w:b/>
                <w:sz w:val="19"/>
                <w:szCs w:val="19"/>
              </w:rPr>
            </w:pPr>
          </w:p>
        </w:tc>
        <w:tc>
          <w:tcPr>
            <w:tcW w:w="686"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515" w:type="pct"/>
            <w:tcBorders>
              <w:top w:val="single" w:sz="4" w:space="0" w:color="auto"/>
              <w:bottom w:val="single" w:sz="2" w:space="0" w:color="auto"/>
            </w:tcBorders>
            <w:vAlign w:val="center"/>
          </w:tcPr>
          <w:p w:rsidR="00E21822" w:rsidRPr="006E30E1" w:rsidRDefault="00F1200D" w:rsidP="008C0C72">
            <w:pPr>
              <w:tabs>
                <w:tab w:val="left" w:pos="142"/>
              </w:tabs>
              <w:spacing w:after="0" w:line="276" w:lineRule="auto"/>
              <w:ind w:firstLine="0"/>
              <w:jc w:val="center"/>
              <w:rPr>
                <w:rFonts w:ascii="Arial Narrow" w:hAnsi="Arial Narrow"/>
                <w:b/>
                <w:sz w:val="19"/>
                <w:szCs w:val="19"/>
              </w:rPr>
            </w:pPr>
            <w:r w:rsidRPr="006E30E1">
              <w:rPr>
                <w:rFonts w:ascii="Arial Narrow" w:hAnsi="Arial Narrow"/>
                <w:b/>
                <w:sz w:val="19"/>
                <w:szCs w:val="19"/>
              </w:rPr>
              <w:t>x</w:t>
            </w:r>
          </w:p>
        </w:tc>
        <w:tc>
          <w:tcPr>
            <w:tcW w:w="646" w:type="pct"/>
            <w:tcBorders>
              <w:top w:val="single" w:sz="4" w:space="0" w:color="auto"/>
              <w:bottom w:val="single" w:sz="2" w:space="0" w:color="auto"/>
            </w:tcBorders>
            <w:vAlign w:val="center"/>
          </w:tcPr>
          <w:p w:rsidR="00E21822" w:rsidRPr="006E30E1" w:rsidRDefault="008904EF" w:rsidP="008904EF">
            <w:pPr>
              <w:tabs>
                <w:tab w:val="left" w:pos="142"/>
              </w:tabs>
              <w:spacing w:after="0" w:line="276" w:lineRule="auto"/>
              <w:ind w:firstLine="0"/>
              <w:jc w:val="center"/>
              <w:rPr>
                <w:rFonts w:ascii="Arial Narrow" w:hAnsi="Arial Narrow"/>
                <w:b/>
                <w:sz w:val="19"/>
                <w:szCs w:val="19"/>
              </w:rPr>
            </w:pPr>
            <w:r w:rsidRPr="006E30E1">
              <w:rPr>
                <w:rFonts w:ascii="Arial Narrow" w:hAnsi="Arial Narrow"/>
                <w:b/>
                <w:sz w:val="19"/>
                <w:szCs w:val="19"/>
              </w:rPr>
              <w:t xml:space="preserve">     </w:t>
            </w:r>
            <w:r w:rsidR="00E21822" w:rsidRPr="006E30E1">
              <w:rPr>
                <w:rFonts w:ascii="Arial Narrow" w:hAnsi="Arial Narrow"/>
                <w:b/>
                <w:sz w:val="19"/>
                <w:szCs w:val="19"/>
              </w:rPr>
              <w:t>x</w:t>
            </w:r>
          </w:p>
        </w:tc>
      </w:tr>
      <w:tr w:rsidR="006E30E1" w:rsidRPr="006E30E1" w:rsidTr="00F9084C">
        <w:trPr>
          <w:trHeight w:val="255"/>
          <w:jc w:val="center"/>
        </w:trPr>
        <w:tc>
          <w:tcPr>
            <w:tcW w:w="1812" w:type="pct"/>
            <w:tcBorders>
              <w:top w:val="single" w:sz="4" w:space="0" w:color="auto"/>
              <w:bottom w:val="single" w:sz="2" w:space="0" w:color="auto"/>
            </w:tcBorders>
            <w:vAlign w:val="center"/>
          </w:tcPr>
          <w:p w:rsidR="00E21822" w:rsidRPr="006E30E1" w:rsidRDefault="00E21822" w:rsidP="008C0C72">
            <w:pPr>
              <w:tabs>
                <w:tab w:val="left" w:pos="142"/>
                <w:tab w:val="left" w:pos="360"/>
              </w:tabs>
              <w:spacing w:after="0" w:line="276" w:lineRule="auto"/>
              <w:ind w:firstLine="0"/>
              <w:jc w:val="left"/>
              <w:rPr>
                <w:rFonts w:ascii="Arial Narrow" w:hAnsi="Arial Narrow"/>
                <w:sz w:val="19"/>
                <w:szCs w:val="19"/>
                <w:lang w:val="es-ES"/>
              </w:rPr>
            </w:pPr>
            <w:r w:rsidRPr="006E30E1">
              <w:rPr>
                <w:rFonts w:ascii="Arial Narrow" w:hAnsi="Arial Narrow"/>
                <w:sz w:val="19"/>
                <w:szCs w:val="19"/>
                <w:lang w:val="es-ES"/>
              </w:rPr>
              <w:t>Urbanismo</w:t>
            </w:r>
          </w:p>
        </w:tc>
        <w:tc>
          <w:tcPr>
            <w:tcW w:w="632"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r w:rsidRPr="006E30E1">
              <w:rPr>
                <w:rFonts w:ascii="Arial Narrow" w:hAnsi="Arial Narrow"/>
                <w:b/>
                <w:sz w:val="19"/>
                <w:szCs w:val="19"/>
              </w:rPr>
              <w:t>x</w:t>
            </w:r>
          </w:p>
        </w:tc>
        <w:tc>
          <w:tcPr>
            <w:tcW w:w="96"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612" w:type="pct"/>
            <w:tcBorders>
              <w:top w:val="single" w:sz="4" w:space="0" w:color="auto"/>
              <w:bottom w:val="single" w:sz="2" w:space="0" w:color="auto"/>
            </w:tcBorders>
            <w:vAlign w:val="center"/>
          </w:tcPr>
          <w:p w:rsidR="00E21822" w:rsidRPr="006E30E1" w:rsidRDefault="00E21822" w:rsidP="008C0C72">
            <w:pPr>
              <w:spacing w:after="0" w:line="276" w:lineRule="auto"/>
              <w:ind w:firstLine="0"/>
              <w:jc w:val="center"/>
              <w:rPr>
                <w:rFonts w:ascii="Arial Narrow" w:hAnsi="Arial Narrow"/>
                <w:b/>
                <w:sz w:val="19"/>
                <w:szCs w:val="19"/>
              </w:rPr>
            </w:pPr>
            <w:r w:rsidRPr="006E30E1">
              <w:rPr>
                <w:rFonts w:ascii="Arial Narrow" w:hAnsi="Arial Narrow"/>
                <w:b/>
                <w:sz w:val="19"/>
                <w:szCs w:val="19"/>
              </w:rPr>
              <w:t>x</w:t>
            </w:r>
          </w:p>
        </w:tc>
        <w:tc>
          <w:tcPr>
            <w:tcW w:w="686"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515"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646" w:type="pct"/>
            <w:tcBorders>
              <w:top w:val="single" w:sz="4" w:space="0" w:color="auto"/>
              <w:bottom w:val="single" w:sz="2" w:space="0" w:color="auto"/>
            </w:tcBorders>
            <w:vAlign w:val="center"/>
          </w:tcPr>
          <w:p w:rsidR="00E21822" w:rsidRPr="006E30E1" w:rsidRDefault="00E21822" w:rsidP="008904EF">
            <w:pPr>
              <w:tabs>
                <w:tab w:val="left" w:pos="142"/>
              </w:tabs>
              <w:spacing w:after="0" w:line="276" w:lineRule="auto"/>
              <w:ind w:firstLine="0"/>
              <w:jc w:val="right"/>
              <w:rPr>
                <w:rFonts w:ascii="Arial Narrow" w:hAnsi="Arial Narrow"/>
                <w:b/>
                <w:sz w:val="19"/>
                <w:szCs w:val="19"/>
              </w:rPr>
            </w:pPr>
          </w:p>
        </w:tc>
      </w:tr>
      <w:tr w:rsidR="006E30E1" w:rsidRPr="006E30E1" w:rsidTr="00F9084C">
        <w:trPr>
          <w:trHeight w:val="255"/>
          <w:jc w:val="center"/>
        </w:trPr>
        <w:tc>
          <w:tcPr>
            <w:tcW w:w="1812" w:type="pct"/>
            <w:tcBorders>
              <w:top w:val="single" w:sz="4" w:space="0" w:color="auto"/>
              <w:bottom w:val="single" w:sz="2" w:space="0" w:color="auto"/>
            </w:tcBorders>
            <w:vAlign w:val="center"/>
          </w:tcPr>
          <w:p w:rsidR="00E21822" w:rsidRPr="006E30E1" w:rsidRDefault="00E21822" w:rsidP="008C0C72">
            <w:pPr>
              <w:tabs>
                <w:tab w:val="left" w:pos="142"/>
                <w:tab w:val="left" w:pos="360"/>
              </w:tabs>
              <w:spacing w:after="0" w:line="276" w:lineRule="auto"/>
              <w:ind w:firstLine="0"/>
              <w:jc w:val="left"/>
              <w:rPr>
                <w:rFonts w:ascii="Arial Narrow" w:hAnsi="Arial Narrow"/>
                <w:sz w:val="19"/>
                <w:szCs w:val="19"/>
                <w:lang w:val="es-ES"/>
              </w:rPr>
            </w:pPr>
            <w:r w:rsidRPr="006E30E1">
              <w:rPr>
                <w:rFonts w:ascii="Arial Narrow" w:hAnsi="Arial Narrow"/>
                <w:sz w:val="19"/>
                <w:szCs w:val="19"/>
                <w:lang w:val="es-ES"/>
              </w:rPr>
              <w:t>Policía Local</w:t>
            </w:r>
          </w:p>
        </w:tc>
        <w:tc>
          <w:tcPr>
            <w:tcW w:w="632"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r w:rsidRPr="006E30E1">
              <w:rPr>
                <w:rFonts w:ascii="Arial Narrow" w:hAnsi="Arial Narrow"/>
                <w:b/>
                <w:sz w:val="19"/>
                <w:szCs w:val="19"/>
              </w:rPr>
              <w:t>x</w:t>
            </w:r>
          </w:p>
        </w:tc>
        <w:tc>
          <w:tcPr>
            <w:tcW w:w="96"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612" w:type="pct"/>
            <w:tcBorders>
              <w:top w:val="single" w:sz="4" w:space="0" w:color="auto"/>
              <w:bottom w:val="single" w:sz="2" w:space="0" w:color="auto"/>
            </w:tcBorders>
            <w:vAlign w:val="center"/>
          </w:tcPr>
          <w:p w:rsidR="00E21822" w:rsidRPr="006E30E1" w:rsidRDefault="00E21822" w:rsidP="008C0C72">
            <w:pPr>
              <w:spacing w:after="0" w:line="276" w:lineRule="auto"/>
              <w:ind w:firstLine="0"/>
              <w:jc w:val="center"/>
              <w:rPr>
                <w:rFonts w:ascii="Arial Narrow" w:hAnsi="Arial Narrow"/>
                <w:b/>
                <w:sz w:val="19"/>
                <w:szCs w:val="19"/>
              </w:rPr>
            </w:pPr>
          </w:p>
        </w:tc>
        <w:tc>
          <w:tcPr>
            <w:tcW w:w="686"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515"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646" w:type="pct"/>
            <w:tcBorders>
              <w:top w:val="single" w:sz="4" w:space="0" w:color="auto"/>
              <w:bottom w:val="single" w:sz="2" w:space="0" w:color="auto"/>
            </w:tcBorders>
            <w:vAlign w:val="center"/>
          </w:tcPr>
          <w:p w:rsidR="00E21822" w:rsidRPr="006E30E1" w:rsidRDefault="00E21822" w:rsidP="008904EF">
            <w:pPr>
              <w:tabs>
                <w:tab w:val="left" w:pos="142"/>
              </w:tabs>
              <w:spacing w:after="0" w:line="276" w:lineRule="auto"/>
              <w:ind w:firstLine="0"/>
              <w:jc w:val="right"/>
              <w:rPr>
                <w:rFonts w:ascii="Arial Narrow" w:hAnsi="Arial Narrow"/>
                <w:b/>
                <w:sz w:val="19"/>
                <w:szCs w:val="19"/>
              </w:rPr>
            </w:pPr>
          </w:p>
        </w:tc>
      </w:tr>
      <w:tr w:rsidR="006E30E1" w:rsidRPr="006E30E1" w:rsidTr="00F9084C">
        <w:trPr>
          <w:trHeight w:val="255"/>
          <w:jc w:val="center"/>
        </w:trPr>
        <w:tc>
          <w:tcPr>
            <w:tcW w:w="1812" w:type="pct"/>
            <w:tcBorders>
              <w:top w:val="single" w:sz="4" w:space="0" w:color="auto"/>
              <w:bottom w:val="single" w:sz="2" w:space="0" w:color="auto"/>
            </w:tcBorders>
            <w:vAlign w:val="center"/>
          </w:tcPr>
          <w:p w:rsidR="00E21822" w:rsidRPr="006E30E1" w:rsidRDefault="00E21822" w:rsidP="00F1200D">
            <w:pPr>
              <w:tabs>
                <w:tab w:val="left" w:pos="142"/>
                <w:tab w:val="left" w:pos="360"/>
              </w:tabs>
              <w:spacing w:after="0" w:line="276" w:lineRule="auto"/>
              <w:ind w:firstLine="0"/>
              <w:jc w:val="left"/>
              <w:rPr>
                <w:rFonts w:ascii="Arial Narrow" w:hAnsi="Arial Narrow"/>
                <w:sz w:val="19"/>
                <w:szCs w:val="19"/>
                <w:lang w:val="es-ES"/>
              </w:rPr>
            </w:pPr>
            <w:r w:rsidRPr="006E30E1">
              <w:rPr>
                <w:rFonts w:ascii="Arial Narrow" w:hAnsi="Arial Narrow"/>
                <w:sz w:val="19"/>
                <w:szCs w:val="19"/>
                <w:lang w:val="es-ES"/>
              </w:rPr>
              <w:t>Promoción cultura y equipamientos culturales</w:t>
            </w:r>
          </w:p>
        </w:tc>
        <w:tc>
          <w:tcPr>
            <w:tcW w:w="632"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r w:rsidRPr="006E30E1">
              <w:rPr>
                <w:rFonts w:ascii="Arial Narrow" w:hAnsi="Arial Narrow"/>
                <w:b/>
                <w:sz w:val="19"/>
                <w:szCs w:val="19"/>
              </w:rPr>
              <w:t>x</w:t>
            </w:r>
          </w:p>
        </w:tc>
        <w:tc>
          <w:tcPr>
            <w:tcW w:w="96"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612"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686"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515"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646" w:type="pct"/>
            <w:tcBorders>
              <w:top w:val="single" w:sz="4" w:space="0" w:color="auto"/>
              <w:bottom w:val="single" w:sz="2" w:space="0" w:color="auto"/>
            </w:tcBorders>
            <w:vAlign w:val="center"/>
          </w:tcPr>
          <w:p w:rsidR="00E21822" w:rsidRPr="006E30E1" w:rsidRDefault="00E21822" w:rsidP="008904EF">
            <w:pPr>
              <w:tabs>
                <w:tab w:val="left" w:pos="142"/>
              </w:tabs>
              <w:spacing w:after="0" w:line="276" w:lineRule="auto"/>
              <w:ind w:firstLine="0"/>
              <w:jc w:val="right"/>
              <w:rPr>
                <w:rFonts w:ascii="Arial Narrow" w:hAnsi="Arial Narrow"/>
                <w:b/>
                <w:sz w:val="19"/>
                <w:szCs w:val="19"/>
              </w:rPr>
            </w:pPr>
          </w:p>
        </w:tc>
      </w:tr>
      <w:tr w:rsidR="006E30E1" w:rsidRPr="006E30E1" w:rsidTr="00F9084C">
        <w:trPr>
          <w:trHeight w:val="255"/>
          <w:jc w:val="center"/>
        </w:trPr>
        <w:tc>
          <w:tcPr>
            <w:tcW w:w="1812" w:type="pct"/>
            <w:tcBorders>
              <w:top w:val="single" w:sz="4" w:space="0" w:color="auto"/>
              <w:bottom w:val="single" w:sz="2" w:space="0" w:color="auto"/>
            </w:tcBorders>
            <w:vAlign w:val="center"/>
          </w:tcPr>
          <w:p w:rsidR="00E21822" w:rsidRPr="006E30E1" w:rsidRDefault="00E21822" w:rsidP="008C0C72">
            <w:pPr>
              <w:tabs>
                <w:tab w:val="left" w:pos="142"/>
                <w:tab w:val="left" w:pos="360"/>
              </w:tabs>
              <w:spacing w:after="0" w:line="276" w:lineRule="auto"/>
              <w:ind w:firstLine="0"/>
              <w:jc w:val="left"/>
              <w:rPr>
                <w:rFonts w:ascii="Arial Narrow" w:hAnsi="Arial Narrow"/>
                <w:sz w:val="19"/>
                <w:szCs w:val="19"/>
                <w:lang w:val="es-ES"/>
              </w:rPr>
            </w:pPr>
            <w:r w:rsidRPr="006E30E1">
              <w:rPr>
                <w:rFonts w:ascii="Arial Narrow" w:hAnsi="Arial Narrow"/>
                <w:sz w:val="19"/>
                <w:szCs w:val="19"/>
                <w:lang w:val="es-ES"/>
              </w:rPr>
              <w:t xml:space="preserve">Mantenimiento centros públicos educación </w:t>
            </w:r>
          </w:p>
        </w:tc>
        <w:tc>
          <w:tcPr>
            <w:tcW w:w="632"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r w:rsidRPr="006E30E1">
              <w:rPr>
                <w:rFonts w:ascii="Arial Narrow" w:hAnsi="Arial Narrow"/>
                <w:b/>
                <w:sz w:val="19"/>
                <w:szCs w:val="19"/>
              </w:rPr>
              <w:t>x</w:t>
            </w:r>
          </w:p>
        </w:tc>
        <w:tc>
          <w:tcPr>
            <w:tcW w:w="96"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612"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686"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515"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646" w:type="pct"/>
            <w:tcBorders>
              <w:top w:val="single" w:sz="4" w:space="0" w:color="auto"/>
              <w:bottom w:val="single" w:sz="2" w:space="0" w:color="auto"/>
            </w:tcBorders>
            <w:vAlign w:val="center"/>
          </w:tcPr>
          <w:p w:rsidR="00E21822" w:rsidRPr="006E30E1" w:rsidRDefault="00E21822" w:rsidP="008904EF">
            <w:pPr>
              <w:tabs>
                <w:tab w:val="left" w:pos="142"/>
              </w:tabs>
              <w:spacing w:after="0" w:line="276" w:lineRule="auto"/>
              <w:ind w:firstLine="0"/>
              <w:jc w:val="right"/>
              <w:rPr>
                <w:rFonts w:ascii="Arial Narrow" w:hAnsi="Arial Narrow"/>
                <w:b/>
                <w:sz w:val="19"/>
                <w:szCs w:val="19"/>
              </w:rPr>
            </w:pPr>
          </w:p>
        </w:tc>
      </w:tr>
      <w:tr w:rsidR="006E30E1" w:rsidRPr="006E30E1" w:rsidTr="00F9084C">
        <w:trPr>
          <w:trHeight w:val="255"/>
          <w:jc w:val="center"/>
        </w:trPr>
        <w:tc>
          <w:tcPr>
            <w:tcW w:w="1812" w:type="pct"/>
            <w:tcBorders>
              <w:top w:val="single" w:sz="4" w:space="0" w:color="auto"/>
              <w:bottom w:val="single" w:sz="2" w:space="0" w:color="auto"/>
            </w:tcBorders>
            <w:vAlign w:val="center"/>
          </w:tcPr>
          <w:p w:rsidR="00E21822" w:rsidRPr="006E30E1" w:rsidRDefault="00E21822" w:rsidP="008C0C72">
            <w:pPr>
              <w:tabs>
                <w:tab w:val="left" w:pos="142"/>
                <w:tab w:val="left" w:pos="360"/>
              </w:tabs>
              <w:spacing w:after="0" w:line="276" w:lineRule="auto"/>
              <w:ind w:firstLine="0"/>
              <w:jc w:val="left"/>
              <w:rPr>
                <w:rFonts w:ascii="Arial Narrow" w:hAnsi="Arial Narrow"/>
                <w:sz w:val="19"/>
                <w:szCs w:val="19"/>
                <w:lang w:val="es-ES"/>
              </w:rPr>
            </w:pPr>
            <w:r w:rsidRPr="006E30E1">
              <w:rPr>
                <w:rFonts w:ascii="Arial Narrow" w:hAnsi="Arial Narrow"/>
                <w:sz w:val="19"/>
                <w:szCs w:val="19"/>
                <w:lang w:val="es-ES"/>
              </w:rPr>
              <w:t>Promoción de la igualdad</w:t>
            </w:r>
          </w:p>
        </w:tc>
        <w:tc>
          <w:tcPr>
            <w:tcW w:w="632"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r w:rsidRPr="006E30E1">
              <w:rPr>
                <w:rFonts w:ascii="Arial Narrow" w:hAnsi="Arial Narrow"/>
                <w:b/>
                <w:sz w:val="19"/>
                <w:szCs w:val="19"/>
              </w:rPr>
              <w:t>x</w:t>
            </w:r>
          </w:p>
        </w:tc>
        <w:tc>
          <w:tcPr>
            <w:tcW w:w="96"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612"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686"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515"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646" w:type="pct"/>
            <w:tcBorders>
              <w:top w:val="single" w:sz="4" w:space="0" w:color="auto"/>
              <w:bottom w:val="single" w:sz="2"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r>
      <w:tr w:rsidR="006E30E1" w:rsidRPr="006E30E1" w:rsidTr="00F9084C">
        <w:trPr>
          <w:trHeight w:val="255"/>
          <w:jc w:val="center"/>
        </w:trPr>
        <w:tc>
          <w:tcPr>
            <w:tcW w:w="1812" w:type="pct"/>
            <w:tcBorders>
              <w:top w:val="single" w:sz="4" w:space="0" w:color="auto"/>
              <w:bottom w:val="single" w:sz="4" w:space="0" w:color="auto"/>
            </w:tcBorders>
            <w:vAlign w:val="center"/>
          </w:tcPr>
          <w:p w:rsidR="00E21822" w:rsidRPr="006E30E1" w:rsidRDefault="00E21822" w:rsidP="008C0C72">
            <w:pPr>
              <w:tabs>
                <w:tab w:val="left" w:pos="142"/>
                <w:tab w:val="left" w:pos="360"/>
              </w:tabs>
              <w:spacing w:after="0" w:line="276" w:lineRule="auto"/>
              <w:ind w:firstLine="0"/>
              <w:jc w:val="left"/>
              <w:rPr>
                <w:rFonts w:ascii="Arial Narrow" w:hAnsi="Arial Narrow"/>
                <w:sz w:val="19"/>
                <w:szCs w:val="19"/>
                <w:lang w:val="es-ES"/>
              </w:rPr>
            </w:pPr>
            <w:r w:rsidRPr="006E30E1">
              <w:rPr>
                <w:rFonts w:ascii="Arial Narrow" w:hAnsi="Arial Narrow"/>
                <w:sz w:val="19"/>
                <w:szCs w:val="19"/>
                <w:lang w:val="es-ES"/>
              </w:rPr>
              <w:t>Promoción actividad turística</w:t>
            </w:r>
          </w:p>
        </w:tc>
        <w:tc>
          <w:tcPr>
            <w:tcW w:w="632" w:type="pct"/>
            <w:tcBorders>
              <w:top w:val="single" w:sz="4" w:space="0" w:color="auto"/>
              <w:bottom w:val="single" w:sz="4"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r w:rsidRPr="006E30E1">
              <w:rPr>
                <w:rFonts w:ascii="Arial Narrow" w:hAnsi="Arial Narrow"/>
                <w:b/>
                <w:sz w:val="19"/>
                <w:szCs w:val="19"/>
              </w:rPr>
              <w:t>x</w:t>
            </w:r>
          </w:p>
        </w:tc>
        <w:tc>
          <w:tcPr>
            <w:tcW w:w="96" w:type="pct"/>
            <w:tcBorders>
              <w:top w:val="single" w:sz="4" w:space="0" w:color="auto"/>
              <w:bottom w:val="single" w:sz="4"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612" w:type="pct"/>
            <w:tcBorders>
              <w:top w:val="single" w:sz="4" w:space="0" w:color="auto"/>
              <w:bottom w:val="single" w:sz="4"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686" w:type="pct"/>
            <w:tcBorders>
              <w:top w:val="single" w:sz="4" w:space="0" w:color="auto"/>
              <w:bottom w:val="single" w:sz="4"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515" w:type="pct"/>
            <w:tcBorders>
              <w:top w:val="single" w:sz="4" w:space="0" w:color="auto"/>
              <w:bottom w:val="single" w:sz="4"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646" w:type="pct"/>
            <w:tcBorders>
              <w:top w:val="single" w:sz="4" w:space="0" w:color="auto"/>
              <w:bottom w:val="single" w:sz="4"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r>
      <w:tr w:rsidR="006E30E1" w:rsidRPr="006E30E1" w:rsidTr="00F9084C">
        <w:trPr>
          <w:trHeight w:val="255"/>
          <w:jc w:val="center"/>
        </w:trPr>
        <w:tc>
          <w:tcPr>
            <w:tcW w:w="1812" w:type="pct"/>
            <w:tcBorders>
              <w:top w:val="single" w:sz="4" w:space="0" w:color="auto"/>
              <w:bottom w:val="single" w:sz="4" w:space="0" w:color="auto"/>
            </w:tcBorders>
            <w:vAlign w:val="center"/>
          </w:tcPr>
          <w:p w:rsidR="00E21822" w:rsidRPr="006E30E1" w:rsidRDefault="00E21822" w:rsidP="008C0C72">
            <w:pPr>
              <w:tabs>
                <w:tab w:val="left" w:pos="142"/>
                <w:tab w:val="left" w:pos="360"/>
              </w:tabs>
              <w:spacing w:after="0" w:line="276" w:lineRule="auto"/>
              <w:ind w:firstLine="0"/>
              <w:jc w:val="left"/>
              <w:rPr>
                <w:rFonts w:ascii="Arial Narrow" w:hAnsi="Arial Narrow"/>
                <w:sz w:val="19"/>
                <w:szCs w:val="19"/>
                <w:lang w:val="es-ES"/>
              </w:rPr>
            </w:pPr>
            <w:r w:rsidRPr="006E30E1">
              <w:rPr>
                <w:rFonts w:ascii="Arial Narrow" w:hAnsi="Arial Narrow"/>
                <w:sz w:val="19"/>
                <w:szCs w:val="19"/>
                <w:lang w:val="es-ES"/>
              </w:rPr>
              <w:t>Centro 0-3 años</w:t>
            </w:r>
          </w:p>
        </w:tc>
        <w:tc>
          <w:tcPr>
            <w:tcW w:w="632" w:type="pct"/>
            <w:tcBorders>
              <w:top w:val="single" w:sz="4" w:space="0" w:color="auto"/>
              <w:bottom w:val="single" w:sz="4"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r w:rsidRPr="006E30E1">
              <w:rPr>
                <w:rFonts w:ascii="Arial Narrow" w:hAnsi="Arial Narrow"/>
                <w:b/>
                <w:sz w:val="19"/>
                <w:szCs w:val="19"/>
              </w:rPr>
              <w:t>x</w:t>
            </w:r>
          </w:p>
        </w:tc>
        <w:tc>
          <w:tcPr>
            <w:tcW w:w="96" w:type="pct"/>
            <w:tcBorders>
              <w:top w:val="single" w:sz="4" w:space="0" w:color="auto"/>
              <w:bottom w:val="single" w:sz="4"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612" w:type="pct"/>
            <w:tcBorders>
              <w:top w:val="single" w:sz="4" w:space="0" w:color="auto"/>
              <w:bottom w:val="single" w:sz="4"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r w:rsidRPr="006E30E1">
              <w:rPr>
                <w:rFonts w:ascii="Arial Narrow" w:hAnsi="Arial Narrow"/>
                <w:b/>
                <w:sz w:val="19"/>
                <w:szCs w:val="19"/>
              </w:rPr>
              <w:t>x</w:t>
            </w:r>
          </w:p>
        </w:tc>
        <w:tc>
          <w:tcPr>
            <w:tcW w:w="686" w:type="pct"/>
            <w:tcBorders>
              <w:top w:val="single" w:sz="4" w:space="0" w:color="auto"/>
              <w:bottom w:val="single" w:sz="4"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515" w:type="pct"/>
            <w:tcBorders>
              <w:top w:val="single" w:sz="4" w:space="0" w:color="auto"/>
              <w:bottom w:val="single" w:sz="4"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c>
          <w:tcPr>
            <w:tcW w:w="646" w:type="pct"/>
            <w:tcBorders>
              <w:top w:val="single" w:sz="4" w:space="0" w:color="auto"/>
              <w:bottom w:val="single" w:sz="4" w:space="0" w:color="auto"/>
            </w:tcBorders>
            <w:vAlign w:val="center"/>
          </w:tcPr>
          <w:p w:rsidR="00E21822" w:rsidRPr="006E30E1" w:rsidRDefault="00E21822" w:rsidP="008C0C72">
            <w:pPr>
              <w:tabs>
                <w:tab w:val="left" w:pos="142"/>
              </w:tabs>
              <w:spacing w:after="0" w:line="276" w:lineRule="auto"/>
              <w:ind w:firstLine="0"/>
              <w:jc w:val="center"/>
              <w:rPr>
                <w:rFonts w:ascii="Arial Narrow" w:hAnsi="Arial Narrow"/>
                <w:b/>
                <w:sz w:val="19"/>
                <w:szCs w:val="19"/>
              </w:rPr>
            </w:pPr>
          </w:p>
        </w:tc>
      </w:tr>
    </w:tbl>
    <w:p w:rsidR="0067725A" w:rsidRDefault="00BE4D3A" w:rsidP="00BA68E5">
      <w:pPr>
        <w:pStyle w:val="texto"/>
        <w:spacing w:before="240"/>
      </w:pPr>
      <w:r w:rsidRPr="00A322C9">
        <w:t>El marco normativo que resulta a</w:t>
      </w:r>
      <w:r>
        <w:t xml:space="preserve">plicable al </w:t>
      </w:r>
      <w:r w:rsidR="00A041D7">
        <w:t>a</w:t>
      </w:r>
      <w:r w:rsidR="00D426D2">
        <w:t>yuntamiento</w:t>
      </w:r>
      <w:r>
        <w:t xml:space="preserve"> en 201</w:t>
      </w:r>
      <w:r w:rsidR="00E21822">
        <w:t>9</w:t>
      </w:r>
      <w:r w:rsidRPr="00A322C9">
        <w:t xml:space="preserve"> está </w:t>
      </w:r>
      <w:r w:rsidRPr="00A322C9">
        <w:rPr>
          <w:spacing w:val="4"/>
        </w:rPr>
        <w:t>constitu</w:t>
      </w:r>
      <w:r w:rsidRPr="00A322C9">
        <w:rPr>
          <w:spacing w:val="4"/>
        </w:rPr>
        <w:t>i</w:t>
      </w:r>
      <w:r w:rsidRPr="00A322C9">
        <w:rPr>
          <w:spacing w:val="4"/>
        </w:rPr>
        <w:t>do fundamentalmente por la Ley Foral 6/1990, de 2 de julio, de la Administración Local de Navarra, la Ley Foral 2/1995, de 10 de marzo, de Haciendas Locales de Navarra, la Ley 7/1985, de 2 de abril, reguladora de las Bases de Régimen Local,</w:t>
      </w:r>
      <w:r w:rsidRPr="00A322C9">
        <w:t xml:space="preserve"> la Ley Orgánica 2/2012, de 27 de abril, de Estabilidad Presupuestaria y Sostenibilidad Financiera</w:t>
      </w:r>
      <w:r w:rsidR="00334B37">
        <w:t>,</w:t>
      </w:r>
      <w:r w:rsidR="00996B35">
        <w:t xml:space="preserve"> </w:t>
      </w:r>
      <w:r w:rsidRPr="00A322C9">
        <w:t>así como por la normativa sectorial vigente</w:t>
      </w:r>
      <w:r w:rsidR="00B3514F">
        <w:t>.</w:t>
      </w:r>
      <w:r w:rsidR="0067725A">
        <w:br w:type="page"/>
      </w:r>
    </w:p>
    <w:p w:rsidR="0067725A" w:rsidRPr="00C801EE" w:rsidRDefault="0067725A" w:rsidP="0067725A">
      <w:pPr>
        <w:pStyle w:val="atitulo1"/>
        <w:rPr>
          <w:rFonts w:cs="Arial"/>
          <w:szCs w:val="25"/>
        </w:rPr>
      </w:pPr>
      <w:bookmarkStart w:id="5" w:name="_Toc22495431"/>
      <w:bookmarkStart w:id="6" w:name="_Toc50018574"/>
      <w:bookmarkStart w:id="7" w:name="_Toc430935359"/>
      <w:r w:rsidRPr="00C801EE">
        <w:rPr>
          <w:rFonts w:cs="Arial"/>
          <w:szCs w:val="25"/>
        </w:rPr>
        <w:lastRenderedPageBreak/>
        <w:t>III. Objetivos y alcance de la fiscalización</w:t>
      </w:r>
      <w:bookmarkEnd w:id="5"/>
      <w:bookmarkEnd w:id="6"/>
    </w:p>
    <w:p w:rsidR="00BE4D3A" w:rsidRPr="00ED3A8D" w:rsidRDefault="00BE4D3A" w:rsidP="00BE4D3A">
      <w:pPr>
        <w:pStyle w:val="texto"/>
        <w:tabs>
          <w:tab w:val="clear" w:pos="2835"/>
          <w:tab w:val="clear" w:pos="3969"/>
          <w:tab w:val="clear" w:pos="5103"/>
          <w:tab w:val="clear" w:pos="6237"/>
          <w:tab w:val="clear" w:pos="7371"/>
        </w:tabs>
        <w:spacing w:after="100"/>
      </w:pPr>
      <w:r>
        <w:t>S</w:t>
      </w:r>
      <w:r w:rsidRPr="00ED3A8D">
        <w:t xml:space="preserve">e </w:t>
      </w:r>
      <w:r>
        <w:t>ha realizado</w:t>
      </w:r>
      <w:r w:rsidRPr="00ED3A8D">
        <w:t xml:space="preserve"> la fiscalización </w:t>
      </w:r>
      <w:r>
        <w:t xml:space="preserve">financiera y de </w:t>
      </w:r>
      <w:r w:rsidRPr="00C30AA9">
        <w:t>cumplimiento</w:t>
      </w:r>
      <w:r w:rsidRPr="00ED3A8D">
        <w:t xml:space="preserve"> </w:t>
      </w:r>
      <w:r>
        <w:t xml:space="preserve">de legalidad del </w:t>
      </w:r>
      <w:r w:rsidR="00996B35">
        <w:t>a</w:t>
      </w:r>
      <w:r w:rsidR="00D426D2">
        <w:t>yuntamiento</w:t>
      </w:r>
      <w:r w:rsidRPr="00ED3A8D">
        <w:t xml:space="preserve"> correspondiente al ejercicio 201</w:t>
      </w:r>
      <w:r w:rsidR="00996B35">
        <w:t>9</w:t>
      </w:r>
      <w:r>
        <w:t>, con el objetivo de emitir una op</w:t>
      </w:r>
      <w:r>
        <w:t>i</w:t>
      </w:r>
      <w:r>
        <w:t>nión sobre:</w:t>
      </w:r>
    </w:p>
    <w:p w:rsidR="006E5DF6" w:rsidRDefault="0067725A" w:rsidP="00CA4B62">
      <w:pPr>
        <w:pStyle w:val="texto"/>
        <w:numPr>
          <w:ilvl w:val="0"/>
          <w:numId w:val="1"/>
        </w:numPr>
        <w:tabs>
          <w:tab w:val="clear" w:pos="2835"/>
          <w:tab w:val="clear" w:pos="3969"/>
          <w:tab w:val="clear" w:pos="5103"/>
          <w:tab w:val="clear" w:pos="6237"/>
          <w:tab w:val="clear" w:pos="7371"/>
          <w:tab w:val="left" w:pos="480"/>
          <w:tab w:val="num" w:pos="720"/>
          <w:tab w:val="num" w:pos="6597"/>
        </w:tabs>
        <w:ind w:left="0" w:firstLine="289"/>
        <w:rPr>
          <w:szCs w:val="26"/>
        </w:rPr>
      </w:pPr>
      <w:r w:rsidRPr="006E5DF6">
        <w:rPr>
          <w:szCs w:val="26"/>
        </w:rPr>
        <w:t xml:space="preserve">Si la Cuenta General expresa, en todos </w:t>
      </w:r>
      <w:r w:rsidR="006E5DF6">
        <w:rPr>
          <w:szCs w:val="26"/>
        </w:rPr>
        <w:t>los</w:t>
      </w:r>
      <w:r w:rsidRPr="006E5DF6">
        <w:rPr>
          <w:szCs w:val="26"/>
        </w:rPr>
        <w:t xml:space="preserve"> aspectos significativos, la imagen fiel del patrimonio</w:t>
      </w:r>
      <w:r w:rsidR="006E5DF6">
        <w:rPr>
          <w:szCs w:val="26"/>
        </w:rPr>
        <w:t xml:space="preserve">, </w:t>
      </w:r>
      <w:r w:rsidRPr="006E5DF6">
        <w:rPr>
          <w:szCs w:val="26"/>
        </w:rPr>
        <w:t>de la situación financiera</w:t>
      </w:r>
      <w:r w:rsidR="006E5DF6">
        <w:rPr>
          <w:szCs w:val="26"/>
        </w:rPr>
        <w:t>, de la liquidación del presupuesto y del resultado económico a 31 de diciembre de 2019, de conformidad con el marco normativo que resulta de aplicación y, en particular, con los</w:t>
      </w:r>
      <w:r w:rsidRPr="006E5DF6">
        <w:rPr>
          <w:szCs w:val="26"/>
        </w:rPr>
        <w:t xml:space="preserve"> principios y criterios contables contenidos </w:t>
      </w:r>
      <w:r w:rsidR="006E5DF6">
        <w:rPr>
          <w:szCs w:val="26"/>
        </w:rPr>
        <w:t>y presupuestarios contenidos en el mismo.</w:t>
      </w:r>
    </w:p>
    <w:p w:rsidR="0067725A" w:rsidRPr="006E5DF6" w:rsidRDefault="0067725A" w:rsidP="00CA4B62">
      <w:pPr>
        <w:pStyle w:val="texto"/>
        <w:numPr>
          <w:ilvl w:val="0"/>
          <w:numId w:val="1"/>
        </w:numPr>
        <w:tabs>
          <w:tab w:val="clear" w:pos="2835"/>
          <w:tab w:val="clear" w:pos="3969"/>
          <w:tab w:val="clear" w:pos="5103"/>
          <w:tab w:val="clear" w:pos="6237"/>
          <w:tab w:val="clear" w:pos="7371"/>
          <w:tab w:val="left" w:pos="480"/>
          <w:tab w:val="num" w:pos="720"/>
          <w:tab w:val="num" w:pos="6597"/>
        </w:tabs>
        <w:ind w:left="0" w:firstLine="289"/>
        <w:rPr>
          <w:szCs w:val="26"/>
        </w:rPr>
      </w:pPr>
      <w:r w:rsidRPr="006E5DF6">
        <w:rPr>
          <w:szCs w:val="26"/>
        </w:rPr>
        <w:t xml:space="preserve">Si las actividades, operaciones presupuestarias y financieras realizadas por el </w:t>
      </w:r>
      <w:r w:rsidR="00996B35" w:rsidRPr="006E5DF6">
        <w:rPr>
          <w:szCs w:val="26"/>
        </w:rPr>
        <w:t>a</w:t>
      </w:r>
      <w:r w:rsidR="00D426D2" w:rsidRPr="006E5DF6">
        <w:rPr>
          <w:szCs w:val="26"/>
        </w:rPr>
        <w:t>yuntamiento</w:t>
      </w:r>
      <w:r w:rsidRPr="006E5DF6">
        <w:rPr>
          <w:szCs w:val="26"/>
        </w:rPr>
        <w:t xml:space="preserve"> </w:t>
      </w:r>
      <w:r w:rsidR="006E5DF6">
        <w:rPr>
          <w:szCs w:val="26"/>
        </w:rPr>
        <w:t xml:space="preserve">y su ente dependiente </w:t>
      </w:r>
      <w:r w:rsidR="00996B35" w:rsidRPr="006E5DF6">
        <w:rPr>
          <w:szCs w:val="26"/>
        </w:rPr>
        <w:t>durante el ejercicio 2019</w:t>
      </w:r>
      <w:r w:rsidRPr="006E5DF6">
        <w:rPr>
          <w:szCs w:val="26"/>
        </w:rPr>
        <w:t xml:space="preserve"> y la información r</w:t>
      </w:r>
      <w:r w:rsidRPr="006E5DF6">
        <w:rPr>
          <w:szCs w:val="26"/>
        </w:rPr>
        <w:t>e</w:t>
      </w:r>
      <w:r w:rsidRPr="006E5DF6">
        <w:rPr>
          <w:szCs w:val="26"/>
        </w:rPr>
        <w:t>flejada en la Cuenta General resultan conformes, en todos los aspectos significat</w:t>
      </w:r>
      <w:r w:rsidRPr="006E5DF6">
        <w:rPr>
          <w:szCs w:val="26"/>
        </w:rPr>
        <w:t>i</w:t>
      </w:r>
      <w:r w:rsidRPr="006E5DF6">
        <w:rPr>
          <w:szCs w:val="26"/>
        </w:rPr>
        <w:t>vos, con las normas aplicables a la gestión de los fondos públicos.</w:t>
      </w:r>
    </w:p>
    <w:p w:rsidR="009133CF" w:rsidRPr="00CA4B62" w:rsidRDefault="009133CF" w:rsidP="009133CF">
      <w:pPr>
        <w:pStyle w:val="texto"/>
        <w:numPr>
          <w:ilvl w:val="0"/>
          <w:numId w:val="1"/>
        </w:numPr>
        <w:tabs>
          <w:tab w:val="clear" w:pos="2835"/>
          <w:tab w:val="clear" w:pos="3969"/>
          <w:tab w:val="clear" w:pos="5103"/>
          <w:tab w:val="clear" w:pos="6237"/>
          <w:tab w:val="clear" w:pos="7371"/>
          <w:tab w:val="left" w:pos="480"/>
          <w:tab w:val="num" w:pos="720"/>
          <w:tab w:val="num" w:pos="6597"/>
        </w:tabs>
        <w:ind w:left="0" w:firstLine="289"/>
        <w:rPr>
          <w:szCs w:val="26"/>
        </w:rPr>
      </w:pPr>
      <w:r>
        <w:rPr>
          <w:szCs w:val="26"/>
        </w:rPr>
        <w:t>El c</w:t>
      </w:r>
      <w:r w:rsidRPr="00CA4B62">
        <w:rPr>
          <w:szCs w:val="26"/>
        </w:rPr>
        <w:t>umplimiento de las recomendaciones emitidas en el informe de fiscaliz</w:t>
      </w:r>
      <w:r w:rsidRPr="00CA4B62">
        <w:rPr>
          <w:szCs w:val="26"/>
        </w:rPr>
        <w:t>a</w:t>
      </w:r>
      <w:r w:rsidRPr="00CA4B62">
        <w:rPr>
          <w:szCs w:val="26"/>
        </w:rPr>
        <w:t>ción del ejercicio 201</w:t>
      </w:r>
      <w:r w:rsidR="00DC5EAC">
        <w:rPr>
          <w:szCs w:val="26"/>
        </w:rPr>
        <w:t>5</w:t>
      </w:r>
      <w:r w:rsidRPr="00CA4B62">
        <w:rPr>
          <w:szCs w:val="26"/>
        </w:rPr>
        <w:t>.</w:t>
      </w:r>
    </w:p>
    <w:p w:rsidR="00A33C98" w:rsidRDefault="0067725A" w:rsidP="00BE4D3A">
      <w:pPr>
        <w:pStyle w:val="texto"/>
        <w:tabs>
          <w:tab w:val="clear" w:pos="2835"/>
          <w:tab w:val="clear" w:pos="3969"/>
          <w:tab w:val="clear" w:pos="5103"/>
          <w:tab w:val="clear" w:pos="6237"/>
          <w:tab w:val="clear" w:pos="7371"/>
        </w:tabs>
        <w:rPr>
          <w:szCs w:val="26"/>
        </w:rPr>
      </w:pPr>
      <w:r w:rsidRPr="00721DCC">
        <w:rPr>
          <w:szCs w:val="26"/>
        </w:rPr>
        <w:t xml:space="preserve">Además de la emisión de la anterior opinión, el trabajo </w:t>
      </w:r>
      <w:r>
        <w:rPr>
          <w:szCs w:val="26"/>
        </w:rPr>
        <w:t xml:space="preserve">ha incluido </w:t>
      </w:r>
      <w:r w:rsidR="00BE4D3A">
        <w:rPr>
          <w:szCs w:val="26"/>
        </w:rPr>
        <w:t xml:space="preserve">la revisión del </w:t>
      </w:r>
      <w:r w:rsidRPr="00CA4B62">
        <w:rPr>
          <w:szCs w:val="26"/>
        </w:rPr>
        <w:t>cumplimiento de los objetivos de estabilidad presupuestaria y sostenibilidad f</w:t>
      </w:r>
      <w:r w:rsidRPr="00CA4B62">
        <w:rPr>
          <w:szCs w:val="26"/>
        </w:rPr>
        <w:t>i</w:t>
      </w:r>
      <w:r w:rsidR="00996B35">
        <w:rPr>
          <w:szCs w:val="26"/>
        </w:rPr>
        <w:t>nanciera fijados para 2019</w:t>
      </w:r>
      <w:r w:rsidRPr="00CA4B62">
        <w:rPr>
          <w:szCs w:val="26"/>
        </w:rPr>
        <w:t xml:space="preserve">. </w:t>
      </w:r>
    </w:p>
    <w:p w:rsidR="0067725A" w:rsidRPr="00C45A76" w:rsidRDefault="0067725A" w:rsidP="00B6458D">
      <w:pPr>
        <w:pStyle w:val="texto"/>
        <w:rPr>
          <w:szCs w:val="26"/>
        </w:rPr>
      </w:pPr>
      <w:r w:rsidRPr="00C45A76">
        <w:rPr>
          <w:szCs w:val="26"/>
        </w:rPr>
        <w:t>El alcance de la fiscaliz</w:t>
      </w:r>
      <w:r w:rsidR="00B24EC9" w:rsidRPr="00C45A76">
        <w:rPr>
          <w:szCs w:val="26"/>
        </w:rPr>
        <w:t xml:space="preserve">ación es la Cuenta General del </w:t>
      </w:r>
      <w:r w:rsidR="001851DC">
        <w:t xml:space="preserve">Ayuntamiento del Valle de </w:t>
      </w:r>
      <w:proofErr w:type="spellStart"/>
      <w:r w:rsidR="001851DC">
        <w:t>Egüés</w:t>
      </w:r>
      <w:proofErr w:type="spellEnd"/>
      <w:r w:rsidR="001851DC">
        <w:t xml:space="preserve"> </w:t>
      </w:r>
      <w:r w:rsidR="00B24EC9" w:rsidRPr="00C45A76">
        <w:rPr>
          <w:szCs w:val="26"/>
        </w:rPr>
        <w:t>de</w:t>
      </w:r>
      <w:r w:rsidRPr="00C45A76">
        <w:rPr>
          <w:szCs w:val="26"/>
        </w:rPr>
        <w:t>l año 201</w:t>
      </w:r>
      <w:r w:rsidR="00996B35">
        <w:rPr>
          <w:szCs w:val="26"/>
        </w:rPr>
        <w:t>9</w:t>
      </w:r>
      <w:r w:rsidRPr="00C45A76">
        <w:rPr>
          <w:szCs w:val="26"/>
        </w:rPr>
        <w:t xml:space="preserve"> integr</w:t>
      </w:r>
      <w:r w:rsidR="00A959DE" w:rsidRPr="00C45A76">
        <w:rPr>
          <w:szCs w:val="26"/>
        </w:rPr>
        <w:t xml:space="preserve">ada, según el Decreto Foral 272/1998, </w:t>
      </w:r>
      <w:r w:rsidRPr="00C45A76">
        <w:rPr>
          <w:szCs w:val="26"/>
        </w:rPr>
        <w:t>por:</w:t>
      </w:r>
    </w:p>
    <w:p w:rsidR="0067725A" w:rsidRPr="00CA4B62" w:rsidRDefault="00A85CAA" w:rsidP="00CA4B62">
      <w:pPr>
        <w:pStyle w:val="texto"/>
        <w:numPr>
          <w:ilvl w:val="0"/>
          <w:numId w:val="1"/>
        </w:numPr>
        <w:tabs>
          <w:tab w:val="clear" w:pos="2835"/>
          <w:tab w:val="clear" w:pos="3969"/>
          <w:tab w:val="clear" w:pos="5103"/>
          <w:tab w:val="clear" w:pos="6237"/>
          <w:tab w:val="clear" w:pos="7371"/>
          <w:tab w:val="left" w:pos="480"/>
          <w:tab w:val="num" w:pos="720"/>
          <w:tab w:val="num" w:pos="6597"/>
        </w:tabs>
        <w:ind w:left="0" w:firstLine="289"/>
        <w:rPr>
          <w:szCs w:val="26"/>
        </w:rPr>
      </w:pPr>
      <w:r>
        <w:rPr>
          <w:szCs w:val="26"/>
        </w:rPr>
        <w:t xml:space="preserve">Cuenta del </w:t>
      </w:r>
      <w:r w:rsidR="00996B35">
        <w:rPr>
          <w:szCs w:val="26"/>
        </w:rPr>
        <w:t>a</w:t>
      </w:r>
      <w:r w:rsidR="00D426D2">
        <w:rPr>
          <w:szCs w:val="26"/>
        </w:rPr>
        <w:t>yuntamiento</w:t>
      </w:r>
      <w:r w:rsidR="0067725A" w:rsidRPr="00CA4B62">
        <w:rPr>
          <w:szCs w:val="26"/>
        </w:rPr>
        <w:t>:</w:t>
      </w:r>
    </w:p>
    <w:p w:rsidR="0067725A" w:rsidRDefault="0067725A" w:rsidP="004F3C23">
      <w:pPr>
        <w:pStyle w:val="texto"/>
        <w:numPr>
          <w:ilvl w:val="0"/>
          <w:numId w:val="19"/>
        </w:numPr>
        <w:tabs>
          <w:tab w:val="clear" w:pos="2835"/>
          <w:tab w:val="clear" w:pos="3969"/>
          <w:tab w:val="clear" w:pos="5103"/>
          <w:tab w:val="clear" w:pos="6237"/>
          <w:tab w:val="clear" w:pos="7371"/>
          <w:tab w:val="left" w:pos="480"/>
        </w:tabs>
        <w:rPr>
          <w:szCs w:val="26"/>
        </w:rPr>
      </w:pPr>
      <w:r w:rsidRPr="00C45A76">
        <w:rPr>
          <w:szCs w:val="26"/>
        </w:rPr>
        <w:t>Expediente</w:t>
      </w:r>
      <w:r w:rsidR="00A959DE" w:rsidRPr="00C45A76">
        <w:rPr>
          <w:szCs w:val="26"/>
        </w:rPr>
        <w:t xml:space="preserve"> de liquidación del presupuesto</w:t>
      </w:r>
      <w:r w:rsidR="00AA51DC">
        <w:rPr>
          <w:szCs w:val="26"/>
        </w:rPr>
        <w:t>.</w:t>
      </w:r>
    </w:p>
    <w:p w:rsidR="004F3C23" w:rsidRDefault="004F3C23" w:rsidP="004F3C23">
      <w:pPr>
        <w:pStyle w:val="texto"/>
        <w:numPr>
          <w:ilvl w:val="0"/>
          <w:numId w:val="19"/>
        </w:numPr>
        <w:tabs>
          <w:tab w:val="clear" w:pos="2835"/>
          <w:tab w:val="clear" w:pos="3969"/>
          <w:tab w:val="clear" w:pos="5103"/>
          <w:tab w:val="clear" w:pos="6237"/>
          <w:tab w:val="clear" w:pos="7371"/>
          <w:tab w:val="left" w:pos="480"/>
        </w:tabs>
        <w:rPr>
          <w:szCs w:val="26"/>
        </w:rPr>
      </w:pPr>
      <w:r w:rsidRPr="00C45A76">
        <w:rPr>
          <w:szCs w:val="26"/>
        </w:rPr>
        <w:t>Expediente de situación económico-patrimonial y financiera, formado por el balance de situación y cuenta de pérdidas y ganancias</w:t>
      </w:r>
      <w:r>
        <w:rPr>
          <w:szCs w:val="26"/>
        </w:rPr>
        <w:t>.</w:t>
      </w:r>
    </w:p>
    <w:p w:rsidR="004F3C23" w:rsidRPr="00C45A76" w:rsidRDefault="004F3C23" w:rsidP="004F3C23">
      <w:pPr>
        <w:pStyle w:val="texto"/>
        <w:numPr>
          <w:ilvl w:val="0"/>
          <w:numId w:val="19"/>
        </w:numPr>
        <w:tabs>
          <w:tab w:val="clear" w:pos="2835"/>
          <w:tab w:val="clear" w:pos="3969"/>
          <w:tab w:val="clear" w:pos="5103"/>
          <w:tab w:val="clear" w:pos="6237"/>
          <w:tab w:val="clear" w:pos="7371"/>
          <w:tab w:val="left" w:pos="480"/>
        </w:tabs>
        <w:rPr>
          <w:szCs w:val="26"/>
        </w:rPr>
      </w:pPr>
      <w:r w:rsidRPr="00C45A76">
        <w:rPr>
          <w:szCs w:val="26"/>
        </w:rPr>
        <w:t xml:space="preserve">Anexos a la cuenta del </w:t>
      </w:r>
      <w:r w:rsidR="00996B35">
        <w:rPr>
          <w:szCs w:val="26"/>
        </w:rPr>
        <w:t>a</w:t>
      </w:r>
      <w:r>
        <w:rPr>
          <w:szCs w:val="26"/>
        </w:rPr>
        <w:t>yuntamiento.</w:t>
      </w:r>
    </w:p>
    <w:p w:rsidR="0067725A" w:rsidRPr="00CA4B62" w:rsidRDefault="0067725A" w:rsidP="00CA4B62">
      <w:pPr>
        <w:pStyle w:val="texto"/>
        <w:numPr>
          <w:ilvl w:val="0"/>
          <w:numId w:val="1"/>
        </w:numPr>
        <w:tabs>
          <w:tab w:val="clear" w:pos="2835"/>
          <w:tab w:val="clear" w:pos="3969"/>
          <w:tab w:val="clear" w:pos="5103"/>
          <w:tab w:val="clear" w:pos="6237"/>
          <w:tab w:val="clear" w:pos="7371"/>
          <w:tab w:val="left" w:pos="480"/>
          <w:tab w:val="num" w:pos="720"/>
          <w:tab w:val="num" w:pos="6597"/>
        </w:tabs>
        <w:ind w:left="0" w:firstLine="289"/>
        <w:rPr>
          <w:szCs w:val="26"/>
        </w:rPr>
      </w:pPr>
      <w:r w:rsidRPr="00CA4B62">
        <w:rPr>
          <w:szCs w:val="26"/>
        </w:rPr>
        <w:t>Cuenta de la sociedad mercantil participada íntegramente por la entidad</w:t>
      </w:r>
      <w:r w:rsidR="00AA51DC">
        <w:rPr>
          <w:szCs w:val="26"/>
        </w:rPr>
        <w:t>.</w:t>
      </w:r>
    </w:p>
    <w:p w:rsidR="0067725A" w:rsidRPr="00CA4B62" w:rsidRDefault="0067725A" w:rsidP="00CA4B62">
      <w:pPr>
        <w:pStyle w:val="texto"/>
        <w:numPr>
          <w:ilvl w:val="0"/>
          <w:numId w:val="1"/>
        </w:numPr>
        <w:tabs>
          <w:tab w:val="clear" w:pos="2835"/>
          <w:tab w:val="clear" w:pos="3969"/>
          <w:tab w:val="clear" w:pos="5103"/>
          <w:tab w:val="clear" w:pos="6237"/>
          <w:tab w:val="clear" w:pos="7371"/>
          <w:tab w:val="left" w:pos="480"/>
          <w:tab w:val="num" w:pos="720"/>
          <w:tab w:val="num" w:pos="6597"/>
        </w:tabs>
        <w:ind w:left="0" w:firstLine="289"/>
        <w:rPr>
          <w:szCs w:val="26"/>
        </w:rPr>
      </w:pPr>
      <w:r w:rsidRPr="00CA4B62">
        <w:rPr>
          <w:szCs w:val="26"/>
        </w:rPr>
        <w:t>Anexos a la Cuenta General</w:t>
      </w:r>
      <w:r w:rsidR="00AA51DC">
        <w:rPr>
          <w:szCs w:val="26"/>
        </w:rPr>
        <w:t>.</w:t>
      </w:r>
    </w:p>
    <w:p w:rsidR="00BE4D3A" w:rsidRPr="00E75AA1" w:rsidRDefault="00BE4D3A" w:rsidP="00E75AA1">
      <w:pPr>
        <w:pStyle w:val="texto"/>
        <w:rPr>
          <w:szCs w:val="26"/>
        </w:rPr>
      </w:pPr>
      <w:bookmarkStart w:id="8" w:name="_Toc22495432"/>
      <w:r w:rsidRPr="00E75AA1">
        <w:rPr>
          <w:szCs w:val="26"/>
        </w:rPr>
        <w:t xml:space="preserve">El alcance temporal de la fiscalización se refiere al ejercicio </w:t>
      </w:r>
      <w:r w:rsidR="00996B35">
        <w:rPr>
          <w:szCs w:val="26"/>
        </w:rPr>
        <w:t>2019</w:t>
      </w:r>
      <w:r w:rsidRPr="00E75AA1">
        <w:rPr>
          <w:szCs w:val="26"/>
        </w:rPr>
        <w:t>, si bien se han efectuado aquellas comprobaciones necesarias sobre otros ejercicios para una m</w:t>
      </w:r>
      <w:r w:rsidRPr="00E75AA1">
        <w:rPr>
          <w:szCs w:val="26"/>
        </w:rPr>
        <w:t>e</w:t>
      </w:r>
      <w:r w:rsidRPr="00E75AA1">
        <w:rPr>
          <w:szCs w:val="26"/>
        </w:rPr>
        <w:t>jor consecución de los objetivos establecidos.</w:t>
      </w:r>
    </w:p>
    <w:p w:rsidR="00BE4D3A" w:rsidRPr="00E75AA1" w:rsidRDefault="00BE4D3A" w:rsidP="00E75AA1">
      <w:pPr>
        <w:pStyle w:val="texto"/>
        <w:rPr>
          <w:szCs w:val="26"/>
        </w:rPr>
      </w:pPr>
      <w:r w:rsidRPr="00E75AA1">
        <w:rPr>
          <w:szCs w:val="26"/>
        </w:rPr>
        <w:t>En cuanto al cumplimiento de legalidad, el alcance se refiere</w:t>
      </w:r>
      <w:r w:rsidRPr="00FA4EC5">
        <w:rPr>
          <w:color w:val="FF0000"/>
        </w:rPr>
        <w:t xml:space="preserve"> </w:t>
      </w:r>
      <w:r w:rsidRPr="00E75AA1">
        <w:rPr>
          <w:szCs w:val="26"/>
        </w:rPr>
        <w:t>a las operaciones revisadas en las muestras que se indican en el epígrafe VI de este informe.</w:t>
      </w:r>
    </w:p>
    <w:p w:rsidR="00BE4D3A" w:rsidRDefault="00BE4D3A" w:rsidP="00E75AA1">
      <w:pPr>
        <w:pStyle w:val="texto"/>
        <w:tabs>
          <w:tab w:val="clear" w:pos="2835"/>
          <w:tab w:val="clear" w:pos="3969"/>
          <w:tab w:val="clear" w:pos="5103"/>
          <w:tab w:val="clear" w:pos="6237"/>
          <w:tab w:val="clear" w:pos="7371"/>
        </w:tabs>
        <w:spacing w:after="100"/>
        <w:ind w:left="142" w:firstLine="0"/>
      </w:pPr>
    </w:p>
    <w:p w:rsidR="00DC5EAC" w:rsidRDefault="00DC5EAC">
      <w:pPr>
        <w:spacing w:after="0"/>
        <w:ind w:firstLine="0"/>
        <w:jc w:val="left"/>
        <w:rPr>
          <w:rFonts w:ascii="Arial" w:hAnsi="Arial"/>
          <w:b/>
          <w:color w:val="000000"/>
          <w:kern w:val="28"/>
          <w:sz w:val="25"/>
          <w:szCs w:val="26"/>
        </w:rPr>
      </w:pPr>
      <w:r>
        <w:br w:type="page"/>
      </w:r>
    </w:p>
    <w:p w:rsidR="0067725A" w:rsidRPr="00C801EE" w:rsidRDefault="0067725A" w:rsidP="00C801EE">
      <w:pPr>
        <w:pStyle w:val="atitulo1"/>
        <w:rPr>
          <w:rFonts w:cs="Arial"/>
          <w:szCs w:val="25"/>
        </w:rPr>
      </w:pPr>
      <w:bookmarkStart w:id="9" w:name="_Toc50018575"/>
      <w:r w:rsidRPr="00C801EE">
        <w:rPr>
          <w:rFonts w:cs="Arial"/>
          <w:szCs w:val="25"/>
        </w:rPr>
        <w:lastRenderedPageBreak/>
        <w:t>IV. Opinión</w:t>
      </w:r>
      <w:bookmarkEnd w:id="7"/>
      <w:bookmarkEnd w:id="8"/>
      <w:bookmarkEnd w:id="9"/>
    </w:p>
    <w:p w:rsidR="0067725A" w:rsidRDefault="0067725A" w:rsidP="00354DEA">
      <w:pPr>
        <w:pStyle w:val="texto"/>
        <w:spacing w:after="120"/>
      </w:pPr>
      <w:r>
        <w:t xml:space="preserve">Hemos fiscalizado la Cuenta General del </w:t>
      </w:r>
      <w:r w:rsidR="00996B35">
        <w:t xml:space="preserve">Ayuntamiento del Valle de </w:t>
      </w:r>
      <w:proofErr w:type="spellStart"/>
      <w:r w:rsidR="00996B35">
        <w:t>Egüés</w:t>
      </w:r>
      <w:proofErr w:type="spellEnd"/>
      <w:r>
        <w:t xml:space="preserve"> c</w:t>
      </w:r>
      <w:r>
        <w:t>o</w:t>
      </w:r>
      <w:r>
        <w:t xml:space="preserve">rrespondiente al ejercicio </w:t>
      </w:r>
      <w:r w:rsidR="00996B35">
        <w:t>2019</w:t>
      </w:r>
      <w:r>
        <w:t>, cuyos estados contables se recogen de forma res</w:t>
      </w:r>
      <w:r>
        <w:t>u</w:t>
      </w:r>
      <w:r>
        <w:t>mida en el epígrafe V del presente informe.</w:t>
      </w:r>
    </w:p>
    <w:p w:rsidR="0067725A" w:rsidRPr="007636A0" w:rsidRDefault="00454CB5" w:rsidP="00354DEA">
      <w:pPr>
        <w:pStyle w:val="atitulo3"/>
        <w:spacing w:before="180" w:after="180"/>
        <w:rPr>
          <w:sz w:val="24"/>
          <w:szCs w:val="24"/>
        </w:rPr>
      </w:pPr>
      <w:r>
        <w:rPr>
          <w:sz w:val="24"/>
          <w:szCs w:val="24"/>
        </w:rPr>
        <w:t xml:space="preserve">Responsabilidad del </w:t>
      </w:r>
      <w:r w:rsidR="00D426D2">
        <w:rPr>
          <w:sz w:val="24"/>
          <w:szCs w:val="24"/>
        </w:rPr>
        <w:t>Ayuntamiento</w:t>
      </w:r>
    </w:p>
    <w:p w:rsidR="0067725A" w:rsidRDefault="0067725A" w:rsidP="00ED0A55">
      <w:pPr>
        <w:pStyle w:val="texto"/>
        <w:spacing w:after="100"/>
      </w:pPr>
      <w:r w:rsidRPr="00F279D7">
        <w:t>La Intervención es la responsable de form</w:t>
      </w:r>
      <w:r w:rsidRPr="004D5553">
        <w:t>a</w:t>
      </w:r>
      <w:r w:rsidRPr="00F279D7">
        <w:t>r la Cuenta General, de forma que e</w:t>
      </w:r>
      <w:r w:rsidRPr="00F279D7">
        <w:t>x</w:t>
      </w:r>
      <w:r w:rsidRPr="00F279D7">
        <w:t>prese la imagen fiel de la liquidación presupuestaria, del patrimonio, de los result</w:t>
      </w:r>
      <w:r w:rsidRPr="00F279D7">
        <w:t>a</w:t>
      </w:r>
      <w:r w:rsidRPr="00F279D7">
        <w:t xml:space="preserve">dos y de la situación financiera del </w:t>
      </w:r>
      <w:r w:rsidR="00A041D7">
        <w:t>a</w:t>
      </w:r>
      <w:r w:rsidR="00D426D2">
        <w:t>yuntamiento</w:t>
      </w:r>
      <w:r w:rsidRPr="00F279D7">
        <w:t xml:space="preserve"> de conformidad con el </w:t>
      </w:r>
      <w:r>
        <w:t>marco normativo de información financiera pública aplicable; esta responsabilidad abarca la concepción, implantación y el mantenimiento del control interno pertinente para la elaboración y presentación de la Cuenta General libre de incorrecciones materi</w:t>
      </w:r>
      <w:r>
        <w:t>a</w:t>
      </w:r>
      <w:r w:rsidR="00454CB5">
        <w:t>les debidas a fraude o error.</w:t>
      </w:r>
    </w:p>
    <w:p w:rsidR="0067725A" w:rsidRPr="00251F36" w:rsidRDefault="00F808C1" w:rsidP="00F808C1">
      <w:pPr>
        <w:pStyle w:val="texto"/>
        <w:spacing w:after="100"/>
        <w:ind w:left="2835" w:hanging="2551"/>
        <w:rPr>
          <w:color w:val="000000" w:themeColor="text1"/>
        </w:rPr>
      </w:pPr>
      <w:r>
        <w:t>El Pleno del ayuntamiento aprobó la Cuenta General el 2 de julio de 2020</w:t>
      </w:r>
      <w:r w:rsidR="00251F36" w:rsidRPr="00905151">
        <w:rPr>
          <w:color w:val="000000" w:themeColor="text1"/>
        </w:rPr>
        <w:t>.</w:t>
      </w:r>
    </w:p>
    <w:p w:rsidR="0067725A" w:rsidRDefault="00E75AA1" w:rsidP="00ED0A55">
      <w:pPr>
        <w:pStyle w:val="texto"/>
        <w:spacing w:after="100"/>
      </w:pPr>
      <w:r>
        <w:t>E</w:t>
      </w:r>
      <w:r w:rsidR="00E92847">
        <w:t xml:space="preserve">l </w:t>
      </w:r>
      <w:r w:rsidR="00A041D7">
        <w:t>a</w:t>
      </w:r>
      <w:r w:rsidR="00D426D2">
        <w:t>yuntamiento</w:t>
      </w:r>
      <w:r w:rsidR="00E92847">
        <w:t xml:space="preserve"> </w:t>
      </w:r>
      <w:r w:rsidR="0067725A" w:rsidRPr="00F279D7">
        <w:t xml:space="preserve">debe garantizar que las actividades, operaciones presupuestarias y financieras y la información </w:t>
      </w:r>
      <w:r w:rsidR="0067725A">
        <w:t>reflejadas en las cuentas anuales resultan conformes con las normas aplicables, y establecer los sistemas de control interno que consid</w:t>
      </w:r>
      <w:r w:rsidR="0067725A">
        <w:t>e</w:t>
      </w:r>
      <w:r w:rsidR="0067725A">
        <w:t>ren necesarios para esa finalidad.</w:t>
      </w:r>
    </w:p>
    <w:p w:rsidR="0067725A" w:rsidRPr="007636A0" w:rsidRDefault="0067725A" w:rsidP="00ED0A55">
      <w:pPr>
        <w:pStyle w:val="atitulo3"/>
        <w:spacing w:before="180" w:after="180"/>
        <w:rPr>
          <w:sz w:val="24"/>
          <w:szCs w:val="24"/>
        </w:rPr>
      </w:pPr>
      <w:r w:rsidRPr="007636A0">
        <w:rPr>
          <w:sz w:val="24"/>
          <w:szCs w:val="24"/>
        </w:rPr>
        <w:t>Responsabilidad de la Cámara de Comptos de Navarra</w:t>
      </w:r>
    </w:p>
    <w:p w:rsidR="00173825" w:rsidRDefault="0067725A" w:rsidP="00ED0A55">
      <w:pPr>
        <w:pStyle w:val="texto"/>
        <w:spacing w:after="100"/>
      </w:pPr>
      <w:r>
        <w:t>Nuestra responsabilidad es expresar una opinión sobre la fiabilidad de la Cuenta General adjunta y la legalidad de las operaciones efectuadas basada en nuestra fi</w:t>
      </w:r>
      <w:r>
        <w:t>s</w:t>
      </w:r>
      <w:r>
        <w:t xml:space="preserve">calización. </w:t>
      </w:r>
    </w:p>
    <w:p w:rsidR="0067725A" w:rsidRDefault="0067725A" w:rsidP="00FC21A1">
      <w:pPr>
        <w:autoSpaceDE w:val="0"/>
        <w:autoSpaceDN w:val="0"/>
        <w:adjustRightInd w:val="0"/>
        <w:spacing w:after="0"/>
        <w:ind w:firstLine="284"/>
        <w:rPr>
          <w:sz w:val="26"/>
          <w:szCs w:val="26"/>
        </w:rPr>
      </w:pPr>
      <w:r w:rsidRPr="00173825">
        <w:rPr>
          <w:spacing w:val="6"/>
          <w:sz w:val="26"/>
          <w:szCs w:val="24"/>
        </w:rPr>
        <w:t>Para ello, hemos llevado a cabo la misma de conformidad con los principios fundamentales de fiscalización de las Institucion</w:t>
      </w:r>
      <w:r w:rsidR="00EA4A1D" w:rsidRPr="00173825">
        <w:rPr>
          <w:spacing w:val="6"/>
          <w:sz w:val="26"/>
          <w:szCs w:val="24"/>
        </w:rPr>
        <w:t xml:space="preserve">es Públicas de Control Externo, y en concreto, los establecidos en la ISSAI-ES 200 </w:t>
      </w:r>
      <w:r w:rsidR="00173825">
        <w:rPr>
          <w:spacing w:val="6"/>
          <w:sz w:val="26"/>
          <w:szCs w:val="24"/>
        </w:rPr>
        <w:t xml:space="preserve">sobre la fiscalización financiera y en la </w:t>
      </w:r>
      <w:r w:rsidR="00EA4A1D" w:rsidRPr="00173825">
        <w:rPr>
          <w:spacing w:val="6"/>
          <w:sz w:val="26"/>
          <w:szCs w:val="24"/>
        </w:rPr>
        <w:t>ISSAI-ES 400</w:t>
      </w:r>
      <w:r w:rsidR="00173825">
        <w:rPr>
          <w:spacing w:val="6"/>
          <w:sz w:val="26"/>
          <w:szCs w:val="24"/>
        </w:rPr>
        <w:t>, referida a la fiscalización de cumplimiento</w:t>
      </w:r>
      <w:r w:rsidR="00173825" w:rsidRPr="00173825">
        <w:rPr>
          <w:spacing w:val="6"/>
          <w:sz w:val="26"/>
          <w:szCs w:val="24"/>
        </w:rPr>
        <w:t>, así como con las guías prácticas</w:t>
      </w:r>
      <w:r w:rsidR="00173825">
        <w:rPr>
          <w:spacing w:val="6"/>
          <w:sz w:val="26"/>
          <w:szCs w:val="24"/>
        </w:rPr>
        <w:t xml:space="preserve"> </w:t>
      </w:r>
      <w:r w:rsidR="00173825" w:rsidRPr="00173825">
        <w:rPr>
          <w:spacing w:val="6"/>
          <w:sz w:val="26"/>
          <w:szCs w:val="24"/>
        </w:rPr>
        <w:t>de fiscalización de los órganos de Control Externo</w:t>
      </w:r>
      <w:r w:rsidR="00EA4A1D" w:rsidRPr="00173825">
        <w:rPr>
          <w:spacing w:val="6"/>
          <w:sz w:val="26"/>
          <w:szCs w:val="24"/>
        </w:rPr>
        <w:t xml:space="preserve">. </w:t>
      </w:r>
      <w:r w:rsidRPr="00173825">
        <w:rPr>
          <w:spacing w:val="6"/>
          <w:sz w:val="26"/>
          <w:szCs w:val="26"/>
        </w:rPr>
        <w:t>Dichos princ</w:t>
      </w:r>
      <w:r w:rsidRPr="00173825">
        <w:rPr>
          <w:spacing w:val="6"/>
          <w:sz w:val="26"/>
          <w:szCs w:val="26"/>
        </w:rPr>
        <w:t>i</w:t>
      </w:r>
      <w:r w:rsidRPr="00173825">
        <w:rPr>
          <w:spacing w:val="6"/>
          <w:sz w:val="26"/>
          <w:szCs w:val="26"/>
        </w:rPr>
        <w:t>pios exigen que</w:t>
      </w:r>
      <w:r w:rsidRPr="00173825">
        <w:rPr>
          <w:sz w:val="26"/>
          <w:szCs w:val="26"/>
        </w:rPr>
        <w:t xml:space="preserve"> cumplamos los requerimientos de ética, así como que planifiquemos y ejecutemos la fiscalización con el fin de obtener una </w:t>
      </w:r>
      <w:r w:rsidR="001E7F66" w:rsidRPr="009F5A89">
        <w:rPr>
          <w:sz w:val="26"/>
          <w:szCs w:val="26"/>
        </w:rPr>
        <w:t>seguridad razona</w:t>
      </w:r>
      <w:r w:rsidR="00173825" w:rsidRPr="009F5A89">
        <w:rPr>
          <w:sz w:val="26"/>
          <w:szCs w:val="26"/>
        </w:rPr>
        <w:t>ble d</w:t>
      </w:r>
      <w:r w:rsidR="00173825">
        <w:rPr>
          <w:sz w:val="26"/>
          <w:szCs w:val="26"/>
        </w:rPr>
        <w:t>e que la</w:t>
      </w:r>
      <w:r w:rsidR="001E7F66" w:rsidRPr="00173825">
        <w:rPr>
          <w:sz w:val="26"/>
          <w:szCs w:val="26"/>
        </w:rPr>
        <w:t xml:space="preserve"> C</w:t>
      </w:r>
      <w:r w:rsidRPr="00173825">
        <w:rPr>
          <w:sz w:val="26"/>
          <w:szCs w:val="26"/>
        </w:rPr>
        <w:t xml:space="preserve">uenta </w:t>
      </w:r>
      <w:r w:rsidR="001E7F66" w:rsidRPr="00173825">
        <w:rPr>
          <w:sz w:val="26"/>
          <w:szCs w:val="26"/>
        </w:rPr>
        <w:t>G</w:t>
      </w:r>
      <w:r w:rsidRPr="00173825">
        <w:rPr>
          <w:sz w:val="26"/>
          <w:szCs w:val="26"/>
        </w:rPr>
        <w:t>eneral está libre de incorrecciones materiales y que las actividades, operaci</w:t>
      </w:r>
      <w:r w:rsidRPr="00173825">
        <w:rPr>
          <w:sz w:val="26"/>
          <w:szCs w:val="26"/>
        </w:rPr>
        <w:t>o</w:t>
      </w:r>
      <w:r w:rsidRPr="00173825">
        <w:rPr>
          <w:sz w:val="26"/>
          <w:szCs w:val="26"/>
        </w:rPr>
        <w:t>nes financieras y la información reflejadas en los estados financieros resultan, en todos los aspectos significativos, conformes con la normativa vigente.</w:t>
      </w:r>
    </w:p>
    <w:p w:rsidR="00173825" w:rsidRPr="00173825" w:rsidRDefault="00173825" w:rsidP="00FC21A1">
      <w:pPr>
        <w:autoSpaceDE w:val="0"/>
        <w:autoSpaceDN w:val="0"/>
        <w:adjustRightInd w:val="0"/>
        <w:spacing w:after="0"/>
        <w:ind w:firstLine="0"/>
        <w:rPr>
          <w:sz w:val="26"/>
          <w:szCs w:val="26"/>
        </w:rPr>
      </w:pPr>
    </w:p>
    <w:p w:rsidR="00E92847" w:rsidRDefault="0067725A" w:rsidP="00FC21A1">
      <w:pPr>
        <w:pStyle w:val="texto"/>
        <w:spacing w:after="0"/>
      </w:pPr>
      <w:r w:rsidRPr="00173825">
        <w:rPr>
          <w:szCs w:val="26"/>
        </w:rPr>
        <w:t>Una fiscalización requiere la aplicación de procedimientos para obtener evide</w:t>
      </w:r>
      <w:r w:rsidRPr="00173825">
        <w:rPr>
          <w:szCs w:val="26"/>
        </w:rPr>
        <w:t>n</w:t>
      </w:r>
      <w:r w:rsidRPr="00173825">
        <w:rPr>
          <w:szCs w:val="26"/>
        </w:rPr>
        <w:t xml:space="preserve">cia de auditoría sobre los </w:t>
      </w:r>
      <w:r>
        <w:t xml:space="preserve">importes </w:t>
      </w:r>
      <w:r w:rsidR="006851C1">
        <w:t>y la información revelada en la C</w:t>
      </w:r>
      <w:r>
        <w:t>uenta</w:t>
      </w:r>
      <w:r w:rsidR="006851C1">
        <w:t xml:space="preserve"> General</w:t>
      </w:r>
      <w:r>
        <w:t xml:space="preserve"> y sobre la legalidad de las operaciones. Los procedimientos seleccionados depe</w:t>
      </w:r>
      <w:r>
        <w:t>n</w:t>
      </w:r>
      <w:r>
        <w:t>den del juicio del auditor, incluida la valoración de los riesgos tanto de incorre</w:t>
      </w:r>
      <w:r>
        <w:t>c</w:t>
      </w:r>
      <w:r>
        <w:t>ción material en las cuentas anuales, debida a fraude o error como de incumpl</w:t>
      </w:r>
      <w:r>
        <w:t>i</w:t>
      </w:r>
      <w:r>
        <w:t xml:space="preserve">mientos significativos de la legalidad. Al efectuar dichas valoraciones del riesgo, el auditor tiene en cuenta el control interno relevante para la formación por parte de la entidad de las </w:t>
      </w:r>
      <w:r w:rsidR="007747F2">
        <w:t>cuentas generales</w:t>
      </w:r>
      <w:r>
        <w:t>, con el fin de diseñar los procedimientos de aud</w:t>
      </w:r>
      <w:r>
        <w:t>i</w:t>
      </w:r>
      <w:r>
        <w:lastRenderedPageBreak/>
        <w:t xml:space="preserve">toría que sean adecuados en función de las circunstancias, </w:t>
      </w:r>
      <w:r w:rsidRPr="00E92847">
        <w:t>y no con la finalidad de expresar una opinión sobre la eficacia del control interno de la entidad</w:t>
      </w:r>
      <w:r>
        <w:t>.</w:t>
      </w:r>
    </w:p>
    <w:p w:rsidR="0067725A" w:rsidRDefault="0067725A" w:rsidP="00ED0A55">
      <w:pPr>
        <w:pStyle w:val="texto"/>
        <w:spacing w:after="100"/>
      </w:pPr>
      <w:r>
        <w:t>Una auditoría también incluye la evaluación de la adecuación de las políticas contables aplicadas y de la razonabilidad de las estimaciones contables realizadas por los responsables, así como la evaluación de la presentación de la Cuenta Gen</w:t>
      </w:r>
      <w:r>
        <w:t>e</w:t>
      </w:r>
      <w:r>
        <w:t>ral tomada en su conjunto.</w:t>
      </w:r>
    </w:p>
    <w:p w:rsidR="00E75AA1" w:rsidRPr="00A7011C" w:rsidRDefault="00E75AA1" w:rsidP="00E75AA1">
      <w:pPr>
        <w:pStyle w:val="texto"/>
      </w:pPr>
      <w:bookmarkStart w:id="10" w:name="_Toc430935360"/>
      <w:bookmarkStart w:id="11" w:name="_Toc22495433"/>
      <w:r>
        <w:t xml:space="preserve">Consideramos que la evidencia de auditoría que hemos obtenido proporciona una base suficiente y adecuada para fundamentar nuestra opinión </w:t>
      </w:r>
      <w:r w:rsidRPr="00A7011C">
        <w:t>de fiscalización f</w:t>
      </w:r>
      <w:r w:rsidRPr="00A7011C">
        <w:t>i</w:t>
      </w:r>
      <w:r w:rsidRPr="00A7011C">
        <w:t>nanciera y de cumplimiento.</w:t>
      </w:r>
    </w:p>
    <w:p w:rsidR="0067725A" w:rsidRPr="00C801EE" w:rsidRDefault="0067725A" w:rsidP="00ED0A55">
      <w:pPr>
        <w:pStyle w:val="atitulo2"/>
        <w:spacing w:before="180" w:after="180"/>
        <w:rPr>
          <w:rFonts w:cs="Arial"/>
          <w:szCs w:val="25"/>
        </w:rPr>
      </w:pPr>
      <w:bookmarkStart w:id="12" w:name="_Toc50018576"/>
      <w:r w:rsidRPr="00C801EE">
        <w:rPr>
          <w:rFonts w:cs="Arial"/>
          <w:szCs w:val="25"/>
        </w:rPr>
        <w:t xml:space="preserve">IV.1. Opinión </w:t>
      </w:r>
      <w:r w:rsidR="00173825">
        <w:rPr>
          <w:rFonts w:cs="Arial"/>
          <w:szCs w:val="25"/>
        </w:rPr>
        <w:t xml:space="preserve">de auditoría </w:t>
      </w:r>
      <w:r w:rsidRPr="00C801EE">
        <w:rPr>
          <w:rFonts w:cs="Arial"/>
          <w:szCs w:val="25"/>
        </w:rPr>
        <w:t>financiera</w:t>
      </w:r>
      <w:bookmarkEnd w:id="12"/>
      <w:r w:rsidRPr="00C801EE">
        <w:rPr>
          <w:rFonts w:cs="Arial"/>
          <w:szCs w:val="25"/>
        </w:rPr>
        <w:t xml:space="preserve"> </w:t>
      </w:r>
      <w:bookmarkEnd w:id="10"/>
      <w:bookmarkEnd w:id="11"/>
    </w:p>
    <w:p w:rsidR="0067725A" w:rsidRPr="0023658E" w:rsidRDefault="0067725A" w:rsidP="00ED0A55">
      <w:pPr>
        <w:pStyle w:val="atitulo3"/>
        <w:spacing w:before="180" w:after="180"/>
        <w:rPr>
          <w:sz w:val="24"/>
          <w:szCs w:val="24"/>
        </w:rPr>
      </w:pPr>
      <w:bookmarkStart w:id="13" w:name="_Toc430262564"/>
      <w:bookmarkStart w:id="14" w:name="_Toc430262611"/>
      <w:bookmarkStart w:id="15" w:name="_Toc430436893"/>
      <w:bookmarkStart w:id="16" w:name="_Toc430436921"/>
      <w:bookmarkStart w:id="17" w:name="_Toc430498291"/>
      <w:bookmarkStart w:id="18" w:name="_Toc430607595"/>
      <w:bookmarkStart w:id="19" w:name="_Toc430693488"/>
      <w:bookmarkStart w:id="20" w:name="_Toc430693525"/>
      <w:bookmarkStart w:id="21" w:name="_Toc430935361"/>
      <w:r w:rsidRPr="0023658E">
        <w:rPr>
          <w:sz w:val="24"/>
          <w:szCs w:val="24"/>
        </w:rPr>
        <w:t>Opinión</w:t>
      </w:r>
      <w:r w:rsidR="00173825" w:rsidRPr="0023658E">
        <w:rPr>
          <w:sz w:val="24"/>
          <w:szCs w:val="24"/>
        </w:rPr>
        <w:t xml:space="preserve"> de auditoría financiera </w:t>
      </w:r>
    </w:p>
    <w:p w:rsidR="0067725A" w:rsidRPr="0023658E" w:rsidRDefault="0023658E" w:rsidP="00ED0A55">
      <w:pPr>
        <w:pStyle w:val="texto"/>
        <w:spacing w:after="180"/>
        <w:rPr>
          <w:spacing w:val="2"/>
          <w:szCs w:val="26"/>
        </w:rPr>
      </w:pPr>
      <w:bookmarkStart w:id="22" w:name="_Toc120335777"/>
      <w:bookmarkStart w:id="23" w:name="_Toc120335699"/>
      <w:bookmarkStart w:id="24" w:name="_Toc120335532"/>
      <w:bookmarkStart w:id="25" w:name="_Toc461588447"/>
      <w:bookmarkStart w:id="26" w:name="_Toc461590589"/>
      <w:bookmarkStart w:id="27" w:name="_Toc461591109"/>
      <w:bookmarkStart w:id="28" w:name="_Toc461592240"/>
      <w:bookmarkStart w:id="29" w:name="_Toc461593660"/>
      <w:bookmarkStart w:id="30" w:name="_Toc461593793"/>
      <w:bookmarkStart w:id="31" w:name="_Toc461594095"/>
      <w:bookmarkStart w:id="32" w:name="_Toc461594692"/>
      <w:bookmarkStart w:id="33" w:name="_Toc461595085"/>
      <w:bookmarkStart w:id="34" w:name="_Toc461595677"/>
      <w:bookmarkStart w:id="35" w:name="_Toc461601746"/>
      <w:bookmarkStart w:id="36" w:name="_Toc461602533"/>
      <w:bookmarkStart w:id="37" w:name="_Toc462124222"/>
      <w:bookmarkStart w:id="38" w:name="_Toc462124302"/>
      <w:bookmarkStart w:id="39" w:name="_Toc462803277"/>
      <w:bookmarkStart w:id="40" w:name="_Toc463680849"/>
      <w:bookmarkStart w:id="41" w:name="_Toc463680929"/>
      <w:bookmarkStart w:id="42" w:name="_Toc463681086"/>
      <w:bookmarkStart w:id="43" w:name="_Toc464619341"/>
      <w:bookmarkStart w:id="44" w:name="_Toc464870763"/>
      <w:bookmarkStart w:id="45" w:name="_Toc496503482"/>
      <w:bookmarkStart w:id="46" w:name="_Toc69801028"/>
      <w:bookmarkStart w:id="47" w:name="_Toc93816326"/>
      <w:bookmarkStart w:id="48" w:name="_Toc93817013"/>
      <w:bookmarkStart w:id="49" w:name="_Toc318960027"/>
      <w:bookmarkStart w:id="50" w:name="_Toc430935362"/>
      <w:bookmarkEnd w:id="13"/>
      <w:bookmarkEnd w:id="14"/>
      <w:bookmarkEnd w:id="15"/>
      <w:bookmarkEnd w:id="16"/>
      <w:bookmarkEnd w:id="17"/>
      <w:bookmarkEnd w:id="18"/>
      <w:bookmarkEnd w:id="19"/>
      <w:bookmarkEnd w:id="20"/>
      <w:bookmarkEnd w:id="21"/>
      <w:r w:rsidRPr="0023658E">
        <w:rPr>
          <w:spacing w:val="2"/>
          <w:szCs w:val="26"/>
        </w:rPr>
        <w:t>En nuestra opinión</w:t>
      </w:r>
      <w:r w:rsidR="0067725A" w:rsidRPr="0023658E">
        <w:rPr>
          <w:spacing w:val="2"/>
          <w:szCs w:val="26"/>
        </w:rPr>
        <w:t>, la Cuenta General adjunta expresa, en todos los aspectos sign</w:t>
      </w:r>
      <w:r w:rsidR="0067725A" w:rsidRPr="0023658E">
        <w:rPr>
          <w:spacing w:val="2"/>
          <w:szCs w:val="26"/>
        </w:rPr>
        <w:t>i</w:t>
      </w:r>
      <w:r w:rsidR="0067725A" w:rsidRPr="0023658E">
        <w:rPr>
          <w:spacing w:val="2"/>
          <w:szCs w:val="26"/>
        </w:rPr>
        <w:t>ficativos,</w:t>
      </w:r>
      <w:r w:rsidR="00E92847" w:rsidRPr="0023658E">
        <w:rPr>
          <w:spacing w:val="2"/>
          <w:szCs w:val="26"/>
        </w:rPr>
        <w:t xml:space="preserve"> la imagen fiel del patrimonio </w:t>
      </w:r>
      <w:r w:rsidR="0067725A" w:rsidRPr="0023658E">
        <w:rPr>
          <w:spacing w:val="2"/>
          <w:szCs w:val="26"/>
        </w:rPr>
        <w:t>y</w:t>
      </w:r>
      <w:r w:rsidR="00E75AA1" w:rsidRPr="0023658E">
        <w:rPr>
          <w:spacing w:val="2"/>
          <w:szCs w:val="26"/>
        </w:rPr>
        <w:t xml:space="preserve"> de la situación finan</w:t>
      </w:r>
      <w:r w:rsidR="00197382" w:rsidRPr="0023658E">
        <w:rPr>
          <w:spacing w:val="2"/>
          <w:szCs w:val="26"/>
        </w:rPr>
        <w:t xml:space="preserve">ciera del </w:t>
      </w:r>
      <w:r w:rsidR="00905151">
        <w:rPr>
          <w:spacing w:val="2"/>
          <w:szCs w:val="26"/>
        </w:rPr>
        <w:t>a</w:t>
      </w:r>
      <w:r w:rsidR="00D426D2" w:rsidRPr="0023658E">
        <w:rPr>
          <w:spacing w:val="2"/>
          <w:szCs w:val="26"/>
        </w:rPr>
        <w:t>yuntamiento</w:t>
      </w:r>
      <w:r w:rsidR="0067725A" w:rsidRPr="0023658E">
        <w:rPr>
          <w:spacing w:val="2"/>
          <w:szCs w:val="26"/>
        </w:rPr>
        <w:t xml:space="preserve"> a 31 de diciembre de </w:t>
      </w:r>
      <w:r w:rsidR="00996B35" w:rsidRPr="0023658E">
        <w:rPr>
          <w:spacing w:val="2"/>
          <w:szCs w:val="26"/>
        </w:rPr>
        <w:t>2019</w:t>
      </w:r>
      <w:r w:rsidR="0067725A" w:rsidRPr="0023658E">
        <w:rPr>
          <w:spacing w:val="2"/>
          <w:szCs w:val="26"/>
        </w:rPr>
        <w:t>, así como de sus resultados económicos y presupuestarios correspondientes al ejercicio anual terminado en dicha fecha, de conformidad con el marco normativo de información financiera pública aplicable y, en particular, con los principios y criterios contables contenidos en el mismo.</w:t>
      </w:r>
    </w:p>
    <w:p w:rsidR="0067725A" w:rsidRPr="00923423" w:rsidRDefault="0067725A" w:rsidP="00ED0A55">
      <w:pPr>
        <w:pStyle w:val="atitulo2"/>
        <w:spacing w:before="180" w:after="180"/>
      </w:pPr>
      <w:bookmarkStart w:id="51" w:name="_Toc22495434"/>
      <w:bookmarkStart w:id="52" w:name="_Toc50018577"/>
      <w:r w:rsidRPr="00923423">
        <w:t>IV.</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923423">
        <w:t xml:space="preserve">2. </w:t>
      </w:r>
      <w:bookmarkEnd w:id="49"/>
      <w:bookmarkEnd w:id="50"/>
      <w:r w:rsidRPr="00923423">
        <w:t xml:space="preserve">Opinión </w:t>
      </w:r>
      <w:r w:rsidR="00173825" w:rsidRPr="00923423">
        <w:t>d</w:t>
      </w:r>
      <w:r w:rsidRPr="00923423">
        <w:t>e cumplimiento de la legalidad</w:t>
      </w:r>
      <w:bookmarkEnd w:id="51"/>
      <w:bookmarkEnd w:id="52"/>
    </w:p>
    <w:p w:rsidR="0067725A" w:rsidRPr="00923423" w:rsidRDefault="0067725A" w:rsidP="00ED0A55">
      <w:pPr>
        <w:pStyle w:val="atitulo3"/>
        <w:spacing w:before="180" w:after="180"/>
        <w:rPr>
          <w:sz w:val="24"/>
          <w:szCs w:val="24"/>
        </w:rPr>
      </w:pPr>
      <w:r w:rsidRPr="00923423">
        <w:rPr>
          <w:sz w:val="24"/>
          <w:szCs w:val="24"/>
        </w:rPr>
        <w:t>Fundamento de la opinión con salvedades</w:t>
      </w:r>
    </w:p>
    <w:p w:rsidR="00E345D2" w:rsidRPr="00923423" w:rsidRDefault="008727F7" w:rsidP="00905151">
      <w:pPr>
        <w:pStyle w:val="texto"/>
        <w:tabs>
          <w:tab w:val="clear" w:pos="2835"/>
          <w:tab w:val="clear" w:pos="3969"/>
          <w:tab w:val="clear" w:pos="5103"/>
          <w:tab w:val="clear" w:pos="6237"/>
          <w:tab w:val="clear" w:pos="7371"/>
          <w:tab w:val="num" w:pos="502"/>
          <w:tab w:val="num" w:pos="567"/>
        </w:tabs>
        <w:spacing w:after="100"/>
      </w:pPr>
      <w:r w:rsidRPr="00923423">
        <w:t xml:space="preserve">El </w:t>
      </w:r>
      <w:r w:rsidR="00A041D7">
        <w:t>a</w:t>
      </w:r>
      <w:r w:rsidR="00D426D2" w:rsidRPr="00923423">
        <w:t>yuntamiento</w:t>
      </w:r>
      <w:r w:rsidR="00513F60" w:rsidRPr="00923423">
        <w:t xml:space="preserve"> ha</w:t>
      </w:r>
      <w:r w:rsidR="00DE5D48" w:rsidRPr="00923423">
        <w:t xml:space="preserve"> abonado</w:t>
      </w:r>
      <w:r w:rsidR="00E345D2" w:rsidRPr="00923423">
        <w:t xml:space="preserve"> gastos por</w:t>
      </w:r>
      <w:r w:rsidR="00DE5D48" w:rsidRPr="00923423">
        <w:t xml:space="preserve"> </w:t>
      </w:r>
      <w:r w:rsidR="007747F2">
        <w:t>141.674</w:t>
      </w:r>
      <w:r w:rsidR="00923423" w:rsidRPr="00923423">
        <w:t xml:space="preserve"> euros habiendo superado el pl</w:t>
      </w:r>
      <w:r w:rsidR="00923423" w:rsidRPr="00923423">
        <w:t>a</w:t>
      </w:r>
      <w:r w:rsidR="00923423" w:rsidRPr="00923423">
        <w:t xml:space="preserve">zo máximo de vigencia </w:t>
      </w:r>
      <w:r w:rsidR="00923423" w:rsidRPr="009F5A89">
        <w:t>del contrato de gestión de multas.</w:t>
      </w:r>
    </w:p>
    <w:p w:rsidR="0067725A" w:rsidRPr="00923423" w:rsidRDefault="0067725A" w:rsidP="00324082">
      <w:pPr>
        <w:pStyle w:val="atitulo3"/>
        <w:spacing w:before="180" w:after="180"/>
        <w:rPr>
          <w:sz w:val="24"/>
          <w:szCs w:val="24"/>
        </w:rPr>
      </w:pPr>
      <w:r w:rsidRPr="00923423">
        <w:rPr>
          <w:sz w:val="24"/>
          <w:szCs w:val="24"/>
        </w:rPr>
        <w:t>Opinión</w:t>
      </w:r>
      <w:r w:rsidR="00173825" w:rsidRPr="00923423">
        <w:rPr>
          <w:sz w:val="24"/>
          <w:szCs w:val="24"/>
        </w:rPr>
        <w:t xml:space="preserve"> sobre cumplimiento de legalidad con salvedades</w:t>
      </w:r>
    </w:p>
    <w:p w:rsidR="00730A84" w:rsidRDefault="0067725A" w:rsidP="00E1414A">
      <w:pPr>
        <w:pStyle w:val="texto"/>
        <w:spacing w:after="100"/>
      </w:pPr>
      <w:r w:rsidRPr="00923423">
        <w:t xml:space="preserve">En nuestra opinión, excepto por los efectos </w:t>
      </w:r>
      <w:r w:rsidR="00905151">
        <w:t xml:space="preserve">del hecho </w:t>
      </w:r>
      <w:r w:rsidRPr="00923423">
        <w:t>descrito en el párrafo de “Fundamento de la opinión con salvedades”, y teniendo en cuenta el alcance del trabajo revisado, las actividades, operaciones financieras y la información reflej</w:t>
      </w:r>
      <w:r w:rsidRPr="00923423">
        <w:t>a</w:t>
      </w:r>
      <w:r w:rsidRPr="00923423">
        <w:t xml:space="preserve">das en los estados financieros del </w:t>
      </w:r>
      <w:r w:rsidR="00905151">
        <w:t>a</w:t>
      </w:r>
      <w:r w:rsidR="00D426D2" w:rsidRPr="00923423">
        <w:t>yuntamiento</w:t>
      </w:r>
      <w:r w:rsidRPr="00923423">
        <w:t xml:space="preserve"> correspondientes al ejercicio de </w:t>
      </w:r>
      <w:r w:rsidR="00996B35" w:rsidRPr="00923423">
        <w:t>2019</w:t>
      </w:r>
      <w:r w:rsidRPr="00923423">
        <w:t xml:space="preserve"> resultan conformes, en todos los aspectos significativos, con las normas apl</w:t>
      </w:r>
      <w:r w:rsidRPr="00923423">
        <w:t>i</w:t>
      </w:r>
      <w:r w:rsidRPr="00923423">
        <w:t>cables.</w:t>
      </w:r>
    </w:p>
    <w:p w:rsidR="00354DEA" w:rsidRDefault="00354DEA" w:rsidP="00E1414A">
      <w:pPr>
        <w:pStyle w:val="texto"/>
        <w:spacing w:after="100"/>
      </w:pPr>
      <w:r>
        <w:br w:type="page"/>
      </w:r>
    </w:p>
    <w:p w:rsidR="00730A84" w:rsidRDefault="0067725A" w:rsidP="00730A84">
      <w:pPr>
        <w:pStyle w:val="atitulo1"/>
        <w:rPr>
          <w:rFonts w:cs="Arial"/>
          <w:szCs w:val="25"/>
        </w:rPr>
      </w:pPr>
      <w:bookmarkStart w:id="53" w:name="_Toc430935365"/>
      <w:bookmarkStart w:id="54" w:name="_Toc22495435"/>
      <w:bookmarkStart w:id="55" w:name="_Toc50018578"/>
      <w:r w:rsidRPr="00C801EE">
        <w:rPr>
          <w:rFonts w:cs="Arial"/>
          <w:szCs w:val="25"/>
        </w:rPr>
        <w:lastRenderedPageBreak/>
        <w:t xml:space="preserve">V. </w:t>
      </w:r>
      <w:bookmarkEnd w:id="53"/>
      <w:bookmarkEnd w:id="54"/>
      <w:r w:rsidR="00173825">
        <w:rPr>
          <w:rFonts w:cs="Arial"/>
          <w:szCs w:val="25"/>
        </w:rPr>
        <w:t>Resumen de la Cuenta General</w:t>
      </w:r>
      <w:bookmarkEnd w:id="55"/>
    </w:p>
    <w:p w:rsidR="00730A84" w:rsidRDefault="00730A84" w:rsidP="00730A84">
      <w:pPr>
        <w:pStyle w:val="texto"/>
        <w:spacing w:after="100"/>
      </w:pPr>
      <w:bookmarkStart w:id="56" w:name="_Toc22495436"/>
      <w:r w:rsidRPr="00C00912">
        <w:t>A continuación se muestran los estados contables más relevantes de la Cuenta General del ayuntamiento del ejercicio</w:t>
      </w:r>
      <w:r w:rsidR="00905151">
        <w:t xml:space="preserve"> </w:t>
      </w:r>
      <w:r w:rsidRPr="00C00912">
        <w:t>2019</w:t>
      </w:r>
      <w:r w:rsidR="00905151">
        <w:t>.</w:t>
      </w:r>
    </w:p>
    <w:p w:rsidR="0067725A" w:rsidRPr="00C801EE" w:rsidRDefault="0067725A" w:rsidP="00A97105">
      <w:pPr>
        <w:pStyle w:val="atitulo2"/>
        <w:spacing w:before="360"/>
        <w:rPr>
          <w:spacing w:val="2"/>
        </w:rPr>
      </w:pPr>
      <w:bookmarkStart w:id="57" w:name="_Toc50018579"/>
      <w:proofErr w:type="spellStart"/>
      <w:r w:rsidRPr="00C801EE">
        <w:rPr>
          <w:spacing w:val="2"/>
        </w:rPr>
        <w:t>V.1</w:t>
      </w:r>
      <w:proofErr w:type="spellEnd"/>
      <w:r w:rsidRPr="00C801EE">
        <w:rPr>
          <w:spacing w:val="2"/>
        </w:rPr>
        <w:t xml:space="preserve">. Estado de liquidación del presupuesto del ejercicio </w:t>
      </w:r>
      <w:r w:rsidR="00996B35" w:rsidRPr="00C801EE">
        <w:rPr>
          <w:spacing w:val="2"/>
        </w:rPr>
        <w:t>2019</w:t>
      </w:r>
      <w:bookmarkEnd w:id="56"/>
      <w:bookmarkEnd w:id="57"/>
      <w:r w:rsidRPr="00C801EE">
        <w:rPr>
          <w:spacing w:val="2"/>
        </w:rPr>
        <w:t xml:space="preserve"> </w:t>
      </w:r>
    </w:p>
    <w:p w:rsidR="0067725A" w:rsidRDefault="00C00912" w:rsidP="0067725A">
      <w:pPr>
        <w:pStyle w:val="CuadroTtulo"/>
        <w:spacing w:before="200" w:after="240"/>
        <w:jc w:val="center"/>
      </w:pPr>
      <w:r>
        <w:t>Gastos por ca</w:t>
      </w:r>
      <w:r w:rsidR="00B92F9D">
        <w:t>pítulo</w:t>
      </w:r>
    </w:p>
    <w:tbl>
      <w:tblPr>
        <w:tblW w:w="5094" w:type="pct"/>
        <w:jc w:val="center"/>
        <w:tblCellMar>
          <w:left w:w="70" w:type="dxa"/>
          <w:right w:w="70" w:type="dxa"/>
        </w:tblCellMar>
        <w:tblLook w:val="04A0" w:firstRow="1" w:lastRow="0" w:firstColumn="1" w:lastColumn="0" w:noHBand="0" w:noVBand="1"/>
      </w:tblPr>
      <w:tblGrid>
        <w:gridCol w:w="3014"/>
        <w:gridCol w:w="1069"/>
        <w:gridCol w:w="903"/>
        <w:gridCol w:w="978"/>
        <w:gridCol w:w="983"/>
        <w:gridCol w:w="955"/>
        <w:gridCol w:w="875"/>
        <w:gridCol w:w="753"/>
      </w:tblGrid>
      <w:tr w:rsidR="0061242D" w:rsidRPr="0027458F" w:rsidTr="00266C34">
        <w:trPr>
          <w:trHeight w:val="480"/>
          <w:jc w:val="center"/>
        </w:trPr>
        <w:tc>
          <w:tcPr>
            <w:tcW w:w="1581" w:type="pct"/>
            <w:tcBorders>
              <w:top w:val="single" w:sz="4" w:space="0" w:color="auto"/>
              <w:left w:val="nil"/>
              <w:bottom w:val="single" w:sz="4" w:space="0" w:color="auto"/>
              <w:right w:val="nil"/>
            </w:tcBorders>
            <w:shd w:val="clear" w:color="auto" w:fill="FABF8F" w:themeFill="accent6" w:themeFillTint="99"/>
            <w:vAlign w:val="center"/>
            <w:hideMark/>
          </w:tcPr>
          <w:p w:rsidR="0061242D" w:rsidRPr="0027458F" w:rsidRDefault="0061242D" w:rsidP="008904EF">
            <w:pPr>
              <w:spacing w:after="0"/>
              <w:ind w:firstLine="0"/>
              <w:jc w:val="left"/>
              <w:rPr>
                <w:rFonts w:ascii="Arial" w:hAnsi="Arial" w:cs="Arial"/>
                <w:color w:val="000000"/>
                <w:sz w:val="15"/>
                <w:szCs w:val="15"/>
                <w:lang w:val="es-ES" w:eastAsia="es-ES"/>
              </w:rPr>
            </w:pPr>
            <w:r w:rsidRPr="0027458F">
              <w:rPr>
                <w:rFonts w:ascii="Arial" w:hAnsi="Arial" w:cs="Arial"/>
                <w:color w:val="000000"/>
                <w:sz w:val="15"/>
                <w:szCs w:val="15"/>
                <w:lang w:val="es-ES" w:eastAsia="es-ES"/>
              </w:rPr>
              <w:t>GASTOS</w:t>
            </w:r>
          </w:p>
        </w:tc>
        <w:tc>
          <w:tcPr>
            <w:tcW w:w="561" w:type="pct"/>
            <w:tcBorders>
              <w:top w:val="single" w:sz="4" w:space="0" w:color="auto"/>
              <w:left w:val="nil"/>
              <w:bottom w:val="single" w:sz="4" w:space="0" w:color="auto"/>
              <w:right w:val="nil"/>
            </w:tcBorders>
            <w:shd w:val="clear" w:color="auto" w:fill="FABF8F" w:themeFill="accent6" w:themeFillTint="99"/>
            <w:vAlign w:val="center"/>
            <w:hideMark/>
          </w:tcPr>
          <w:p w:rsidR="0027458F" w:rsidRPr="0027458F" w:rsidRDefault="0061242D" w:rsidP="0027458F">
            <w:pPr>
              <w:spacing w:after="0"/>
              <w:ind w:firstLine="0"/>
              <w:jc w:val="right"/>
              <w:rPr>
                <w:rFonts w:ascii="Arial" w:hAnsi="Arial" w:cs="Arial"/>
                <w:color w:val="000000"/>
                <w:sz w:val="15"/>
                <w:szCs w:val="15"/>
                <w:lang w:val="es-ES" w:eastAsia="es-ES"/>
              </w:rPr>
            </w:pPr>
            <w:r w:rsidRPr="0027458F">
              <w:rPr>
                <w:rFonts w:ascii="Arial" w:hAnsi="Arial" w:cs="Arial"/>
                <w:color w:val="000000"/>
                <w:sz w:val="15"/>
                <w:szCs w:val="15"/>
                <w:lang w:val="es-ES" w:eastAsia="es-ES"/>
              </w:rPr>
              <w:t xml:space="preserve">Crédito </w:t>
            </w:r>
          </w:p>
          <w:p w:rsidR="0061242D" w:rsidRPr="0027458F" w:rsidRDefault="0061242D" w:rsidP="0027458F">
            <w:pPr>
              <w:spacing w:after="0"/>
              <w:ind w:firstLine="0"/>
              <w:jc w:val="right"/>
              <w:rPr>
                <w:rFonts w:ascii="Arial" w:hAnsi="Arial" w:cs="Arial"/>
                <w:color w:val="000000"/>
                <w:sz w:val="15"/>
                <w:szCs w:val="15"/>
                <w:lang w:val="es-ES" w:eastAsia="es-ES"/>
              </w:rPr>
            </w:pPr>
            <w:r w:rsidRPr="0027458F">
              <w:rPr>
                <w:rFonts w:ascii="Arial" w:hAnsi="Arial" w:cs="Arial"/>
                <w:color w:val="000000"/>
                <w:sz w:val="15"/>
                <w:szCs w:val="15"/>
                <w:lang w:val="es-ES" w:eastAsia="es-ES"/>
              </w:rPr>
              <w:t>inicial</w:t>
            </w:r>
          </w:p>
        </w:tc>
        <w:tc>
          <w:tcPr>
            <w:tcW w:w="474" w:type="pct"/>
            <w:tcBorders>
              <w:top w:val="single" w:sz="4" w:space="0" w:color="auto"/>
              <w:left w:val="nil"/>
              <w:bottom w:val="single" w:sz="4" w:space="0" w:color="auto"/>
              <w:right w:val="nil"/>
            </w:tcBorders>
            <w:shd w:val="clear" w:color="auto" w:fill="FABF8F" w:themeFill="accent6" w:themeFillTint="99"/>
            <w:vAlign w:val="center"/>
            <w:hideMark/>
          </w:tcPr>
          <w:p w:rsidR="0061242D" w:rsidRPr="0027458F" w:rsidRDefault="0061242D" w:rsidP="0027458F">
            <w:pPr>
              <w:spacing w:after="0"/>
              <w:ind w:firstLine="0"/>
              <w:jc w:val="right"/>
              <w:rPr>
                <w:rFonts w:ascii="Arial" w:hAnsi="Arial" w:cs="Arial"/>
                <w:color w:val="000000"/>
                <w:sz w:val="15"/>
                <w:szCs w:val="15"/>
                <w:lang w:val="es-ES" w:eastAsia="es-ES"/>
              </w:rPr>
            </w:pPr>
            <w:proofErr w:type="spellStart"/>
            <w:r w:rsidRPr="0027458F">
              <w:rPr>
                <w:rFonts w:ascii="Arial" w:hAnsi="Arial" w:cs="Arial"/>
                <w:color w:val="000000"/>
                <w:sz w:val="15"/>
                <w:szCs w:val="15"/>
                <w:lang w:val="es-ES" w:eastAsia="es-ES"/>
              </w:rPr>
              <w:t>Modif</w:t>
            </w:r>
            <w:r w:rsidR="008904EF" w:rsidRPr="0027458F">
              <w:rPr>
                <w:rFonts w:ascii="Arial" w:hAnsi="Arial" w:cs="Arial"/>
                <w:color w:val="000000"/>
                <w:sz w:val="15"/>
                <w:szCs w:val="15"/>
                <w:lang w:val="es-ES" w:eastAsia="es-ES"/>
              </w:rPr>
              <w:t>ic</w:t>
            </w:r>
            <w:r w:rsidR="0027458F" w:rsidRPr="0027458F">
              <w:rPr>
                <w:rFonts w:ascii="Arial" w:hAnsi="Arial" w:cs="Arial"/>
                <w:color w:val="000000"/>
                <w:sz w:val="15"/>
                <w:szCs w:val="15"/>
                <w:lang w:val="es-ES" w:eastAsia="es-ES"/>
              </w:rPr>
              <w:t>s</w:t>
            </w:r>
            <w:proofErr w:type="spellEnd"/>
            <w:r w:rsidR="008904EF" w:rsidRPr="0027458F">
              <w:rPr>
                <w:rFonts w:ascii="Arial" w:hAnsi="Arial" w:cs="Arial"/>
                <w:color w:val="000000"/>
                <w:sz w:val="15"/>
                <w:szCs w:val="15"/>
                <w:lang w:val="es-ES" w:eastAsia="es-ES"/>
              </w:rPr>
              <w:t>.</w:t>
            </w:r>
          </w:p>
        </w:tc>
        <w:tc>
          <w:tcPr>
            <w:tcW w:w="513" w:type="pct"/>
            <w:tcBorders>
              <w:top w:val="single" w:sz="4" w:space="0" w:color="auto"/>
              <w:left w:val="nil"/>
              <w:bottom w:val="single" w:sz="4" w:space="0" w:color="auto"/>
              <w:right w:val="nil"/>
            </w:tcBorders>
            <w:shd w:val="clear" w:color="auto" w:fill="FABF8F" w:themeFill="accent6" w:themeFillTint="99"/>
            <w:vAlign w:val="center"/>
            <w:hideMark/>
          </w:tcPr>
          <w:p w:rsidR="0061242D" w:rsidRPr="0027458F" w:rsidRDefault="0061242D" w:rsidP="0027458F">
            <w:pPr>
              <w:spacing w:after="0"/>
              <w:ind w:firstLine="0"/>
              <w:jc w:val="right"/>
              <w:rPr>
                <w:rFonts w:ascii="Arial" w:hAnsi="Arial" w:cs="Arial"/>
                <w:color w:val="000000"/>
                <w:sz w:val="15"/>
                <w:szCs w:val="15"/>
                <w:lang w:val="es-ES" w:eastAsia="es-ES"/>
              </w:rPr>
            </w:pPr>
            <w:r w:rsidRPr="0027458F">
              <w:rPr>
                <w:rFonts w:ascii="Arial" w:hAnsi="Arial" w:cs="Arial"/>
                <w:color w:val="000000"/>
                <w:sz w:val="15"/>
                <w:szCs w:val="15"/>
                <w:lang w:val="es-ES" w:eastAsia="es-ES"/>
              </w:rPr>
              <w:t xml:space="preserve">Crédito </w:t>
            </w:r>
            <w:r w:rsidR="0027458F" w:rsidRPr="0027458F">
              <w:rPr>
                <w:rFonts w:ascii="Arial" w:hAnsi="Arial" w:cs="Arial"/>
                <w:color w:val="000000"/>
                <w:sz w:val="15"/>
                <w:szCs w:val="15"/>
                <w:lang w:val="es-ES" w:eastAsia="es-ES"/>
              </w:rPr>
              <w:t xml:space="preserve">   </w:t>
            </w:r>
            <w:r w:rsidRPr="0027458F">
              <w:rPr>
                <w:rFonts w:ascii="Arial" w:hAnsi="Arial" w:cs="Arial"/>
                <w:color w:val="000000"/>
                <w:sz w:val="15"/>
                <w:szCs w:val="15"/>
                <w:lang w:val="es-ES" w:eastAsia="es-ES"/>
              </w:rPr>
              <w:t>definitivo</w:t>
            </w:r>
          </w:p>
        </w:tc>
        <w:tc>
          <w:tcPr>
            <w:tcW w:w="516" w:type="pct"/>
            <w:tcBorders>
              <w:top w:val="single" w:sz="4" w:space="0" w:color="auto"/>
              <w:left w:val="nil"/>
              <w:bottom w:val="single" w:sz="4" w:space="0" w:color="auto"/>
              <w:right w:val="nil"/>
            </w:tcBorders>
            <w:shd w:val="clear" w:color="auto" w:fill="FABF8F" w:themeFill="accent6" w:themeFillTint="99"/>
            <w:vAlign w:val="center"/>
            <w:hideMark/>
          </w:tcPr>
          <w:p w:rsidR="0061242D" w:rsidRPr="0027458F" w:rsidRDefault="0027458F" w:rsidP="0027458F">
            <w:pPr>
              <w:spacing w:after="0"/>
              <w:ind w:firstLine="0"/>
              <w:jc w:val="right"/>
              <w:rPr>
                <w:rFonts w:ascii="Arial" w:hAnsi="Arial" w:cs="Arial"/>
                <w:color w:val="000000"/>
                <w:sz w:val="15"/>
                <w:szCs w:val="15"/>
                <w:lang w:val="es-ES" w:eastAsia="es-ES"/>
              </w:rPr>
            </w:pPr>
            <w:proofErr w:type="spellStart"/>
            <w:r w:rsidRPr="0027458F">
              <w:rPr>
                <w:rFonts w:ascii="Arial" w:hAnsi="Arial" w:cs="Arial"/>
                <w:color w:val="000000"/>
                <w:sz w:val="15"/>
                <w:szCs w:val="15"/>
                <w:lang w:val="es-ES" w:eastAsia="es-ES"/>
              </w:rPr>
              <w:t>Obligacs</w:t>
            </w:r>
            <w:proofErr w:type="spellEnd"/>
            <w:r w:rsidRPr="0027458F">
              <w:rPr>
                <w:rFonts w:ascii="Arial" w:hAnsi="Arial" w:cs="Arial"/>
                <w:color w:val="000000"/>
                <w:sz w:val="15"/>
                <w:szCs w:val="15"/>
                <w:lang w:val="es-ES" w:eastAsia="es-ES"/>
              </w:rPr>
              <w:t xml:space="preserve">. </w:t>
            </w:r>
            <w:r w:rsidR="0061242D" w:rsidRPr="0027458F">
              <w:rPr>
                <w:rFonts w:ascii="Arial" w:hAnsi="Arial" w:cs="Arial"/>
                <w:color w:val="000000"/>
                <w:sz w:val="15"/>
                <w:szCs w:val="15"/>
                <w:lang w:val="es-ES" w:eastAsia="es-ES"/>
              </w:rPr>
              <w:t xml:space="preserve"> reconocidas</w:t>
            </w:r>
          </w:p>
        </w:tc>
        <w:tc>
          <w:tcPr>
            <w:tcW w:w="501" w:type="pct"/>
            <w:tcBorders>
              <w:top w:val="single" w:sz="4" w:space="0" w:color="auto"/>
              <w:left w:val="nil"/>
              <w:bottom w:val="single" w:sz="4" w:space="0" w:color="auto"/>
              <w:right w:val="nil"/>
            </w:tcBorders>
            <w:shd w:val="clear" w:color="auto" w:fill="FABF8F" w:themeFill="accent6" w:themeFillTint="99"/>
            <w:vAlign w:val="center"/>
            <w:hideMark/>
          </w:tcPr>
          <w:p w:rsidR="0061242D" w:rsidRPr="0027458F" w:rsidRDefault="0061242D" w:rsidP="0027458F">
            <w:pPr>
              <w:spacing w:after="0"/>
              <w:ind w:firstLine="0"/>
              <w:jc w:val="right"/>
              <w:rPr>
                <w:rFonts w:ascii="Arial" w:hAnsi="Arial" w:cs="Arial"/>
                <w:color w:val="000000"/>
                <w:sz w:val="15"/>
                <w:szCs w:val="15"/>
                <w:lang w:val="es-ES" w:eastAsia="es-ES"/>
              </w:rPr>
            </w:pPr>
            <w:r w:rsidRPr="0027458F">
              <w:rPr>
                <w:rFonts w:ascii="Arial" w:hAnsi="Arial" w:cs="Arial"/>
                <w:color w:val="000000"/>
                <w:sz w:val="15"/>
                <w:szCs w:val="15"/>
                <w:lang w:val="es-ES" w:eastAsia="es-ES"/>
              </w:rPr>
              <w:t>Pagos</w:t>
            </w:r>
          </w:p>
        </w:tc>
        <w:tc>
          <w:tcPr>
            <w:tcW w:w="459" w:type="pct"/>
            <w:tcBorders>
              <w:top w:val="single" w:sz="4" w:space="0" w:color="auto"/>
              <w:left w:val="nil"/>
              <w:bottom w:val="single" w:sz="4" w:space="0" w:color="auto"/>
              <w:right w:val="nil"/>
            </w:tcBorders>
            <w:shd w:val="clear" w:color="auto" w:fill="FABF8F" w:themeFill="accent6" w:themeFillTint="99"/>
            <w:vAlign w:val="center"/>
            <w:hideMark/>
          </w:tcPr>
          <w:p w:rsidR="0027458F" w:rsidRDefault="0061242D" w:rsidP="0027458F">
            <w:pPr>
              <w:spacing w:after="0"/>
              <w:ind w:firstLine="0"/>
              <w:jc w:val="right"/>
              <w:rPr>
                <w:rFonts w:ascii="Arial" w:hAnsi="Arial" w:cs="Arial"/>
                <w:color w:val="000000"/>
                <w:sz w:val="15"/>
                <w:szCs w:val="15"/>
                <w:lang w:val="es-ES" w:eastAsia="es-ES"/>
              </w:rPr>
            </w:pPr>
            <w:r w:rsidRPr="0027458F">
              <w:rPr>
                <w:rFonts w:ascii="Arial" w:hAnsi="Arial" w:cs="Arial"/>
                <w:color w:val="000000"/>
                <w:sz w:val="15"/>
                <w:szCs w:val="15"/>
                <w:lang w:val="es-ES" w:eastAsia="es-ES"/>
              </w:rPr>
              <w:t xml:space="preserve">% </w:t>
            </w:r>
          </w:p>
          <w:p w:rsidR="0061242D" w:rsidRPr="0027458F" w:rsidRDefault="008904EF" w:rsidP="0027458F">
            <w:pPr>
              <w:spacing w:after="0"/>
              <w:ind w:firstLine="0"/>
              <w:jc w:val="right"/>
              <w:rPr>
                <w:rFonts w:ascii="Arial" w:hAnsi="Arial" w:cs="Arial"/>
                <w:color w:val="000000"/>
                <w:sz w:val="15"/>
                <w:szCs w:val="15"/>
                <w:lang w:val="es-ES" w:eastAsia="es-ES"/>
              </w:rPr>
            </w:pPr>
            <w:r w:rsidRPr="0027458F">
              <w:rPr>
                <w:rFonts w:ascii="Arial" w:hAnsi="Arial" w:cs="Arial"/>
                <w:color w:val="000000"/>
                <w:sz w:val="15"/>
                <w:szCs w:val="15"/>
                <w:lang w:val="es-ES" w:eastAsia="es-ES"/>
              </w:rPr>
              <w:t>E</w:t>
            </w:r>
            <w:r w:rsidR="0061242D" w:rsidRPr="0027458F">
              <w:rPr>
                <w:rFonts w:ascii="Arial" w:hAnsi="Arial" w:cs="Arial"/>
                <w:color w:val="000000"/>
                <w:sz w:val="15"/>
                <w:szCs w:val="15"/>
                <w:lang w:val="es-ES" w:eastAsia="es-ES"/>
              </w:rPr>
              <w:t>jecución</w:t>
            </w:r>
          </w:p>
        </w:tc>
        <w:tc>
          <w:tcPr>
            <w:tcW w:w="395" w:type="pct"/>
            <w:tcBorders>
              <w:top w:val="single" w:sz="4" w:space="0" w:color="auto"/>
              <w:left w:val="nil"/>
              <w:bottom w:val="single" w:sz="4" w:space="0" w:color="auto"/>
              <w:right w:val="nil"/>
            </w:tcBorders>
            <w:shd w:val="clear" w:color="auto" w:fill="FABF8F" w:themeFill="accent6" w:themeFillTint="99"/>
            <w:vAlign w:val="center"/>
            <w:hideMark/>
          </w:tcPr>
          <w:p w:rsidR="0027458F" w:rsidRDefault="0061242D" w:rsidP="0027458F">
            <w:pPr>
              <w:spacing w:after="0"/>
              <w:ind w:firstLine="0"/>
              <w:jc w:val="right"/>
              <w:rPr>
                <w:rFonts w:ascii="Arial" w:hAnsi="Arial" w:cs="Arial"/>
                <w:color w:val="000000"/>
                <w:sz w:val="15"/>
                <w:szCs w:val="15"/>
                <w:lang w:val="es-ES" w:eastAsia="es-ES"/>
              </w:rPr>
            </w:pPr>
            <w:r w:rsidRPr="0027458F">
              <w:rPr>
                <w:rFonts w:ascii="Arial" w:hAnsi="Arial" w:cs="Arial"/>
                <w:color w:val="000000"/>
                <w:sz w:val="15"/>
                <w:szCs w:val="15"/>
                <w:lang w:val="es-ES" w:eastAsia="es-ES"/>
              </w:rPr>
              <w:t xml:space="preserve">% </w:t>
            </w:r>
          </w:p>
          <w:p w:rsidR="0061242D" w:rsidRPr="0027458F" w:rsidRDefault="008904EF" w:rsidP="0027458F">
            <w:pPr>
              <w:spacing w:after="0"/>
              <w:ind w:firstLine="0"/>
              <w:jc w:val="right"/>
              <w:rPr>
                <w:rFonts w:ascii="Arial" w:hAnsi="Arial" w:cs="Arial"/>
                <w:color w:val="000000"/>
                <w:sz w:val="15"/>
                <w:szCs w:val="15"/>
                <w:lang w:val="es-ES" w:eastAsia="es-ES"/>
              </w:rPr>
            </w:pPr>
            <w:r w:rsidRPr="0027458F">
              <w:rPr>
                <w:rFonts w:ascii="Arial" w:hAnsi="Arial" w:cs="Arial"/>
                <w:color w:val="000000"/>
                <w:sz w:val="15"/>
                <w:szCs w:val="15"/>
                <w:lang w:val="es-ES" w:eastAsia="es-ES"/>
              </w:rPr>
              <w:t>P</w:t>
            </w:r>
            <w:r w:rsidR="0061242D" w:rsidRPr="0027458F">
              <w:rPr>
                <w:rFonts w:ascii="Arial" w:hAnsi="Arial" w:cs="Arial"/>
                <w:color w:val="000000"/>
                <w:sz w:val="15"/>
                <w:szCs w:val="15"/>
                <w:lang w:val="es-ES" w:eastAsia="es-ES"/>
              </w:rPr>
              <w:t>agos</w:t>
            </w:r>
          </w:p>
        </w:tc>
      </w:tr>
      <w:tr w:rsidR="0061242D" w:rsidRPr="0027458F" w:rsidTr="00B64F06">
        <w:trPr>
          <w:trHeight w:val="300"/>
          <w:jc w:val="center"/>
        </w:trPr>
        <w:tc>
          <w:tcPr>
            <w:tcW w:w="1581" w:type="pct"/>
            <w:tcBorders>
              <w:top w:val="nil"/>
              <w:left w:val="nil"/>
              <w:bottom w:val="single" w:sz="4" w:space="0" w:color="auto"/>
              <w:right w:val="nil"/>
            </w:tcBorders>
            <w:shd w:val="clear" w:color="auto" w:fill="auto"/>
            <w:vAlign w:val="center"/>
            <w:hideMark/>
          </w:tcPr>
          <w:p w:rsidR="0061242D" w:rsidRPr="0027458F" w:rsidRDefault="0061242D" w:rsidP="0061242D">
            <w:pPr>
              <w:spacing w:after="0"/>
              <w:ind w:firstLine="0"/>
              <w:jc w:val="lef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1. Personal</w:t>
            </w:r>
          </w:p>
        </w:tc>
        <w:tc>
          <w:tcPr>
            <w:tcW w:w="561"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5.761.050</w:t>
            </w:r>
          </w:p>
        </w:tc>
        <w:tc>
          <w:tcPr>
            <w:tcW w:w="474"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594.500</w:t>
            </w:r>
          </w:p>
        </w:tc>
        <w:tc>
          <w:tcPr>
            <w:tcW w:w="513"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6.355.550</w:t>
            </w:r>
          </w:p>
        </w:tc>
        <w:tc>
          <w:tcPr>
            <w:tcW w:w="516"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6.169.035</w:t>
            </w:r>
          </w:p>
        </w:tc>
        <w:tc>
          <w:tcPr>
            <w:tcW w:w="501"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5.972.182</w:t>
            </w:r>
          </w:p>
        </w:tc>
        <w:tc>
          <w:tcPr>
            <w:tcW w:w="459" w:type="pct"/>
            <w:tcBorders>
              <w:top w:val="nil"/>
              <w:left w:val="nil"/>
              <w:bottom w:val="single" w:sz="4" w:space="0" w:color="auto"/>
              <w:right w:val="nil"/>
            </w:tcBorders>
            <w:shd w:val="clear" w:color="auto" w:fill="auto"/>
            <w:noWrap/>
            <w:vAlign w:val="center"/>
            <w:hideMark/>
          </w:tcPr>
          <w:p w:rsidR="0061242D" w:rsidRPr="0027458F" w:rsidRDefault="0061242D" w:rsidP="008904EF">
            <w:pPr>
              <w:spacing w:after="0"/>
              <w:ind w:firstLine="0"/>
              <w:jc w:val="righ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97</w:t>
            </w:r>
          </w:p>
        </w:tc>
        <w:tc>
          <w:tcPr>
            <w:tcW w:w="395" w:type="pct"/>
            <w:tcBorders>
              <w:top w:val="nil"/>
              <w:left w:val="nil"/>
              <w:bottom w:val="single" w:sz="4" w:space="0" w:color="auto"/>
              <w:right w:val="nil"/>
            </w:tcBorders>
            <w:shd w:val="clear" w:color="auto" w:fill="auto"/>
            <w:noWrap/>
            <w:vAlign w:val="center"/>
            <w:hideMark/>
          </w:tcPr>
          <w:p w:rsidR="0061242D" w:rsidRPr="0027458F" w:rsidRDefault="0061242D" w:rsidP="008904EF">
            <w:pPr>
              <w:spacing w:after="0"/>
              <w:ind w:firstLine="0"/>
              <w:jc w:val="righ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97</w:t>
            </w:r>
          </w:p>
        </w:tc>
      </w:tr>
      <w:tr w:rsidR="0061242D" w:rsidRPr="0027458F" w:rsidTr="00B64F06">
        <w:trPr>
          <w:trHeight w:val="300"/>
          <w:jc w:val="center"/>
        </w:trPr>
        <w:tc>
          <w:tcPr>
            <w:tcW w:w="1581" w:type="pct"/>
            <w:tcBorders>
              <w:top w:val="nil"/>
              <w:left w:val="nil"/>
              <w:bottom w:val="single" w:sz="4" w:space="0" w:color="auto"/>
              <w:right w:val="nil"/>
            </w:tcBorders>
            <w:shd w:val="clear" w:color="auto" w:fill="auto"/>
            <w:vAlign w:val="center"/>
            <w:hideMark/>
          </w:tcPr>
          <w:p w:rsidR="0061242D" w:rsidRPr="0027458F" w:rsidRDefault="0061242D" w:rsidP="0061242D">
            <w:pPr>
              <w:spacing w:after="0"/>
              <w:ind w:firstLine="0"/>
              <w:jc w:val="lef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2. Gastos corrientes en bienes y servicios</w:t>
            </w:r>
          </w:p>
        </w:tc>
        <w:tc>
          <w:tcPr>
            <w:tcW w:w="561"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2.962.350</w:t>
            </w:r>
          </w:p>
        </w:tc>
        <w:tc>
          <w:tcPr>
            <w:tcW w:w="474"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129.965</w:t>
            </w:r>
          </w:p>
        </w:tc>
        <w:tc>
          <w:tcPr>
            <w:tcW w:w="513"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3.092.315</w:t>
            </w:r>
          </w:p>
        </w:tc>
        <w:tc>
          <w:tcPr>
            <w:tcW w:w="516"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2.699.973</w:t>
            </w:r>
          </w:p>
        </w:tc>
        <w:tc>
          <w:tcPr>
            <w:tcW w:w="501"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2.360.380</w:t>
            </w:r>
          </w:p>
        </w:tc>
        <w:tc>
          <w:tcPr>
            <w:tcW w:w="459" w:type="pct"/>
            <w:tcBorders>
              <w:top w:val="nil"/>
              <w:left w:val="nil"/>
              <w:bottom w:val="single" w:sz="4" w:space="0" w:color="auto"/>
              <w:right w:val="nil"/>
            </w:tcBorders>
            <w:shd w:val="clear" w:color="auto" w:fill="auto"/>
            <w:noWrap/>
            <w:vAlign w:val="center"/>
            <w:hideMark/>
          </w:tcPr>
          <w:p w:rsidR="0061242D" w:rsidRPr="0027458F" w:rsidRDefault="0061242D" w:rsidP="008904EF">
            <w:pPr>
              <w:spacing w:after="0"/>
              <w:ind w:firstLine="0"/>
              <w:jc w:val="righ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87</w:t>
            </w:r>
          </w:p>
        </w:tc>
        <w:tc>
          <w:tcPr>
            <w:tcW w:w="395" w:type="pct"/>
            <w:tcBorders>
              <w:top w:val="nil"/>
              <w:left w:val="nil"/>
              <w:bottom w:val="single" w:sz="4" w:space="0" w:color="auto"/>
              <w:right w:val="nil"/>
            </w:tcBorders>
            <w:shd w:val="clear" w:color="auto" w:fill="auto"/>
            <w:noWrap/>
            <w:vAlign w:val="center"/>
            <w:hideMark/>
          </w:tcPr>
          <w:p w:rsidR="0061242D" w:rsidRPr="0027458F" w:rsidRDefault="0061242D" w:rsidP="008904EF">
            <w:pPr>
              <w:spacing w:after="0"/>
              <w:ind w:firstLine="0"/>
              <w:jc w:val="righ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87</w:t>
            </w:r>
          </w:p>
        </w:tc>
      </w:tr>
      <w:tr w:rsidR="0061242D" w:rsidRPr="0027458F" w:rsidTr="00B64F06">
        <w:trPr>
          <w:trHeight w:val="300"/>
          <w:jc w:val="center"/>
        </w:trPr>
        <w:tc>
          <w:tcPr>
            <w:tcW w:w="1581" w:type="pct"/>
            <w:tcBorders>
              <w:top w:val="nil"/>
              <w:left w:val="nil"/>
              <w:bottom w:val="single" w:sz="4" w:space="0" w:color="auto"/>
              <w:right w:val="nil"/>
            </w:tcBorders>
            <w:shd w:val="clear" w:color="auto" w:fill="auto"/>
            <w:vAlign w:val="center"/>
            <w:hideMark/>
          </w:tcPr>
          <w:p w:rsidR="0061242D" w:rsidRPr="0027458F" w:rsidRDefault="0061242D" w:rsidP="0061242D">
            <w:pPr>
              <w:spacing w:after="0"/>
              <w:ind w:firstLine="0"/>
              <w:jc w:val="lef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3. Gastos financieros</w:t>
            </w:r>
          </w:p>
        </w:tc>
        <w:tc>
          <w:tcPr>
            <w:tcW w:w="561"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500</w:t>
            </w:r>
          </w:p>
        </w:tc>
        <w:tc>
          <w:tcPr>
            <w:tcW w:w="474"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0</w:t>
            </w:r>
          </w:p>
        </w:tc>
        <w:tc>
          <w:tcPr>
            <w:tcW w:w="513"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500</w:t>
            </w:r>
          </w:p>
        </w:tc>
        <w:tc>
          <w:tcPr>
            <w:tcW w:w="516"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0</w:t>
            </w:r>
          </w:p>
        </w:tc>
        <w:tc>
          <w:tcPr>
            <w:tcW w:w="501"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0</w:t>
            </w:r>
          </w:p>
        </w:tc>
        <w:tc>
          <w:tcPr>
            <w:tcW w:w="459" w:type="pct"/>
            <w:tcBorders>
              <w:top w:val="nil"/>
              <w:left w:val="nil"/>
              <w:bottom w:val="single" w:sz="4" w:space="0" w:color="auto"/>
              <w:right w:val="nil"/>
            </w:tcBorders>
            <w:shd w:val="clear" w:color="auto" w:fill="auto"/>
            <w:noWrap/>
            <w:vAlign w:val="center"/>
            <w:hideMark/>
          </w:tcPr>
          <w:p w:rsidR="0061242D" w:rsidRPr="0027458F" w:rsidRDefault="0061242D" w:rsidP="008904EF">
            <w:pPr>
              <w:spacing w:after="0"/>
              <w:ind w:firstLine="0"/>
              <w:jc w:val="righ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0</w:t>
            </w:r>
          </w:p>
        </w:tc>
        <w:tc>
          <w:tcPr>
            <w:tcW w:w="395" w:type="pct"/>
            <w:tcBorders>
              <w:top w:val="nil"/>
              <w:left w:val="nil"/>
              <w:bottom w:val="single" w:sz="4" w:space="0" w:color="auto"/>
              <w:right w:val="nil"/>
            </w:tcBorders>
            <w:shd w:val="clear" w:color="auto" w:fill="auto"/>
            <w:noWrap/>
            <w:vAlign w:val="center"/>
            <w:hideMark/>
          </w:tcPr>
          <w:p w:rsidR="0061242D" w:rsidRPr="0027458F" w:rsidRDefault="0061242D" w:rsidP="008904EF">
            <w:pPr>
              <w:spacing w:after="0"/>
              <w:ind w:firstLine="0"/>
              <w:jc w:val="righ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0</w:t>
            </w:r>
          </w:p>
        </w:tc>
      </w:tr>
      <w:tr w:rsidR="0061242D" w:rsidRPr="0027458F" w:rsidTr="00B64F06">
        <w:trPr>
          <w:trHeight w:val="300"/>
          <w:jc w:val="center"/>
        </w:trPr>
        <w:tc>
          <w:tcPr>
            <w:tcW w:w="1581" w:type="pct"/>
            <w:tcBorders>
              <w:top w:val="nil"/>
              <w:left w:val="nil"/>
              <w:bottom w:val="single" w:sz="4" w:space="0" w:color="auto"/>
              <w:right w:val="nil"/>
            </w:tcBorders>
            <w:shd w:val="clear" w:color="auto" w:fill="auto"/>
            <w:vAlign w:val="center"/>
            <w:hideMark/>
          </w:tcPr>
          <w:p w:rsidR="0061242D" w:rsidRPr="0027458F" w:rsidRDefault="0061242D" w:rsidP="0061242D">
            <w:pPr>
              <w:spacing w:after="0"/>
              <w:ind w:firstLine="0"/>
              <w:jc w:val="lef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 xml:space="preserve">4. </w:t>
            </w:r>
            <w:proofErr w:type="spellStart"/>
            <w:r w:rsidRPr="0027458F">
              <w:rPr>
                <w:rFonts w:ascii="Arial Narrow" w:hAnsi="Arial Narrow"/>
                <w:color w:val="000000"/>
                <w:sz w:val="18"/>
                <w:szCs w:val="18"/>
                <w:lang w:val="es-ES" w:eastAsia="es-ES"/>
              </w:rPr>
              <w:t>Transf</w:t>
            </w:r>
            <w:proofErr w:type="spellEnd"/>
            <w:r w:rsidRPr="0027458F">
              <w:rPr>
                <w:rFonts w:ascii="Arial Narrow" w:hAnsi="Arial Narrow"/>
                <w:color w:val="000000"/>
                <w:sz w:val="18"/>
                <w:szCs w:val="18"/>
                <w:lang w:val="es-ES" w:eastAsia="es-ES"/>
              </w:rPr>
              <w:t>. Corrientes</w:t>
            </w:r>
          </w:p>
        </w:tc>
        <w:tc>
          <w:tcPr>
            <w:tcW w:w="561"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3.100.300</w:t>
            </w:r>
          </w:p>
        </w:tc>
        <w:tc>
          <w:tcPr>
            <w:tcW w:w="474"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-37.100</w:t>
            </w:r>
          </w:p>
        </w:tc>
        <w:tc>
          <w:tcPr>
            <w:tcW w:w="513"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3.063.200</w:t>
            </w:r>
          </w:p>
        </w:tc>
        <w:tc>
          <w:tcPr>
            <w:tcW w:w="516"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2.765.201</w:t>
            </w:r>
          </w:p>
        </w:tc>
        <w:tc>
          <w:tcPr>
            <w:tcW w:w="501"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2.455.409</w:t>
            </w:r>
          </w:p>
        </w:tc>
        <w:tc>
          <w:tcPr>
            <w:tcW w:w="459" w:type="pct"/>
            <w:tcBorders>
              <w:top w:val="nil"/>
              <w:left w:val="nil"/>
              <w:bottom w:val="single" w:sz="4" w:space="0" w:color="auto"/>
              <w:right w:val="nil"/>
            </w:tcBorders>
            <w:shd w:val="clear" w:color="auto" w:fill="auto"/>
            <w:noWrap/>
            <w:vAlign w:val="center"/>
            <w:hideMark/>
          </w:tcPr>
          <w:p w:rsidR="0061242D" w:rsidRPr="0027458F" w:rsidRDefault="0061242D" w:rsidP="008904EF">
            <w:pPr>
              <w:spacing w:after="0"/>
              <w:ind w:firstLine="0"/>
              <w:jc w:val="righ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90</w:t>
            </w:r>
          </w:p>
        </w:tc>
        <w:tc>
          <w:tcPr>
            <w:tcW w:w="395" w:type="pct"/>
            <w:tcBorders>
              <w:top w:val="nil"/>
              <w:left w:val="nil"/>
              <w:bottom w:val="single" w:sz="4" w:space="0" w:color="auto"/>
              <w:right w:val="nil"/>
            </w:tcBorders>
            <w:shd w:val="clear" w:color="auto" w:fill="auto"/>
            <w:noWrap/>
            <w:vAlign w:val="center"/>
            <w:hideMark/>
          </w:tcPr>
          <w:p w:rsidR="0061242D" w:rsidRPr="0027458F" w:rsidRDefault="0061242D" w:rsidP="008904EF">
            <w:pPr>
              <w:spacing w:after="0"/>
              <w:ind w:firstLine="0"/>
              <w:jc w:val="righ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89</w:t>
            </w:r>
          </w:p>
        </w:tc>
      </w:tr>
      <w:tr w:rsidR="0061242D" w:rsidRPr="0027458F" w:rsidTr="00B64F06">
        <w:trPr>
          <w:trHeight w:val="300"/>
          <w:jc w:val="center"/>
        </w:trPr>
        <w:tc>
          <w:tcPr>
            <w:tcW w:w="1581" w:type="pct"/>
            <w:tcBorders>
              <w:top w:val="nil"/>
              <w:left w:val="nil"/>
              <w:bottom w:val="single" w:sz="4" w:space="0" w:color="auto"/>
              <w:right w:val="nil"/>
            </w:tcBorders>
            <w:shd w:val="clear" w:color="auto" w:fill="auto"/>
            <w:vAlign w:val="center"/>
            <w:hideMark/>
          </w:tcPr>
          <w:p w:rsidR="0061242D" w:rsidRPr="0027458F" w:rsidRDefault="0061242D" w:rsidP="0061242D">
            <w:pPr>
              <w:spacing w:after="0"/>
              <w:ind w:firstLine="0"/>
              <w:jc w:val="lef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6. Inversiones</w:t>
            </w:r>
          </w:p>
        </w:tc>
        <w:tc>
          <w:tcPr>
            <w:tcW w:w="561"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1.703.500</w:t>
            </w:r>
          </w:p>
        </w:tc>
        <w:tc>
          <w:tcPr>
            <w:tcW w:w="474"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6.124.119</w:t>
            </w:r>
          </w:p>
        </w:tc>
        <w:tc>
          <w:tcPr>
            <w:tcW w:w="513"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7.827.619</w:t>
            </w:r>
          </w:p>
        </w:tc>
        <w:tc>
          <w:tcPr>
            <w:tcW w:w="516"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2.929.979</w:t>
            </w:r>
          </w:p>
        </w:tc>
        <w:tc>
          <w:tcPr>
            <w:tcW w:w="501"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2.836.545</w:t>
            </w:r>
          </w:p>
        </w:tc>
        <w:tc>
          <w:tcPr>
            <w:tcW w:w="459" w:type="pct"/>
            <w:tcBorders>
              <w:top w:val="nil"/>
              <w:left w:val="nil"/>
              <w:bottom w:val="single" w:sz="4" w:space="0" w:color="auto"/>
              <w:right w:val="nil"/>
            </w:tcBorders>
            <w:shd w:val="clear" w:color="auto" w:fill="auto"/>
            <w:noWrap/>
            <w:vAlign w:val="center"/>
            <w:hideMark/>
          </w:tcPr>
          <w:p w:rsidR="0061242D" w:rsidRPr="0027458F" w:rsidRDefault="0061242D" w:rsidP="008904EF">
            <w:pPr>
              <w:spacing w:after="0"/>
              <w:ind w:firstLine="0"/>
              <w:jc w:val="righ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37</w:t>
            </w:r>
          </w:p>
        </w:tc>
        <w:tc>
          <w:tcPr>
            <w:tcW w:w="395" w:type="pct"/>
            <w:tcBorders>
              <w:top w:val="nil"/>
              <w:left w:val="nil"/>
              <w:bottom w:val="single" w:sz="4" w:space="0" w:color="auto"/>
              <w:right w:val="nil"/>
            </w:tcBorders>
            <w:shd w:val="clear" w:color="auto" w:fill="auto"/>
            <w:noWrap/>
            <w:vAlign w:val="center"/>
            <w:hideMark/>
          </w:tcPr>
          <w:p w:rsidR="0061242D" w:rsidRPr="0027458F" w:rsidRDefault="0061242D" w:rsidP="008904EF">
            <w:pPr>
              <w:spacing w:after="0"/>
              <w:ind w:firstLine="0"/>
              <w:jc w:val="righ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97</w:t>
            </w:r>
          </w:p>
        </w:tc>
      </w:tr>
      <w:tr w:rsidR="0061242D" w:rsidRPr="0027458F" w:rsidTr="00B64F06">
        <w:trPr>
          <w:trHeight w:val="300"/>
          <w:jc w:val="center"/>
        </w:trPr>
        <w:tc>
          <w:tcPr>
            <w:tcW w:w="1581" w:type="pct"/>
            <w:tcBorders>
              <w:top w:val="nil"/>
              <w:left w:val="nil"/>
              <w:bottom w:val="single" w:sz="4" w:space="0" w:color="auto"/>
              <w:right w:val="nil"/>
            </w:tcBorders>
            <w:shd w:val="clear" w:color="auto" w:fill="auto"/>
            <w:vAlign w:val="center"/>
            <w:hideMark/>
          </w:tcPr>
          <w:p w:rsidR="0061242D" w:rsidRPr="0027458F" w:rsidRDefault="0061242D" w:rsidP="0061242D">
            <w:pPr>
              <w:spacing w:after="0"/>
              <w:ind w:firstLine="0"/>
              <w:jc w:val="lef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 xml:space="preserve">7. </w:t>
            </w:r>
            <w:proofErr w:type="spellStart"/>
            <w:r w:rsidRPr="0027458F">
              <w:rPr>
                <w:rFonts w:ascii="Arial Narrow" w:hAnsi="Arial Narrow"/>
                <w:color w:val="000000"/>
                <w:sz w:val="18"/>
                <w:szCs w:val="18"/>
                <w:lang w:val="es-ES" w:eastAsia="es-ES"/>
              </w:rPr>
              <w:t>Transf</w:t>
            </w:r>
            <w:proofErr w:type="spellEnd"/>
            <w:r w:rsidRPr="0027458F">
              <w:rPr>
                <w:rFonts w:ascii="Arial Narrow" w:hAnsi="Arial Narrow"/>
                <w:color w:val="000000"/>
                <w:sz w:val="18"/>
                <w:szCs w:val="18"/>
                <w:lang w:val="es-ES" w:eastAsia="es-ES"/>
              </w:rPr>
              <w:t>. Capital</w:t>
            </w:r>
          </w:p>
        </w:tc>
        <w:tc>
          <w:tcPr>
            <w:tcW w:w="561"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77.500</w:t>
            </w:r>
          </w:p>
        </w:tc>
        <w:tc>
          <w:tcPr>
            <w:tcW w:w="474"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20.000</w:t>
            </w:r>
          </w:p>
        </w:tc>
        <w:tc>
          <w:tcPr>
            <w:tcW w:w="513"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97.500</w:t>
            </w:r>
          </w:p>
        </w:tc>
        <w:tc>
          <w:tcPr>
            <w:tcW w:w="516"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14.622</w:t>
            </w:r>
          </w:p>
        </w:tc>
        <w:tc>
          <w:tcPr>
            <w:tcW w:w="501"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10.901</w:t>
            </w:r>
          </w:p>
        </w:tc>
        <w:tc>
          <w:tcPr>
            <w:tcW w:w="459" w:type="pct"/>
            <w:tcBorders>
              <w:top w:val="nil"/>
              <w:left w:val="nil"/>
              <w:bottom w:val="single" w:sz="4" w:space="0" w:color="auto"/>
              <w:right w:val="nil"/>
            </w:tcBorders>
            <w:shd w:val="clear" w:color="auto" w:fill="auto"/>
            <w:noWrap/>
            <w:vAlign w:val="center"/>
            <w:hideMark/>
          </w:tcPr>
          <w:p w:rsidR="0061242D" w:rsidRPr="0027458F" w:rsidRDefault="0061242D" w:rsidP="008904EF">
            <w:pPr>
              <w:spacing w:after="0"/>
              <w:ind w:firstLine="0"/>
              <w:jc w:val="righ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15</w:t>
            </w:r>
          </w:p>
        </w:tc>
        <w:tc>
          <w:tcPr>
            <w:tcW w:w="395" w:type="pct"/>
            <w:tcBorders>
              <w:top w:val="nil"/>
              <w:left w:val="nil"/>
              <w:bottom w:val="single" w:sz="4" w:space="0" w:color="auto"/>
              <w:right w:val="nil"/>
            </w:tcBorders>
            <w:shd w:val="clear" w:color="auto" w:fill="auto"/>
            <w:noWrap/>
            <w:vAlign w:val="center"/>
            <w:hideMark/>
          </w:tcPr>
          <w:p w:rsidR="0061242D" w:rsidRPr="0027458F" w:rsidRDefault="0061242D" w:rsidP="008904EF">
            <w:pPr>
              <w:spacing w:after="0"/>
              <w:ind w:firstLine="0"/>
              <w:jc w:val="righ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75</w:t>
            </w:r>
          </w:p>
        </w:tc>
      </w:tr>
      <w:tr w:rsidR="0061242D" w:rsidRPr="0027458F" w:rsidTr="00B64F06">
        <w:trPr>
          <w:trHeight w:val="300"/>
          <w:jc w:val="center"/>
        </w:trPr>
        <w:tc>
          <w:tcPr>
            <w:tcW w:w="1581" w:type="pct"/>
            <w:tcBorders>
              <w:top w:val="nil"/>
              <w:left w:val="nil"/>
              <w:bottom w:val="single" w:sz="4" w:space="0" w:color="auto"/>
              <w:right w:val="nil"/>
            </w:tcBorders>
            <w:shd w:val="clear" w:color="auto" w:fill="auto"/>
            <w:vAlign w:val="center"/>
            <w:hideMark/>
          </w:tcPr>
          <w:p w:rsidR="0061242D" w:rsidRPr="0027458F" w:rsidRDefault="0061242D" w:rsidP="0061242D">
            <w:pPr>
              <w:spacing w:after="0"/>
              <w:ind w:firstLine="0"/>
              <w:jc w:val="lef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9. Pasivos financieros</w:t>
            </w:r>
          </w:p>
        </w:tc>
        <w:tc>
          <w:tcPr>
            <w:tcW w:w="561"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191.750</w:t>
            </w:r>
          </w:p>
        </w:tc>
        <w:tc>
          <w:tcPr>
            <w:tcW w:w="474"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0</w:t>
            </w:r>
          </w:p>
        </w:tc>
        <w:tc>
          <w:tcPr>
            <w:tcW w:w="513"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191.750</w:t>
            </w:r>
          </w:p>
        </w:tc>
        <w:tc>
          <w:tcPr>
            <w:tcW w:w="516"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191.723</w:t>
            </w:r>
          </w:p>
        </w:tc>
        <w:tc>
          <w:tcPr>
            <w:tcW w:w="501"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191.723</w:t>
            </w:r>
          </w:p>
        </w:tc>
        <w:tc>
          <w:tcPr>
            <w:tcW w:w="459" w:type="pct"/>
            <w:tcBorders>
              <w:top w:val="nil"/>
              <w:left w:val="nil"/>
              <w:bottom w:val="single" w:sz="4" w:space="0" w:color="auto"/>
              <w:right w:val="nil"/>
            </w:tcBorders>
            <w:shd w:val="clear" w:color="auto" w:fill="auto"/>
            <w:noWrap/>
            <w:vAlign w:val="center"/>
            <w:hideMark/>
          </w:tcPr>
          <w:p w:rsidR="0061242D" w:rsidRPr="0027458F" w:rsidRDefault="0061242D" w:rsidP="008904EF">
            <w:pPr>
              <w:spacing w:after="0"/>
              <w:ind w:firstLine="0"/>
              <w:jc w:val="righ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100</w:t>
            </w:r>
          </w:p>
        </w:tc>
        <w:tc>
          <w:tcPr>
            <w:tcW w:w="395" w:type="pct"/>
            <w:tcBorders>
              <w:top w:val="nil"/>
              <w:left w:val="nil"/>
              <w:bottom w:val="single" w:sz="4" w:space="0" w:color="auto"/>
              <w:right w:val="nil"/>
            </w:tcBorders>
            <w:shd w:val="clear" w:color="auto" w:fill="auto"/>
            <w:noWrap/>
            <w:vAlign w:val="center"/>
            <w:hideMark/>
          </w:tcPr>
          <w:p w:rsidR="0061242D" w:rsidRPr="0027458F" w:rsidRDefault="0061242D" w:rsidP="008904EF">
            <w:pPr>
              <w:spacing w:after="0"/>
              <w:ind w:firstLine="0"/>
              <w:jc w:val="righ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100</w:t>
            </w:r>
          </w:p>
        </w:tc>
      </w:tr>
      <w:tr w:rsidR="0061242D" w:rsidRPr="0027458F" w:rsidTr="00266C34">
        <w:trPr>
          <w:trHeight w:val="300"/>
          <w:jc w:val="center"/>
        </w:trPr>
        <w:tc>
          <w:tcPr>
            <w:tcW w:w="1581" w:type="pct"/>
            <w:tcBorders>
              <w:top w:val="nil"/>
              <w:left w:val="nil"/>
              <w:bottom w:val="single" w:sz="4" w:space="0" w:color="auto"/>
              <w:right w:val="nil"/>
            </w:tcBorders>
            <w:shd w:val="clear" w:color="auto" w:fill="FABF8F" w:themeFill="accent6" w:themeFillTint="99"/>
            <w:vAlign w:val="center"/>
            <w:hideMark/>
          </w:tcPr>
          <w:p w:rsidR="0061242D" w:rsidRPr="0027458F" w:rsidRDefault="0061242D" w:rsidP="0061242D">
            <w:pPr>
              <w:spacing w:after="0"/>
              <w:ind w:firstLine="0"/>
              <w:jc w:val="left"/>
              <w:rPr>
                <w:rFonts w:ascii="Arial" w:hAnsi="Arial" w:cs="Arial"/>
                <w:color w:val="000000"/>
                <w:sz w:val="16"/>
                <w:szCs w:val="16"/>
                <w:lang w:val="es-ES" w:eastAsia="es-ES"/>
              </w:rPr>
            </w:pPr>
            <w:r w:rsidRPr="0027458F">
              <w:rPr>
                <w:rFonts w:ascii="Arial" w:hAnsi="Arial" w:cs="Arial"/>
                <w:color w:val="000000"/>
                <w:sz w:val="16"/>
                <w:szCs w:val="16"/>
                <w:lang w:val="es-ES" w:eastAsia="es-ES"/>
              </w:rPr>
              <w:t>Total</w:t>
            </w:r>
          </w:p>
        </w:tc>
        <w:tc>
          <w:tcPr>
            <w:tcW w:w="561" w:type="pct"/>
            <w:tcBorders>
              <w:top w:val="nil"/>
              <w:left w:val="nil"/>
              <w:bottom w:val="single" w:sz="4" w:space="0" w:color="auto"/>
              <w:right w:val="nil"/>
            </w:tcBorders>
            <w:shd w:val="clear" w:color="auto" w:fill="FABF8F" w:themeFill="accent6" w:themeFillTint="99"/>
            <w:vAlign w:val="center"/>
            <w:hideMark/>
          </w:tcPr>
          <w:p w:rsidR="0061242D" w:rsidRPr="0027458F" w:rsidRDefault="0061242D" w:rsidP="0061242D">
            <w:pPr>
              <w:spacing w:after="0"/>
              <w:ind w:firstLine="0"/>
              <w:jc w:val="right"/>
              <w:rPr>
                <w:rFonts w:ascii="Arial" w:hAnsi="Arial" w:cs="Arial"/>
                <w:color w:val="000000"/>
                <w:sz w:val="16"/>
                <w:szCs w:val="16"/>
                <w:lang w:val="es-ES" w:eastAsia="es-ES"/>
              </w:rPr>
            </w:pPr>
            <w:r w:rsidRPr="0027458F">
              <w:rPr>
                <w:rFonts w:ascii="Arial" w:hAnsi="Arial" w:cs="Arial"/>
                <w:color w:val="000000"/>
                <w:sz w:val="16"/>
                <w:szCs w:val="16"/>
                <w:lang w:val="es-ES" w:eastAsia="es-ES"/>
              </w:rPr>
              <w:t>13.796.950</w:t>
            </w:r>
          </w:p>
        </w:tc>
        <w:tc>
          <w:tcPr>
            <w:tcW w:w="474" w:type="pct"/>
            <w:tcBorders>
              <w:top w:val="nil"/>
              <w:left w:val="nil"/>
              <w:bottom w:val="single" w:sz="4" w:space="0" w:color="auto"/>
              <w:right w:val="nil"/>
            </w:tcBorders>
            <w:shd w:val="clear" w:color="auto" w:fill="FABF8F" w:themeFill="accent6" w:themeFillTint="99"/>
            <w:vAlign w:val="center"/>
            <w:hideMark/>
          </w:tcPr>
          <w:p w:rsidR="0061242D" w:rsidRPr="0027458F" w:rsidRDefault="0061242D" w:rsidP="00531802">
            <w:pPr>
              <w:spacing w:after="0"/>
              <w:ind w:firstLine="0"/>
              <w:jc w:val="right"/>
              <w:rPr>
                <w:rFonts w:ascii="Arial" w:hAnsi="Arial" w:cs="Arial"/>
                <w:color w:val="000000"/>
                <w:sz w:val="16"/>
                <w:szCs w:val="16"/>
                <w:lang w:val="es-ES" w:eastAsia="es-ES"/>
              </w:rPr>
            </w:pPr>
            <w:r w:rsidRPr="0027458F">
              <w:rPr>
                <w:rFonts w:ascii="Arial" w:hAnsi="Arial" w:cs="Arial"/>
                <w:color w:val="000000"/>
                <w:sz w:val="16"/>
                <w:szCs w:val="16"/>
                <w:lang w:val="es-ES" w:eastAsia="es-ES"/>
              </w:rPr>
              <w:t>6.831.48</w:t>
            </w:r>
            <w:r w:rsidR="00531802" w:rsidRPr="0027458F">
              <w:rPr>
                <w:rFonts w:ascii="Arial" w:hAnsi="Arial" w:cs="Arial"/>
                <w:color w:val="000000"/>
                <w:sz w:val="16"/>
                <w:szCs w:val="16"/>
                <w:lang w:val="es-ES" w:eastAsia="es-ES"/>
              </w:rPr>
              <w:t>4</w:t>
            </w:r>
          </w:p>
        </w:tc>
        <w:tc>
          <w:tcPr>
            <w:tcW w:w="513" w:type="pct"/>
            <w:tcBorders>
              <w:top w:val="nil"/>
              <w:left w:val="nil"/>
              <w:bottom w:val="single" w:sz="4" w:space="0" w:color="auto"/>
              <w:right w:val="nil"/>
            </w:tcBorders>
            <w:shd w:val="clear" w:color="auto" w:fill="FABF8F" w:themeFill="accent6" w:themeFillTint="99"/>
            <w:vAlign w:val="center"/>
            <w:hideMark/>
          </w:tcPr>
          <w:p w:rsidR="0061242D" w:rsidRPr="0027458F" w:rsidRDefault="0061242D" w:rsidP="00531802">
            <w:pPr>
              <w:spacing w:after="0"/>
              <w:ind w:firstLine="0"/>
              <w:jc w:val="right"/>
              <w:rPr>
                <w:rFonts w:ascii="Arial" w:hAnsi="Arial" w:cs="Arial"/>
                <w:color w:val="000000"/>
                <w:sz w:val="16"/>
                <w:szCs w:val="16"/>
                <w:lang w:val="es-ES" w:eastAsia="es-ES"/>
              </w:rPr>
            </w:pPr>
            <w:r w:rsidRPr="0027458F">
              <w:rPr>
                <w:rFonts w:ascii="Arial" w:hAnsi="Arial" w:cs="Arial"/>
                <w:color w:val="000000"/>
                <w:sz w:val="16"/>
                <w:szCs w:val="16"/>
                <w:lang w:val="es-ES" w:eastAsia="es-ES"/>
              </w:rPr>
              <w:t>20.628.43</w:t>
            </w:r>
            <w:r w:rsidR="00531802" w:rsidRPr="0027458F">
              <w:rPr>
                <w:rFonts w:ascii="Arial" w:hAnsi="Arial" w:cs="Arial"/>
                <w:color w:val="000000"/>
                <w:sz w:val="16"/>
                <w:szCs w:val="16"/>
                <w:lang w:val="es-ES" w:eastAsia="es-ES"/>
              </w:rPr>
              <w:t>4</w:t>
            </w:r>
          </w:p>
        </w:tc>
        <w:tc>
          <w:tcPr>
            <w:tcW w:w="516" w:type="pct"/>
            <w:tcBorders>
              <w:top w:val="nil"/>
              <w:left w:val="nil"/>
              <w:bottom w:val="single" w:sz="4" w:space="0" w:color="auto"/>
              <w:right w:val="nil"/>
            </w:tcBorders>
            <w:shd w:val="clear" w:color="auto" w:fill="FABF8F" w:themeFill="accent6" w:themeFillTint="99"/>
            <w:vAlign w:val="center"/>
            <w:hideMark/>
          </w:tcPr>
          <w:p w:rsidR="0061242D" w:rsidRPr="0027458F" w:rsidRDefault="0061242D" w:rsidP="00531802">
            <w:pPr>
              <w:spacing w:after="0"/>
              <w:ind w:firstLine="0"/>
              <w:jc w:val="right"/>
              <w:rPr>
                <w:rFonts w:ascii="Arial" w:hAnsi="Arial" w:cs="Arial"/>
                <w:color w:val="000000"/>
                <w:sz w:val="16"/>
                <w:szCs w:val="16"/>
                <w:lang w:val="es-ES" w:eastAsia="es-ES"/>
              </w:rPr>
            </w:pPr>
            <w:r w:rsidRPr="0027458F">
              <w:rPr>
                <w:rFonts w:ascii="Arial" w:hAnsi="Arial" w:cs="Arial"/>
                <w:color w:val="000000"/>
                <w:sz w:val="16"/>
                <w:szCs w:val="16"/>
                <w:lang w:val="es-ES" w:eastAsia="es-ES"/>
              </w:rPr>
              <w:t>14.770.53</w:t>
            </w:r>
            <w:r w:rsidR="00531802" w:rsidRPr="0027458F">
              <w:rPr>
                <w:rFonts w:ascii="Arial" w:hAnsi="Arial" w:cs="Arial"/>
                <w:color w:val="000000"/>
                <w:sz w:val="16"/>
                <w:szCs w:val="16"/>
                <w:lang w:val="es-ES" w:eastAsia="es-ES"/>
              </w:rPr>
              <w:t>3</w:t>
            </w:r>
          </w:p>
        </w:tc>
        <w:tc>
          <w:tcPr>
            <w:tcW w:w="501" w:type="pct"/>
            <w:tcBorders>
              <w:top w:val="nil"/>
              <w:left w:val="nil"/>
              <w:bottom w:val="single" w:sz="4" w:space="0" w:color="auto"/>
              <w:right w:val="nil"/>
            </w:tcBorders>
            <w:shd w:val="clear" w:color="auto" w:fill="FABF8F" w:themeFill="accent6" w:themeFillTint="99"/>
            <w:vAlign w:val="center"/>
            <w:hideMark/>
          </w:tcPr>
          <w:p w:rsidR="0061242D" w:rsidRPr="0027458F" w:rsidRDefault="0061242D" w:rsidP="0061242D">
            <w:pPr>
              <w:spacing w:after="0"/>
              <w:ind w:firstLine="0"/>
              <w:jc w:val="right"/>
              <w:rPr>
                <w:rFonts w:ascii="Arial" w:hAnsi="Arial" w:cs="Arial"/>
                <w:color w:val="000000"/>
                <w:sz w:val="16"/>
                <w:szCs w:val="16"/>
                <w:lang w:val="es-ES" w:eastAsia="es-ES"/>
              </w:rPr>
            </w:pPr>
            <w:r w:rsidRPr="0027458F">
              <w:rPr>
                <w:rFonts w:ascii="Arial" w:hAnsi="Arial" w:cs="Arial"/>
                <w:color w:val="000000"/>
                <w:sz w:val="16"/>
                <w:szCs w:val="16"/>
                <w:lang w:val="es-ES" w:eastAsia="es-ES"/>
              </w:rPr>
              <w:t>13.827.140</w:t>
            </w:r>
          </w:p>
        </w:tc>
        <w:tc>
          <w:tcPr>
            <w:tcW w:w="459" w:type="pct"/>
            <w:tcBorders>
              <w:top w:val="nil"/>
              <w:left w:val="nil"/>
              <w:bottom w:val="single" w:sz="4" w:space="0" w:color="auto"/>
              <w:right w:val="nil"/>
            </w:tcBorders>
            <w:shd w:val="clear" w:color="auto" w:fill="FABF8F" w:themeFill="accent6" w:themeFillTint="99"/>
            <w:noWrap/>
            <w:vAlign w:val="center"/>
            <w:hideMark/>
          </w:tcPr>
          <w:p w:rsidR="0061242D" w:rsidRPr="0027458F" w:rsidRDefault="0061242D" w:rsidP="008904EF">
            <w:pPr>
              <w:spacing w:after="0"/>
              <w:ind w:firstLine="0"/>
              <w:jc w:val="right"/>
              <w:rPr>
                <w:rFonts w:ascii="Arial" w:hAnsi="Arial" w:cs="Arial"/>
                <w:color w:val="000000"/>
                <w:sz w:val="16"/>
                <w:szCs w:val="16"/>
                <w:lang w:val="es-ES" w:eastAsia="es-ES"/>
              </w:rPr>
            </w:pPr>
            <w:r w:rsidRPr="0027458F">
              <w:rPr>
                <w:rFonts w:ascii="Arial" w:hAnsi="Arial" w:cs="Arial"/>
                <w:color w:val="000000"/>
                <w:sz w:val="16"/>
                <w:szCs w:val="16"/>
                <w:lang w:val="es-ES" w:eastAsia="es-ES"/>
              </w:rPr>
              <w:t>72</w:t>
            </w:r>
          </w:p>
        </w:tc>
        <w:tc>
          <w:tcPr>
            <w:tcW w:w="395" w:type="pct"/>
            <w:tcBorders>
              <w:top w:val="nil"/>
              <w:left w:val="nil"/>
              <w:bottom w:val="single" w:sz="4" w:space="0" w:color="auto"/>
              <w:right w:val="nil"/>
            </w:tcBorders>
            <w:shd w:val="clear" w:color="auto" w:fill="FABF8F" w:themeFill="accent6" w:themeFillTint="99"/>
            <w:noWrap/>
            <w:vAlign w:val="center"/>
            <w:hideMark/>
          </w:tcPr>
          <w:p w:rsidR="0061242D" w:rsidRPr="0027458F" w:rsidRDefault="0061242D" w:rsidP="008904EF">
            <w:pPr>
              <w:spacing w:after="0"/>
              <w:ind w:firstLine="0"/>
              <w:jc w:val="right"/>
              <w:rPr>
                <w:rFonts w:ascii="Arial" w:hAnsi="Arial" w:cs="Arial"/>
                <w:color w:val="000000"/>
                <w:sz w:val="16"/>
                <w:szCs w:val="16"/>
                <w:lang w:val="es-ES" w:eastAsia="es-ES"/>
              </w:rPr>
            </w:pPr>
            <w:r w:rsidRPr="0027458F">
              <w:rPr>
                <w:rFonts w:ascii="Arial" w:hAnsi="Arial" w:cs="Arial"/>
                <w:color w:val="000000"/>
                <w:sz w:val="16"/>
                <w:szCs w:val="16"/>
                <w:lang w:val="es-ES" w:eastAsia="es-ES"/>
              </w:rPr>
              <w:t>94</w:t>
            </w:r>
          </w:p>
        </w:tc>
      </w:tr>
    </w:tbl>
    <w:p w:rsidR="001E2F4E" w:rsidRPr="001E2F4E" w:rsidRDefault="001E2F4E" w:rsidP="00D26E68">
      <w:pPr>
        <w:pStyle w:val="CuadroTtulo"/>
        <w:spacing w:before="200" w:after="60"/>
        <w:jc w:val="right"/>
        <w:rPr>
          <w:i/>
        </w:rPr>
      </w:pPr>
      <w:r>
        <w:tab/>
      </w:r>
    </w:p>
    <w:p w:rsidR="0067725A" w:rsidRDefault="00C00912" w:rsidP="0067725A">
      <w:pPr>
        <w:pStyle w:val="CuadroTtulo"/>
        <w:spacing w:before="200" w:after="240"/>
        <w:jc w:val="center"/>
      </w:pPr>
      <w:r>
        <w:t>Ingresos por capítulo</w:t>
      </w:r>
    </w:p>
    <w:tbl>
      <w:tblPr>
        <w:tblW w:w="5110" w:type="pct"/>
        <w:jc w:val="center"/>
        <w:tblCellMar>
          <w:left w:w="70" w:type="dxa"/>
          <w:right w:w="70" w:type="dxa"/>
        </w:tblCellMar>
        <w:tblLook w:val="04A0" w:firstRow="1" w:lastRow="0" w:firstColumn="1" w:lastColumn="0" w:noHBand="0" w:noVBand="1"/>
      </w:tblPr>
      <w:tblGrid>
        <w:gridCol w:w="2940"/>
        <w:gridCol w:w="1003"/>
        <w:gridCol w:w="920"/>
        <w:gridCol w:w="920"/>
        <w:gridCol w:w="1161"/>
        <w:gridCol w:w="914"/>
        <w:gridCol w:w="847"/>
        <w:gridCol w:w="855"/>
      </w:tblGrid>
      <w:tr w:rsidR="0061242D" w:rsidRPr="0027458F" w:rsidTr="00266C34">
        <w:trPr>
          <w:trHeight w:val="495"/>
          <w:jc w:val="center"/>
        </w:trPr>
        <w:tc>
          <w:tcPr>
            <w:tcW w:w="1538" w:type="pct"/>
            <w:tcBorders>
              <w:top w:val="single" w:sz="4" w:space="0" w:color="auto"/>
              <w:left w:val="nil"/>
              <w:bottom w:val="single" w:sz="4" w:space="0" w:color="auto"/>
              <w:right w:val="nil"/>
            </w:tcBorders>
            <w:shd w:val="clear" w:color="auto" w:fill="FABF8F" w:themeFill="accent6" w:themeFillTint="99"/>
            <w:vAlign w:val="center"/>
            <w:hideMark/>
          </w:tcPr>
          <w:p w:rsidR="0061242D" w:rsidRPr="0027458F" w:rsidRDefault="0061242D" w:rsidP="0061242D">
            <w:pPr>
              <w:spacing w:after="0"/>
              <w:ind w:right="167" w:firstLine="0"/>
              <w:jc w:val="left"/>
              <w:rPr>
                <w:rFonts w:ascii="Arial" w:hAnsi="Arial" w:cs="Arial"/>
                <w:color w:val="000000"/>
                <w:sz w:val="15"/>
                <w:szCs w:val="15"/>
                <w:lang w:val="es-ES" w:eastAsia="es-ES"/>
              </w:rPr>
            </w:pPr>
            <w:r w:rsidRPr="0027458F">
              <w:rPr>
                <w:rFonts w:ascii="Arial" w:hAnsi="Arial" w:cs="Arial"/>
                <w:color w:val="000000"/>
                <w:sz w:val="15"/>
                <w:szCs w:val="15"/>
                <w:lang w:val="es-ES" w:eastAsia="es-ES"/>
              </w:rPr>
              <w:t>INGRESOS</w:t>
            </w:r>
          </w:p>
        </w:tc>
        <w:tc>
          <w:tcPr>
            <w:tcW w:w="525" w:type="pct"/>
            <w:tcBorders>
              <w:top w:val="single" w:sz="4" w:space="0" w:color="auto"/>
              <w:left w:val="nil"/>
              <w:bottom w:val="single" w:sz="4" w:space="0" w:color="auto"/>
              <w:right w:val="nil"/>
            </w:tcBorders>
            <w:shd w:val="clear" w:color="auto" w:fill="FABF8F" w:themeFill="accent6" w:themeFillTint="99"/>
            <w:vAlign w:val="center"/>
            <w:hideMark/>
          </w:tcPr>
          <w:p w:rsidR="0061242D" w:rsidRPr="0027458F" w:rsidRDefault="0061242D" w:rsidP="0027458F">
            <w:pPr>
              <w:spacing w:after="0"/>
              <w:ind w:firstLine="0"/>
              <w:jc w:val="right"/>
              <w:rPr>
                <w:rFonts w:ascii="Arial" w:hAnsi="Arial" w:cs="Arial"/>
                <w:color w:val="000000"/>
                <w:sz w:val="15"/>
                <w:szCs w:val="15"/>
                <w:lang w:val="es-ES" w:eastAsia="es-ES"/>
              </w:rPr>
            </w:pPr>
            <w:r w:rsidRPr="0027458F">
              <w:rPr>
                <w:rFonts w:ascii="Arial" w:hAnsi="Arial" w:cs="Arial"/>
                <w:color w:val="000000"/>
                <w:sz w:val="15"/>
                <w:szCs w:val="15"/>
                <w:lang w:val="es-ES" w:eastAsia="es-ES"/>
              </w:rPr>
              <w:t>Previsión inicial</w:t>
            </w:r>
          </w:p>
        </w:tc>
        <w:tc>
          <w:tcPr>
            <w:tcW w:w="481" w:type="pct"/>
            <w:tcBorders>
              <w:top w:val="single" w:sz="4" w:space="0" w:color="auto"/>
              <w:left w:val="nil"/>
              <w:bottom w:val="single" w:sz="4" w:space="0" w:color="auto"/>
              <w:right w:val="nil"/>
            </w:tcBorders>
            <w:shd w:val="clear" w:color="auto" w:fill="FABF8F" w:themeFill="accent6" w:themeFillTint="99"/>
            <w:vAlign w:val="center"/>
            <w:hideMark/>
          </w:tcPr>
          <w:p w:rsidR="0061242D" w:rsidRPr="0027458F" w:rsidRDefault="0061242D" w:rsidP="0027458F">
            <w:pPr>
              <w:spacing w:after="0"/>
              <w:ind w:firstLine="0"/>
              <w:jc w:val="right"/>
              <w:rPr>
                <w:rFonts w:ascii="Arial" w:hAnsi="Arial" w:cs="Arial"/>
                <w:color w:val="000000"/>
                <w:sz w:val="15"/>
                <w:szCs w:val="15"/>
                <w:lang w:val="es-ES" w:eastAsia="es-ES"/>
              </w:rPr>
            </w:pPr>
            <w:proofErr w:type="spellStart"/>
            <w:r w:rsidRPr="0027458F">
              <w:rPr>
                <w:rFonts w:ascii="Arial" w:hAnsi="Arial" w:cs="Arial"/>
                <w:color w:val="000000"/>
                <w:sz w:val="15"/>
                <w:szCs w:val="15"/>
                <w:lang w:val="es-ES" w:eastAsia="es-ES"/>
              </w:rPr>
              <w:t>Modif</w:t>
            </w:r>
            <w:r w:rsidR="008904EF" w:rsidRPr="0027458F">
              <w:rPr>
                <w:rFonts w:ascii="Arial" w:hAnsi="Arial" w:cs="Arial"/>
                <w:color w:val="000000"/>
                <w:sz w:val="15"/>
                <w:szCs w:val="15"/>
                <w:lang w:val="es-ES" w:eastAsia="es-ES"/>
              </w:rPr>
              <w:t>ic</w:t>
            </w:r>
            <w:r w:rsidR="0027458F" w:rsidRPr="0027458F">
              <w:rPr>
                <w:rFonts w:ascii="Arial" w:hAnsi="Arial" w:cs="Arial"/>
                <w:color w:val="000000"/>
                <w:sz w:val="15"/>
                <w:szCs w:val="15"/>
                <w:lang w:val="es-ES" w:eastAsia="es-ES"/>
              </w:rPr>
              <w:t>s</w:t>
            </w:r>
            <w:proofErr w:type="spellEnd"/>
            <w:r w:rsidR="008904EF" w:rsidRPr="0027458F">
              <w:rPr>
                <w:rFonts w:ascii="Arial" w:hAnsi="Arial" w:cs="Arial"/>
                <w:color w:val="000000"/>
                <w:sz w:val="15"/>
                <w:szCs w:val="15"/>
                <w:lang w:val="es-ES" w:eastAsia="es-ES"/>
              </w:rPr>
              <w:t>.</w:t>
            </w:r>
          </w:p>
        </w:tc>
        <w:tc>
          <w:tcPr>
            <w:tcW w:w="481" w:type="pct"/>
            <w:tcBorders>
              <w:top w:val="single" w:sz="4" w:space="0" w:color="auto"/>
              <w:left w:val="nil"/>
              <w:bottom w:val="single" w:sz="4" w:space="0" w:color="auto"/>
              <w:right w:val="nil"/>
            </w:tcBorders>
            <w:shd w:val="clear" w:color="auto" w:fill="FABF8F" w:themeFill="accent6" w:themeFillTint="99"/>
            <w:vAlign w:val="center"/>
            <w:hideMark/>
          </w:tcPr>
          <w:p w:rsidR="0061242D" w:rsidRPr="0027458F" w:rsidRDefault="0061242D" w:rsidP="0027458F">
            <w:pPr>
              <w:spacing w:after="0"/>
              <w:ind w:firstLine="0"/>
              <w:jc w:val="right"/>
              <w:rPr>
                <w:rFonts w:ascii="Arial" w:hAnsi="Arial" w:cs="Arial"/>
                <w:color w:val="000000"/>
                <w:sz w:val="15"/>
                <w:szCs w:val="15"/>
                <w:lang w:val="es-ES" w:eastAsia="es-ES"/>
              </w:rPr>
            </w:pPr>
            <w:r w:rsidRPr="0027458F">
              <w:rPr>
                <w:rFonts w:ascii="Arial" w:hAnsi="Arial" w:cs="Arial"/>
                <w:color w:val="000000"/>
                <w:sz w:val="15"/>
                <w:szCs w:val="15"/>
                <w:lang w:val="es-ES" w:eastAsia="es-ES"/>
              </w:rPr>
              <w:t>Previsión definitiva</w:t>
            </w:r>
          </w:p>
        </w:tc>
        <w:tc>
          <w:tcPr>
            <w:tcW w:w="607" w:type="pct"/>
            <w:tcBorders>
              <w:top w:val="single" w:sz="4" w:space="0" w:color="auto"/>
              <w:left w:val="nil"/>
              <w:bottom w:val="single" w:sz="4" w:space="0" w:color="auto"/>
              <w:right w:val="nil"/>
            </w:tcBorders>
            <w:shd w:val="clear" w:color="auto" w:fill="FABF8F" w:themeFill="accent6" w:themeFillTint="99"/>
            <w:vAlign w:val="center"/>
            <w:hideMark/>
          </w:tcPr>
          <w:p w:rsidR="0061242D" w:rsidRPr="0027458F" w:rsidRDefault="0061242D" w:rsidP="0027458F">
            <w:pPr>
              <w:spacing w:after="0"/>
              <w:ind w:firstLine="0"/>
              <w:jc w:val="right"/>
              <w:rPr>
                <w:rFonts w:ascii="Arial" w:hAnsi="Arial" w:cs="Arial"/>
                <w:color w:val="000000"/>
                <w:sz w:val="15"/>
                <w:szCs w:val="15"/>
                <w:lang w:val="es-ES" w:eastAsia="es-ES"/>
              </w:rPr>
            </w:pPr>
            <w:r w:rsidRPr="0027458F">
              <w:rPr>
                <w:rFonts w:ascii="Arial" w:hAnsi="Arial" w:cs="Arial"/>
                <w:color w:val="000000"/>
                <w:sz w:val="15"/>
                <w:szCs w:val="15"/>
                <w:lang w:val="es-ES" w:eastAsia="es-ES"/>
              </w:rPr>
              <w:t xml:space="preserve">Derechos </w:t>
            </w:r>
            <w:r w:rsidR="0027458F">
              <w:rPr>
                <w:rFonts w:ascii="Arial" w:hAnsi="Arial" w:cs="Arial"/>
                <w:color w:val="000000"/>
                <w:sz w:val="15"/>
                <w:szCs w:val="15"/>
                <w:lang w:val="es-ES" w:eastAsia="es-ES"/>
              </w:rPr>
              <w:t xml:space="preserve">    </w:t>
            </w:r>
            <w:r w:rsidRPr="0027458F">
              <w:rPr>
                <w:rFonts w:ascii="Arial" w:hAnsi="Arial" w:cs="Arial"/>
                <w:color w:val="000000"/>
                <w:sz w:val="15"/>
                <w:szCs w:val="15"/>
                <w:lang w:val="es-ES" w:eastAsia="es-ES"/>
              </w:rPr>
              <w:t>reconocidos</w:t>
            </w:r>
          </w:p>
        </w:tc>
        <w:tc>
          <w:tcPr>
            <w:tcW w:w="478" w:type="pct"/>
            <w:tcBorders>
              <w:top w:val="single" w:sz="4" w:space="0" w:color="auto"/>
              <w:left w:val="nil"/>
              <w:bottom w:val="single" w:sz="4" w:space="0" w:color="auto"/>
              <w:right w:val="nil"/>
            </w:tcBorders>
            <w:shd w:val="clear" w:color="auto" w:fill="FABF8F" w:themeFill="accent6" w:themeFillTint="99"/>
            <w:vAlign w:val="center"/>
            <w:hideMark/>
          </w:tcPr>
          <w:p w:rsidR="0061242D" w:rsidRPr="0027458F" w:rsidRDefault="0061242D" w:rsidP="0027458F">
            <w:pPr>
              <w:spacing w:after="0"/>
              <w:ind w:firstLine="0"/>
              <w:jc w:val="right"/>
              <w:rPr>
                <w:rFonts w:ascii="Arial" w:hAnsi="Arial" w:cs="Arial"/>
                <w:color w:val="000000"/>
                <w:sz w:val="15"/>
                <w:szCs w:val="15"/>
                <w:lang w:val="es-ES" w:eastAsia="es-ES"/>
              </w:rPr>
            </w:pPr>
            <w:r w:rsidRPr="0027458F">
              <w:rPr>
                <w:rFonts w:ascii="Arial" w:hAnsi="Arial" w:cs="Arial"/>
                <w:color w:val="000000"/>
                <w:sz w:val="15"/>
                <w:szCs w:val="15"/>
                <w:lang w:val="es-ES" w:eastAsia="es-ES"/>
              </w:rPr>
              <w:t>Cobros</w:t>
            </w:r>
          </w:p>
        </w:tc>
        <w:tc>
          <w:tcPr>
            <w:tcW w:w="443" w:type="pct"/>
            <w:tcBorders>
              <w:top w:val="single" w:sz="4" w:space="0" w:color="auto"/>
              <w:left w:val="nil"/>
              <w:bottom w:val="single" w:sz="4" w:space="0" w:color="auto"/>
              <w:right w:val="nil"/>
            </w:tcBorders>
            <w:shd w:val="clear" w:color="auto" w:fill="FABF8F" w:themeFill="accent6" w:themeFillTint="99"/>
            <w:vAlign w:val="center"/>
            <w:hideMark/>
          </w:tcPr>
          <w:p w:rsidR="0027458F" w:rsidRDefault="0061242D" w:rsidP="0027458F">
            <w:pPr>
              <w:spacing w:after="0"/>
              <w:ind w:firstLine="0"/>
              <w:jc w:val="right"/>
              <w:rPr>
                <w:rFonts w:ascii="Arial" w:hAnsi="Arial" w:cs="Arial"/>
                <w:color w:val="000000"/>
                <w:sz w:val="15"/>
                <w:szCs w:val="15"/>
                <w:lang w:val="es-ES" w:eastAsia="es-ES"/>
              </w:rPr>
            </w:pPr>
            <w:r w:rsidRPr="0027458F">
              <w:rPr>
                <w:rFonts w:ascii="Arial" w:hAnsi="Arial" w:cs="Arial"/>
                <w:color w:val="000000"/>
                <w:sz w:val="15"/>
                <w:szCs w:val="15"/>
                <w:lang w:val="es-ES" w:eastAsia="es-ES"/>
              </w:rPr>
              <w:t xml:space="preserve">% </w:t>
            </w:r>
          </w:p>
          <w:p w:rsidR="0061242D" w:rsidRPr="0027458F" w:rsidRDefault="008904EF" w:rsidP="0027458F">
            <w:pPr>
              <w:spacing w:after="0"/>
              <w:ind w:firstLine="0"/>
              <w:jc w:val="right"/>
              <w:rPr>
                <w:rFonts w:ascii="Arial" w:hAnsi="Arial" w:cs="Arial"/>
                <w:color w:val="000000"/>
                <w:sz w:val="15"/>
                <w:szCs w:val="15"/>
                <w:lang w:val="es-ES" w:eastAsia="es-ES"/>
              </w:rPr>
            </w:pPr>
            <w:r w:rsidRPr="0027458F">
              <w:rPr>
                <w:rFonts w:ascii="Arial" w:hAnsi="Arial" w:cs="Arial"/>
                <w:color w:val="000000"/>
                <w:sz w:val="15"/>
                <w:szCs w:val="15"/>
                <w:lang w:val="es-ES" w:eastAsia="es-ES"/>
              </w:rPr>
              <w:t>E</w:t>
            </w:r>
            <w:r w:rsidR="0061242D" w:rsidRPr="0027458F">
              <w:rPr>
                <w:rFonts w:ascii="Arial" w:hAnsi="Arial" w:cs="Arial"/>
                <w:color w:val="000000"/>
                <w:sz w:val="15"/>
                <w:szCs w:val="15"/>
                <w:lang w:val="es-ES" w:eastAsia="es-ES"/>
              </w:rPr>
              <w:t>jecución</w:t>
            </w:r>
          </w:p>
        </w:tc>
        <w:tc>
          <w:tcPr>
            <w:tcW w:w="447" w:type="pct"/>
            <w:tcBorders>
              <w:top w:val="single" w:sz="4" w:space="0" w:color="auto"/>
              <w:left w:val="nil"/>
              <w:bottom w:val="single" w:sz="4" w:space="0" w:color="auto"/>
              <w:right w:val="nil"/>
            </w:tcBorders>
            <w:shd w:val="clear" w:color="auto" w:fill="FABF8F" w:themeFill="accent6" w:themeFillTint="99"/>
            <w:vAlign w:val="center"/>
            <w:hideMark/>
          </w:tcPr>
          <w:p w:rsidR="0027458F" w:rsidRDefault="0061242D" w:rsidP="0027458F">
            <w:pPr>
              <w:spacing w:after="0"/>
              <w:ind w:firstLine="0"/>
              <w:jc w:val="right"/>
              <w:rPr>
                <w:rFonts w:ascii="Arial" w:hAnsi="Arial" w:cs="Arial"/>
                <w:color w:val="000000"/>
                <w:sz w:val="15"/>
                <w:szCs w:val="15"/>
                <w:lang w:val="es-ES" w:eastAsia="es-ES"/>
              </w:rPr>
            </w:pPr>
            <w:r w:rsidRPr="0027458F">
              <w:rPr>
                <w:rFonts w:ascii="Arial" w:hAnsi="Arial" w:cs="Arial"/>
                <w:color w:val="000000"/>
                <w:sz w:val="15"/>
                <w:szCs w:val="15"/>
                <w:lang w:val="es-ES" w:eastAsia="es-ES"/>
              </w:rPr>
              <w:t xml:space="preserve">% </w:t>
            </w:r>
          </w:p>
          <w:p w:rsidR="0061242D" w:rsidRPr="0027458F" w:rsidRDefault="008904EF" w:rsidP="0027458F">
            <w:pPr>
              <w:spacing w:after="0"/>
              <w:ind w:firstLine="0"/>
              <w:jc w:val="right"/>
              <w:rPr>
                <w:rFonts w:ascii="Arial" w:hAnsi="Arial" w:cs="Arial"/>
                <w:color w:val="000000"/>
                <w:sz w:val="15"/>
                <w:szCs w:val="15"/>
                <w:lang w:val="es-ES" w:eastAsia="es-ES"/>
              </w:rPr>
            </w:pPr>
            <w:r w:rsidRPr="0027458F">
              <w:rPr>
                <w:rFonts w:ascii="Arial" w:hAnsi="Arial" w:cs="Arial"/>
                <w:color w:val="000000"/>
                <w:sz w:val="15"/>
                <w:szCs w:val="15"/>
                <w:lang w:val="es-ES" w:eastAsia="es-ES"/>
              </w:rPr>
              <w:t>C</w:t>
            </w:r>
            <w:r w:rsidR="0061242D" w:rsidRPr="0027458F">
              <w:rPr>
                <w:rFonts w:ascii="Arial" w:hAnsi="Arial" w:cs="Arial"/>
                <w:color w:val="000000"/>
                <w:sz w:val="15"/>
                <w:szCs w:val="15"/>
                <w:lang w:val="es-ES" w:eastAsia="es-ES"/>
              </w:rPr>
              <w:t>obros</w:t>
            </w:r>
          </w:p>
        </w:tc>
      </w:tr>
      <w:tr w:rsidR="0061242D" w:rsidRPr="0027458F" w:rsidTr="00B64F06">
        <w:trPr>
          <w:trHeight w:val="300"/>
          <w:jc w:val="center"/>
        </w:trPr>
        <w:tc>
          <w:tcPr>
            <w:tcW w:w="1538" w:type="pct"/>
            <w:tcBorders>
              <w:top w:val="nil"/>
              <w:left w:val="nil"/>
              <w:bottom w:val="single" w:sz="4" w:space="0" w:color="auto"/>
              <w:right w:val="nil"/>
            </w:tcBorders>
            <w:shd w:val="clear" w:color="auto" w:fill="auto"/>
            <w:vAlign w:val="center"/>
            <w:hideMark/>
          </w:tcPr>
          <w:p w:rsidR="0061242D" w:rsidRPr="0027458F" w:rsidRDefault="0061242D" w:rsidP="0061242D">
            <w:pPr>
              <w:spacing w:after="0"/>
              <w:ind w:right="167" w:firstLine="0"/>
              <w:jc w:val="lef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1. Impuestos directos</w:t>
            </w:r>
          </w:p>
        </w:tc>
        <w:tc>
          <w:tcPr>
            <w:tcW w:w="525"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4.270.100</w:t>
            </w:r>
          </w:p>
        </w:tc>
        <w:tc>
          <w:tcPr>
            <w:tcW w:w="481"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0</w:t>
            </w:r>
          </w:p>
        </w:tc>
        <w:tc>
          <w:tcPr>
            <w:tcW w:w="481"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4.270.100</w:t>
            </w:r>
          </w:p>
        </w:tc>
        <w:tc>
          <w:tcPr>
            <w:tcW w:w="607" w:type="pct"/>
            <w:tcBorders>
              <w:top w:val="nil"/>
              <w:left w:val="nil"/>
              <w:bottom w:val="single" w:sz="4" w:space="0" w:color="auto"/>
              <w:right w:val="nil"/>
            </w:tcBorders>
            <w:shd w:val="clear" w:color="auto" w:fill="auto"/>
            <w:noWrap/>
            <w:vAlign w:val="center"/>
            <w:hideMark/>
          </w:tcPr>
          <w:p w:rsidR="0061242D" w:rsidRPr="0027458F" w:rsidRDefault="0061242D" w:rsidP="00736683">
            <w:pPr>
              <w:spacing w:after="0"/>
              <w:ind w:firstLine="0"/>
              <w:jc w:val="righ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4.848.583</w:t>
            </w:r>
          </w:p>
        </w:tc>
        <w:tc>
          <w:tcPr>
            <w:tcW w:w="478" w:type="pct"/>
            <w:tcBorders>
              <w:top w:val="nil"/>
              <w:left w:val="nil"/>
              <w:bottom w:val="single" w:sz="4" w:space="0" w:color="auto"/>
              <w:right w:val="nil"/>
            </w:tcBorders>
            <w:shd w:val="clear" w:color="auto" w:fill="auto"/>
            <w:noWrap/>
            <w:vAlign w:val="center"/>
            <w:hideMark/>
          </w:tcPr>
          <w:p w:rsidR="0061242D" w:rsidRPr="0027458F" w:rsidRDefault="0061242D" w:rsidP="00736683">
            <w:pPr>
              <w:spacing w:after="0"/>
              <w:ind w:firstLine="0"/>
              <w:jc w:val="righ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4.390.246</w:t>
            </w:r>
          </w:p>
        </w:tc>
        <w:tc>
          <w:tcPr>
            <w:tcW w:w="443" w:type="pct"/>
            <w:tcBorders>
              <w:top w:val="nil"/>
              <w:left w:val="nil"/>
              <w:bottom w:val="single" w:sz="4" w:space="0" w:color="auto"/>
              <w:right w:val="nil"/>
            </w:tcBorders>
            <w:shd w:val="clear" w:color="auto" w:fill="auto"/>
            <w:noWrap/>
            <w:vAlign w:val="center"/>
            <w:hideMark/>
          </w:tcPr>
          <w:p w:rsidR="0061242D" w:rsidRPr="0027458F" w:rsidRDefault="0061242D" w:rsidP="00736683">
            <w:pPr>
              <w:spacing w:after="0"/>
              <w:ind w:firstLine="0"/>
              <w:jc w:val="righ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114</w:t>
            </w:r>
          </w:p>
        </w:tc>
        <w:tc>
          <w:tcPr>
            <w:tcW w:w="447"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91</w:t>
            </w:r>
          </w:p>
        </w:tc>
      </w:tr>
      <w:tr w:rsidR="0061242D" w:rsidRPr="0027458F" w:rsidTr="00B64F06">
        <w:trPr>
          <w:trHeight w:val="300"/>
          <w:jc w:val="center"/>
        </w:trPr>
        <w:tc>
          <w:tcPr>
            <w:tcW w:w="1538" w:type="pct"/>
            <w:tcBorders>
              <w:top w:val="nil"/>
              <w:left w:val="nil"/>
              <w:bottom w:val="single" w:sz="4" w:space="0" w:color="auto"/>
              <w:right w:val="nil"/>
            </w:tcBorders>
            <w:shd w:val="clear" w:color="auto" w:fill="auto"/>
            <w:vAlign w:val="center"/>
            <w:hideMark/>
          </w:tcPr>
          <w:p w:rsidR="0061242D" w:rsidRPr="0027458F" w:rsidRDefault="0061242D" w:rsidP="0061242D">
            <w:pPr>
              <w:spacing w:after="0"/>
              <w:ind w:right="167" w:firstLine="0"/>
              <w:jc w:val="lef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2. Impuestos indirectos</w:t>
            </w:r>
          </w:p>
        </w:tc>
        <w:tc>
          <w:tcPr>
            <w:tcW w:w="525"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520.000</w:t>
            </w:r>
          </w:p>
        </w:tc>
        <w:tc>
          <w:tcPr>
            <w:tcW w:w="481"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123.000</w:t>
            </w:r>
          </w:p>
        </w:tc>
        <w:tc>
          <w:tcPr>
            <w:tcW w:w="481"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643.000</w:t>
            </w:r>
          </w:p>
        </w:tc>
        <w:tc>
          <w:tcPr>
            <w:tcW w:w="607" w:type="pct"/>
            <w:tcBorders>
              <w:top w:val="nil"/>
              <w:left w:val="nil"/>
              <w:bottom w:val="single" w:sz="4" w:space="0" w:color="auto"/>
              <w:right w:val="nil"/>
            </w:tcBorders>
            <w:shd w:val="clear" w:color="auto" w:fill="auto"/>
            <w:noWrap/>
            <w:vAlign w:val="center"/>
            <w:hideMark/>
          </w:tcPr>
          <w:p w:rsidR="0061242D" w:rsidRPr="0027458F" w:rsidRDefault="0061242D" w:rsidP="00736683">
            <w:pPr>
              <w:spacing w:after="0"/>
              <w:ind w:firstLine="0"/>
              <w:jc w:val="righ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867.048</w:t>
            </w:r>
          </w:p>
        </w:tc>
        <w:tc>
          <w:tcPr>
            <w:tcW w:w="478" w:type="pct"/>
            <w:tcBorders>
              <w:top w:val="nil"/>
              <w:left w:val="nil"/>
              <w:bottom w:val="single" w:sz="4" w:space="0" w:color="auto"/>
              <w:right w:val="nil"/>
            </w:tcBorders>
            <w:shd w:val="clear" w:color="auto" w:fill="auto"/>
            <w:noWrap/>
            <w:vAlign w:val="center"/>
            <w:hideMark/>
          </w:tcPr>
          <w:p w:rsidR="0061242D" w:rsidRPr="0027458F" w:rsidRDefault="0061242D" w:rsidP="00736683">
            <w:pPr>
              <w:spacing w:after="0"/>
              <w:ind w:firstLine="0"/>
              <w:jc w:val="righ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823.117</w:t>
            </w:r>
          </w:p>
        </w:tc>
        <w:tc>
          <w:tcPr>
            <w:tcW w:w="443" w:type="pct"/>
            <w:tcBorders>
              <w:top w:val="nil"/>
              <w:left w:val="nil"/>
              <w:bottom w:val="single" w:sz="4" w:space="0" w:color="auto"/>
              <w:right w:val="nil"/>
            </w:tcBorders>
            <w:shd w:val="clear" w:color="auto" w:fill="auto"/>
            <w:noWrap/>
            <w:vAlign w:val="center"/>
            <w:hideMark/>
          </w:tcPr>
          <w:p w:rsidR="0061242D" w:rsidRPr="0027458F" w:rsidRDefault="0061242D" w:rsidP="00736683">
            <w:pPr>
              <w:spacing w:after="0"/>
              <w:ind w:firstLine="0"/>
              <w:jc w:val="righ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135</w:t>
            </w:r>
          </w:p>
        </w:tc>
        <w:tc>
          <w:tcPr>
            <w:tcW w:w="447"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95</w:t>
            </w:r>
          </w:p>
        </w:tc>
      </w:tr>
      <w:tr w:rsidR="0061242D" w:rsidRPr="0027458F" w:rsidTr="00B64F06">
        <w:trPr>
          <w:trHeight w:val="300"/>
          <w:jc w:val="center"/>
        </w:trPr>
        <w:tc>
          <w:tcPr>
            <w:tcW w:w="1538" w:type="pct"/>
            <w:tcBorders>
              <w:top w:val="nil"/>
              <w:left w:val="nil"/>
              <w:bottom w:val="single" w:sz="4" w:space="0" w:color="auto"/>
              <w:right w:val="nil"/>
            </w:tcBorders>
            <w:shd w:val="clear" w:color="auto" w:fill="auto"/>
            <w:vAlign w:val="center"/>
            <w:hideMark/>
          </w:tcPr>
          <w:p w:rsidR="0061242D" w:rsidRPr="0027458F" w:rsidRDefault="0061242D" w:rsidP="0027458F">
            <w:pPr>
              <w:spacing w:after="0"/>
              <w:ind w:right="167" w:firstLine="0"/>
              <w:jc w:val="lef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 xml:space="preserve">3. Tasas, precios </w:t>
            </w:r>
            <w:proofErr w:type="spellStart"/>
            <w:r w:rsidRPr="0027458F">
              <w:rPr>
                <w:rFonts w:ascii="Arial Narrow" w:hAnsi="Arial Narrow"/>
                <w:color w:val="000000"/>
                <w:sz w:val="18"/>
                <w:szCs w:val="18"/>
                <w:lang w:val="es-ES" w:eastAsia="es-ES"/>
              </w:rPr>
              <w:t>públic</w:t>
            </w:r>
            <w:proofErr w:type="spellEnd"/>
            <w:r w:rsidR="0027458F">
              <w:rPr>
                <w:rFonts w:ascii="Arial Narrow" w:hAnsi="Arial Narrow"/>
                <w:color w:val="000000"/>
                <w:sz w:val="18"/>
                <w:szCs w:val="18"/>
                <w:lang w:val="es-ES" w:eastAsia="es-ES"/>
              </w:rPr>
              <w:t xml:space="preserve">. </w:t>
            </w:r>
            <w:proofErr w:type="gramStart"/>
            <w:r w:rsidRPr="0027458F">
              <w:rPr>
                <w:rFonts w:ascii="Arial Narrow" w:hAnsi="Arial Narrow"/>
                <w:color w:val="000000"/>
                <w:sz w:val="18"/>
                <w:szCs w:val="18"/>
                <w:lang w:val="es-ES" w:eastAsia="es-ES"/>
              </w:rPr>
              <w:t>y</w:t>
            </w:r>
            <w:proofErr w:type="gramEnd"/>
            <w:r w:rsidRPr="0027458F">
              <w:rPr>
                <w:rFonts w:ascii="Arial Narrow" w:hAnsi="Arial Narrow"/>
                <w:color w:val="000000"/>
                <w:sz w:val="18"/>
                <w:szCs w:val="18"/>
                <w:lang w:val="es-ES" w:eastAsia="es-ES"/>
              </w:rPr>
              <w:t xml:space="preserve"> otros </w:t>
            </w:r>
            <w:proofErr w:type="spellStart"/>
            <w:r w:rsidRPr="0027458F">
              <w:rPr>
                <w:rFonts w:ascii="Arial Narrow" w:hAnsi="Arial Narrow"/>
                <w:color w:val="000000"/>
                <w:sz w:val="18"/>
                <w:szCs w:val="18"/>
                <w:lang w:val="es-ES" w:eastAsia="es-ES"/>
              </w:rPr>
              <w:t>ingr</w:t>
            </w:r>
            <w:proofErr w:type="spellEnd"/>
            <w:r w:rsidR="0027458F">
              <w:rPr>
                <w:rFonts w:ascii="Arial Narrow" w:hAnsi="Arial Narrow"/>
                <w:color w:val="000000"/>
                <w:sz w:val="18"/>
                <w:szCs w:val="18"/>
                <w:lang w:val="es-ES" w:eastAsia="es-ES"/>
              </w:rPr>
              <w:t>.</w:t>
            </w:r>
          </w:p>
        </w:tc>
        <w:tc>
          <w:tcPr>
            <w:tcW w:w="525"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1.628.750</w:t>
            </w:r>
          </w:p>
        </w:tc>
        <w:tc>
          <w:tcPr>
            <w:tcW w:w="481"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0</w:t>
            </w:r>
          </w:p>
        </w:tc>
        <w:tc>
          <w:tcPr>
            <w:tcW w:w="481"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1.628.750</w:t>
            </w:r>
          </w:p>
        </w:tc>
        <w:tc>
          <w:tcPr>
            <w:tcW w:w="607" w:type="pct"/>
            <w:tcBorders>
              <w:top w:val="nil"/>
              <w:left w:val="nil"/>
              <w:bottom w:val="single" w:sz="4" w:space="0" w:color="auto"/>
              <w:right w:val="nil"/>
            </w:tcBorders>
            <w:shd w:val="clear" w:color="auto" w:fill="auto"/>
            <w:noWrap/>
            <w:vAlign w:val="center"/>
            <w:hideMark/>
          </w:tcPr>
          <w:p w:rsidR="0061242D" w:rsidRPr="0027458F" w:rsidRDefault="0061242D" w:rsidP="00736683">
            <w:pPr>
              <w:spacing w:after="0"/>
              <w:ind w:firstLine="0"/>
              <w:jc w:val="righ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1.785.210</w:t>
            </w:r>
          </w:p>
        </w:tc>
        <w:tc>
          <w:tcPr>
            <w:tcW w:w="478" w:type="pct"/>
            <w:tcBorders>
              <w:top w:val="nil"/>
              <w:left w:val="nil"/>
              <w:bottom w:val="single" w:sz="4" w:space="0" w:color="auto"/>
              <w:right w:val="nil"/>
            </w:tcBorders>
            <w:shd w:val="clear" w:color="auto" w:fill="auto"/>
            <w:noWrap/>
            <w:vAlign w:val="center"/>
            <w:hideMark/>
          </w:tcPr>
          <w:p w:rsidR="0061242D" w:rsidRPr="0027458F" w:rsidRDefault="0061242D" w:rsidP="00736683">
            <w:pPr>
              <w:spacing w:after="0"/>
              <w:ind w:firstLine="0"/>
              <w:jc w:val="righ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1.600.830</w:t>
            </w:r>
          </w:p>
        </w:tc>
        <w:tc>
          <w:tcPr>
            <w:tcW w:w="443" w:type="pct"/>
            <w:tcBorders>
              <w:top w:val="nil"/>
              <w:left w:val="nil"/>
              <w:bottom w:val="single" w:sz="4" w:space="0" w:color="auto"/>
              <w:right w:val="nil"/>
            </w:tcBorders>
            <w:shd w:val="clear" w:color="auto" w:fill="auto"/>
            <w:noWrap/>
            <w:vAlign w:val="center"/>
            <w:hideMark/>
          </w:tcPr>
          <w:p w:rsidR="0061242D" w:rsidRPr="0027458F" w:rsidRDefault="0061242D" w:rsidP="00736683">
            <w:pPr>
              <w:spacing w:after="0"/>
              <w:ind w:firstLine="0"/>
              <w:jc w:val="righ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110</w:t>
            </w:r>
          </w:p>
        </w:tc>
        <w:tc>
          <w:tcPr>
            <w:tcW w:w="447"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90</w:t>
            </w:r>
          </w:p>
        </w:tc>
      </w:tr>
      <w:tr w:rsidR="0061242D" w:rsidRPr="0027458F" w:rsidTr="00B64F06">
        <w:trPr>
          <w:trHeight w:val="300"/>
          <w:jc w:val="center"/>
        </w:trPr>
        <w:tc>
          <w:tcPr>
            <w:tcW w:w="1538" w:type="pct"/>
            <w:tcBorders>
              <w:top w:val="nil"/>
              <w:left w:val="nil"/>
              <w:bottom w:val="single" w:sz="4" w:space="0" w:color="auto"/>
              <w:right w:val="nil"/>
            </w:tcBorders>
            <w:shd w:val="clear" w:color="auto" w:fill="auto"/>
            <w:vAlign w:val="center"/>
            <w:hideMark/>
          </w:tcPr>
          <w:p w:rsidR="0061242D" w:rsidRPr="0027458F" w:rsidRDefault="0061242D" w:rsidP="0061242D">
            <w:pPr>
              <w:spacing w:after="0"/>
              <w:ind w:right="167" w:firstLine="0"/>
              <w:jc w:val="lef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4. Transferencia corrientes</w:t>
            </w:r>
          </w:p>
        </w:tc>
        <w:tc>
          <w:tcPr>
            <w:tcW w:w="525"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5.492.900</w:t>
            </w:r>
          </w:p>
        </w:tc>
        <w:tc>
          <w:tcPr>
            <w:tcW w:w="481"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0</w:t>
            </w:r>
          </w:p>
        </w:tc>
        <w:tc>
          <w:tcPr>
            <w:tcW w:w="481"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5.492.900</w:t>
            </w:r>
          </w:p>
        </w:tc>
        <w:tc>
          <w:tcPr>
            <w:tcW w:w="607" w:type="pct"/>
            <w:tcBorders>
              <w:top w:val="nil"/>
              <w:left w:val="nil"/>
              <w:bottom w:val="single" w:sz="4" w:space="0" w:color="auto"/>
              <w:right w:val="nil"/>
            </w:tcBorders>
            <w:shd w:val="clear" w:color="auto" w:fill="auto"/>
            <w:noWrap/>
            <w:vAlign w:val="center"/>
            <w:hideMark/>
          </w:tcPr>
          <w:p w:rsidR="0061242D" w:rsidRPr="0027458F" w:rsidRDefault="0061242D" w:rsidP="00736683">
            <w:pPr>
              <w:spacing w:after="0"/>
              <w:ind w:firstLine="0"/>
              <w:jc w:val="righ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5.616.877</w:t>
            </w:r>
          </w:p>
        </w:tc>
        <w:tc>
          <w:tcPr>
            <w:tcW w:w="478" w:type="pct"/>
            <w:tcBorders>
              <w:top w:val="nil"/>
              <w:left w:val="nil"/>
              <w:bottom w:val="single" w:sz="4" w:space="0" w:color="auto"/>
              <w:right w:val="nil"/>
            </w:tcBorders>
            <w:shd w:val="clear" w:color="auto" w:fill="auto"/>
            <w:noWrap/>
            <w:vAlign w:val="center"/>
            <w:hideMark/>
          </w:tcPr>
          <w:p w:rsidR="0061242D" w:rsidRPr="0027458F" w:rsidRDefault="0061242D" w:rsidP="00736683">
            <w:pPr>
              <w:spacing w:after="0"/>
              <w:ind w:firstLine="0"/>
              <w:jc w:val="righ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5.615.608</w:t>
            </w:r>
          </w:p>
        </w:tc>
        <w:tc>
          <w:tcPr>
            <w:tcW w:w="443" w:type="pct"/>
            <w:tcBorders>
              <w:top w:val="nil"/>
              <w:left w:val="nil"/>
              <w:bottom w:val="single" w:sz="4" w:space="0" w:color="auto"/>
              <w:right w:val="nil"/>
            </w:tcBorders>
            <w:shd w:val="clear" w:color="auto" w:fill="auto"/>
            <w:noWrap/>
            <w:vAlign w:val="center"/>
            <w:hideMark/>
          </w:tcPr>
          <w:p w:rsidR="0061242D" w:rsidRPr="0027458F" w:rsidRDefault="0061242D" w:rsidP="00736683">
            <w:pPr>
              <w:spacing w:after="0"/>
              <w:ind w:firstLine="0"/>
              <w:jc w:val="righ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102</w:t>
            </w:r>
          </w:p>
        </w:tc>
        <w:tc>
          <w:tcPr>
            <w:tcW w:w="447"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100</w:t>
            </w:r>
          </w:p>
        </w:tc>
      </w:tr>
      <w:tr w:rsidR="0061242D" w:rsidRPr="0027458F" w:rsidTr="00B64F06">
        <w:trPr>
          <w:trHeight w:val="301"/>
          <w:jc w:val="center"/>
        </w:trPr>
        <w:tc>
          <w:tcPr>
            <w:tcW w:w="1538" w:type="pct"/>
            <w:tcBorders>
              <w:top w:val="nil"/>
              <w:left w:val="nil"/>
              <w:bottom w:val="single" w:sz="4" w:space="0" w:color="auto"/>
              <w:right w:val="nil"/>
            </w:tcBorders>
            <w:shd w:val="clear" w:color="auto" w:fill="auto"/>
            <w:vAlign w:val="center"/>
            <w:hideMark/>
          </w:tcPr>
          <w:p w:rsidR="0061242D" w:rsidRPr="0027458F" w:rsidRDefault="0061242D" w:rsidP="0027458F">
            <w:pPr>
              <w:spacing w:after="0"/>
              <w:ind w:right="167" w:firstLine="0"/>
              <w:jc w:val="lef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 xml:space="preserve">5. </w:t>
            </w:r>
            <w:proofErr w:type="spellStart"/>
            <w:r w:rsidRPr="0027458F">
              <w:rPr>
                <w:rFonts w:ascii="Arial Narrow" w:hAnsi="Arial Narrow"/>
                <w:color w:val="000000"/>
                <w:sz w:val="18"/>
                <w:szCs w:val="18"/>
                <w:lang w:val="es-ES" w:eastAsia="es-ES"/>
              </w:rPr>
              <w:t>Ingr</w:t>
            </w:r>
            <w:proofErr w:type="spellEnd"/>
            <w:r w:rsidR="0027458F">
              <w:rPr>
                <w:rFonts w:ascii="Arial Narrow" w:hAnsi="Arial Narrow"/>
                <w:color w:val="000000"/>
                <w:sz w:val="18"/>
                <w:szCs w:val="18"/>
                <w:lang w:val="es-ES" w:eastAsia="es-ES"/>
              </w:rPr>
              <w:t>.</w:t>
            </w:r>
            <w:r w:rsidRPr="0027458F">
              <w:rPr>
                <w:rFonts w:ascii="Arial Narrow" w:hAnsi="Arial Narrow"/>
                <w:color w:val="000000"/>
                <w:sz w:val="18"/>
                <w:szCs w:val="18"/>
                <w:lang w:val="es-ES" w:eastAsia="es-ES"/>
              </w:rPr>
              <w:t xml:space="preserve"> </w:t>
            </w:r>
            <w:proofErr w:type="spellStart"/>
            <w:proofErr w:type="gramStart"/>
            <w:r w:rsidR="0027458F" w:rsidRPr="0027458F">
              <w:rPr>
                <w:rFonts w:ascii="Arial Narrow" w:hAnsi="Arial Narrow"/>
                <w:color w:val="000000"/>
                <w:sz w:val="18"/>
                <w:szCs w:val="18"/>
                <w:lang w:val="es-ES" w:eastAsia="es-ES"/>
              </w:rPr>
              <w:t>patrim</w:t>
            </w:r>
            <w:proofErr w:type="spellEnd"/>
            <w:proofErr w:type="gramEnd"/>
            <w:r w:rsidR="0027458F">
              <w:rPr>
                <w:rFonts w:ascii="Arial Narrow" w:hAnsi="Arial Narrow"/>
                <w:color w:val="000000"/>
                <w:sz w:val="18"/>
                <w:szCs w:val="18"/>
                <w:lang w:val="es-ES" w:eastAsia="es-ES"/>
              </w:rPr>
              <w:t>.</w:t>
            </w:r>
            <w:r w:rsidRPr="0027458F">
              <w:rPr>
                <w:rFonts w:ascii="Arial Narrow" w:hAnsi="Arial Narrow"/>
                <w:color w:val="000000"/>
                <w:sz w:val="18"/>
                <w:szCs w:val="18"/>
                <w:lang w:val="es-ES" w:eastAsia="es-ES"/>
              </w:rPr>
              <w:t xml:space="preserve"> </w:t>
            </w:r>
            <w:proofErr w:type="gramStart"/>
            <w:r w:rsidRPr="0027458F">
              <w:rPr>
                <w:rFonts w:ascii="Arial Narrow" w:hAnsi="Arial Narrow"/>
                <w:color w:val="000000"/>
                <w:sz w:val="18"/>
                <w:szCs w:val="18"/>
                <w:lang w:val="es-ES" w:eastAsia="es-ES"/>
              </w:rPr>
              <w:t>y</w:t>
            </w:r>
            <w:proofErr w:type="gramEnd"/>
            <w:r w:rsidRPr="0027458F">
              <w:rPr>
                <w:rFonts w:ascii="Arial Narrow" w:hAnsi="Arial Narrow"/>
                <w:color w:val="000000"/>
                <w:sz w:val="18"/>
                <w:szCs w:val="18"/>
                <w:lang w:val="es-ES" w:eastAsia="es-ES"/>
              </w:rPr>
              <w:t xml:space="preserve"> </w:t>
            </w:r>
            <w:proofErr w:type="spellStart"/>
            <w:r w:rsidRPr="0027458F">
              <w:rPr>
                <w:rFonts w:ascii="Arial Narrow" w:hAnsi="Arial Narrow"/>
                <w:color w:val="000000"/>
                <w:sz w:val="18"/>
                <w:szCs w:val="18"/>
                <w:lang w:val="es-ES" w:eastAsia="es-ES"/>
              </w:rPr>
              <w:t>aprov</w:t>
            </w:r>
            <w:proofErr w:type="spellEnd"/>
            <w:r w:rsidR="0027458F">
              <w:rPr>
                <w:rFonts w:ascii="Arial Narrow" w:hAnsi="Arial Narrow"/>
                <w:color w:val="000000"/>
                <w:sz w:val="18"/>
                <w:szCs w:val="18"/>
                <w:lang w:val="es-ES" w:eastAsia="es-ES"/>
              </w:rPr>
              <w:t>.</w:t>
            </w:r>
            <w:r w:rsidRPr="0027458F">
              <w:rPr>
                <w:rFonts w:ascii="Arial Narrow" w:hAnsi="Arial Narrow"/>
                <w:color w:val="000000"/>
                <w:sz w:val="18"/>
                <w:szCs w:val="18"/>
                <w:lang w:val="es-ES" w:eastAsia="es-ES"/>
              </w:rPr>
              <w:t xml:space="preserve"> comunales</w:t>
            </w:r>
          </w:p>
        </w:tc>
        <w:tc>
          <w:tcPr>
            <w:tcW w:w="525"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948.200</w:t>
            </w:r>
          </w:p>
        </w:tc>
        <w:tc>
          <w:tcPr>
            <w:tcW w:w="481"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1.179.500</w:t>
            </w:r>
          </w:p>
        </w:tc>
        <w:tc>
          <w:tcPr>
            <w:tcW w:w="481"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2.127.700</w:t>
            </w:r>
          </w:p>
        </w:tc>
        <w:tc>
          <w:tcPr>
            <w:tcW w:w="607" w:type="pct"/>
            <w:tcBorders>
              <w:top w:val="nil"/>
              <w:left w:val="nil"/>
              <w:bottom w:val="single" w:sz="4" w:space="0" w:color="auto"/>
              <w:right w:val="nil"/>
            </w:tcBorders>
            <w:shd w:val="clear" w:color="auto" w:fill="auto"/>
            <w:noWrap/>
            <w:vAlign w:val="center"/>
            <w:hideMark/>
          </w:tcPr>
          <w:p w:rsidR="0061242D" w:rsidRPr="0027458F" w:rsidRDefault="0061242D" w:rsidP="00736683">
            <w:pPr>
              <w:spacing w:after="0"/>
              <w:ind w:firstLine="0"/>
              <w:jc w:val="righ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1.071.117</w:t>
            </w:r>
          </w:p>
        </w:tc>
        <w:tc>
          <w:tcPr>
            <w:tcW w:w="478" w:type="pct"/>
            <w:tcBorders>
              <w:top w:val="nil"/>
              <w:left w:val="nil"/>
              <w:bottom w:val="single" w:sz="4" w:space="0" w:color="auto"/>
              <w:right w:val="nil"/>
            </w:tcBorders>
            <w:shd w:val="clear" w:color="auto" w:fill="auto"/>
            <w:noWrap/>
            <w:vAlign w:val="center"/>
            <w:hideMark/>
          </w:tcPr>
          <w:p w:rsidR="0061242D" w:rsidRPr="0027458F" w:rsidRDefault="0061242D" w:rsidP="00736683">
            <w:pPr>
              <w:spacing w:after="0"/>
              <w:ind w:firstLine="0"/>
              <w:jc w:val="righ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97.645</w:t>
            </w:r>
          </w:p>
        </w:tc>
        <w:tc>
          <w:tcPr>
            <w:tcW w:w="443" w:type="pct"/>
            <w:tcBorders>
              <w:top w:val="nil"/>
              <w:left w:val="nil"/>
              <w:bottom w:val="single" w:sz="4" w:space="0" w:color="auto"/>
              <w:right w:val="nil"/>
            </w:tcBorders>
            <w:shd w:val="clear" w:color="auto" w:fill="auto"/>
            <w:noWrap/>
            <w:vAlign w:val="center"/>
            <w:hideMark/>
          </w:tcPr>
          <w:p w:rsidR="0061242D" w:rsidRPr="0027458F" w:rsidRDefault="0061242D" w:rsidP="00736683">
            <w:pPr>
              <w:spacing w:after="0"/>
              <w:ind w:firstLine="0"/>
              <w:jc w:val="righ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50</w:t>
            </w:r>
          </w:p>
        </w:tc>
        <w:tc>
          <w:tcPr>
            <w:tcW w:w="447"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9</w:t>
            </w:r>
          </w:p>
        </w:tc>
      </w:tr>
      <w:tr w:rsidR="0061242D" w:rsidRPr="0027458F" w:rsidTr="00B64F06">
        <w:trPr>
          <w:trHeight w:val="300"/>
          <w:jc w:val="center"/>
        </w:trPr>
        <w:tc>
          <w:tcPr>
            <w:tcW w:w="1538" w:type="pct"/>
            <w:tcBorders>
              <w:top w:val="nil"/>
              <w:left w:val="nil"/>
              <w:bottom w:val="single" w:sz="4" w:space="0" w:color="auto"/>
              <w:right w:val="nil"/>
            </w:tcBorders>
            <w:shd w:val="clear" w:color="auto" w:fill="auto"/>
            <w:vAlign w:val="center"/>
            <w:hideMark/>
          </w:tcPr>
          <w:p w:rsidR="0061242D" w:rsidRPr="0027458F" w:rsidRDefault="0061242D" w:rsidP="0061242D">
            <w:pPr>
              <w:spacing w:after="0"/>
              <w:ind w:right="167" w:firstLine="0"/>
              <w:jc w:val="lef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6. Enajenación de inversiones reales</w:t>
            </w:r>
          </w:p>
        </w:tc>
        <w:tc>
          <w:tcPr>
            <w:tcW w:w="525"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102.000</w:t>
            </w:r>
          </w:p>
        </w:tc>
        <w:tc>
          <w:tcPr>
            <w:tcW w:w="481"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0</w:t>
            </w:r>
          </w:p>
        </w:tc>
        <w:tc>
          <w:tcPr>
            <w:tcW w:w="481"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102.000</w:t>
            </w:r>
          </w:p>
        </w:tc>
        <w:tc>
          <w:tcPr>
            <w:tcW w:w="607" w:type="pct"/>
            <w:tcBorders>
              <w:top w:val="nil"/>
              <w:left w:val="nil"/>
              <w:bottom w:val="single" w:sz="4" w:space="0" w:color="auto"/>
              <w:right w:val="nil"/>
            </w:tcBorders>
            <w:shd w:val="clear" w:color="auto" w:fill="auto"/>
            <w:noWrap/>
            <w:vAlign w:val="center"/>
            <w:hideMark/>
          </w:tcPr>
          <w:p w:rsidR="0061242D" w:rsidRPr="0027458F" w:rsidRDefault="0061242D" w:rsidP="00736683">
            <w:pPr>
              <w:spacing w:after="0"/>
              <w:ind w:firstLine="0"/>
              <w:jc w:val="righ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23.521</w:t>
            </w:r>
          </w:p>
        </w:tc>
        <w:tc>
          <w:tcPr>
            <w:tcW w:w="478" w:type="pct"/>
            <w:tcBorders>
              <w:top w:val="nil"/>
              <w:left w:val="nil"/>
              <w:bottom w:val="single" w:sz="4" w:space="0" w:color="auto"/>
              <w:right w:val="nil"/>
            </w:tcBorders>
            <w:shd w:val="clear" w:color="auto" w:fill="auto"/>
            <w:noWrap/>
            <w:vAlign w:val="center"/>
            <w:hideMark/>
          </w:tcPr>
          <w:p w:rsidR="0061242D" w:rsidRPr="0027458F" w:rsidRDefault="0061242D" w:rsidP="00736683">
            <w:pPr>
              <w:spacing w:after="0"/>
              <w:ind w:firstLine="0"/>
              <w:jc w:val="righ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23.521</w:t>
            </w:r>
          </w:p>
        </w:tc>
        <w:tc>
          <w:tcPr>
            <w:tcW w:w="443" w:type="pct"/>
            <w:tcBorders>
              <w:top w:val="nil"/>
              <w:left w:val="nil"/>
              <w:bottom w:val="single" w:sz="4" w:space="0" w:color="auto"/>
              <w:right w:val="nil"/>
            </w:tcBorders>
            <w:shd w:val="clear" w:color="auto" w:fill="auto"/>
            <w:noWrap/>
            <w:vAlign w:val="center"/>
            <w:hideMark/>
          </w:tcPr>
          <w:p w:rsidR="0061242D" w:rsidRPr="0027458F" w:rsidRDefault="0061242D" w:rsidP="00736683">
            <w:pPr>
              <w:spacing w:after="0"/>
              <w:ind w:firstLine="0"/>
              <w:jc w:val="righ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23</w:t>
            </w:r>
          </w:p>
        </w:tc>
        <w:tc>
          <w:tcPr>
            <w:tcW w:w="447"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100</w:t>
            </w:r>
          </w:p>
        </w:tc>
      </w:tr>
      <w:tr w:rsidR="0061242D" w:rsidRPr="0027458F" w:rsidTr="00B64F06">
        <w:trPr>
          <w:trHeight w:val="300"/>
          <w:jc w:val="center"/>
        </w:trPr>
        <w:tc>
          <w:tcPr>
            <w:tcW w:w="1538" w:type="pct"/>
            <w:tcBorders>
              <w:top w:val="nil"/>
              <w:left w:val="nil"/>
              <w:bottom w:val="single" w:sz="4" w:space="0" w:color="auto"/>
              <w:right w:val="nil"/>
            </w:tcBorders>
            <w:shd w:val="clear" w:color="auto" w:fill="auto"/>
            <w:vAlign w:val="center"/>
            <w:hideMark/>
          </w:tcPr>
          <w:p w:rsidR="0061242D" w:rsidRPr="0027458F" w:rsidRDefault="0061242D" w:rsidP="0061242D">
            <w:pPr>
              <w:spacing w:after="0"/>
              <w:ind w:right="167" w:firstLine="0"/>
              <w:jc w:val="lef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7. Transferencias de capital</w:t>
            </w:r>
          </w:p>
        </w:tc>
        <w:tc>
          <w:tcPr>
            <w:tcW w:w="525"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835.000</w:t>
            </w:r>
          </w:p>
        </w:tc>
        <w:tc>
          <w:tcPr>
            <w:tcW w:w="481"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397.000</w:t>
            </w:r>
          </w:p>
        </w:tc>
        <w:tc>
          <w:tcPr>
            <w:tcW w:w="481"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1.232.000</w:t>
            </w:r>
          </w:p>
        </w:tc>
        <w:tc>
          <w:tcPr>
            <w:tcW w:w="607" w:type="pct"/>
            <w:tcBorders>
              <w:top w:val="nil"/>
              <w:left w:val="nil"/>
              <w:bottom w:val="single" w:sz="4" w:space="0" w:color="auto"/>
              <w:right w:val="nil"/>
            </w:tcBorders>
            <w:shd w:val="clear" w:color="auto" w:fill="auto"/>
            <w:noWrap/>
            <w:vAlign w:val="center"/>
            <w:hideMark/>
          </w:tcPr>
          <w:p w:rsidR="0061242D" w:rsidRPr="0027458F" w:rsidRDefault="0061242D" w:rsidP="00736683">
            <w:pPr>
              <w:spacing w:after="0"/>
              <w:ind w:firstLine="0"/>
              <w:jc w:val="righ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383.292</w:t>
            </w:r>
          </w:p>
        </w:tc>
        <w:tc>
          <w:tcPr>
            <w:tcW w:w="478" w:type="pct"/>
            <w:tcBorders>
              <w:top w:val="nil"/>
              <w:left w:val="nil"/>
              <w:bottom w:val="single" w:sz="4" w:space="0" w:color="auto"/>
              <w:right w:val="nil"/>
            </w:tcBorders>
            <w:shd w:val="clear" w:color="auto" w:fill="auto"/>
            <w:noWrap/>
            <w:vAlign w:val="center"/>
            <w:hideMark/>
          </w:tcPr>
          <w:p w:rsidR="0061242D" w:rsidRPr="0027458F" w:rsidRDefault="0061242D" w:rsidP="00736683">
            <w:pPr>
              <w:spacing w:after="0"/>
              <w:ind w:firstLine="0"/>
              <w:jc w:val="righ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353.353</w:t>
            </w:r>
          </w:p>
        </w:tc>
        <w:tc>
          <w:tcPr>
            <w:tcW w:w="443" w:type="pct"/>
            <w:tcBorders>
              <w:top w:val="nil"/>
              <w:left w:val="nil"/>
              <w:bottom w:val="single" w:sz="4" w:space="0" w:color="auto"/>
              <w:right w:val="nil"/>
            </w:tcBorders>
            <w:shd w:val="clear" w:color="auto" w:fill="auto"/>
            <w:noWrap/>
            <w:vAlign w:val="center"/>
            <w:hideMark/>
          </w:tcPr>
          <w:p w:rsidR="0061242D" w:rsidRPr="0027458F" w:rsidRDefault="0061242D" w:rsidP="00736683">
            <w:pPr>
              <w:spacing w:after="0"/>
              <w:ind w:firstLine="0"/>
              <w:jc w:val="righ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31</w:t>
            </w:r>
          </w:p>
        </w:tc>
        <w:tc>
          <w:tcPr>
            <w:tcW w:w="447" w:type="pct"/>
            <w:tcBorders>
              <w:top w:val="nil"/>
              <w:left w:val="nil"/>
              <w:bottom w:val="single" w:sz="4" w:space="0" w:color="auto"/>
              <w:right w:val="nil"/>
            </w:tcBorders>
            <w:shd w:val="clear" w:color="auto" w:fill="auto"/>
            <w:noWrap/>
            <w:vAlign w:val="center"/>
            <w:hideMark/>
          </w:tcPr>
          <w:p w:rsidR="0061242D" w:rsidRPr="0027458F" w:rsidRDefault="0061242D" w:rsidP="0061242D">
            <w:pPr>
              <w:spacing w:after="0"/>
              <w:ind w:firstLine="0"/>
              <w:jc w:val="right"/>
              <w:rPr>
                <w:rFonts w:ascii="Arial Narrow" w:hAnsi="Arial Narrow"/>
                <w:color w:val="000000"/>
                <w:sz w:val="18"/>
                <w:szCs w:val="18"/>
                <w:lang w:val="es-ES" w:eastAsia="es-ES"/>
              </w:rPr>
            </w:pPr>
            <w:r w:rsidRPr="0027458F">
              <w:rPr>
                <w:rFonts w:ascii="Arial Narrow" w:hAnsi="Arial Narrow"/>
                <w:color w:val="000000"/>
                <w:sz w:val="18"/>
                <w:szCs w:val="18"/>
                <w:lang w:val="es-ES" w:eastAsia="es-ES"/>
              </w:rPr>
              <w:t>92</w:t>
            </w:r>
          </w:p>
        </w:tc>
      </w:tr>
      <w:tr w:rsidR="0061242D" w:rsidRPr="0061242D" w:rsidTr="00B64F06">
        <w:trPr>
          <w:trHeight w:val="300"/>
          <w:jc w:val="center"/>
        </w:trPr>
        <w:tc>
          <w:tcPr>
            <w:tcW w:w="1538" w:type="pct"/>
            <w:tcBorders>
              <w:top w:val="nil"/>
              <w:left w:val="nil"/>
              <w:bottom w:val="single" w:sz="4" w:space="0" w:color="auto"/>
              <w:right w:val="nil"/>
            </w:tcBorders>
            <w:shd w:val="clear" w:color="auto" w:fill="auto"/>
            <w:vAlign w:val="center"/>
            <w:hideMark/>
          </w:tcPr>
          <w:p w:rsidR="0061242D" w:rsidRPr="00736683" w:rsidRDefault="0061242D" w:rsidP="0061242D">
            <w:pPr>
              <w:spacing w:after="0"/>
              <w:ind w:right="167" w:firstLine="0"/>
              <w:jc w:val="left"/>
              <w:rPr>
                <w:rFonts w:ascii="Arial Narrow" w:hAnsi="Arial Narrow"/>
                <w:color w:val="000000"/>
                <w:lang w:val="es-ES" w:eastAsia="es-ES"/>
              </w:rPr>
            </w:pPr>
            <w:r w:rsidRPr="00736683">
              <w:rPr>
                <w:rFonts w:ascii="Arial Narrow" w:hAnsi="Arial Narrow"/>
                <w:color w:val="000000"/>
                <w:lang w:val="es-ES" w:eastAsia="es-ES"/>
              </w:rPr>
              <w:t>8. Activos financieros</w:t>
            </w:r>
          </w:p>
        </w:tc>
        <w:tc>
          <w:tcPr>
            <w:tcW w:w="525" w:type="pct"/>
            <w:tcBorders>
              <w:top w:val="nil"/>
              <w:left w:val="nil"/>
              <w:bottom w:val="single" w:sz="4" w:space="0" w:color="auto"/>
              <w:right w:val="nil"/>
            </w:tcBorders>
            <w:shd w:val="clear" w:color="auto" w:fill="auto"/>
            <w:noWrap/>
            <w:vAlign w:val="center"/>
            <w:hideMark/>
          </w:tcPr>
          <w:p w:rsidR="0061242D" w:rsidRPr="00736683" w:rsidRDefault="0061242D" w:rsidP="0061242D">
            <w:pPr>
              <w:spacing w:after="0"/>
              <w:ind w:firstLine="0"/>
              <w:jc w:val="right"/>
              <w:rPr>
                <w:rFonts w:ascii="Arial Narrow" w:hAnsi="Arial Narrow"/>
                <w:color w:val="000000"/>
                <w:lang w:val="es-ES" w:eastAsia="es-ES"/>
              </w:rPr>
            </w:pPr>
            <w:r w:rsidRPr="00736683">
              <w:rPr>
                <w:rFonts w:ascii="Arial Narrow" w:hAnsi="Arial Narrow"/>
                <w:color w:val="000000"/>
                <w:lang w:val="es-ES" w:eastAsia="es-ES"/>
              </w:rPr>
              <w:t>0</w:t>
            </w:r>
          </w:p>
        </w:tc>
        <w:tc>
          <w:tcPr>
            <w:tcW w:w="481" w:type="pct"/>
            <w:tcBorders>
              <w:top w:val="nil"/>
              <w:left w:val="nil"/>
              <w:bottom w:val="single" w:sz="4" w:space="0" w:color="auto"/>
              <w:right w:val="nil"/>
            </w:tcBorders>
            <w:shd w:val="clear" w:color="auto" w:fill="auto"/>
            <w:noWrap/>
            <w:vAlign w:val="center"/>
            <w:hideMark/>
          </w:tcPr>
          <w:p w:rsidR="0061242D" w:rsidRPr="00736683" w:rsidRDefault="0061242D" w:rsidP="0061242D">
            <w:pPr>
              <w:spacing w:after="0"/>
              <w:ind w:firstLine="0"/>
              <w:jc w:val="right"/>
              <w:rPr>
                <w:rFonts w:ascii="Arial Narrow" w:hAnsi="Arial Narrow"/>
                <w:color w:val="000000"/>
                <w:lang w:val="es-ES" w:eastAsia="es-ES"/>
              </w:rPr>
            </w:pPr>
            <w:r w:rsidRPr="00736683">
              <w:rPr>
                <w:rFonts w:ascii="Arial Narrow" w:hAnsi="Arial Narrow"/>
                <w:color w:val="000000"/>
                <w:lang w:val="es-ES" w:eastAsia="es-ES"/>
              </w:rPr>
              <w:t>5.131.983</w:t>
            </w:r>
          </w:p>
        </w:tc>
        <w:tc>
          <w:tcPr>
            <w:tcW w:w="481" w:type="pct"/>
            <w:tcBorders>
              <w:top w:val="nil"/>
              <w:left w:val="nil"/>
              <w:bottom w:val="single" w:sz="4" w:space="0" w:color="auto"/>
              <w:right w:val="nil"/>
            </w:tcBorders>
            <w:shd w:val="clear" w:color="auto" w:fill="auto"/>
            <w:noWrap/>
            <w:vAlign w:val="center"/>
            <w:hideMark/>
          </w:tcPr>
          <w:p w:rsidR="0061242D" w:rsidRPr="00736683" w:rsidRDefault="0061242D" w:rsidP="0061242D">
            <w:pPr>
              <w:spacing w:after="0"/>
              <w:ind w:firstLine="0"/>
              <w:jc w:val="right"/>
              <w:rPr>
                <w:rFonts w:ascii="Arial Narrow" w:hAnsi="Arial Narrow"/>
                <w:color w:val="000000"/>
                <w:lang w:val="es-ES" w:eastAsia="es-ES"/>
              </w:rPr>
            </w:pPr>
            <w:r w:rsidRPr="00736683">
              <w:rPr>
                <w:rFonts w:ascii="Arial Narrow" w:hAnsi="Arial Narrow"/>
                <w:color w:val="000000"/>
                <w:lang w:val="es-ES" w:eastAsia="es-ES"/>
              </w:rPr>
              <w:t>5.131.983</w:t>
            </w:r>
          </w:p>
        </w:tc>
        <w:tc>
          <w:tcPr>
            <w:tcW w:w="607" w:type="pct"/>
            <w:tcBorders>
              <w:top w:val="nil"/>
              <w:left w:val="nil"/>
              <w:bottom w:val="single" w:sz="4" w:space="0" w:color="auto"/>
              <w:right w:val="nil"/>
            </w:tcBorders>
            <w:shd w:val="clear" w:color="auto" w:fill="auto"/>
            <w:noWrap/>
            <w:vAlign w:val="center"/>
            <w:hideMark/>
          </w:tcPr>
          <w:p w:rsidR="0061242D" w:rsidRPr="00736683" w:rsidRDefault="0061242D" w:rsidP="00736683">
            <w:pPr>
              <w:spacing w:after="0"/>
              <w:ind w:firstLine="0"/>
              <w:jc w:val="right"/>
              <w:rPr>
                <w:rFonts w:ascii="Arial Narrow" w:hAnsi="Arial Narrow"/>
                <w:color w:val="000000"/>
                <w:lang w:val="es-ES" w:eastAsia="es-ES"/>
              </w:rPr>
            </w:pPr>
            <w:r w:rsidRPr="00736683">
              <w:rPr>
                <w:rFonts w:ascii="Arial Narrow" w:hAnsi="Arial Narrow"/>
                <w:color w:val="000000"/>
                <w:lang w:val="es-ES" w:eastAsia="es-ES"/>
              </w:rPr>
              <w:t>0</w:t>
            </w:r>
          </w:p>
        </w:tc>
        <w:tc>
          <w:tcPr>
            <w:tcW w:w="478" w:type="pct"/>
            <w:tcBorders>
              <w:top w:val="nil"/>
              <w:left w:val="nil"/>
              <w:bottom w:val="single" w:sz="4" w:space="0" w:color="auto"/>
              <w:right w:val="nil"/>
            </w:tcBorders>
            <w:shd w:val="clear" w:color="auto" w:fill="auto"/>
            <w:noWrap/>
            <w:vAlign w:val="center"/>
            <w:hideMark/>
          </w:tcPr>
          <w:p w:rsidR="0061242D" w:rsidRPr="00736683" w:rsidRDefault="0061242D" w:rsidP="00736683">
            <w:pPr>
              <w:spacing w:after="0"/>
              <w:ind w:firstLine="0"/>
              <w:jc w:val="right"/>
              <w:rPr>
                <w:rFonts w:ascii="Arial Narrow" w:hAnsi="Arial Narrow"/>
                <w:color w:val="000000"/>
                <w:lang w:val="es-ES" w:eastAsia="es-ES"/>
              </w:rPr>
            </w:pPr>
            <w:r w:rsidRPr="00736683">
              <w:rPr>
                <w:rFonts w:ascii="Arial Narrow" w:hAnsi="Arial Narrow"/>
                <w:color w:val="000000"/>
                <w:lang w:val="es-ES" w:eastAsia="es-ES"/>
              </w:rPr>
              <w:t>0</w:t>
            </w:r>
          </w:p>
        </w:tc>
        <w:tc>
          <w:tcPr>
            <w:tcW w:w="443" w:type="pct"/>
            <w:tcBorders>
              <w:top w:val="nil"/>
              <w:left w:val="nil"/>
              <w:bottom w:val="single" w:sz="4" w:space="0" w:color="auto"/>
              <w:right w:val="nil"/>
            </w:tcBorders>
            <w:shd w:val="clear" w:color="auto" w:fill="auto"/>
            <w:noWrap/>
            <w:vAlign w:val="center"/>
            <w:hideMark/>
          </w:tcPr>
          <w:p w:rsidR="0061242D" w:rsidRPr="00736683" w:rsidRDefault="0061242D" w:rsidP="00736683">
            <w:pPr>
              <w:spacing w:after="0"/>
              <w:ind w:firstLine="0"/>
              <w:jc w:val="right"/>
              <w:rPr>
                <w:rFonts w:ascii="Arial Narrow" w:hAnsi="Arial Narrow"/>
                <w:color w:val="000000"/>
                <w:lang w:val="es-ES" w:eastAsia="es-ES"/>
              </w:rPr>
            </w:pPr>
            <w:r w:rsidRPr="00736683">
              <w:rPr>
                <w:rFonts w:ascii="Arial Narrow" w:hAnsi="Arial Narrow"/>
                <w:color w:val="000000"/>
                <w:lang w:val="es-ES" w:eastAsia="es-ES"/>
              </w:rPr>
              <w:t>0</w:t>
            </w:r>
          </w:p>
        </w:tc>
        <w:tc>
          <w:tcPr>
            <w:tcW w:w="447" w:type="pct"/>
            <w:tcBorders>
              <w:top w:val="nil"/>
              <w:left w:val="nil"/>
              <w:bottom w:val="single" w:sz="4" w:space="0" w:color="auto"/>
              <w:right w:val="nil"/>
            </w:tcBorders>
            <w:shd w:val="clear" w:color="auto" w:fill="auto"/>
            <w:noWrap/>
            <w:vAlign w:val="center"/>
            <w:hideMark/>
          </w:tcPr>
          <w:p w:rsidR="0061242D" w:rsidRPr="00736683" w:rsidRDefault="0061242D" w:rsidP="0061242D">
            <w:pPr>
              <w:spacing w:after="0"/>
              <w:ind w:firstLine="0"/>
              <w:jc w:val="right"/>
              <w:rPr>
                <w:rFonts w:ascii="Arial Narrow" w:hAnsi="Arial Narrow"/>
                <w:color w:val="000000"/>
                <w:lang w:val="es-ES" w:eastAsia="es-ES"/>
              </w:rPr>
            </w:pPr>
            <w:r w:rsidRPr="00736683">
              <w:rPr>
                <w:rFonts w:ascii="Arial Narrow" w:hAnsi="Arial Narrow"/>
                <w:color w:val="000000"/>
                <w:lang w:val="es-ES" w:eastAsia="es-ES"/>
              </w:rPr>
              <w:t>-</w:t>
            </w:r>
          </w:p>
        </w:tc>
      </w:tr>
      <w:tr w:rsidR="0061242D" w:rsidRPr="0027458F" w:rsidTr="00266C34">
        <w:trPr>
          <w:trHeight w:val="300"/>
          <w:jc w:val="center"/>
        </w:trPr>
        <w:tc>
          <w:tcPr>
            <w:tcW w:w="1538" w:type="pct"/>
            <w:tcBorders>
              <w:top w:val="nil"/>
              <w:left w:val="nil"/>
              <w:bottom w:val="single" w:sz="4" w:space="0" w:color="auto"/>
              <w:right w:val="nil"/>
            </w:tcBorders>
            <w:shd w:val="clear" w:color="auto" w:fill="FABF8F" w:themeFill="accent6" w:themeFillTint="99"/>
            <w:vAlign w:val="center"/>
            <w:hideMark/>
          </w:tcPr>
          <w:p w:rsidR="0061242D" w:rsidRPr="0027458F" w:rsidRDefault="0061242D" w:rsidP="0061242D">
            <w:pPr>
              <w:spacing w:after="0"/>
              <w:ind w:right="167" w:firstLine="0"/>
              <w:jc w:val="left"/>
              <w:rPr>
                <w:rFonts w:ascii="Arial" w:hAnsi="Arial" w:cs="Arial"/>
                <w:color w:val="000000"/>
                <w:sz w:val="15"/>
                <w:szCs w:val="15"/>
                <w:lang w:val="es-ES" w:eastAsia="es-ES"/>
              </w:rPr>
            </w:pPr>
            <w:r w:rsidRPr="0027458F">
              <w:rPr>
                <w:rFonts w:ascii="Arial" w:hAnsi="Arial" w:cs="Arial"/>
                <w:color w:val="000000"/>
                <w:sz w:val="15"/>
                <w:szCs w:val="15"/>
                <w:lang w:val="es-ES" w:eastAsia="es-ES"/>
              </w:rPr>
              <w:t>Total</w:t>
            </w:r>
          </w:p>
        </w:tc>
        <w:tc>
          <w:tcPr>
            <w:tcW w:w="525" w:type="pct"/>
            <w:tcBorders>
              <w:top w:val="nil"/>
              <w:left w:val="nil"/>
              <w:bottom w:val="single" w:sz="4" w:space="0" w:color="auto"/>
              <w:right w:val="nil"/>
            </w:tcBorders>
            <w:shd w:val="clear" w:color="auto" w:fill="FABF8F" w:themeFill="accent6" w:themeFillTint="99"/>
            <w:vAlign w:val="center"/>
            <w:hideMark/>
          </w:tcPr>
          <w:p w:rsidR="0061242D" w:rsidRPr="0027458F" w:rsidRDefault="0061242D" w:rsidP="0061242D">
            <w:pPr>
              <w:spacing w:after="0"/>
              <w:ind w:firstLine="0"/>
              <w:jc w:val="right"/>
              <w:rPr>
                <w:rFonts w:ascii="Arial" w:hAnsi="Arial" w:cs="Arial"/>
                <w:color w:val="000000"/>
                <w:sz w:val="15"/>
                <w:szCs w:val="15"/>
                <w:lang w:val="es-ES" w:eastAsia="es-ES"/>
              </w:rPr>
            </w:pPr>
            <w:r w:rsidRPr="0027458F">
              <w:rPr>
                <w:rFonts w:ascii="Arial" w:hAnsi="Arial" w:cs="Arial"/>
                <w:color w:val="000000"/>
                <w:sz w:val="15"/>
                <w:szCs w:val="15"/>
                <w:lang w:val="es-ES" w:eastAsia="es-ES"/>
              </w:rPr>
              <w:t>13.796.950</w:t>
            </w:r>
          </w:p>
        </w:tc>
        <w:tc>
          <w:tcPr>
            <w:tcW w:w="481" w:type="pct"/>
            <w:tcBorders>
              <w:top w:val="nil"/>
              <w:left w:val="nil"/>
              <w:bottom w:val="single" w:sz="4" w:space="0" w:color="auto"/>
              <w:right w:val="nil"/>
            </w:tcBorders>
            <w:shd w:val="clear" w:color="auto" w:fill="FABF8F" w:themeFill="accent6" w:themeFillTint="99"/>
            <w:vAlign w:val="center"/>
            <w:hideMark/>
          </w:tcPr>
          <w:p w:rsidR="0061242D" w:rsidRPr="0027458F" w:rsidRDefault="0061242D" w:rsidP="0061242D">
            <w:pPr>
              <w:spacing w:after="0"/>
              <w:ind w:firstLine="0"/>
              <w:jc w:val="right"/>
              <w:rPr>
                <w:rFonts w:ascii="Arial" w:hAnsi="Arial" w:cs="Arial"/>
                <w:color w:val="000000"/>
                <w:sz w:val="15"/>
                <w:szCs w:val="15"/>
                <w:lang w:val="es-ES" w:eastAsia="es-ES"/>
              </w:rPr>
            </w:pPr>
            <w:r w:rsidRPr="0027458F">
              <w:rPr>
                <w:rFonts w:ascii="Arial" w:hAnsi="Arial" w:cs="Arial"/>
                <w:color w:val="000000"/>
                <w:sz w:val="15"/>
                <w:szCs w:val="15"/>
                <w:lang w:val="es-ES" w:eastAsia="es-ES"/>
              </w:rPr>
              <w:t>6.831.483</w:t>
            </w:r>
          </w:p>
        </w:tc>
        <w:tc>
          <w:tcPr>
            <w:tcW w:w="481" w:type="pct"/>
            <w:tcBorders>
              <w:top w:val="nil"/>
              <w:left w:val="nil"/>
              <w:bottom w:val="single" w:sz="4" w:space="0" w:color="auto"/>
              <w:right w:val="nil"/>
            </w:tcBorders>
            <w:shd w:val="clear" w:color="auto" w:fill="FABF8F" w:themeFill="accent6" w:themeFillTint="99"/>
            <w:vAlign w:val="center"/>
            <w:hideMark/>
          </w:tcPr>
          <w:p w:rsidR="0061242D" w:rsidRPr="0027458F" w:rsidRDefault="0061242D" w:rsidP="0061242D">
            <w:pPr>
              <w:spacing w:after="0"/>
              <w:ind w:firstLine="0"/>
              <w:jc w:val="right"/>
              <w:rPr>
                <w:rFonts w:ascii="Arial" w:hAnsi="Arial" w:cs="Arial"/>
                <w:color w:val="000000"/>
                <w:sz w:val="15"/>
                <w:szCs w:val="15"/>
                <w:lang w:val="es-ES" w:eastAsia="es-ES"/>
              </w:rPr>
            </w:pPr>
            <w:r w:rsidRPr="0027458F">
              <w:rPr>
                <w:rFonts w:ascii="Arial" w:hAnsi="Arial" w:cs="Arial"/>
                <w:color w:val="000000"/>
                <w:sz w:val="15"/>
                <w:szCs w:val="15"/>
                <w:lang w:val="es-ES" w:eastAsia="es-ES"/>
              </w:rPr>
              <w:t>20.628.433</w:t>
            </w:r>
          </w:p>
        </w:tc>
        <w:tc>
          <w:tcPr>
            <w:tcW w:w="607" w:type="pct"/>
            <w:tcBorders>
              <w:top w:val="nil"/>
              <w:left w:val="nil"/>
              <w:bottom w:val="single" w:sz="4" w:space="0" w:color="auto"/>
              <w:right w:val="nil"/>
            </w:tcBorders>
            <w:shd w:val="clear" w:color="auto" w:fill="FABF8F" w:themeFill="accent6" w:themeFillTint="99"/>
            <w:vAlign w:val="center"/>
            <w:hideMark/>
          </w:tcPr>
          <w:p w:rsidR="0061242D" w:rsidRPr="0027458F" w:rsidRDefault="0061242D" w:rsidP="0061242D">
            <w:pPr>
              <w:spacing w:after="0"/>
              <w:ind w:firstLine="0"/>
              <w:jc w:val="right"/>
              <w:rPr>
                <w:rFonts w:ascii="Arial" w:hAnsi="Arial" w:cs="Arial"/>
                <w:color w:val="000000"/>
                <w:sz w:val="15"/>
                <w:szCs w:val="15"/>
                <w:lang w:val="es-ES" w:eastAsia="es-ES"/>
              </w:rPr>
            </w:pPr>
            <w:r w:rsidRPr="0027458F">
              <w:rPr>
                <w:rFonts w:ascii="Arial" w:hAnsi="Arial" w:cs="Arial"/>
                <w:color w:val="000000"/>
                <w:sz w:val="15"/>
                <w:szCs w:val="15"/>
                <w:lang w:val="es-ES" w:eastAsia="es-ES"/>
              </w:rPr>
              <w:t>14.595.647</w:t>
            </w:r>
          </w:p>
        </w:tc>
        <w:tc>
          <w:tcPr>
            <w:tcW w:w="478" w:type="pct"/>
            <w:tcBorders>
              <w:top w:val="nil"/>
              <w:left w:val="nil"/>
              <w:bottom w:val="single" w:sz="4" w:space="0" w:color="auto"/>
              <w:right w:val="nil"/>
            </w:tcBorders>
            <w:shd w:val="clear" w:color="auto" w:fill="FABF8F" w:themeFill="accent6" w:themeFillTint="99"/>
            <w:vAlign w:val="center"/>
            <w:hideMark/>
          </w:tcPr>
          <w:p w:rsidR="0061242D" w:rsidRPr="0027458F" w:rsidRDefault="0061242D" w:rsidP="00736683">
            <w:pPr>
              <w:spacing w:after="0"/>
              <w:ind w:firstLine="0"/>
              <w:jc w:val="right"/>
              <w:rPr>
                <w:rFonts w:ascii="Arial" w:hAnsi="Arial" w:cs="Arial"/>
                <w:color w:val="000000"/>
                <w:sz w:val="15"/>
                <w:szCs w:val="15"/>
                <w:lang w:val="es-ES" w:eastAsia="es-ES"/>
              </w:rPr>
            </w:pPr>
            <w:r w:rsidRPr="0027458F">
              <w:rPr>
                <w:rFonts w:ascii="Arial" w:hAnsi="Arial" w:cs="Arial"/>
                <w:color w:val="000000"/>
                <w:sz w:val="15"/>
                <w:szCs w:val="15"/>
                <w:lang w:val="es-ES" w:eastAsia="es-ES"/>
              </w:rPr>
              <w:t>12.904.321</w:t>
            </w:r>
          </w:p>
        </w:tc>
        <w:tc>
          <w:tcPr>
            <w:tcW w:w="443" w:type="pct"/>
            <w:tcBorders>
              <w:top w:val="nil"/>
              <w:left w:val="nil"/>
              <w:bottom w:val="single" w:sz="4" w:space="0" w:color="auto"/>
              <w:right w:val="nil"/>
            </w:tcBorders>
            <w:shd w:val="clear" w:color="auto" w:fill="FABF8F" w:themeFill="accent6" w:themeFillTint="99"/>
            <w:noWrap/>
            <w:vAlign w:val="center"/>
            <w:hideMark/>
          </w:tcPr>
          <w:p w:rsidR="0061242D" w:rsidRPr="0027458F" w:rsidRDefault="0061242D" w:rsidP="00736683">
            <w:pPr>
              <w:spacing w:after="0"/>
              <w:ind w:firstLine="0"/>
              <w:jc w:val="right"/>
              <w:rPr>
                <w:rFonts w:ascii="Arial" w:hAnsi="Arial" w:cs="Arial"/>
                <w:color w:val="000000"/>
                <w:sz w:val="15"/>
                <w:szCs w:val="15"/>
                <w:lang w:val="es-ES" w:eastAsia="es-ES"/>
              </w:rPr>
            </w:pPr>
            <w:r w:rsidRPr="0027458F">
              <w:rPr>
                <w:rFonts w:ascii="Arial" w:hAnsi="Arial" w:cs="Arial"/>
                <w:color w:val="000000"/>
                <w:sz w:val="15"/>
                <w:szCs w:val="15"/>
                <w:lang w:val="es-ES" w:eastAsia="es-ES"/>
              </w:rPr>
              <w:t>71</w:t>
            </w:r>
          </w:p>
        </w:tc>
        <w:tc>
          <w:tcPr>
            <w:tcW w:w="447" w:type="pct"/>
            <w:tcBorders>
              <w:top w:val="nil"/>
              <w:left w:val="nil"/>
              <w:bottom w:val="single" w:sz="4" w:space="0" w:color="auto"/>
              <w:right w:val="nil"/>
            </w:tcBorders>
            <w:shd w:val="clear" w:color="auto" w:fill="FABF8F" w:themeFill="accent6" w:themeFillTint="99"/>
            <w:noWrap/>
            <w:vAlign w:val="center"/>
            <w:hideMark/>
          </w:tcPr>
          <w:p w:rsidR="0061242D" w:rsidRPr="0027458F" w:rsidRDefault="0061242D" w:rsidP="0061242D">
            <w:pPr>
              <w:spacing w:after="0"/>
              <w:ind w:firstLine="0"/>
              <w:jc w:val="right"/>
              <w:rPr>
                <w:rFonts w:ascii="Arial" w:hAnsi="Arial" w:cs="Arial"/>
                <w:color w:val="000000"/>
                <w:sz w:val="15"/>
                <w:szCs w:val="15"/>
                <w:lang w:val="es-ES" w:eastAsia="es-ES"/>
              </w:rPr>
            </w:pPr>
            <w:r w:rsidRPr="0027458F">
              <w:rPr>
                <w:rFonts w:ascii="Arial" w:hAnsi="Arial" w:cs="Arial"/>
                <w:color w:val="000000"/>
                <w:sz w:val="15"/>
                <w:szCs w:val="15"/>
                <w:lang w:val="es-ES" w:eastAsia="es-ES"/>
              </w:rPr>
              <w:t>88</w:t>
            </w:r>
          </w:p>
        </w:tc>
      </w:tr>
    </w:tbl>
    <w:p w:rsidR="00C00912" w:rsidRDefault="00C00912" w:rsidP="0067725A">
      <w:pPr>
        <w:pStyle w:val="CuadroTtulo"/>
        <w:spacing w:before="200" w:after="240"/>
        <w:jc w:val="center"/>
      </w:pPr>
    </w:p>
    <w:p w:rsidR="00C00912" w:rsidRDefault="00C00912" w:rsidP="0067725A">
      <w:pPr>
        <w:pStyle w:val="CuadroTtulo"/>
        <w:spacing w:before="200" w:after="240"/>
        <w:jc w:val="center"/>
      </w:pPr>
    </w:p>
    <w:p w:rsidR="00C00912" w:rsidRDefault="00C00912" w:rsidP="0067725A">
      <w:pPr>
        <w:pStyle w:val="CuadroTtulo"/>
        <w:spacing w:before="200" w:after="240"/>
        <w:jc w:val="center"/>
      </w:pPr>
    </w:p>
    <w:p w:rsidR="008C0C72" w:rsidRDefault="008C0C72" w:rsidP="0067725A">
      <w:pPr>
        <w:pStyle w:val="CuadroTtulo"/>
        <w:spacing w:before="200" w:after="240"/>
        <w:jc w:val="center"/>
      </w:pPr>
    </w:p>
    <w:p w:rsidR="008C0C72" w:rsidRDefault="008C0C72" w:rsidP="0067725A">
      <w:pPr>
        <w:pStyle w:val="CuadroTtulo"/>
        <w:spacing w:before="200" w:after="240"/>
        <w:jc w:val="center"/>
      </w:pPr>
    </w:p>
    <w:p w:rsidR="00A97105" w:rsidRDefault="00A97105">
      <w:pPr>
        <w:spacing w:after="0"/>
        <w:ind w:firstLine="0"/>
        <w:jc w:val="left"/>
        <w:rPr>
          <w:rFonts w:ascii="Arial" w:hAnsi="Arial"/>
          <w:bCs/>
          <w:iCs/>
          <w:color w:val="000000"/>
          <w:spacing w:val="2"/>
          <w:kern w:val="28"/>
          <w:sz w:val="25"/>
          <w:szCs w:val="26"/>
        </w:rPr>
      </w:pPr>
      <w:bookmarkStart w:id="58" w:name="_Toc22495437"/>
      <w:r>
        <w:rPr>
          <w:spacing w:val="2"/>
        </w:rPr>
        <w:br w:type="page"/>
      </w:r>
    </w:p>
    <w:p w:rsidR="0067725A" w:rsidRPr="00C801EE" w:rsidRDefault="0067725A" w:rsidP="00C00912">
      <w:pPr>
        <w:pStyle w:val="atitulo2"/>
        <w:spacing w:before="240"/>
        <w:rPr>
          <w:spacing w:val="2"/>
        </w:rPr>
      </w:pPr>
      <w:bookmarkStart w:id="59" w:name="_Toc50018580"/>
      <w:proofErr w:type="spellStart"/>
      <w:r w:rsidRPr="00C801EE">
        <w:rPr>
          <w:spacing w:val="2"/>
        </w:rPr>
        <w:lastRenderedPageBreak/>
        <w:t>V.2</w:t>
      </w:r>
      <w:proofErr w:type="spellEnd"/>
      <w:r w:rsidRPr="00C801EE">
        <w:rPr>
          <w:spacing w:val="2"/>
        </w:rPr>
        <w:t xml:space="preserve">. </w:t>
      </w:r>
      <w:r w:rsidR="00E47367" w:rsidRPr="00C801EE">
        <w:rPr>
          <w:spacing w:val="2"/>
        </w:rPr>
        <w:t>Resultado presupuestario</w:t>
      </w:r>
      <w:bookmarkEnd w:id="59"/>
      <w:r w:rsidRPr="00C801EE">
        <w:rPr>
          <w:spacing w:val="2"/>
        </w:rPr>
        <w:t xml:space="preserve"> </w:t>
      </w:r>
      <w:bookmarkEnd w:id="58"/>
    </w:p>
    <w:tbl>
      <w:tblPr>
        <w:tblW w:w="5000" w:type="pct"/>
        <w:tblCellMar>
          <w:left w:w="70" w:type="dxa"/>
          <w:right w:w="70" w:type="dxa"/>
        </w:tblCellMar>
        <w:tblLook w:val="04A0" w:firstRow="1" w:lastRow="0" w:firstColumn="1" w:lastColumn="0" w:noHBand="0" w:noVBand="1"/>
      </w:tblPr>
      <w:tblGrid>
        <w:gridCol w:w="3697"/>
        <w:gridCol w:w="3745"/>
        <w:gridCol w:w="1912"/>
      </w:tblGrid>
      <w:tr w:rsidR="00E47367" w:rsidRPr="00736683" w:rsidTr="00266C34">
        <w:trPr>
          <w:trHeight w:val="300"/>
        </w:trPr>
        <w:tc>
          <w:tcPr>
            <w:tcW w:w="1976" w:type="pct"/>
            <w:tcBorders>
              <w:top w:val="single" w:sz="4" w:space="0" w:color="auto"/>
              <w:left w:val="nil"/>
              <w:bottom w:val="single" w:sz="4" w:space="0" w:color="auto"/>
              <w:right w:val="nil"/>
            </w:tcBorders>
            <w:shd w:val="clear" w:color="auto" w:fill="FABF8F" w:themeFill="accent6" w:themeFillTint="99"/>
            <w:noWrap/>
            <w:vAlign w:val="center"/>
            <w:hideMark/>
          </w:tcPr>
          <w:p w:rsidR="00E47367" w:rsidRPr="00736683" w:rsidRDefault="00E47367" w:rsidP="00BC6EEE">
            <w:pPr>
              <w:spacing w:after="0"/>
              <w:ind w:firstLine="0"/>
              <w:jc w:val="left"/>
              <w:rPr>
                <w:rFonts w:ascii="Arial" w:hAnsi="Arial" w:cs="Arial"/>
                <w:color w:val="000000"/>
                <w:sz w:val="18"/>
                <w:szCs w:val="18"/>
                <w:lang w:val="es-ES" w:eastAsia="es-ES"/>
              </w:rPr>
            </w:pPr>
            <w:r w:rsidRPr="00736683">
              <w:rPr>
                <w:rFonts w:ascii="Arial" w:hAnsi="Arial" w:cs="Arial"/>
                <w:color w:val="000000"/>
                <w:sz w:val="18"/>
                <w:szCs w:val="18"/>
                <w:lang w:eastAsia="es-ES"/>
              </w:rPr>
              <w:t>Concepto</w:t>
            </w:r>
          </w:p>
        </w:tc>
        <w:tc>
          <w:tcPr>
            <w:tcW w:w="2002" w:type="pct"/>
            <w:tcBorders>
              <w:top w:val="single" w:sz="4" w:space="0" w:color="auto"/>
              <w:left w:val="nil"/>
              <w:bottom w:val="single" w:sz="4" w:space="0" w:color="auto"/>
              <w:right w:val="nil"/>
            </w:tcBorders>
            <w:shd w:val="clear" w:color="auto" w:fill="FABF8F" w:themeFill="accent6" w:themeFillTint="99"/>
            <w:noWrap/>
            <w:vAlign w:val="center"/>
            <w:hideMark/>
          </w:tcPr>
          <w:p w:rsidR="00E47367" w:rsidRPr="00736683" w:rsidRDefault="00E47367" w:rsidP="00BC6EEE">
            <w:pPr>
              <w:spacing w:after="0"/>
              <w:ind w:firstLine="0"/>
              <w:jc w:val="right"/>
              <w:rPr>
                <w:rFonts w:ascii="Arial" w:hAnsi="Arial" w:cs="Arial"/>
                <w:color w:val="000000"/>
                <w:sz w:val="18"/>
                <w:szCs w:val="18"/>
                <w:lang w:val="es-ES" w:eastAsia="es-ES"/>
              </w:rPr>
            </w:pPr>
            <w:r w:rsidRPr="00736683">
              <w:rPr>
                <w:rFonts w:ascii="Arial" w:hAnsi="Arial" w:cs="Arial"/>
                <w:color w:val="000000"/>
                <w:sz w:val="18"/>
                <w:szCs w:val="18"/>
                <w:lang w:eastAsia="es-ES"/>
              </w:rPr>
              <w:t>2018</w:t>
            </w:r>
            <w:r w:rsidR="00B92F9D" w:rsidRPr="00736683">
              <w:rPr>
                <w:rFonts w:ascii="Arial" w:hAnsi="Arial" w:cs="Arial"/>
                <w:color w:val="000000"/>
                <w:sz w:val="18"/>
                <w:szCs w:val="18"/>
                <w:lang w:eastAsia="es-ES"/>
              </w:rPr>
              <w:t>*</w:t>
            </w:r>
          </w:p>
        </w:tc>
        <w:tc>
          <w:tcPr>
            <w:tcW w:w="1022" w:type="pct"/>
            <w:tcBorders>
              <w:top w:val="single" w:sz="4" w:space="0" w:color="auto"/>
              <w:left w:val="nil"/>
              <w:bottom w:val="single" w:sz="4" w:space="0" w:color="auto"/>
              <w:right w:val="nil"/>
            </w:tcBorders>
            <w:shd w:val="clear" w:color="auto" w:fill="FABF8F" w:themeFill="accent6" w:themeFillTint="99"/>
            <w:noWrap/>
            <w:vAlign w:val="center"/>
            <w:hideMark/>
          </w:tcPr>
          <w:p w:rsidR="00E47367" w:rsidRPr="00736683" w:rsidRDefault="00E47367" w:rsidP="00BC6EEE">
            <w:pPr>
              <w:spacing w:after="0"/>
              <w:ind w:firstLine="0"/>
              <w:jc w:val="right"/>
              <w:rPr>
                <w:rFonts w:ascii="Arial" w:hAnsi="Arial" w:cs="Arial"/>
                <w:color w:val="000000"/>
                <w:sz w:val="18"/>
                <w:szCs w:val="18"/>
                <w:lang w:val="es-ES" w:eastAsia="es-ES"/>
              </w:rPr>
            </w:pPr>
            <w:r w:rsidRPr="00736683">
              <w:rPr>
                <w:rFonts w:ascii="Arial" w:hAnsi="Arial" w:cs="Arial"/>
                <w:color w:val="000000"/>
                <w:sz w:val="18"/>
                <w:szCs w:val="18"/>
                <w:lang w:eastAsia="es-ES"/>
              </w:rPr>
              <w:t>2019</w:t>
            </w:r>
          </w:p>
        </w:tc>
      </w:tr>
      <w:tr w:rsidR="00E47367" w:rsidRPr="00E47367" w:rsidTr="00BC6EEE">
        <w:trPr>
          <w:trHeight w:val="270"/>
        </w:trPr>
        <w:tc>
          <w:tcPr>
            <w:tcW w:w="1976" w:type="pct"/>
            <w:tcBorders>
              <w:top w:val="nil"/>
              <w:left w:val="nil"/>
              <w:bottom w:val="single" w:sz="4" w:space="0" w:color="auto"/>
              <w:right w:val="nil"/>
            </w:tcBorders>
            <w:shd w:val="clear" w:color="auto" w:fill="auto"/>
            <w:vAlign w:val="center"/>
            <w:hideMark/>
          </w:tcPr>
          <w:p w:rsidR="00E47367" w:rsidRPr="00E47367" w:rsidRDefault="00E47367" w:rsidP="00BC6EEE">
            <w:pPr>
              <w:spacing w:after="0"/>
              <w:ind w:firstLine="0"/>
              <w:jc w:val="left"/>
              <w:rPr>
                <w:rFonts w:ascii="Arial Narrow" w:hAnsi="Arial Narrow"/>
                <w:color w:val="000000"/>
                <w:lang w:val="es-ES" w:eastAsia="es-ES"/>
              </w:rPr>
            </w:pPr>
            <w:r w:rsidRPr="00E47367">
              <w:rPr>
                <w:rFonts w:ascii="Arial Narrow" w:hAnsi="Arial Narrow"/>
                <w:color w:val="000000"/>
                <w:lang w:eastAsia="es-ES"/>
              </w:rPr>
              <w:t>Derechos reconocidos netos</w:t>
            </w:r>
          </w:p>
        </w:tc>
        <w:tc>
          <w:tcPr>
            <w:tcW w:w="2002" w:type="pct"/>
            <w:tcBorders>
              <w:top w:val="nil"/>
              <w:left w:val="nil"/>
              <w:bottom w:val="single" w:sz="4" w:space="0" w:color="auto"/>
              <w:right w:val="nil"/>
            </w:tcBorders>
            <w:shd w:val="clear" w:color="auto" w:fill="auto"/>
            <w:vAlign w:val="center"/>
            <w:hideMark/>
          </w:tcPr>
          <w:p w:rsidR="00E47367" w:rsidRPr="00E47367" w:rsidRDefault="00E47367" w:rsidP="00BC6EEE">
            <w:pPr>
              <w:spacing w:after="0"/>
              <w:ind w:firstLine="0"/>
              <w:jc w:val="right"/>
              <w:rPr>
                <w:rFonts w:ascii="Arial Narrow" w:hAnsi="Arial Narrow"/>
                <w:color w:val="000000"/>
                <w:lang w:val="es-ES" w:eastAsia="es-ES"/>
              </w:rPr>
            </w:pPr>
            <w:r w:rsidRPr="00E47367">
              <w:rPr>
                <w:rFonts w:ascii="Arial Narrow" w:hAnsi="Arial Narrow"/>
                <w:color w:val="000000"/>
                <w:lang w:val="es-ES" w:eastAsia="es-ES"/>
              </w:rPr>
              <w:t>13.861.215</w:t>
            </w:r>
          </w:p>
        </w:tc>
        <w:tc>
          <w:tcPr>
            <w:tcW w:w="1022" w:type="pct"/>
            <w:tcBorders>
              <w:top w:val="nil"/>
              <w:left w:val="nil"/>
              <w:bottom w:val="single" w:sz="4" w:space="0" w:color="auto"/>
              <w:right w:val="nil"/>
            </w:tcBorders>
            <w:shd w:val="clear" w:color="auto" w:fill="auto"/>
            <w:vAlign w:val="center"/>
            <w:hideMark/>
          </w:tcPr>
          <w:p w:rsidR="00E47367" w:rsidRPr="00E47367" w:rsidRDefault="00E47367" w:rsidP="00BC6EEE">
            <w:pPr>
              <w:spacing w:after="0"/>
              <w:ind w:firstLine="0"/>
              <w:jc w:val="right"/>
              <w:rPr>
                <w:rFonts w:ascii="Arial Narrow" w:hAnsi="Arial Narrow"/>
                <w:color w:val="000000"/>
                <w:lang w:val="es-ES" w:eastAsia="es-ES"/>
              </w:rPr>
            </w:pPr>
            <w:r w:rsidRPr="00E47367">
              <w:rPr>
                <w:rFonts w:ascii="Arial Narrow" w:hAnsi="Arial Narrow"/>
                <w:color w:val="000000"/>
                <w:lang w:val="es-ES" w:eastAsia="es-ES"/>
              </w:rPr>
              <w:t>14.595.647</w:t>
            </w:r>
          </w:p>
        </w:tc>
      </w:tr>
      <w:tr w:rsidR="00E47367" w:rsidRPr="00E47367" w:rsidTr="00BC6EEE">
        <w:trPr>
          <w:trHeight w:val="270"/>
        </w:trPr>
        <w:tc>
          <w:tcPr>
            <w:tcW w:w="1976" w:type="pct"/>
            <w:tcBorders>
              <w:top w:val="nil"/>
              <w:left w:val="nil"/>
              <w:bottom w:val="single" w:sz="4" w:space="0" w:color="auto"/>
              <w:right w:val="nil"/>
            </w:tcBorders>
            <w:shd w:val="clear" w:color="auto" w:fill="auto"/>
            <w:vAlign w:val="center"/>
            <w:hideMark/>
          </w:tcPr>
          <w:p w:rsidR="00E47367" w:rsidRPr="00E47367" w:rsidRDefault="00E47367" w:rsidP="00BC6EEE">
            <w:pPr>
              <w:spacing w:after="0"/>
              <w:ind w:firstLine="0"/>
              <w:jc w:val="left"/>
              <w:rPr>
                <w:rFonts w:ascii="Arial Narrow" w:hAnsi="Arial Narrow"/>
                <w:color w:val="000000"/>
                <w:lang w:val="es-ES" w:eastAsia="es-ES"/>
              </w:rPr>
            </w:pPr>
            <w:r w:rsidRPr="00E47367">
              <w:rPr>
                <w:rFonts w:ascii="Arial Narrow" w:hAnsi="Arial Narrow"/>
                <w:color w:val="000000"/>
                <w:lang w:eastAsia="es-ES"/>
              </w:rPr>
              <w:t>Obligaciones reconocidas netas</w:t>
            </w:r>
          </w:p>
        </w:tc>
        <w:tc>
          <w:tcPr>
            <w:tcW w:w="2002" w:type="pct"/>
            <w:tcBorders>
              <w:top w:val="nil"/>
              <w:left w:val="nil"/>
              <w:bottom w:val="single" w:sz="4" w:space="0" w:color="auto"/>
              <w:right w:val="nil"/>
            </w:tcBorders>
            <w:shd w:val="clear" w:color="auto" w:fill="auto"/>
            <w:vAlign w:val="center"/>
            <w:hideMark/>
          </w:tcPr>
          <w:p w:rsidR="00E47367" w:rsidRPr="00E47367" w:rsidRDefault="00E47367" w:rsidP="00BC6EEE">
            <w:pPr>
              <w:spacing w:after="0"/>
              <w:ind w:firstLine="0"/>
              <w:jc w:val="right"/>
              <w:rPr>
                <w:rFonts w:ascii="Arial Narrow" w:hAnsi="Arial Narrow"/>
                <w:color w:val="000000"/>
                <w:lang w:val="es-ES" w:eastAsia="es-ES"/>
              </w:rPr>
            </w:pPr>
            <w:r w:rsidRPr="00E47367">
              <w:rPr>
                <w:rFonts w:ascii="Arial Narrow" w:hAnsi="Arial Narrow"/>
                <w:color w:val="000000"/>
                <w:lang w:val="es-ES" w:eastAsia="es-ES"/>
              </w:rPr>
              <w:t>13.690.776</w:t>
            </w:r>
          </w:p>
        </w:tc>
        <w:tc>
          <w:tcPr>
            <w:tcW w:w="1022" w:type="pct"/>
            <w:tcBorders>
              <w:top w:val="nil"/>
              <w:left w:val="nil"/>
              <w:bottom w:val="single" w:sz="4" w:space="0" w:color="auto"/>
              <w:right w:val="nil"/>
            </w:tcBorders>
            <w:shd w:val="clear" w:color="auto" w:fill="auto"/>
            <w:vAlign w:val="center"/>
            <w:hideMark/>
          </w:tcPr>
          <w:p w:rsidR="00E47367" w:rsidRPr="00E47367" w:rsidRDefault="00E47367" w:rsidP="00BC6EEE">
            <w:pPr>
              <w:spacing w:after="0"/>
              <w:ind w:firstLine="0"/>
              <w:jc w:val="right"/>
              <w:rPr>
                <w:rFonts w:ascii="Arial Narrow" w:hAnsi="Arial Narrow"/>
                <w:color w:val="000000"/>
                <w:lang w:val="es-ES" w:eastAsia="es-ES"/>
              </w:rPr>
            </w:pPr>
            <w:r w:rsidRPr="00E47367">
              <w:rPr>
                <w:rFonts w:ascii="Arial Narrow" w:hAnsi="Arial Narrow"/>
                <w:color w:val="000000"/>
                <w:lang w:val="es-ES" w:eastAsia="es-ES"/>
              </w:rPr>
              <w:t>14.770.533</w:t>
            </w:r>
          </w:p>
        </w:tc>
      </w:tr>
      <w:tr w:rsidR="00E47367" w:rsidRPr="00E47367" w:rsidTr="00BC6EEE">
        <w:trPr>
          <w:trHeight w:val="270"/>
        </w:trPr>
        <w:tc>
          <w:tcPr>
            <w:tcW w:w="1976" w:type="pct"/>
            <w:tcBorders>
              <w:top w:val="single" w:sz="4" w:space="0" w:color="auto"/>
              <w:left w:val="nil"/>
              <w:bottom w:val="single" w:sz="4" w:space="0" w:color="auto"/>
              <w:right w:val="nil"/>
            </w:tcBorders>
            <w:shd w:val="clear" w:color="auto" w:fill="auto"/>
            <w:vAlign w:val="center"/>
            <w:hideMark/>
          </w:tcPr>
          <w:p w:rsidR="00E47367" w:rsidRPr="00E47367" w:rsidRDefault="00E47367" w:rsidP="00BC6EEE">
            <w:pPr>
              <w:spacing w:after="0"/>
              <w:ind w:firstLine="0"/>
              <w:jc w:val="left"/>
              <w:rPr>
                <w:rFonts w:ascii="Arial Narrow" w:hAnsi="Arial Narrow"/>
                <w:color w:val="000000"/>
                <w:lang w:val="es-ES" w:eastAsia="es-ES"/>
              </w:rPr>
            </w:pPr>
            <w:r w:rsidRPr="00E47367">
              <w:rPr>
                <w:rFonts w:ascii="Arial Narrow" w:hAnsi="Arial Narrow" w:cs="Arial"/>
                <w:color w:val="000000"/>
                <w:lang w:eastAsia="es-ES"/>
              </w:rPr>
              <w:t>Resultado presupuestario</w:t>
            </w:r>
          </w:p>
        </w:tc>
        <w:tc>
          <w:tcPr>
            <w:tcW w:w="2002" w:type="pct"/>
            <w:tcBorders>
              <w:top w:val="single" w:sz="4" w:space="0" w:color="auto"/>
              <w:left w:val="nil"/>
              <w:bottom w:val="single" w:sz="4" w:space="0" w:color="auto"/>
              <w:right w:val="nil"/>
            </w:tcBorders>
            <w:shd w:val="clear" w:color="auto" w:fill="auto"/>
            <w:vAlign w:val="center"/>
            <w:hideMark/>
          </w:tcPr>
          <w:p w:rsidR="00E47367" w:rsidRPr="00E47367" w:rsidRDefault="00E47367" w:rsidP="00BC6EEE">
            <w:pPr>
              <w:spacing w:after="0"/>
              <w:ind w:firstLine="0"/>
              <w:jc w:val="right"/>
              <w:rPr>
                <w:rFonts w:ascii="Arial Narrow" w:hAnsi="Arial Narrow"/>
                <w:color w:val="000000"/>
                <w:lang w:val="es-ES" w:eastAsia="es-ES"/>
              </w:rPr>
            </w:pPr>
            <w:r w:rsidRPr="00E47367">
              <w:rPr>
                <w:rFonts w:ascii="Arial Narrow" w:hAnsi="Arial Narrow"/>
                <w:color w:val="000000"/>
                <w:lang w:val="es-ES" w:eastAsia="es-ES"/>
              </w:rPr>
              <w:t>170.439</w:t>
            </w:r>
          </w:p>
        </w:tc>
        <w:tc>
          <w:tcPr>
            <w:tcW w:w="1022" w:type="pct"/>
            <w:tcBorders>
              <w:top w:val="single" w:sz="4" w:space="0" w:color="auto"/>
              <w:left w:val="nil"/>
              <w:bottom w:val="single" w:sz="4" w:space="0" w:color="auto"/>
              <w:right w:val="nil"/>
            </w:tcBorders>
            <w:shd w:val="clear" w:color="auto" w:fill="auto"/>
            <w:vAlign w:val="center"/>
            <w:hideMark/>
          </w:tcPr>
          <w:p w:rsidR="00E47367" w:rsidRPr="00E47367" w:rsidRDefault="00E47367" w:rsidP="00BC6EEE">
            <w:pPr>
              <w:spacing w:after="0"/>
              <w:ind w:firstLine="0"/>
              <w:jc w:val="right"/>
              <w:rPr>
                <w:rFonts w:ascii="Arial Narrow" w:hAnsi="Arial Narrow"/>
                <w:color w:val="000000"/>
                <w:lang w:val="es-ES" w:eastAsia="es-ES"/>
              </w:rPr>
            </w:pPr>
            <w:r w:rsidRPr="00E47367">
              <w:rPr>
                <w:rFonts w:ascii="Arial Narrow" w:hAnsi="Arial Narrow"/>
                <w:color w:val="000000"/>
                <w:lang w:val="es-ES" w:eastAsia="es-ES"/>
              </w:rPr>
              <w:t>-174.886</w:t>
            </w:r>
          </w:p>
        </w:tc>
      </w:tr>
      <w:tr w:rsidR="00E47367" w:rsidRPr="00E47367" w:rsidTr="00BC6EEE">
        <w:trPr>
          <w:trHeight w:val="270"/>
        </w:trPr>
        <w:tc>
          <w:tcPr>
            <w:tcW w:w="1976" w:type="pct"/>
            <w:tcBorders>
              <w:top w:val="single" w:sz="4" w:space="0" w:color="auto"/>
              <w:left w:val="nil"/>
              <w:bottom w:val="single" w:sz="4" w:space="0" w:color="auto"/>
              <w:right w:val="nil"/>
            </w:tcBorders>
            <w:shd w:val="clear" w:color="auto" w:fill="auto"/>
            <w:vAlign w:val="center"/>
            <w:hideMark/>
          </w:tcPr>
          <w:p w:rsidR="00E47367" w:rsidRPr="00E47367" w:rsidRDefault="00E47367" w:rsidP="00BC6EEE">
            <w:pPr>
              <w:spacing w:after="0"/>
              <w:ind w:firstLine="0"/>
              <w:jc w:val="left"/>
              <w:rPr>
                <w:rFonts w:ascii="Arial Narrow" w:hAnsi="Arial Narrow"/>
                <w:color w:val="000000"/>
                <w:lang w:val="es-ES" w:eastAsia="es-ES"/>
              </w:rPr>
            </w:pPr>
            <w:r w:rsidRPr="00E47367">
              <w:rPr>
                <w:rFonts w:ascii="Arial Narrow" w:hAnsi="Arial Narrow" w:cs="Arial"/>
                <w:color w:val="000000"/>
                <w:lang w:eastAsia="es-ES"/>
              </w:rPr>
              <w:t>Ajustes</w:t>
            </w:r>
          </w:p>
        </w:tc>
        <w:tc>
          <w:tcPr>
            <w:tcW w:w="2002" w:type="pct"/>
            <w:tcBorders>
              <w:top w:val="single" w:sz="4" w:space="0" w:color="auto"/>
              <w:left w:val="nil"/>
            </w:tcBorders>
            <w:shd w:val="clear" w:color="auto" w:fill="auto"/>
            <w:vAlign w:val="center"/>
            <w:hideMark/>
          </w:tcPr>
          <w:p w:rsidR="00E47367" w:rsidRPr="00E47367" w:rsidRDefault="00E47367" w:rsidP="00BC6EEE">
            <w:pPr>
              <w:spacing w:after="0"/>
              <w:ind w:firstLine="0"/>
              <w:jc w:val="right"/>
              <w:rPr>
                <w:rFonts w:ascii="Arial Narrow" w:hAnsi="Arial Narrow"/>
                <w:color w:val="000000"/>
                <w:lang w:val="es-ES" w:eastAsia="es-ES"/>
              </w:rPr>
            </w:pPr>
            <w:r w:rsidRPr="00E47367">
              <w:rPr>
                <w:rFonts w:ascii="Arial Narrow" w:hAnsi="Arial Narrow"/>
                <w:color w:val="000000"/>
                <w:lang w:val="es-ES" w:eastAsia="es-ES"/>
              </w:rPr>
              <w:t> </w:t>
            </w:r>
          </w:p>
        </w:tc>
        <w:tc>
          <w:tcPr>
            <w:tcW w:w="1022" w:type="pct"/>
            <w:tcBorders>
              <w:top w:val="single" w:sz="4" w:space="0" w:color="auto"/>
              <w:right w:val="nil"/>
            </w:tcBorders>
            <w:shd w:val="clear" w:color="auto" w:fill="auto"/>
            <w:vAlign w:val="center"/>
            <w:hideMark/>
          </w:tcPr>
          <w:p w:rsidR="00E47367" w:rsidRPr="00E47367" w:rsidRDefault="00E47367" w:rsidP="00BC6EEE">
            <w:pPr>
              <w:spacing w:after="0"/>
              <w:ind w:firstLine="0"/>
              <w:jc w:val="right"/>
              <w:rPr>
                <w:rFonts w:ascii="Arial Narrow" w:hAnsi="Arial Narrow"/>
                <w:color w:val="000000"/>
                <w:lang w:val="es-ES" w:eastAsia="es-ES"/>
              </w:rPr>
            </w:pPr>
            <w:r w:rsidRPr="00E47367">
              <w:rPr>
                <w:rFonts w:ascii="Arial Narrow" w:hAnsi="Arial Narrow"/>
                <w:color w:val="000000"/>
                <w:lang w:val="es-ES" w:eastAsia="es-ES"/>
              </w:rPr>
              <w:t> </w:t>
            </w:r>
          </w:p>
        </w:tc>
      </w:tr>
      <w:tr w:rsidR="00E47367" w:rsidRPr="00E47367" w:rsidTr="00BC6EEE">
        <w:trPr>
          <w:trHeight w:val="270"/>
        </w:trPr>
        <w:tc>
          <w:tcPr>
            <w:tcW w:w="1976" w:type="pct"/>
            <w:tcBorders>
              <w:top w:val="nil"/>
              <w:left w:val="nil"/>
              <w:bottom w:val="single" w:sz="4" w:space="0" w:color="auto"/>
              <w:right w:val="nil"/>
            </w:tcBorders>
            <w:shd w:val="clear" w:color="auto" w:fill="auto"/>
            <w:vAlign w:val="center"/>
            <w:hideMark/>
          </w:tcPr>
          <w:p w:rsidR="00E47367" w:rsidRPr="00E47367" w:rsidRDefault="00E47367" w:rsidP="00BC6EEE">
            <w:pPr>
              <w:spacing w:after="0"/>
              <w:ind w:firstLine="0"/>
              <w:jc w:val="left"/>
              <w:rPr>
                <w:rFonts w:ascii="Arial Narrow" w:hAnsi="Arial Narrow"/>
                <w:color w:val="000000"/>
                <w:lang w:val="es-ES" w:eastAsia="es-ES"/>
              </w:rPr>
            </w:pPr>
            <w:r w:rsidRPr="00E47367">
              <w:rPr>
                <w:rFonts w:ascii="Arial Narrow" w:hAnsi="Arial Narrow"/>
                <w:color w:val="000000"/>
                <w:lang w:eastAsia="es-ES"/>
              </w:rPr>
              <w:t>Desviación financiación positiva</w:t>
            </w:r>
          </w:p>
        </w:tc>
        <w:tc>
          <w:tcPr>
            <w:tcW w:w="2002" w:type="pct"/>
            <w:tcBorders>
              <w:left w:val="nil"/>
              <w:bottom w:val="single" w:sz="4" w:space="0" w:color="auto"/>
            </w:tcBorders>
            <w:shd w:val="clear" w:color="auto" w:fill="auto"/>
            <w:vAlign w:val="center"/>
            <w:hideMark/>
          </w:tcPr>
          <w:p w:rsidR="00E47367" w:rsidRPr="00E47367" w:rsidRDefault="00E47367" w:rsidP="00BC6EEE">
            <w:pPr>
              <w:spacing w:after="0"/>
              <w:ind w:firstLine="0"/>
              <w:jc w:val="right"/>
              <w:rPr>
                <w:rFonts w:ascii="Arial Narrow" w:hAnsi="Arial Narrow"/>
                <w:color w:val="000000"/>
                <w:lang w:val="es-ES" w:eastAsia="es-ES"/>
              </w:rPr>
            </w:pPr>
            <w:r w:rsidRPr="00E47367">
              <w:rPr>
                <w:rFonts w:ascii="Arial Narrow" w:hAnsi="Arial Narrow"/>
                <w:color w:val="000000"/>
                <w:lang w:val="es-ES" w:eastAsia="es-ES"/>
              </w:rPr>
              <w:t>0</w:t>
            </w:r>
          </w:p>
        </w:tc>
        <w:tc>
          <w:tcPr>
            <w:tcW w:w="1022" w:type="pct"/>
            <w:tcBorders>
              <w:bottom w:val="single" w:sz="4" w:space="0" w:color="auto"/>
              <w:right w:val="nil"/>
            </w:tcBorders>
            <w:shd w:val="clear" w:color="auto" w:fill="auto"/>
            <w:vAlign w:val="center"/>
            <w:hideMark/>
          </w:tcPr>
          <w:p w:rsidR="00E47367" w:rsidRPr="00E47367" w:rsidRDefault="00E47367" w:rsidP="00BC6EEE">
            <w:pPr>
              <w:spacing w:after="0"/>
              <w:ind w:firstLine="0"/>
              <w:jc w:val="right"/>
              <w:rPr>
                <w:rFonts w:ascii="Arial Narrow" w:hAnsi="Arial Narrow"/>
                <w:color w:val="000000"/>
                <w:lang w:val="es-ES" w:eastAsia="es-ES"/>
              </w:rPr>
            </w:pPr>
            <w:r w:rsidRPr="00E47367">
              <w:rPr>
                <w:rFonts w:ascii="Arial Narrow" w:hAnsi="Arial Narrow"/>
                <w:color w:val="000000"/>
                <w:lang w:val="es-ES" w:eastAsia="es-ES"/>
              </w:rPr>
              <w:t>250.000</w:t>
            </w:r>
          </w:p>
        </w:tc>
      </w:tr>
      <w:tr w:rsidR="00E47367" w:rsidRPr="00E47367" w:rsidTr="00BC6EEE">
        <w:trPr>
          <w:trHeight w:val="270"/>
        </w:trPr>
        <w:tc>
          <w:tcPr>
            <w:tcW w:w="1976" w:type="pct"/>
            <w:tcBorders>
              <w:top w:val="nil"/>
              <w:left w:val="nil"/>
              <w:bottom w:val="single" w:sz="4" w:space="0" w:color="auto"/>
              <w:right w:val="nil"/>
            </w:tcBorders>
            <w:shd w:val="clear" w:color="auto" w:fill="auto"/>
            <w:vAlign w:val="center"/>
            <w:hideMark/>
          </w:tcPr>
          <w:p w:rsidR="00E47367" w:rsidRPr="00E47367" w:rsidRDefault="00E47367" w:rsidP="00BC6EEE">
            <w:pPr>
              <w:spacing w:after="0"/>
              <w:ind w:firstLine="0"/>
              <w:jc w:val="left"/>
              <w:rPr>
                <w:rFonts w:ascii="Arial Narrow" w:hAnsi="Arial Narrow"/>
                <w:color w:val="000000"/>
                <w:lang w:val="es-ES" w:eastAsia="es-ES"/>
              </w:rPr>
            </w:pPr>
            <w:r w:rsidRPr="00E47367">
              <w:rPr>
                <w:rFonts w:ascii="Arial Narrow" w:hAnsi="Arial Narrow"/>
                <w:color w:val="000000"/>
                <w:lang w:eastAsia="es-ES"/>
              </w:rPr>
              <w:t>Desviación financiación negativa</w:t>
            </w:r>
          </w:p>
        </w:tc>
        <w:tc>
          <w:tcPr>
            <w:tcW w:w="2002" w:type="pct"/>
            <w:tcBorders>
              <w:top w:val="nil"/>
              <w:left w:val="nil"/>
              <w:bottom w:val="single" w:sz="4" w:space="0" w:color="auto"/>
              <w:right w:val="nil"/>
            </w:tcBorders>
            <w:shd w:val="clear" w:color="auto" w:fill="auto"/>
            <w:vAlign w:val="center"/>
            <w:hideMark/>
          </w:tcPr>
          <w:p w:rsidR="00E47367" w:rsidRPr="00E47367" w:rsidRDefault="00E47367" w:rsidP="00BC6EEE">
            <w:pPr>
              <w:spacing w:after="0"/>
              <w:ind w:firstLine="0"/>
              <w:jc w:val="right"/>
              <w:rPr>
                <w:rFonts w:ascii="Arial Narrow" w:hAnsi="Arial Narrow"/>
                <w:color w:val="000000"/>
                <w:lang w:val="es-ES" w:eastAsia="es-ES"/>
              </w:rPr>
            </w:pPr>
            <w:r w:rsidRPr="00E47367">
              <w:rPr>
                <w:rFonts w:ascii="Arial Narrow" w:hAnsi="Arial Narrow"/>
                <w:color w:val="000000"/>
                <w:lang w:val="es-ES" w:eastAsia="es-ES"/>
              </w:rPr>
              <w:t>911.298</w:t>
            </w:r>
          </w:p>
        </w:tc>
        <w:tc>
          <w:tcPr>
            <w:tcW w:w="1022" w:type="pct"/>
            <w:tcBorders>
              <w:top w:val="nil"/>
              <w:left w:val="nil"/>
              <w:bottom w:val="single" w:sz="4" w:space="0" w:color="auto"/>
              <w:right w:val="nil"/>
            </w:tcBorders>
            <w:shd w:val="clear" w:color="auto" w:fill="auto"/>
            <w:vAlign w:val="center"/>
            <w:hideMark/>
          </w:tcPr>
          <w:p w:rsidR="00E47367" w:rsidRPr="00E47367" w:rsidRDefault="00E47367" w:rsidP="00BC6EEE">
            <w:pPr>
              <w:spacing w:after="0"/>
              <w:ind w:firstLine="0"/>
              <w:jc w:val="right"/>
              <w:rPr>
                <w:rFonts w:ascii="Arial Narrow" w:hAnsi="Arial Narrow"/>
                <w:color w:val="000000"/>
                <w:lang w:val="es-ES" w:eastAsia="es-ES"/>
              </w:rPr>
            </w:pPr>
            <w:r w:rsidRPr="00E47367">
              <w:rPr>
                <w:rFonts w:ascii="Arial Narrow" w:hAnsi="Arial Narrow"/>
                <w:color w:val="000000"/>
                <w:lang w:val="es-ES" w:eastAsia="es-ES"/>
              </w:rPr>
              <w:t>0</w:t>
            </w:r>
          </w:p>
        </w:tc>
      </w:tr>
      <w:tr w:rsidR="00E47367" w:rsidRPr="00E47367" w:rsidTr="00BC6EEE">
        <w:trPr>
          <w:trHeight w:val="270"/>
        </w:trPr>
        <w:tc>
          <w:tcPr>
            <w:tcW w:w="1976" w:type="pct"/>
            <w:tcBorders>
              <w:top w:val="nil"/>
              <w:left w:val="nil"/>
              <w:bottom w:val="single" w:sz="4" w:space="0" w:color="auto"/>
              <w:right w:val="nil"/>
            </w:tcBorders>
            <w:shd w:val="clear" w:color="auto" w:fill="auto"/>
            <w:vAlign w:val="center"/>
            <w:hideMark/>
          </w:tcPr>
          <w:p w:rsidR="00E47367" w:rsidRPr="00E47367" w:rsidRDefault="00E47367" w:rsidP="00BC6EEE">
            <w:pPr>
              <w:spacing w:after="0"/>
              <w:ind w:firstLine="0"/>
              <w:jc w:val="left"/>
              <w:rPr>
                <w:rFonts w:ascii="Arial Narrow" w:hAnsi="Arial Narrow"/>
                <w:color w:val="000000"/>
                <w:lang w:val="es-ES" w:eastAsia="es-ES"/>
              </w:rPr>
            </w:pPr>
            <w:r w:rsidRPr="00E47367">
              <w:rPr>
                <w:rFonts w:ascii="Arial Narrow" w:hAnsi="Arial Narrow"/>
                <w:color w:val="000000"/>
                <w:lang w:eastAsia="es-ES"/>
              </w:rPr>
              <w:t>Gastos financiados con remanente de tesorería</w:t>
            </w:r>
          </w:p>
        </w:tc>
        <w:tc>
          <w:tcPr>
            <w:tcW w:w="2002" w:type="pct"/>
            <w:tcBorders>
              <w:top w:val="nil"/>
              <w:left w:val="nil"/>
              <w:bottom w:val="single" w:sz="4" w:space="0" w:color="auto"/>
              <w:right w:val="nil"/>
            </w:tcBorders>
            <w:shd w:val="clear" w:color="auto" w:fill="auto"/>
            <w:vAlign w:val="center"/>
            <w:hideMark/>
          </w:tcPr>
          <w:p w:rsidR="00E47367" w:rsidRPr="00E47367" w:rsidRDefault="00E47367" w:rsidP="00BC6EEE">
            <w:pPr>
              <w:spacing w:after="0"/>
              <w:ind w:firstLine="0"/>
              <w:jc w:val="right"/>
              <w:rPr>
                <w:rFonts w:ascii="Arial Narrow" w:hAnsi="Arial Narrow"/>
                <w:color w:val="000000"/>
                <w:lang w:val="es-ES" w:eastAsia="es-ES"/>
              </w:rPr>
            </w:pPr>
            <w:r w:rsidRPr="00E47367">
              <w:rPr>
                <w:rFonts w:ascii="Arial Narrow" w:hAnsi="Arial Narrow"/>
                <w:color w:val="000000"/>
                <w:lang w:val="es-ES" w:eastAsia="es-ES"/>
              </w:rPr>
              <w:t>962.186</w:t>
            </w:r>
          </w:p>
        </w:tc>
        <w:tc>
          <w:tcPr>
            <w:tcW w:w="1022" w:type="pct"/>
            <w:tcBorders>
              <w:top w:val="nil"/>
              <w:left w:val="nil"/>
              <w:bottom w:val="single" w:sz="4" w:space="0" w:color="auto"/>
              <w:right w:val="nil"/>
            </w:tcBorders>
            <w:shd w:val="clear" w:color="auto" w:fill="auto"/>
            <w:vAlign w:val="center"/>
            <w:hideMark/>
          </w:tcPr>
          <w:p w:rsidR="00E47367" w:rsidRPr="00E47367" w:rsidRDefault="00E47367" w:rsidP="00BC6EEE">
            <w:pPr>
              <w:spacing w:after="0"/>
              <w:ind w:firstLine="0"/>
              <w:jc w:val="right"/>
              <w:rPr>
                <w:rFonts w:ascii="Arial Narrow" w:hAnsi="Arial Narrow"/>
                <w:color w:val="000000"/>
                <w:lang w:val="es-ES" w:eastAsia="es-ES"/>
              </w:rPr>
            </w:pPr>
            <w:r w:rsidRPr="00E47367">
              <w:rPr>
                <w:rFonts w:ascii="Arial Narrow" w:hAnsi="Arial Narrow"/>
                <w:color w:val="000000"/>
                <w:lang w:val="es-ES" w:eastAsia="es-ES"/>
              </w:rPr>
              <w:t>1.324.568</w:t>
            </w:r>
          </w:p>
        </w:tc>
      </w:tr>
      <w:tr w:rsidR="00E47367" w:rsidRPr="00736683" w:rsidTr="00266C34">
        <w:trPr>
          <w:trHeight w:val="300"/>
        </w:trPr>
        <w:tc>
          <w:tcPr>
            <w:tcW w:w="1976" w:type="pct"/>
            <w:tcBorders>
              <w:top w:val="nil"/>
              <w:left w:val="nil"/>
              <w:bottom w:val="single" w:sz="4" w:space="0" w:color="auto"/>
              <w:right w:val="nil"/>
            </w:tcBorders>
            <w:shd w:val="clear" w:color="auto" w:fill="FABF8F" w:themeFill="accent6" w:themeFillTint="99"/>
            <w:noWrap/>
            <w:vAlign w:val="center"/>
            <w:hideMark/>
          </w:tcPr>
          <w:p w:rsidR="00E47367" w:rsidRPr="00736683" w:rsidRDefault="00E47367" w:rsidP="00BC6EEE">
            <w:pPr>
              <w:spacing w:after="0"/>
              <w:ind w:firstLine="0"/>
              <w:jc w:val="left"/>
              <w:rPr>
                <w:rFonts w:ascii="Arial" w:hAnsi="Arial" w:cs="Arial"/>
                <w:bCs/>
                <w:color w:val="000000"/>
                <w:sz w:val="18"/>
                <w:szCs w:val="18"/>
                <w:lang w:val="es-ES" w:eastAsia="es-ES"/>
              </w:rPr>
            </w:pPr>
            <w:r w:rsidRPr="00736683">
              <w:rPr>
                <w:rFonts w:ascii="Arial" w:hAnsi="Arial" w:cs="Arial"/>
                <w:bCs/>
                <w:color w:val="000000"/>
                <w:sz w:val="18"/>
                <w:szCs w:val="18"/>
                <w:lang w:eastAsia="es-ES"/>
              </w:rPr>
              <w:t>Resultado presupuestario ajustado</w:t>
            </w:r>
          </w:p>
        </w:tc>
        <w:tc>
          <w:tcPr>
            <w:tcW w:w="2002" w:type="pct"/>
            <w:tcBorders>
              <w:top w:val="nil"/>
              <w:left w:val="nil"/>
              <w:bottom w:val="single" w:sz="4" w:space="0" w:color="auto"/>
              <w:right w:val="nil"/>
            </w:tcBorders>
            <w:shd w:val="clear" w:color="auto" w:fill="FABF8F" w:themeFill="accent6" w:themeFillTint="99"/>
            <w:noWrap/>
            <w:vAlign w:val="center"/>
            <w:hideMark/>
          </w:tcPr>
          <w:p w:rsidR="00E47367" w:rsidRPr="00736683" w:rsidRDefault="00E47367" w:rsidP="00BC6EEE">
            <w:pPr>
              <w:spacing w:after="0"/>
              <w:ind w:firstLine="0"/>
              <w:jc w:val="right"/>
              <w:rPr>
                <w:rFonts w:ascii="Arial" w:hAnsi="Arial" w:cs="Arial"/>
                <w:bCs/>
                <w:color w:val="000000"/>
                <w:sz w:val="18"/>
                <w:szCs w:val="18"/>
                <w:lang w:val="es-ES" w:eastAsia="es-ES"/>
              </w:rPr>
            </w:pPr>
            <w:r w:rsidRPr="00736683">
              <w:rPr>
                <w:rFonts w:ascii="Arial" w:hAnsi="Arial" w:cs="Arial"/>
                <w:bCs/>
                <w:color w:val="000000"/>
                <w:sz w:val="18"/>
                <w:szCs w:val="18"/>
                <w:lang w:val="es-ES" w:eastAsia="es-ES"/>
              </w:rPr>
              <w:t>2.043.923</w:t>
            </w:r>
          </w:p>
        </w:tc>
        <w:tc>
          <w:tcPr>
            <w:tcW w:w="1022" w:type="pct"/>
            <w:tcBorders>
              <w:top w:val="nil"/>
              <w:left w:val="nil"/>
              <w:bottom w:val="single" w:sz="4" w:space="0" w:color="auto"/>
              <w:right w:val="nil"/>
            </w:tcBorders>
            <w:shd w:val="clear" w:color="auto" w:fill="FABF8F" w:themeFill="accent6" w:themeFillTint="99"/>
            <w:noWrap/>
            <w:vAlign w:val="center"/>
            <w:hideMark/>
          </w:tcPr>
          <w:p w:rsidR="00E47367" w:rsidRPr="00736683" w:rsidRDefault="007747F2" w:rsidP="00BC6EEE">
            <w:pPr>
              <w:spacing w:after="0"/>
              <w:ind w:firstLine="0"/>
              <w:jc w:val="right"/>
              <w:rPr>
                <w:rFonts w:ascii="Arial" w:hAnsi="Arial" w:cs="Arial"/>
                <w:bCs/>
                <w:color w:val="000000"/>
                <w:sz w:val="18"/>
                <w:szCs w:val="18"/>
                <w:lang w:val="es-ES" w:eastAsia="es-ES"/>
              </w:rPr>
            </w:pPr>
            <w:r w:rsidRPr="00736683">
              <w:rPr>
                <w:rFonts w:ascii="Arial" w:hAnsi="Arial" w:cs="Arial"/>
                <w:bCs/>
                <w:color w:val="000000"/>
                <w:sz w:val="18"/>
                <w:szCs w:val="18"/>
                <w:lang w:val="es-ES" w:eastAsia="es-ES"/>
              </w:rPr>
              <w:t>899.682</w:t>
            </w:r>
          </w:p>
        </w:tc>
      </w:tr>
    </w:tbl>
    <w:p w:rsidR="00B92F9D" w:rsidRPr="0076284B" w:rsidRDefault="00B92F9D" w:rsidP="00B92F9D">
      <w:pPr>
        <w:spacing w:before="60" w:after="0"/>
        <w:ind w:firstLine="0"/>
        <w:rPr>
          <w:rFonts w:ascii="Arial Narrow" w:hAnsi="Arial Narrow" w:cs="Arial"/>
          <w:sz w:val="16"/>
          <w:szCs w:val="16"/>
        </w:rPr>
      </w:pPr>
      <w:r w:rsidRPr="00690D3D">
        <w:rPr>
          <w:i/>
          <w:szCs w:val="24"/>
        </w:rPr>
        <w:t xml:space="preserve">* </w:t>
      </w:r>
      <w:r w:rsidRPr="0076284B">
        <w:rPr>
          <w:rFonts w:ascii="Arial Narrow" w:hAnsi="Arial Narrow" w:cs="Arial"/>
          <w:sz w:val="16"/>
          <w:szCs w:val="16"/>
        </w:rPr>
        <w:t>Ejercicio no auditado</w:t>
      </w:r>
    </w:p>
    <w:p w:rsidR="00E47367" w:rsidRDefault="00E47367" w:rsidP="00B92F9D">
      <w:pPr>
        <w:pStyle w:val="texto"/>
        <w:spacing w:after="360"/>
        <w:ind w:hanging="28"/>
        <w:rPr>
          <w:rFonts w:ascii="Arial (W1)" w:eastAsia="Arial" w:hAnsi="Arial (W1)" w:cs="Arial"/>
          <w:sz w:val="20"/>
          <w:szCs w:val="20"/>
        </w:rPr>
      </w:pPr>
    </w:p>
    <w:p w:rsidR="0067725A" w:rsidRPr="00C801EE" w:rsidRDefault="0067725A" w:rsidP="00C801EE">
      <w:pPr>
        <w:pStyle w:val="atitulo2"/>
        <w:spacing w:before="240"/>
        <w:rPr>
          <w:spacing w:val="2"/>
        </w:rPr>
      </w:pPr>
      <w:bookmarkStart w:id="60" w:name="_Toc50018581"/>
      <w:bookmarkStart w:id="61" w:name="_Toc22495438"/>
      <w:proofErr w:type="spellStart"/>
      <w:r w:rsidRPr="00C801EE">
        <w:rPr>
          <w:spacing w:val="2"/>
        </w:rPr>
        <w:t>V.3</w:t>
      </w:r>
      <w:proofErr w:type="spellEnd"/>
      <w:r w:rsidRPr="00C801EE">
        <w:rPr>
          <w:spacing w:val="2"/>
        </w:rPr>
        <w:t xml:space="preserve">. Estado </w:t>
      </w:r>
      <w:r w:rsidR="00CB2DA8">
        <w:rPr>
          <w:spacing w:val="2"/>
        </w:rPr>
        <w:t xml:space="preserve">de </w:t>
      </w:r>
      <w:r w:rsidRPr="00C801EE">
        <w:rPr>
          <w:spacing w:val="2"/>
        </w:rPr>
        <w:t>remanente de tesorería</w:t>
      </w:r>
      <w:bookmarkEnd w:id="60"/>
      <w:r w:rsidRPr="00C801EE">
        <w:rPr>
          <w:spacing w:val="2"/>
        </w:rPr>
        <w:t xml:space="preserve"> </w:t>
      </w:r>
      <w:bookmarkEnd w:id="61"/>
    </w:p>
    <w:p w:rsidR="00C02B01" w:rsidRDefault="00C02B01" w:rsidP="00C02B01">
      <w:pPr>
        <w:spacing w:after="0" w:line="276" w:lineRule="auto"/>
        <w:ind w:firstLine="0"/>
        <w:jc w:val="left"/>
        <w:rPr>
          <w:rFonts w:eastAsia="Arial"/>
          <w:spacing w:val="4"/>
        </w:rPr>
      </w:pPr>
    </w:p>
    <w:tbl>
      <w:tblPr>
        <w:tblW w:w="5000" w:type="pct"/>
        <w:tblCellMar>
          <w:left w:w="70" w:type="dxa"/>
          <w:right w:w="70" w:type="dxa"/>
        </w:tblCellMar>
        <w:tblLook w:val="04A0" w:firstRow="1" w:lastRow="0" w:firstColumn="1" w:lastColumn="0" w:noHBand="0" w:noVBand="1"/>
      </w:tblPr>
      <w:tblGrid>
        <w:gridCol w:w="5693"/>
        <w:gridCol w:w="1334"/>
        <w:gridCol w:w="1334"/>
        <w:gridCol w:w="993"/>
      </w:tblGrid>
      <w:tr w:rsidR="00C02B01" w:rsidRPr="00C02B01" w:rsidTr="00266C34">
        <w:trPr>
          <w:trHeight w:val="450"/>
        </w:trPr>
        <w:tc>
          <w:tcPr>
            <w:tcW w:w="3043" w:type="pct"/>
            <w:tcBorders>
              <w:top w:val="single" w:sz="4" w:space="0" w:color="auto"/>
              <w:left w:val="nil"/>
              <w:bottom w:val="single" w:sz="4" w:space="0" w:color="auto"/>
              <w:right w:val="nil"/>
            </w:tcBorders>
            <w:shd w:val="clear" w:color="auto" w:fill="FABF8F" w:themeFill="accent6" w:themeFillTint="99"/>
            <w:vAlign w:val="center"/>
            <w:hideMark/>
          </w:tcPr>
          <w:p w:rsidR="00C02B01" w:rsidRPr="00C02B01" w:rsidRDefault="00C02B01" w:rsidP="00C02B01">
            <w:pPr>
              <w:spacing w:after="0"/>
              <w:ind w:firstLine="0"/>
              <w:jc w:val="left"/>
              <w:rPr>
                <w:rFonts w:ascii="Arial" w:hAnsi="Arial" w:cs="Arial"/>
                <w:color w:val="000000"/>
                <w:sz w:val="18"/>
                <w:szCs w:val="18"/>
                <w:lang w:val="es-ES" w:eastAsia="es-ES"/>
              </w:rPr>
            </w:pPr>
            <w:r w:rsidRPr="00C02B01">
              <w:rPr>
                <w:rFonts w:ascii="Arial" w:hAnsi="Arial" w:cs="Arial"/>
                <w:color w:val="000000"/>
                <w:sz w:val="18"/>
                <w:szCs w:val="18"/>
                <w:lang w:eastAsia="es-ES"/>
              </w:rPr>
              <w:t>Concepto</w:t>
            </w:r>
          </w:p>
        </w:tc>
        <w:tc>
          <w:tcPr>
            <w:tcW w:w="713" w:type="pct"/>
            <w:tcBorders>
              <w:top w:val="single" w:sz="4" w:space="0" w:color="auto"/>
              <w:left w:val="nil"/>
              <w:bottom w:val="single" w:sz="4" w:space="0" w:color="auto"/>
              <w:right w:val="nil"/>
            </w:tcBorders>
            <w:shd w:val="clear" w:color="auto" w:fill="FABF8F" w:themeFill="accent6" w:themeFillTint="99"/>
            <w:vAlign w:val="center"/>
            <w:hideMark/>
          </w:tcPr>
          <w:p w:rsidR="00C02B01" w:rsidRPr="00C02B01" w:rsidRDefault="00C02B01" w:rsidP="004A4EDF">
            <w:pPr>
              <w:spacing w:after="0"/>
              <w:ind w:firstLine="0"/>
              <w:jc w:val="right"/>
              <w:rPr>
                <w:rFonts w:ascii="Arial" w:hAnsi="Arial" w:cs="Arial"/>
                <w:color w:val="000000"/>
                <w:sz w:val="18"/>
                <w:szCs w:val="18"/>
                <w:lang w:val="es-ES" w:eastAsia="es-ES"/>
              </w:rPr>
            </w:pPr>
            <w:r w:rsidRPr="00C02B01">
              <w:rPr>
                <w:rFonts w:ascii="Arial" w:hAnsi="Arial" w:cs="Arial"/>
                <w:color w:val="000000"/>
                <w:sz w:val="18"/>
                <w:szCs w:val="18"/>
                <w:lang w:eastAsia="es-ES"/>
              </w:rPr>
              <w:t>2018</w:t>
            </w:r>
            <w:r w:rsidR="00B92F9D">
              <w:rPr>
                <w:rFonts w:ascii="Arial" w:hAnsi="Arial" w:cs="Arial"/>
                <w:color w:val="000000"/>
                <w:sz w:val="18"/>
                <w:szCs w:val="18"/>
                <w:lang w:eastAsia="es-ES"/>
              </w:rPr>
              <w:t>*</w:t>
            </w:r>
          </w:p>
        </w:tc>
        <w:tc>
          <w:tcPr>
            <w:tcW w:w="713" w:type="pct"/>
            <w:tcBorders>
              <w:top w:val="single" w:sz="4" w:space="0" w:color="auto"/>
              <w:left w:val="nil"/>
              <w:bottom w:val="single" w:sz="4" w:space="0" w:color="auto"/>
              <w:right w:val="nil"/>
            </w:tcBorders>
            <w:shd w:val="clear" w:color="auto" w:fill="FABF8F" w:themeFill="accent6" w:themeFillTint="99"/>
            <w:vAlign w:val="center"/>
            <w:hideMark/>
          </w:tcPr>
          <w:p w:rsidR="00C02B01" w:rsidRPr="00C02B01" w:rsidRDefault="00C02B01" w:rsidP="004A4EDF">
            <w:pPr>
              <w:spacing w:after="0"/>
              <w:ind w:firstLine="0"/>
              <w:jc w:val="right"/>
              <w:rPr>
                <w:rFonts w:ascii="Arial" w:hAnsi="Arial" w:cs="Arial"/>
                <w:color w:val="000000"/>
                <w:sz w:val="18"/>
                <w:szCs w:val="18"/>
                <w:lang w:val="es-ES" w:eastAsia="es-ES"/>
              </w:rPr>
            </w:pPr>
            <w:r w:rsidRPr="00C02B01">
              <w:rPr>
                <w:rFonts w:ascii="Arial" w:hAnsi="Arial" w:cs="Arial"/>
                <w:color w:val="000000"/>
                <w:sz w:val="18"/>
                <w:szCs w:val="18"/>
                <w:lang w:eastAsia="es-ES"/>
              </w:rPr>
              <w:t>2019</w:t>
            </w:r>
          </w:p>
        </w:tc>
        <w:tc>
          <w:tcPr>
            <w:tcW w:w="531" w:type="pct"/>
            <w:tcBorders>
              <w:top w:val="single" w:sz="4" w:space="0" w:color="auto"/>
              <w:left w:val="nil"/>
              <w:bottom w:val="single" w:sz="4" w:space="0" w:color="auto"/>
              <w:right w:val="nil"/>
            </w:tcBorders>
            <w:shd w:val="clear" w:color="auto" w:fill="FABF8F" w:themeFill="accent6" w:themeFillTint="99"/>
            <w:vAlign w:val="center"/>
            <w:hideMark/>
          </w:tcPr>
          <w:p w:rsidR="004A4EDF" w:rsidRDefault="00C02B01" w:rsidP="004A4EDF">
            <w:pPr>
              <w:spacing w:after="0"/>
              <w:ind w:firstLine="0"/>
              <w:jc w:val="right"/>
              <w:rPr>
                <w:rFonts w:ascii="Arial" w:hAnsi="Arial" w:cs="Arial"/>
                <w:color w:val="000000"/>
                <w:sz w:val="18"/>
                <w:szCs w:val="18"/>
                <w:lang w:eastAsia="es-ES"/>
              </w:rPr>
            </w:pPr>
            <w:r w:rsidRPr="00C02B01">
              <w:rPr>
                <w:rFonts w:ascii="Arial" w:hAnsi="Arial" w:cs="Arial"/>
                <w:color w:val="000000"/>
                <w:sz w:val="18"/>
                <w:szCs w:val="18"/>
                <w:lang w:eastAsia="es-ES"/>
              </w:rPr>
              <w:t xml:space="preserve">% </w:t>
            </w:r>
          </w:p>
          <w:p w:rsidR="00C02B01" w:rsidRPr="00C02B01" w:rsidRDefault="00305364" w:rsidP="004A4EDF">
            <w:pPr>
              <w:spacing w:after="0"/>
              <w:ind w:firstLine="0"/>
              <w:jc w:val="right"/>
              <w:rPr>
                <w:rFonts w:ascii="Arial" w:hAnsi="Arial" w:cs="Arial"/>
                <w:color w:val="000000"/>
                <w:sz w:val="18"/>
                <w:szCs w:val="18"/>
                <w:lang w:val="es-ES" w:eastAsia="es-ES"/>
              </w:rPr>
            </w:pPr>
            <w:r>
              <w:rPr>
                <w:rFonts w:ascii="Arial" w:hAnsi="Arial" w:cs="Arial"/>
                <w:color w:val="000000"/>
                <w:sz w:val="18"/>
                <w:szCs w:val="18"/>
                <w:lang w:eastAsia="es-ES"/>
              </w:rPr>
              <w:t>V</w:t>
            </w:r>
            <w:r w:rsidR="00C02B01" w:rsidRPr="00C02B01">
              <w:rPr>
                <w:rFonts w:ascii="Arial" w:hAnsi="Arial" w:cs="Arial"/>
                <w:color w:val="000000"/>
                <w:sz w:val="18"/>
                <w:szCs w:val="18"/>
                <w:lang w:eastAsia="es-ES"/>
              </w:rPr>
              <w:t>ariación</w:t>
            </w:r>
          </w:p>
        </w:tc>
      </w:tr>
      <w:tr w:rsidR="00C02B01" w:rsidRPr="00716725" w:rsidTr="001913BD">
        <w:trPr>
          <w:trHeight w:val="330"/>
        </w:trPr>
        <w:tc>
          <w:tcPr>
            <w:tcW w:w="3043" w:type="pct"/>
            <w:tcBorders>
              <w:top w:val="single" w:sz="4" w:space="0" w:color="auto"/>
              <w:left w:val="nil"/>
              <w:bottom w:val="single" w:sz="4" w:space="0" w:color="auto"/>
              <w:right w:val="nil"/>
            </w:tcBorders>
            <w:shd w:val="clear" w:color="auto" w:fill="auto"/>
            <w:vAlign w:val="center"/>
            <w:hideMark/>
          </w:tcPr>
          <w:p w:rsidR="00C02B01" w:rsidRPr="00716725" w:rsidRDefault="00C02B01" w:rsidP="00C02B01">
            <w:pPr>
              <w:spacing w:after="0"/>
              <w:ind w:firstLine="0"/>
              <w:jc w:val="left"/>
              <w:rPr>
                <w:rFonts w:ascii="Arial Narrow" w:hAnsi="Arial Narrow"/>
                <w:i/>
                <w:color w:val="000000"/>
                <w:lang w:val="es-ES" w:eastAsia="es-ES"/>
              </w:rPr>
            </w:pPr>
            <w:r w:rsidRPr="00716725">
              <w:rPr>
                <w:rFonts w:ascii="Arial Narrow" w:hAnsi="Arial Narrow" w:cs="Arial"/>
                <w:i/>
                <w:color w:val="000000"/>
                <w:lang w:eastAsia="es-ES"/>
              </w:rPr>
              <w:t>(+) Derechos pendientes de cobro</w:t>
            </w:r>
          </w:p>
        </w:tc>
        <w:tc>
          <w:tcPr>
            <w:tcW w:w="713" w:type="pct"/>
            <w:tcBorders>
              <w:top w:val="single" w:sz="4" w:space="0" w:color="auto"/>
              <w:left w:val="nil"/>
              <w:bottom w:val="single" w:sz="4" w:space="0" w:color="auto"/>
              <w:right w:val="nil"/>
            </w:tcBorders>
            <w:shd w:val="clear" w:color="auto" w:fill="auto"/>
            <w:noWrap/>
            <w:vAlign w:val="bottom"/>
            <w:hideMark/>
          </w:tcPr>
          <w:p w:rsidR="00C02B01" w:rsidRPr="00716725" w:rsidRDefault="00C02B01" w:rsidP="00C02B01">
            <w:pPr>
              <w:spacing w:after="0"/>
              <w:ind w:firstLine="0"/>
              <w:jc w:val="right"/>
              <w:rPr>
                <w:rFonts w:ascii="Arial Narrow" w:hAnsi="Arial Narrow"/>
                <w:i/>
                <w:color w:val="000000"/>
                <w:lang w:val="es-ES" w:eastAsia="es-ES"/>
              </w:rPr>
            </w:pPr>
            <w:r w:rsidRPr="00716725">
              <w:rPr>
                <w:rFonts w:ascii="Arial Narrow" w:hAnsi="Arial Narrow"/>
                <w:i/>
                <w:color w:val="000000"/>
                <w:lang w:val="es-ES" w:eastAsia="es-ES"/>
              </w:rPr>
              <w:t>358.267</w:t>
            </w:r>
          </w:p>
        </w:tc>
        <w:tc>
          <w:tcPr>
            <w:tcW w:w="713" w:type="pct"/>
            <w:tcBorders>
              <w:top w:val="single" w:sz="4" w:space="0" w:color="auto"/>
              <w:left w:val="nil"/>
              <w:bottom w:val="single" w:sz="4" w:space="0" w:color="auto"/>
              <w:right w:val="nil"/>
            </w:tcBorders>
            <w:shd w:val="clear" w:color="auto" w:fill="auto"/>
            <w:noWrap/>
            <w:vAlign w:val="bottom"/>
            <w:hideMark/>
          </w:tcPr>
          <w:p w:rsidR="00C02B01" w:rsidRPr="00716725" w:rsidRDefault="00C02B01" w:rsidP="00C02B01">
            <w:pPr>
              <w:spacing w:after="0"/>
              <w:ind w:firstLine="0"/>
              <w:jc w:val="right"/>
              <w:rPr>
                <w:rFonts w:ascii="Arial Narrow" w:hAnsi="Arial Narrow"/>
                <w:i/>
                <w:color w:val="000000"/>
                <w:lang w:val="es-ES" w:eastAsia="es-ES"/>
              </w:rPr>
            </w:pPr>
            <w:r w:rsidRPr="00716725">
              <w:rPr>
                <w:rFonts w:ascii="Arial Narrow" w:hAnsi="Arial Narrow"/>
                <w:i/>
                <w:color w:val="000000"/>
                <w:lang w:val="es-ES" w:eastAsia="es-ES"/>
              </w:rPr>
              <w:t>1.292.704</w:t>
            </w:r>
          </w:p>
        </w:tc>
        <w:tc>
          <w:tcPr>
            <w:tcW w:w="531" w:type="pct"/>
            <w:tcBorders>
              <w:top w:val="single" w:sz="4" w:space="0" w:color="auto"/>
              <w:left w:val="nil"/>
              <w:bottom w:val="single" w:sz="4" w:space="0" w:color="auto"/>
              <w:right w:val="nil"/>
            </w:tcBorders>
            <w:shd w:val="clear" w:color="auto" w:fill="auto"/>
            <w:vAlign w:val="center"/>
            <w:hideMark/>
          </w:tcPr>
          <w:p w:rsidR="00C02B01" w:rsidRPr="00716725" w:rsidRDefault="00C02B01" w:rsidP="00C02B01">
            <w:pPr>
              <w:spacing w:after="0"/>
              <w:ind w:firstLine="0"/>
              <w:jc w:val="right"/>
              <w:rPr>
                <w:rFonts w:ascii="Arial Narrow" w:hAnsi="Arial Narrow"/>
                <w:i/>
                <w:color w:val="000000"/>
                <w:sz w:val="18"/>
                <w:szCs w:val="18"/>
                <w:lang w:val="es-ES" w:eastAsia="es-ES"/>
              </w:rPr>
            </w:pPr>
            <w:r w:rsidRPr="00716725">
              <w:rPr>
                <w:rFonts w:ascii="Arial Narrow" w:hAnsi="Arial Narrow"/>
                <w:i/>
                <w:color w:val="000000"/>
                <w:sz w:val="18"/>
                <w:szCs w:val="18"/>
                <w:lang w:val="es-ES" w:eastAsia="es-ES"/>
              </w:rPr>
              <w:t xml:space="preserve">261 </w:t>
            </w:r>
          </w:p>
        </w:tc>
      </w:tr>
      <w:tr w:rsidR="00C02B01" w:rsidRPr="00C02B01" w:rsidTr="00B92F9D">
        <w:trPr>
          <w:trHeight w:val="330"/>
        </w:trPr>
        <w:tc>
          <w:tcPr>
            <w:tcW w:w="3043" w:type="pct"/>
            <w:tcBorders>
              <w:top w:val="nil"/>
              <w:left w:val="nil"/>
              <w:bottom w:val="single" w:sz="4" w:space="0" w:color="auto"/>
              <w:right w:val="nil"/>
            </w:tcBorders>
            <w:shd w:val="clear" w:color="auto" w:fill="auto"/>
            <w:vAlign w:val="center"/>
            <w:hideMark/>
          </w:tcPr>
          <w:p w:rsidR="00C02B01" w:rsidRPr="00C02B01" w:rsidRDefault="00C02B01" w:rsidP="00C02B01">
            <w:pPr>
              <w:spacing w:after="0"/>
              <w:ind w:firstLine="0"/>
              <w:jc w:val="left"/>
              <w:rPr>
                <w:rFonts w:ascii="Arial Narrow" w:hAnsi="Arial Narrow"/>
                <w:color w:val="000000"/>
                <w:lang w:val="es-ES" w:eastAsia="es-ES"/>
              </w:rPr>
            </w:pPr>
            <w:r w:rsidRPr="00C02B01">
              <w:rPr>
                <w:rFonts w:ascii="Arial Narrow" w:hAnsi="Arial Narrow"/>
                <w:color w:val="000000"/>
                <w:lang w:eastAsia="es-ES"/>
              </w:rPr>
              <w:t>(+) Presupuesto Ingresos: Ejercicio corriente</w:t>
            </w:r>
          </w:p>
        </w:tc>
        <w:tc>
          <w:tcPr>
            <w:tcW w:w="713" w:type="pct"/>
            <w:tcBorders>
              <w:top w:val="nil"/>
              <w:left w:val="nil"/>
              <w:bottom w:val="single" w:sz="4" w:space="0" w:color="auto"/>
              <w:right w:val="nil"/>
            </w:tcBorders>
            <w:shd w:val="clear" w:color="auto" w:fill="auto"/>
            <w:noWrap/>
            <w:vAlign w:val="bottom"/>
            <w:hideMark/>
          </w:tcPr>
          <w:p w:rsidR="00C02B01" w:rsidRPr="007747F2" w:rsidRDefault="00C02B01" w:rsidP="00C02B01">
            <w:pPr>
              <w:spacing w:after="0"/>
              <w:ind w:firstLine="0"/>
              <w:jc w:val="right"/>
              <w:rPr>
                <w:rFonts w:ascii="Arial Narrow" w:hAnsi="Arial Narrow"/>
                <w:color w:val="000000"/>
                <w:lang w:val="es-ES" w:eastAsia="es-ES"/>
              </w:rPr>
            </w:pPr>
            <w:r w:rsidRPr="007747F2">
              <w:rPr>
                <w:rFonts w:ascii="Arial Narrow" w:hAnsi="Arial Narrow"/>
                <w:color w:val="000000"/>
                <w:lang w:val="es-ES" w:eastAsia="es-ES"/>
              </w:rPr>
              <w:t>758.634</w:t>
            </w:r>
          </w:p>
        </w:tc>
        <w:tc>
          <w:tcPr>
            <w:tcW w:w="713" w:type="pct"/>
            <w:tcBorders>
              <w:top w:val="nil"/>
              <w:left w:val="nil"/>
              <w:bottom w:val="single" w:sz="4" w:space="0" w:color="auto"/>
              <w:right w:val="nil"/>
            </w:tcBorders>
            <w:shd w:val="clear" w:color="auto" w:fill="auto"/>
            <w:noWrap/>
            <w:vAlign w:val="bottom"/>
            <w:hideMark/>
          </w:tcPr>
          <w:p w:rsidR="00C02B01" w:rsidRPr="007747F2" w:rsidRDefault="00C02B01" w:rsidP="00C02B01">
            <w:pPr>
              <w:spacing w:after="0"/>
              <w:ind w:firstLine="0"/>
              <w:jc w:val="right"/>
              <w:rPr>
                <w:rFonts w:ascii="Arial Narrow" w:hAnsi="Arial Narrow"/>
                <w:color w:val="000000"/>
                <w:lang w:val="es-ES" w:eastAsia="es-ES"/>
              </w:rPr>
            </w:pPr>
            <w:r w:rsidRPr="007747F2">
              <w:rPr>
                <w:rFonts w:ascii="Arial Narrow" w:hAnsi="Arial Narrow"/>
                <w:color w:val="000000"/>
                <w:lang w:val="es-ES" w:eastAsia="es-ES"/>
              </w:rPr>
              <w:t>1.691.099</w:t>
            </w:r>
          </w:p>
        </w:tc>
        <w:tc>
          <w:tcPr>
            <w:tcW w:w="531" w:type="pct"/>
            <w:tcBorders>
              <w:top w:val="nil"/>
              <w:left w:val="nil"/>
              <w:bottom w:val="single" w:sz="4" w:space="0" w:color="auto"/>
              <w:right w:val="nil"/>
            </w:tcBorders>
            <w:shd w:val="clear" w:color="auto" w:fill="auto"/>
            <w:vAlign w:val="center"/>
            <w:hideMark/>
          </w:tcPr>
          <w:p w:rsidR="00C02B01" w:rsidRPr="007747F2" w:rsidRDefault="00C02B01" w:rsidP="00C02B01">
            <w:pPr>
              <w:spacing w:after="0"/>
              <w:ind w:firstLine="0"/>
              <w:jc w:val="right"/>
              <w:rPr>
                <w:rFonts w:ascii="Arial Narrow" w:hAnsi="Arial Narrow"/>
                <w:color w:val="000000"/>
                <w:sz w:val="18"/>
                <w:szCs w:val="18"/>
                <w:lang w:val="es-ES" w:eastAsia="es-ES"/>
              </w:rPr>
            </w:pPr>
            <w:r w:rsidRPr="007747F2">
              <w:rPr>
                <w:rFonts w:ascii="Arial Narrow" w:hAnsi="Arial Narrow"/>
                <w:color w:val="000000"/>
                <w:sz w:val="18"/>
                <w:szCs w:val="18"/>
                <w:lang w:val="es-ES" w:eastAsia="es-ES"/>
              </w:rPr>
              <w:t> </w:t>
            </w:r>
          </w:p>
        </w:tc>
      </w:tr>
      <w:tr w:rsidR="00C02B01" w:rsidRPr="00C02B01" w:rsidTr="00B92F9D">
        <w:trPr>
          <w:trHeight w:val="330"/>
        </w:trPr>
        <w:tc>
          <w:tcPr>
            <w:tcW w:w="3043" w:type="pct"/>
            <w:tcBorders>
              <w:top w:val="nil"/>
              <w:left w:val="nil"/>
              <w:bottom w:val="single" w:sz="4" w:space="0" w:color="auto"/>
              <w:right w:val="nil"/>
            </w:tcBorders>
            <w:shd w:val="clear" w:color="auto" w:fill="auto"/>
            <w:vAlign w:val="center"/>
            <w:hideMark/>
          </w:tcPr>
          <w:p w:rsidR="00C02B01" w:rsidRPr="00C02B01" w:rsidRDefault="00C02B01" w:rsidP="00C02B01">
            <w:pPr>
              <w:spacing w:after="0"/>
              <w:ind w:firstLine="0"/>
              <w:jc w:val="left"/>
              <w:rPr>
                <w:rFonts w:ascii="Arial Narrow" w:hAnsi="Arial Narrow"/>
                <w:color w:val="000000"/>
                <w:lang w:val="es-ES" w:eastAsia="es-ES"/>
              </w:rPr>
            </w:pPr>
            <w:r w:rsidRPr="00C02B01">
              <w:rPr>
                <w:rFonts w:ascii="Arial Narrow" w:hAnsi="Arial Narrow"/>
                <w:color w:val="000000"/>
                <w:lang w:eastAsia="es-ES"/>
              </w:rPr>
              <w:t>(+) Presupuesto Ingresos: Ejercicios cerrados</w:t>
            </w:r>
          </w:p>
        </w:tc>
        <w:tc>
          <w:tcPr>
            <w:tcW w:w="713" w:type="pct"/>
            <w:tcBorders>
              <w:top w:val="nil"/>
              <w:left w:val="nil"/>
              <w:bottom w:val="single" w:sz="4" w:space="0" w:color="auto"/>
              <w:right w:val="nil"/>
            </w:tcBorders>
            <w:shd w:val="clear" w:color="auto" w:fill="auto"/>
            <w:noWrap/>
            <w:vAlign w:val="bottom"/>
            <w:hideMark/>
          </w:tcPr>
          <w:p w:rsidR="00C02B01" w:rsidRPr="007747F2" w:rsidRDefault="00C02B01" w:rsidP="00C02B01">
            <w:pPr>
              <w:spacing w:after="0"/>
              <w:ind w:firstLine="0"/>
              <w:jc w:val="right"/>
              <w:rPr>
                <w:rFonts w:ascii="Arial Narrow" w:hAnsi="Arial Narrow"/>
                <w:color w:val="000000"/>
                <w:lang w:val="es-ES" w:eastAsia="es-ES"/>
              </w:rPr>
            </w:pPr>
            <w:r w:rsidRPr="007747F2">
              <w:rPr>
                <w:rFonts w:ascii="Arial Narrow" w:hAnsi="Arial Narrow"/>
                <w:color w:val="000000"/>
                <w:lang w:val="es-ES" w:eastAsia="es-ES"/>
              </w:rPr>
              <w:t>1.877.142</w:t>
            </w:r>
          </w:p>
        </w:tc>
        <w:tc>
          <w:tcPr>
            <w:tcW w:w="713" w:type="pct"/>
            <w:tcBorders>
              <w:top w:val="nil"/>
              <w:left w:val="nil"/>
              <w:bottom w:val="single" w:sz="4" w:space="0" w:color="auto"/>
              <w:right w:val="nil"/>
            </w:tcBorders>
            <w:shd w:val="clear" w:color="auto" w:fill="auto"/>
            <w:noWrap/>
            <w:vAlign w:val="bottom"/>
            <w:hideMark/>
          </w:tcPr>
          <w:p w:rsidR="00C02B01" w:rsidRPr="007747F2" w:rsidRDefault="00C02B01" w:rsidP="00C02B01">
            <w:pPr>
              <w:spacing w:after="0"/>
              <w:ind w:firstLine="0"/>
              <w:jc w:val="right"/>
              <w:rPr>
                <w:rFonts w:ascii="Arial Narrow" w:hAnsi="Arial Narrow"/>
                <w:color w:val="000000"/>
                <w:lang w:val="es-ES" w:eastAsia="es-ES"/>
              </w:rPr>
            </w:pPr>
            <w:r w:rsidRPr="007747F2">
              <w:rPr>
                <w:rFonts w:ascii="Arial Narrow" w:hAnsi="Arial Narrow"/>
                <w:color w:val="000000"/>
                <w:lang w:val="es-ES" w:eastAsia="es-ES"/>
              </w:rPr>
              <w:t>2.126.842</w:t>
            </w:r>
          </w:p>
        </w:tc>
        <w:tc>
          <w:tcPr>
            <w:tcW w:w="531" w:type="pct"/>
            <w:tcBorders>
              <w:top w:val="nil"/>
              <w:left w:val="nil"/>
              <w:bottom w:val="single" w:sz="4" w:space="0" w:color="auto"/>
              <w:right w:val="nil"/>
            </w:tcBorders>
            <w:shd w:val="clear" w:color="auto" w:fill="auto"/>
            <w:vAlign w:val="center"/>
            <w:hideMark/>
          </w:tcPr>
          <w:p w:rsidR="00C02B01" w:rsidRPr="007747F2" w:rsidRDefault="00C02B01" w:rsidP="00C02B01">
            <w:pPr>
              <w:spacing w:after="0"/>
              <w:ind w:firstLine="0"/>
              <w:jc w:val="right"/>
              <w:rPr>
                <w:rFonts w:ascii="Arial Narrow" w:hAnsi="Arial Narrow"/>
                <w:color w:val="000000"/>
                <w:sz w:val="18"/>
                <w:szCs w:val="18"/>
                <w:lang w:val="es-ES" w:eastAsia="es-ES"/>
              </w:rPr>
            </w:pPr>
            <w:r w:rsidRPr="007747F2">
              <w:rPr>
                <w:rFonts w:ascii="Arial Narrow" w:hAnsi="Arial Narrow"/>
                <w:color w:val="000000"/>
                <w:sz w:val="18"/>
                <w:szCs w:val="18"/>
                <w:lang w:val="es-ES" w:eastAsia="es-ES"/>
              </w:rPr>
              <w:t> </w:t>
            </w:r>
          </w:p>
        </w:tc>
      </w:tr>
      <w:tr w:rsidR="0061242D" w:rsidRPr="0061242D" w:rsidTr="00B92F9D">
        <w:trPr>
          <w:trHeight w:val="330"/>
        </w:trPr>
        <w:tc>
          <w:tcPr>
            <w:tcW w:w="3043" w:type="pct"/>
            <w:tcBorders>
              <w:top w:val="nil"/>
              <w:left w:val="nil"/>
              <w:bottom w:val="single" w:sz="4" w:space="0" w:color="auto"/>
              <w:right w:val="nil"/>
            </w:tcBorders>
            <w:shd w:val="clear" w:color="auto" w:fill="auto"/>
            <w:vAlign w:val="center"/>
            <w:hideMark/>
          </w:tcPr>
          <w:p w:rsidR="00C02B01" w:rsidRPr="00C02B01" w:rsidRDefault="00C02B01" w:rsidP="00C02B01">
            <w:pPr>
              <w:spacing w:after="0"/>
              <w:ind w:firstLine="0"/>
              <w:jc w:val="left"/>
              <w:rPr>
                <w:rFonts w:ascii="Arial Narrow" w:hAnsi="Arial Narrow"/>
                <w:lang w:val="es-ES" w:eastAsia="es-ES"/>
              </w:rPr>
            </w:pPr>
            <w:r w:rsidRPr="00C02B01">
              <w:rPr>
                <w:rFonts w:ascii="Arial Narrow" w:hAnsi="Arial Narrow"/>
                <w:lang w:eastAsia="es-ES"/>
              </w:rPr>
              <w:t>(+) Ingresos extrapresupuestarios</w:t>
            </w:r>
          </w:p>
        </w:tc>
        <w:tc>
          <w:tcPr>
            <w:tcW w:w="713" w:type="pct"/>
            <w:tcBorders>
              <w:top w:val="nil"/>
              <w:left w:val="nil"/>
              <w:bottom w:val="single" w:sz="4" w:space="0" w:color="auto"/>
              <w:right w:val="nil"/>
            </w:tcBorders>
            <w:shd w:val="clear" w:color="auto" w:fill="auto"/>
            <w:noWrap/>
            <w:vAlign w:val="bottom"/>
            <w:hideMark/>
          </w:tcPr>
          <w:p w:rsidR="00C02B01" w:rsidRPr="007747F2" w:rsidRDefault="00C02B01" w:rsidP="00C02B01">
            <w:pPr>
              <w:spacing w:after="0"/>
              <w:ind w:firstLine="0"/>
              <w:jc w:val="right"/>
              <w:rPr>
                <w:rFonts w:ascii="Arial Narrow" w:hAnsi="Arial Narrow"/>
                <w:lang w:val="es-ES" w:eastAsia="es-ES"/>
              </w:rPr>
            </w:pPr>
            <w:r w:rsidRPr="007747F2">
              <w:rPr>
                <w:rFonts w:ascii="Arial Narrow" w:hAnsi="Arial Narrow"/>
                <w:lang w:val="es-ES" w:eastAsia="es-ES"/>
              </w:rPr>
              <w:t>123.144</w:t>
            </w:r>
          </w:p>
        </w:tc>
        <w:tc>
          <w:tcPr>
            <w:tcW w:w="713" w:type="pct"/>
            <w:tcBorders>
              <w:top w:val="nil"/>
              <w:left w:val="nil"/>
              <w:bottom w:val="single" w:sz="4" w:space="0" w:color="auto"/>
              <w:right w:val="nil"/>
            </w:tcBorders>
            <w:shd w:val="clear" w:color="auto" w:fill="auto"/>
            <w:noWrap/>
            <w:vAlign w:val="bottom"/>
            <w:hideMark/>
          </w:tcPr>
          <w:p w:rsidR="00C02B01" w:rsidRPr="007747F2" w:rsidRDefault="00C02B01" w:rsidP="00C02B01">
            <w:pPr>
              <w:spacing w:after="0"/>
              <w:ind w:firstLine="0"/>
              <w:jc w:val="right"/>
              <w:rPr>
                <w:rFonts w:ascii="Arial Narrow" w:hAnsi="Arial Narrow"/>
                <w:color w:val="000000"/>
                <w:lang w:val="es-ES" w:eastAsia="es-ES"/>
              </w:rPr>
            </w:pPr>
            <w:r w:rsidRPr="007747F2">
              <w:rPr>
                <w:rFonts w:ascii="Arial Narrow" w:hAnsi="Arial Narrow"/>
                <w:color w:val="000000"/>
                <w:lang w:val="es-ES" w:eastAsia="es-ES"/>
              </w:rPr>
              <w:t>170.576</w:t>
            </w:r>
          </w:p>
        </w:tc>
        <w:tc>
          <w:tcPr>
            <w:tcW w:w="531" w:type="pct"/>
            <w:tcBorders>
              <w:top w:val="nil"/>
              <w:left w:val="nil"/>
              <w:bottom w:val="single" w:sz="4" w:space="0" w:color="auto"/>
              <w:right w:val="nil"/>
            </w:tcBorders>
            <w:shd w:val="clear" w:color="auto" w:fill="auto"/>
            <w:vAlign w:val="center"/>
            <w:hideMark/>
          </w:tcPr>
          <w:p w:rsidR="00C02B01" w:rsidRPr="007747F2" w:rsidRDefault="00C02B01" w:rsidP="00C02B01">
            <w:pPr>
              <w:spacing w:after="0"/>
              <w:ind w:firstLine="0"/>
              <w:jc w:val="right"/>
              <w:rPr>
                <w:rFonts w:ascii="Arial Narrow" w:hAnsi="Arial Narrow"/>
                <w:sz w:val="18"/>
                <w:szCs w:val="18"/>
                <w:lang w:val="es-ES" w:eastAsia="es-ES"/>
              </w:rPr>
            </w:pPr>
            <w:r w:rsidRPr="007747F2">
              <w:rPr>
                <w:rFonts w:ascii="Arial Narrow" w:hAnsi="Arial Narrow"/>
                <w:sz w:val="18"/>
                <w:szCs w:val="18"/>
                <w:lang w:val="es-ES" w:eastAsia="es-ES"/>
              </w:rPr>
              <w:t> </w:t>
            </w:r>
          </w:p>
        </w:tc>
      </w:tr>
      <w:tr w:rsidR="00C02B01" w:rsidRPr="00C02B01" w:rsidTr="00B92F9D">
        <w:trPr>
          <w:trHeight w:val="330"/>
        </w:trPr>
        <w:tc>
          <w:tcPr>
            <w:tcW w:w="3043" w:type="pct"/>
            <w:tcBorders>
              <w:top w:val="nil"/>
              <w:left w:val="nil"/>
              <w:bottom w:val="single" w:sz="4" w:space="0" w:color="auto"/>
              <w:right w:val="nil"/>
            </w:tcBorders>
            <w:shd w:val="clear" w:color="auto" w:fill="auto"/>
            <w:vAlign w:val="center"/>
            <w:hideMark/>
          </w:tcPr>
          <w:p w:rsidR="00C02B01" w:rsidRPr="00C02B01" w:rsidRDefault="00C02B01" w:rsidP="00C02B01">
            <w:pPr>
              <w:spacing w:after="0"/>
              <w:ind w:firstLine="0"/>
              <w:jc w:val="left"/>
              <w:rPr>
                <w:rFonts w:ascii="Arial Narrow" w:hAnsi="Arial Narrow"/>
                <w:color w:val="000000"/>
                <w:lang w:val="es-ES" w:eastAsia="es-ES"/>
              </w:rPr>
            </w:pPr>
            <w:r w:rsidRPr="00C02B01">
              <w:rPr>
                <w:rFonts w:ascii="Arial Narrow" w:hAnsi="Arial Narrow"/>
                <w:color w:val="000000"/>
                <w:lang w:eastAsia="es-ES"/>
              </w:rPr>
              <w:t>(+) Reintegros de pagos</w:t>
            </w:r>
          </w:p>
        </w:tc>
        <w:tc>
          <w:tcPr>
            <w:tcW w:w="713" w:type="pct"/>
            <w:tcBorders>
              <w:top w:val="nil"/>
              <w:left w:val="nil"/>
              <w:bottom w:val="single" w:sz="4" w:space="0" w:color="auto"/>
              <w:right w:val="nil"/>
            </w:tcBorders>
            <w:shd w:val="clear" w:color="auto" w:fill="auto"/>
            <w:noWrap/>
            <w:vAlign w:val="bottom"/>
            <w:hideMark/>
          </w:tcPr>
          <w:p w:rsidR="00C02B01" w:rsidRPr="007747F2" w:rsidRDefault="00C02B01" w:rsidP="00C02B01">
            <w:pPr>
              <w:spacing w:after="0"/>
              <w:ind w:firstLine="0"/>
              <w:jc w:val="right"/>
              <w:rPr>
                <w:rFonts w:ascii="Arial Narrow" w:hAnsi="Arial Narrow"/>
                <w:color w:val="000000"/>
                <w:lang w:val="es-ES" w:eastAsia="es-ES"/>
              </w:rPr>
            </w:pPr>
            <w:r w:rsidRPr="007747F2">
              <w:rPr>
                <w:rFonts w:ascii="Arial Narrow" w:hAnsi="Arial Narrow"/>
                <w:color w:val="000000"/>
                <w:lang w:val="es-ES" w:eastAsia="es-ES"/>
              </w:rPr>
              <w:t>3.046</w:t>
            </w:r>
          </w:p>
        </w:tc>
        <w:tc>
          <w:tcPr>
            <w:tcW w:w="713" w:type="pct"/>
            <w:tcBorders>
              <w:top w:val="nil"/>
              <w:left w:val="nil"/>
              <w:bottom w:val="single" w:sz="4" w:space="0" w:color="auto"/>
              <w:right w:val="nil"/>
            </w:tcBorders>
            <w:shd w:val="clear" w:color="auto" w:fill="auto"/>
            <w:noWrap/>
            <w:vAlign w:val="bottom"/>
            <w:hideMark/>
          </w:tcPr>
          <w:p w:rsidR="00C02B01" w:rsidRPr="007747F2" w:rsidRDefault="00C02B01" w:rsidP="00C02B01">
            <w:pPr>
              <w:spacing w:after="0"/>
              <w:ind w:firstLine="0"/>
              <w:jc w:val="right"/>
              <w:rPr>
                <w:rFonts w:ascii="Arial Narrow" w:hAnsi="Arial Narrow"/>
                <w:color w:val="000000"/>
                <w:lang w:val="es-ES" w:eastAsia="es-ES"/>
              </w:rPr>
            </w:pPr>
            <w:r w:rsidRPr="007747F2">
              <w:rPr>
                <w:rFonts w:ascii="Arial Narrow" w:hAnsi="Arial Narrow"/>
                <w:color w:val="000000"/>
                <w:lang w:val="es-ES" w:eastAsia="es-ES"/>
              </w:rPr>
              <w:t>3.950</w:t>
            </w:r>
          </w:p>
        </w:tc>
        <w:tc>
          <w:tcPr>
            <w:tcW w:w="531" w:type="pct"/>
            <w:tcBorders>
              <w:top w:val="nil"/>
              <w:left w:val="nil"/>
              <w:bottom w:val="single" w:sz="4" w:space="0" w:color="auto"/>
              <w:right w:val="nil"/>
            </w:tcBorders>
            <w:shd w:val="clear" w:color="auto" w:fill="auto"/>
            <w:vAlign w:val="center"/>
            <w:hideMark/>
          </w:tcPr>
          <w:p w:rsidR="00C02B01" w:rsidRPr="007747F2" w:rsidRDefault="00C02B01" w:rsidP="00C02B01">
            <w:pPr>
              <w:spacing w:after="0"/>
              <w:ind w:firstLine="0"/>
              <w:jc w:val="right"/>
              <w:rPr>
                <w:rFonts w:ascii="Arial Narrow" w:hAnsi="Arial Narrow"/>
                <w:color w:val="000000"/>
                <w:sz w:val="18"/>
                <w:szCs w:val="18"/>
                <w:lang w:val="es-ES" w:eastAsia="es-ES"/>
              </w:rPr>
            </w:pPr>
            <w:r w:rsidRPr="007747F2">
              <w:rPr>
                <w:rFonts w:ascii="Arial Narrow" w:hAnsi="Arial Narrow"/>
                <w:color w:val="000000"/>
                <w:sz w:val="18"/>
                <w:szCs w:val="18"/>
                <w:lang w:val="es-ES" w:eastAsia="es-ES"/>
              </w:rPr>
              <w:t> </w:t>
            </w:r>
          </w:p>
        </w:tc>
      </w:tr>
      <w:tr w:rsidR="00C02B01" w:rsidRPr="00C02B01" w:rsidTr="00B92F9D">
        <w:trPr>
          <w:trHeight w:val="330"/>
        </w:trPr>
        <w:tc>
          <w:tcPr>
            <w:tcW w:w="3043" w:type="pct"/>
            <w:tcBorders>
              <w:top w:val="nil"/>
              <w:left w:val="nil"/>
              <w:bottom w:val="single" w:sz="4" w:space="0" w:color="auto"/>
              <w:right w:val="nil"/>
            </w:tcBorders>
            <w:shd w:val="clear" w:color="auto" w:fill="auto"/>
            <w:vAlign w:val="center"/>
            <w:hideMark/>
          </w:tcPr>
          <w:p w:rsidR="00C02B01" w:rsidRPr="00C02B01" w:rsidRDefault="00C02B01" w:rsidP="00C02B01">
            <w:pPr>
              <w:spacing w:after="0"/>
              <w:ind w:firstLine="0"/>
              <w:jc w:val="left"/>
              <w:rPr>
                <w:rFonts w:ascii="Arial Narrow" w:hAnsi="Arial Narrow"/>
                <w:color w:val="000000"/>
                <w:lang w:val="es-ES" w:eastAsia="es-ES"/>
              </w:rPr>
            </w:pPr>
            <w:r w:rsidRPr="00C02B01">
              <w:rPr>
                <w:rFonts w:ascii="Arial Narrow" w:hAnsi="Arial Narrow"/>
                <w:color w:val="000000"/>
                <w:lang w:eastAsia="es-ES"/>
              </w:rPr>
              <w:t>(-) Derechos de difícil recaudación</w:t>
            </w:r>
          </w:p>
        </w:tc>
        <w:tc>
          <w:tcPr>
            <w:tcW w:w="713" w:type="pct"/>
            <w:tcBorders>
              <w:top w:val="nil"/>
              <w:left w:val="nil"/>
              <w:bottom w:val="single" w:sz="4" w:space="0" w:color="auto"/>
              <w:right w:val="nil"/>
            </w:tcBorders>
            <w:shd w:val="clear" w:color="auto" w:fill="auto"/>
            <w:noWrap/>
            <w:vAlign w:val="bottom"/>
            <w:hideMark/>
          </w:tcPr>
          <w:p w:rsidR="00C02B01" w:rsidRPr="007747F2" w:rsidRDefault="00C02B01" w:rsidP="00C02B01">
            <w:pPr>
              <w:spacing w:after="0"/>
              <w:ind w:firstLine="0"/>
              <w:jc w:val="right"/>
              <w:rPr>
                <w:rFonts w:ascii="Arial Narrow" w:hAnsi="Arial Narrow"/>
                <w:color w:val="000000"/>
                <w:lang w:val="es-ES" w:eastAsia="es-ES"/>
              </w:rPr>
            </w:pPr>
            <w:r w:rsidRPr="007747F2">
              <w:rPr>
                <w:rFonts w:ascii="Arial Narrow" w:hAnsi="Arial Narrow"/>
                <w:color w:val="000000"/>
                <w:lang w:val="es-ES" w:eastAsia="es-ES"/>
              </w:rPr>
              <w:t>2.396.621</w:t>
            </w:r>
          </w:p>
        </w:tc>
        <w:tc>
          <w:tcPr>
            <w:tcW w:w="713" w:type="pct"/>
            <w:tcBorders>
              <w:top w:val="nil"/>
              <w:left w:val="nil"/>
              <w:bottom w:val="single" w:sz="4" w:space="0" w:color="auto"/>
              <w:right w:val="nil"/>
            </w:tcBorders>
            <w:shd w:val="clear" w:color="auto" w:fill="auto"/>
            <w:noWrap/>
            <w:vAlign w:val="bottom"/>
            <w:hideMark/>
          </w:tcPr>
          <w:p w:rsidR="00C02B01" w:rsidRPr="007747F2" w:rsidRDefault="00C02B01" w:rsidP="00C02B01">
            <w:pPr>
              <w:spacing w:after="0"/>
              <w:ind w:firstLine="0"/>
              <w:jc w:val="right"/>
              <w:rPr>
                <w:rFonts w:ascii="Arial Narrow" w:hAnsi="Arial Narrow"/>
                <w:color w:val="000000"/>
                <w:lang w:val="es-ES" w:eastAsia="es-ES"/>
              </w:rPr>
            </w:pPr>
            <w:r w:rsidRPr="007747F2">
              <w:rPr>
                <w:rFonts w:ascii="Arial Narrow" w:hAnsi="Arial Narrow"/>
                <w:color w:val="000000"/>
                <w:lang w:val="es-ES" w:eastAsia="es-ES"/>
              </w:rPr>
              <w:t>2.689.900</w:t>
            </w:r>
          </w:p>
        </w:tc>
        <w:tc>
          <w:tcPr>
            <w:tcW w:w="531" w:type="pct"/>
            <w:tcBorders>
              <w:top w:val="nil"/>
              <w:left w:val="nil"/>
              <w:bottom w:val="single" w:sz="4" w:space="0" w:color="auto"/>
              <w:right w:val="nil"/>
            </w:tcBorders>
            <w:shd w:val="clear" w:color="auto" w:fill="auto"/>
            <w:vAlign w:val="center"/>
            <w:hideMark/>
          </w:tcPr>
          <w:p w:rsidR="00C02B01" w:rsidRPr="007747F2" w:rsidRDefault="00C02B01" w:rsidP="00C02B01">
            <w:pPr>
              <w:spacing w:after="0"/>
              <w:ind w:firstLine="0"/>
              <w:jc w:val="right"/>
              <w:rPr>
                <w:rFonts w:ascii="Arial Narrow" w:hAnsi="Arial Narrow"/>
                <w:color w:val="000000"/>
                <w:sz w:val="18"/>
                <w:szCs w:val="18"/>
                <w:lang w:val="es-ES" w:eastAsia="es-ES"/>
              </w:rPr>
            </w:pPr>
            <w:r w:rsidRPr="007747F2">
              <w:rPr>
                <w:rFonts w:ascii="Arial Narrow" w:hAnsi="Arial Narrow"/>
                <w:color w:val="000000"/>
                <w:sz w:val="18"/>
                <w:szCs w:val="18"/>
                <w:lang w:val="es-ES" w:eastAsia="es-ES"/>
              </w:rPr>
              <w:t> </w:t>
            </w:r>
          </w:p>
        </w:tc>
      </w:tr>
      <w:tr w:rsidR="00C02B01" w:rsidRPr="00C02B01" w:rsidTr="00B92F9D">
        <w:trPr>
          <w:trHeight w:val="330"/>
        </w:trPr>
        <w:tc>
          <w:tcPr>
            <w:tcW w:w="3043" w:type="pct"/>
            <w:tcBorders>
              <w:top w:val="nil"/>
              <w:left w:val="nil"/>
              <w:bottom w:val="single" w:sz="4" w:space="0" w:color="auto"/>
              <w:right w:val="nil"/>
            </w:tcBorders>
            <w:shd w:val="clear" w:color="auto" w:fill="auto"/>
            <w:vAlign w:val="center"/>
            <w:hideMark/>
          </w:tcPr>
          <w:p w:rsidR="00C02B01" w:rsidRPr="00C02B01" w:rsidRDefault="00C02B01" w:rsidP="00C02B01">
            <w:pPr>
              <w:spacing w:after="0"/>
              <w:ind w:firstLine="0"/>
              <w:jc w:val="left"/>
              <w:rPr>
                <w:rFonts w:ascii="Arial Narrow" w:hAnsi="Arial Narrow"/>
                <w:color w:val="000000"/>
                <w:lang w:val="es-ES" w:eastAsia="es-ES"/>
              </w:rPr>
            </w:pPr>
            <w:r w:rsidRPr="00C02B01">
              <w:rPr>
                <w:rFonts w:ascii="Arial Narrow" w:hAnsi="Arial Narrow"/>
                <w:color w:val="000000"/>
                <w:lang w:eastAsia="es-ES"/>
              </w:rPr>
              <w:t>(-) Ingresos pendientes de aplicación</w:t>
            </w:r>
          </w:p>
        </w:tc>
        <w:tc>
          <w:tcPr>
            <w:tcW w:w="713" w:type="pct"/>
            <w:tcBorders>
              <w:top w:val="nil"/>
              <w:left w:val="nil"/>
              <w:bottom w:val="single" w:sz="4" w:space="0" w:color="auto"/>
              <w:right w:val="nil"/>
            </w:tcBorders>
            <w:shd w:val="clear" w:color="auto" w:fill="auto"/>
            <w:noWrap/>
            <w:vAlign w:val="bottom"/>
            <w:hideMark/>
          </w:tcPr>
          <w:p w:rsidR="00C02B01" w:rsidRPr="007747F2" w:rsidRDefault="00C02B01" w:rsidP="00C02B01">
            <w:pPr>
              <w:spacing w:after="0"/>
              <w:ind w:firstLine="0"/>
              <w:jc w:val="right"/>
              <w:rPr>
                <w:rFonts w:ascii="Arial Narrow" w:hAnsi="Arial Narrow"/>
                <w:color w:val="000000"/>
                <w:lang w:val="es-ES" w:eastAsia="es-ES"/>
              </w:rPr>
            </w:pPr>
            <w:r w:rsidRPr="007747F2">
              <w:rPr>
                <w:rFonts w:ascii="Arial Narrow" w:hAnsi="Arial Narrow"/>
                <w:color w:val="000000"/>
                <w:lang w:val="es-ES" w:eastAsia="es-ES"/>
              </w:rPr>
              <w:t>7.078</w:t>
            </w:r>
          </w:p>
        </w:tc>
        <w:tc>
          <w:tcPr>
            <w:tcW w:w="713" w:type="pct"/>
            <w:tcBorders>
              <w:top w:val="nil"/>
              <w:left w:val="nil"/>
              <w:bottom w:val="single" w:sz="4" w:space="0" w:color="auto"/>
              <w:right w:val="nil"/>
            </w:tcBorders>
            <w:shd w:val="clear" w:color="auto" w:fill="auto"/>
            <w:noWrap/>
            <w:vAlign w:val="bottom"/>
            <w:hideMark/>
          </w:tcPr>
          <w:p w:rsidR="00C02B01" w:rsidRPr="007747F2" w:rsidRDefault="00C02B01" w:rsidP="00C02B01">
            <w:pPr>
              <w:spacing w:after="0"/>
              <w:ind w:firstLine="0"/>
              <w:jc w:val="right"/>
              <w:rPr>
                <w:rFonts w:ascii="Arial Narrow" w:hAnsi="Arial Narrow"/>
                <w:color w:val="000000"/>
                <w:lang w:val="es-ES" w:eastAsia="es-ES"/>
              </w:rPr>
            </w:pPr>
            <w:r w:rsidRPr="007747F2">
              <w:rPr>
                <w:rFonts w:ascii="Arial Narrow" w:hAnsi="Arial Narrow"/>
                <w:color w:val="000000"/>
                <w:lang w:val="es-ES" w:eastAsia="es-ES"/>
              </w:rPr>
              <w:t>9.863</w:t>
            </w:r>
          </w:p>
        </w:tc>
        <w:tc>
          <w:tcPr>
            <w:tcW w:w="531" w:type="pct"/>
            <w:tcBorders>
              <w:top w:val="nil"/>
              <w:left w:val="nil"/>
              <w:bottom w:val="single" w:sz="4" w:space="0" w:color="auto"/>
              <w:right w:val="nil"/>
            </w:tcBorders>
            <w:shd w:val="clear" w:color="auto" w:fill="auto"/>
            <w:vAlign w:val="center"/>
            <w:hideMark/>
          </w:tcPr>
          <w:p w:rsidR="00C02B01" w:rsidRPr="007747F2" w:rsidRDefault="00C02B01" w:rsidP="00C02B01">
            <w:pPr>
              <w:spacing w:after="0"/>
              <w:ind w:firstLine="0"/>
              <w:jc w:val="right"/>
              <w:rPr>
                <w:rFonts w:ascii="Arial Narrow" w:hAnsi="Arial Narrow"/>
                <w:color w:val="000000"/>
                <w:sz w:val="18"/>
                <w:szCs w:val="18"/>
                <w:lang w:val="es-ES" w:eastAsia="es-ES"/>
              </w:rPr>
            </w:pPr>
            <w:r w:rsidRPr="007747F2">
              <w:rPr>
                <w:rFonts w:ascii="Arial Narrow" w:hAnsi="Arial Narrow"/>
                <w:color w:val="000000"/>
                <w:sz w:val="18"/>
                <w:szCs w:val="18"/>
                <w:lang w:val="es-ES" w:eastAsia="es-ES"/>
              </w:rPr>
              <w:t> </w:t>
            </w:r>
          </w:p>
        </w:tc>
      </w:tr>
      <w:tr w:rsidR="00C02B01" w:rsidRPr="00716725" w:rsidTr="00B92F9D">
        <w:trPr>
          <w:trHeight w:val="330"/>
        </w:trPr>
        <w:tc>
          <w:tcPr>
            <w:tcW w:w="3043" w:type="pct"/>
            <w:tcBorders>
              <w:top w:val="nil"/>
              <w:left w:val="nil"/>
              <w:bottom w:val="single" w:sz="4" w:space="0" w:color="auto"/>
              <w:right w:val="nil"/>
            </w:tcBorders>
            <w:shd w:val="clear" w:color="auto" w:fill="auto"/>
            <w:vAlign w:val="center"/>
            <w:hideMark/>
          </w:tcPr>
          <w:p w:rsidR="00C02B01" w:rsidRPr="00716725" w:rsidRDefault="00C02B01" w:rsidP="00C02B01">
            <w:pPr>
              <w:spacing w:after="0"/>
              <w:ind w:firstLine="0"/>
              <w:jc w:val="left"/>
              <w:rPr>
                <w:rFonts w:ascii="Arial Narrow" w:hAnsi="Arial Narrow"/>
                <w:i/>
                <w:color w:val="000000"/>
                <w:lang w:val="es-ES" w:eastAsia="es-ES"/>
              </w:rPr>
            </w:pPr>
            <w:r w:rsidRPr="00716725">
              <w:rPr>
                <w:rFonts w:ascii="Arial Narrow" w:hAnsi="Arial Narrow" w:cs="Arial"/>
                <w:i/>
                <w:color w:val="000000"/>
                <w:lang w:eastAsia="es-ES"/>
              </w:rPr>
              <w:t>(-) Obligaciones pendientes de pago</w:t>
            </w:r>
          </w:p>
        </w:tc>
        <w:tc>
          <w:tcPr>
            <w:tcW w:w="713" w:type="pct"/>
            <w:tcBorders>
              <w:top w:val="nil"/>
              <w:left w:val="nil"/>
              <w:bottom w:val="single" w:sz="4" w:space="0" w:color="auto"/>
              <w:right w:val="nil"/>
            </w:tcBorders>
            <w:shd w:val="clear" w:color="auto" w:fill="auto"/>
            <w:noWrap/>
            <w:vAlign w:val="bottom"/>
            <w:hideMark/>
          </w:tcPr>
          <w:p w:rsidR="00C02B01" w:rsidRPr="00716725" w:rsidRDefault="00C02B01" w:rsidP="00C02B01">
            <w:pPr>
              <w:spacing w:after="0"/>
              <w:ind w:firstLine="0"/>
              <w:jc w:val="right"/>
              <w:rPr>
                <w:rFonts w:ascii="Arial Narrow" w:hAnsi="Arial Narrow"/>
                <w:i/>
                <w:color w:val="000000"/>
                <w:lang w:val="es-ES" w:eastAsia="es-ES"/>
              </w:rPr>
            </w:pPr>
            <w:r w:rsidRPr="00716725">
              <w:rPr>
                <w:rFonts w:ascii="Arial Narrow" w:hAnsi="Arial Narrow"/>
                <w:i/>
                <w:color w:val="000000"/>
                <w:lang w:val="es-ES" w:eastAsia="es-ES"/>
              </w:rPr>
              <w:t>1.701.320</w:t>
            </w:r>
          </w:p>
        </w:tc>
        <w:tc>
          <w:tcPr>
            <w:tcW w:w="713" w:type="pct"/>
            <w:tcBorders>
              <w:top w:val="nil"/>
              <w:left w:val="nil"/>
              <w:bottom w:val="single" w:sz="4" w:space="0" w:color="auto"/>
              <w:right w:val="nil"/>
            </w:tcBorders>
            <w:shd w:val="clear" w:color="auto" w:fill="auto"/>
            <w:noWrap/>
            <w:vAlign w:val="bottom"/>
            <w:hideMark/>
          </w:tcPr>
          <w:p w:rsidR="00C02B01" w:rsidRPr="00716725" w:rsidRDefault="00C02B01" w:rsidP="00C02B01">
            <w:pPr>
              <w:spacing w:after="0"/>
              <w:ind w:firstLine="0"/>
              <w:jc w:val="right"/>
              <w:rPr>
                <w:rFonts w:ascii="Arial Narrow" w:hAnsi="Arial Narrow"/>
                <w:i/>
                <w:color w:val="000000"/>
                <w:lang w:val="es-ES" w:eastAsia="es-ES"/>
              </w:rPr>
            </w:pPr>
            <w:r w:rsidRPr="00716725">
              <w:rPr>
                <w:rFonts w:ascii="Arial Narrow" w:hAnsi="Arial Narrow"/>
                <w:i/>
                <w:color w:val="000000"/>
                <w:lang w:val="es-ES" w:eastAsia="es-ES"/>
              </w:rPr>
              <w:t>1.674.858</w:t>
            </w:r>
          </w:p>
        </w:tc>
        <w:tc>
          <w:tcPr>
            <w:tcW w:w="531" w:type="pct"/>
            <w:tcBorders>
              <w:top w:val="nil"/>
              <w:left w:val="nil"/>
              <w:bottom w:val="single" w:sz="4" w:space="0" w:color="auto"/>
              <w:right w:val="nil"/>
            </w:tcBorders>
            <w:shd w:val="clear" w:color="auto" w:fill="auto"/>
            <w:vAlign w:val="center"/>
            <w:hideMark/>
          </w:tcPr>
          <w:p w:rsidR="00C02B01" w:rsidRPr="00716725" w:rsidRDefault="00C02B01" w:rsidP="00C02B01">
            <w:pPr>
              <w:spacing w:after="0"/>
              <w:ind w:firstLine="0"/>
              <w:jc w:val="right"/>
              <w:rPr>
                <w:rFonts w:ascii="Arial Narrow" w:hAnsi="Arial Narrow"/>
                <w:i/>
                <w:color w:val="000000"/>
                <w:sz w:val="18"/>
                <w:szCs w:val="18"/>
                <w:lang w:val="es-ES" w:eastAsia="es-ES"/>
              </w:rPr>
            </w:pPr>
            <w:r w:rsidRPr="00716725">
              <w:rPr>
                <w:rFonts w:ascii="Arial Narrow" w:hAnsi="Arial Narrow"/>
                <w:i/>
                <w:color w:val="000000"/>
                <w:sz w:val="18"/>
                <w:szCs w:val="18"/>
                <w:lang w:val="es-ES" w:eastAsia="es-ES"/>
              </w:rPr>
              <w:t xml:space="preserve">-2 </w:t>
            </w:r>
          </w:p>
        </w:tc>
      </w:tr>
      <w:tr w:rsidR="00C02B01" w:rsidRPr="00C02B01" w:rsidTr="00B92F9D">
        <w:trPr>
          <w:trHeight w:val="330"/>
        </w:trPr>
        <w:tc>
          <w:tcPr>
            <w:tcW w:w="3043" w:type="pct"/>
            <w:tcBorders>
              <w:top w:val="nil"/>
              <w:left w:val="nil"/>
              <w:bottom w:val="single" w:sz="4" w:space="0" w:color="auto"/>
              <w:right w:val="nil"/>
            </w:tcBorders>
            <w:shd w:val="clear" w:color="auto" w:fill="auto"/>
            <w:vAlign w:val="center"/>
            <w:hideMark/>
          </w:tcPr>
          <w:p w:rsidR="00C02B01" w:rsidRPr="00C02B01" w:rsidRDefault="00C02B01" w:rsidP="00C02B01">
            <w:pPr>
              <w:spacing w:after="0"/>
              <w:ind w:firstLine="0"/>
              <w:jc w:val="left"/>
              <w:rPr>
                <w:rFonts w:ascii="Arial Narrow" w:hAnsi="Arial Narrow"/>
                <w:color w:val="000000"/>
                <w:lang w:val="es-ES" w:eastAsia="es-ES"/>
              </w:rPr>
            </w:pPr>
            <w:r w:rsidRPr="00C02B01">
              <w:rPr>
                <w:rFonts w:ascii="Arial Narrow" w:hAnsi="Arial Narrow"/>
                <w:color w:val="000000"/>
                <w:lang w:eastAsia="es-ES"/>
              </w:rPr>
              <w:t>(-) Presupuesto de Gastos: Ejercicio corriente</w:t>
            </w:r>
          </w:p>
        </w:tc>
        <w:tc>
          <w:tcPr>
            <w:tcW w:w="713" w:type="pct"/>
            <w:tcBorders>
              <w:top w:val="nil"/>
              <w:left w:val="nil"/>
              <w:bottom w:val="single" w:sz="4" w:space="0" w:color="auto"/>
              <w:right w:val="nil"/>
            </w:tcBorders>
            <w:shd w:val="clear" w:color="auto" w:fill="auto"/>
            <w:noWrap/>
            <w:vAlign w:val="bottom"/>
            <w:hideMark/>
          </w:tcPr>
          <w:p w:rsidR="00C02B01" w:rsidRPr="007747F2" w:rsidRDefault="00C02B01" w:rsidP="00C02B01">
            <w:pPr>
              <w:spacing w:after="0"/>
              <w:ind w:firstLine="0"/>
              <w:jc w:val="right"/>
              <w:rPr>
                <w:rFonts w:ascii="Arial Narrow" w:hAnsi="Arial Narrow"/>
                <w:color w:val="000000"/>
                <w:lang w:val="es-ES" w:eastAsia="es-ES"/>
              </w:rPr>
            </w:pPr>
            <w:r w:rsidRPr="007747F2">
              <w:rPr>
                <w:rFonts w:ascii="Arial Narrow" w:hAnsi="Arial Narrow"/>
                <w:color w:val="000000"/>
                <w:lang w:val="es-ES" w:eastAsia="es-ES"/>
              </w:rPr>
              <w:t>1.140.849</w:t>
            </w:r>
          </w:p>
        </w:tc>
        <w:tc>
          <w:tcPr>
            <w:tcW w:w="713" w:type="pct"/>
            <w:tcBorders>
              <w:top w:val="nil"/>
              <w:left w:val="nil"/>
              <w:bottom w:val="single" w:sz="4" w:space="0" w:color="auto"/>
              <w:right w:val="nil"/>
            </w:tcBorders>
            <w:shd w:val="clear" w:color="auto" w:fill="auto"/>
            <w:noWrap/>
            <w:vAlign w:val="bottom"/>
            <w:hideMark/>
          </w:tcPr>
          <w:p w:rsidR="00C02B01" w:rsidRPr="007747F2" w:rsidRDefault="00C02B01" w:rsidP="00C02B01">
            <w:pPr>
              <w:spacing w:after="0"/>
              <w:ind w:firstLine="0"/>
              <w:jc w:val="right"/>
              <w:rPr>
                <w:rFonts w:ascii="Arial Narrow" w:hAnsi="Arial Narrow"/>
                <w:color w:val="000000"/>
                <w:lang w:val="es-ES" w:eastAsia="es-ES"/>
              </w:rPr>
            </w:pPr>
            <w:r w:rsidRPr="007747F2">
              <w:rPr>
                <w:rFonts w:ascii="Arial Narrow" w:hAnsi="Arial Narrow"/>
                <w:color w:val="000000"/>
                <w:lang w:val="es-ES" w:eastAsia="es-ES"/>
              </w:rPr>
              <w:t>943.394</w:t>
            </w:r>
          </w:p>
        </w:tc>
        <w:tc>
          <w:tcPr>
            <w:tcW w:w="531" w:type="pct"/>
            <w:tcBorders>
              <w:top w:val="nil"/>
              <w:left w:val="nil"/>
              <w:bottom w:val="single" w:sz="4" w:space="0" w:color="auto"/>
              <w:right w:val="nil"/>
            </w:tcBorders>
            <w:shd w:val="clear" w:color="auto" w:fill="auto"/>
            <w:vAlign w:val="center"/>
            <w:hideMark/>
          </w:tcPr>
          <w:p w:rsidR="00C02B01" w:rsidRPr="007747F2" w:rsidRDefault="00C02B01" w:rsidP="00C02B01">
            <w:pPr>
              <w:spacing w:after="0"/>
              <w:ind w:firstLine="0"/>
              <w:jc w:val="right"/>
              <w:rPr>
                <w:rFonts w:ascii="Arial Narrow" w:hAnsi="Arial Narrow"/>
                <w:color w:val="000000"/>
                <w:sz w:val="18"/>
                <w:szCs w:val="18"/>
                <w:lang w:val="es-ES" w:eastAsia="es-ES"/>
              </w:rPr>
            </w:pPr>
            <w:r w:rsidRPr="007747F2">
              <w:rPr>
                <w:rFonts w:ascii="Arial Narrow" w:hAnsi="Arial Narrow"/>
                <w:color w:val="000000"/>
                <w:sz w:val="18"/>
                <w:szCs w:val="18"/>
                <w:lang w:val="es-ES" w:eastAsia="es-ES"/>
              </w:rPr>
              <w:t> </w:t>
            </w:r>
          </w:p>
        </w:tc>
      </w:tr>
      <w:tr w:rsidR="00C02B01" w:rsidRPr="00C02B01" w:rsidTr="00B92F9D">
        <w:trPr>
          <w:trHeight w:val="330"/>
        </w:trPr>
        <w:tc>
          <w:tcPr>
            <w:tcW w:w="3043" w:type="pct"/>
            <w:tcBorders>
              <w:top w:val="nil"/>
              <w:left w:val="nil"/>
              <w:bottom w:val="single" w:sz="4" w:space="0" w:color="auto"/>
              <w:right w:val="nil"/>
            </w:tcBorders>
            <w:shd w:val="clear" w:color="auto" w:fill="auto"/>
            <w:vAlign w:val="center"/>
            <w:hideMark/>
          </w:tcPr>
          <w:p w:rsidR="00C02B01" w:rsidRPr="00C02B01" w:rsidRDefault="00C02B01" w:rsidP="00C02B01">
            <w:pPr>
              <w:spacing w:after="0"/>
              <w:ind w:firstLine="0"/>
              <w:jc w:val="left"/>
              <w:rPr>
                <w:rFonts w:ascii="Arial Narrow" w:hAnsi="Arial Narrow"/>
                <w:color w:val="000000"/>
                <w:lang w:val="es-ES" w:eastAsia="es-ES"/>
              </w:rPr>
            </w:pPr>
            <w:r w:rsidRPr="00C02B01">
              <w:rPr>
                <w:rFonts w:ascii="Arial Narrow" w:hAnsi="Arial Narrow"/>
                <w:color w:val="000000"/>
                <w:lang w:eastAsia="es-ES"/>
              </w:rPr>
              <w:t>(-) Presupuesto Gastos: Ejercicios cerrados</w:t>
            </w:r>
          </w:p>
        </w:tc>
        <w:tc>
          <w:tcPr>
            <w:tcW w:w="713" w:type="pct"/>
            <w:tcBorders>
              <w:top w:val="nil"/>
              <w:left w:val="nil"/>
              <w:bottom w:val="single" w:sz="4" w:space="0" w:color="auto"/>
              <w:right w:val="nil"/>
            </w:tcBorders>
            <w:shd w:val="clear" w:color="auto" w:fill="auto"/>
            <w:noWrap/>
            <w:vAlign w:val="bottom"/>
            <w:hideMark/>
          </w:tcPr>
          <w:p w:rsidR="00C02B01" w:rsidRPr="007747F2" w:rsidRDefault="00C02B01" w:rsidP="00C02B01">
            <w:pPr>
              <w:spacing w:after="0"/>
              <w:ind w:firstLine="0"/>
              <w:jc w:val="right"/>
              <w:rPr>
                <w:rFonts w:ascii="Arial Narrow" w:hAnsi="Arial Narrow"/>
                <w:color w:val="000000"/>
                <w:lang w:val="es-ES" w:eastAsia="es-ES"/>
              </w:rPr>
            </w:pPr>
            <w:r w:rsidRPr="007747F2">
              <w:rPr>
                <w:rFonts w:ascii="Arial Narrow" w:hAnsi="Arial Narrow"/>
                <w:color w:val="000000"/>
                <w:lang w:val="es-ES" w:eastAsia="es-ES"/>
              </w:rPr>
              <w:t>39.277</w:t>
            </w:r>
          </w:p>
        </w:tc>
        <w:tc>
          <w:tcPr>
            <w:tcW w:w="713" w:type="pct"/>
            <w:tcBorders>
              <w:top w:val="nil"/>
              <w:left w:val="nil"/>
              <w:bottom w:val="single" w:sz="4" w:space="0" w:color="auto"/>
              <w:right w:val="nil"/>
            </w:tcBorders>
            <w:shd w:val="clear" w:color="auto" w:fill="auto"/>
            <w:noWrap/>
            <w:vAlign w:val="bottom"/>
            <w:hideMark/>
          </w:tcPr>
          <w:p w:rsidR="00C02B01" w:rsidRPr="007747F2" w:rsidRDefault="00C02B01" w:rsidP="00C02B01">
            <w:pPr>
              <w:spacing w:after="0"/>
              <w:ind w:firstLine="0"/>
              <w:jc w:val="right"/>
              <w:rPr>
                <w:rFonts w:ascii="Arial Narrow" w:hAnsi="Arial Narrow"/>
                <w:color w:val="000000"/>
                <w:lang w:val="es-ES" w:eastAsia="es-ES"/>
              </w:rPr>
            </w:pPr>
            <w:r w:rsidRPr="007747F2">
              <w:rPr>
                <w:rFonts w:ascii="Arial Narrow" w:hAnsi="Arial Narrow"/>
                <w:color w:val="000000"/>
                <w:lang w:val="es-ES" w:eastAsia="es-ES"/>
              </w:rPr>
              <w:t>55.450</w:t>
            </w:r>
          </w:p>
        </w:tc>
        <w:tc>
          <w:tcPr>
            <w:tcW w:w="531" w:type="pct"/>
            <w:tcBorders>
              <w:top w:val="nil"/>
              <w:left w:val="nil"/>
              <w:bottom w:val="single" w:sz="4" w:space="0" w:color="auto"/>
              <w:right w:val="nil"/>
            </w:tcBorders>
            <w:shd w:val="clear" w:color="auto" w:fill="auto"/>
            <w:vAlign w:val="center"/>
            <w:hideMark/>
          </w:tcPr>
          <w:p w:rsidR="00C02B01" w:rsidRPr="007747F2" w:rsidRDefault="00C02B01" w:rsidP="00C02B01">
            <w:pPr>
              <w:spacing w:after="0"/>
              <w:ind w:firstLine="0"/>
              <w:jc w:val="right"/>
              <w:rPr>
                <w:rFonts w:ascii="Arial Narrow" w:hAnsi="Arial Narrow"/>
                <w:color w:val="000000"/>
                <w:sz w:val="18"/>
                <w:szCs w:val="18"/>
                <w:lang w:val="es-ES" w:eastAsia="es-ES"/>
              </w:rPr>
            </w:pPr>
            <w:r w:rsidRPr="007747F2">
              <w:rPr>
                <w:rFonts w:ascii="Arial Narrow" w:hAnsi="Arial Narrow"/>
                <w:color w:val="000000"/>
                <w:sz w:val="18"/>
                <w:szCs w:val="18"/>
                <w:lang w:val="es-ES" w:eastAsia="es-ES"/>
              </w:rPr>
              <w:t> </w:t>
            </w:r>
          </w:p>
        </w:tc>
      </w:tr>
      <w:tr w:rsidR="00C02B01" w:rsidRPr="00C02B01" w:rsidTr="00B92F9D">
        <w:trPr>
          <w:trHeight w:val="330"/>
        </w:trPr>
        <w:tc>
          <w:tcPr>
            <w:tcW w:w="3043" w:type="pct"/>
            <w:tcBorders>
              <w:top w:val="nil"/>
              <w:left w:val="nil"/>
              <w:bottom w:val="single" w:sz="4" w:space="0" w:color="auto"/>
              <w:right w:val="nil"/>
            </w:tcBorders>
            <w:shd w:val="clear" w:color="auto" w:fill="auto"/>
            <w:vAlign w:val="center"/>
            <w:hideMark/>
          </w:tcPr>
          <w:p w:rsidR="00C02B01" w:rsidRPr="00C02B01" w:rsidRDefault="00C02B01" w:rsidP="00C02B01">
            <w:pPr>
              <w:spacing w:after="0"/>
              <w:ind w:firstLine="0"/>
              <w:jc w:val="left"/>
              <w:rPr>
                <w:rFonts w:ascii="Arial Narrow" w:hAnsi="Arial Narrow"/>
                <w:color w:val="000000"/>
                <w:lang w:val="es-ES" w:eastAsia="es-ES"/>
              </w:rPr>
            </w:pPr>
            <w:r w:rsidRPr="00C02B01">
              <w:rPr>
                <w:rFonts w:ascii="Arial Narrow" w:hAnsi="Arial Narrow"/>
                <w:color w:val="000000"/>
                <w:lang w:eastAsia="es-ES"/>
              </w:rPr>
              <w:t>(-) Gastos extrapresupuestarios</w:t>
            </w:r>
          </w:p>
        </w:tc>
        <w:tc>
          <w:tcPr>
            <w:tcW w:w="713" w:type="pct"/>
            <w:tcBorders>
              <w:top w:val="nil"/>
              <w:left w:val="nil"/>
              <w:bottom w:val="single" w:sz="4" w:space="0" w:color="auto"/>
              <w:right w:val="nil"/>
            </w:tcBorders>
            <w:shd w:val="clear" w:color="auto" w:fill="auto"/>
            <w:noWrap/>
            <w:vAlign w:val="bottom"/>
            <w:hideMark/>
          </w:tcPr>
          <w:p w:rsidR="00C02B01" w:rsidRPr="007747F2" w:rsidRDefault="00C02B01" w:rsidP="00C02B01">
            <w:pPr>
              <w:spacing w:after="0"/>
              <w:ind w:firstLine="0"/>
              <w:jc w:val="right"/>
              <w:rPr>
                <w:rFonts w:ascii="Arial Narrow" w:hAnsi="Arial Narrow"/>
                <w:color w:val="000000"/>
                <w:lang w:val="es-ES" w:eastAsia="es-ES"/>
              </w:rPr>
            </w:pPr>
            <w:r w:rsidRPr="007747F2">
              <w:rPr>
                <w:rFonts w:ascii="Arial Narrow" w:hAnsi="Arial Narrow"/>
                <w:color w:val="000000"/>
                <w:lang w:val="es-ES" w:eastAsia="es-ES"/>
              </w:rPr>
              <w:t>520.764</w:t>
            </w:r>
          </w:p>
        </w:tc>
        <w:tc>
          <w:tcPr>
            <w:tcW w:w="713" w:type="pct"/>
            <w:tcBorders>
              <w:top w:val="nil"/>
              <w:left w:val="nil"/>
              <w:bottom w:val="single" w:sz="4" w:space="0" w:color="auto"/>
              <w:right w:val="nil"/>
            </w:tcBorders>
            <w:shd w:val="clear" w:color="auto" w:fill="auto"/>
            <w:noWrap/>
            <w:vAlign w:val="bottom"/>
            <w:hideMark/>
          </w:tcPr>
          <w:p w:rsidR="00C02B01" w:rsidRPr="007747F2" w:rsidRDefault="00C02B01" w:rsidP="00C02B01">
            <w:pPr>
              <w:spacing w:after="0"/>
              <w:ind w:firstLine="0"/>
              <w:jc w:val="right"/>
              <w:rPr>
                <w:rFonts w:ascii="Arial Narrow" w:hAnsi="Arial Narrow"/>
                <w:color w:val="000000"/>
                <w:lang w:val="es-ES" w:eastAsia="es-ES"/>
              </w:rPr>
            </w:pPr>
            <w:r w:rsidRPr="007747F2">
              <w:rPr>
                <w:rFonts w:ascii="Arial Narrow" w:hAnsi="Arial Narrow"/>
                <w:color w:val="000000"/>
                <w:lang w:val="es-ES" w:eastAsia="es-ES"/>
              </w:rPr>
              <w:t>675.813</w:t>
            </w:r>
          </w:p>
        </w:tc>
        <w:tc>
          <w:tcPr>
            <w:tcW w:w="531" w:type="pct"/>
            <w:tcBorders>
              <w:top w:val="nil"/>
              <w:left w:val="nil"/>
              <w:bottom w:val="single" w:sz="4" w:space="0" w:color="auto"/>
              <w:right w:val="nil"/>
            </w:tcBorders>
            <w:shd w:val="clear" w:color="auto" w:fill="auto"/>
            <w:vAlign w:val="center"/>
            <w:hideMark/>
          </w:tcPr>
          <w:p w:rsidR="00C02B01" w:rsidRPr="007747F2" w:rsidRDefault="00C02B01" w:rsidP="00C02B01">
            <w:pPr>
              <w:spacing w:after="0"/>
              <w:ind w:firstLine="0"/>
              <w:jc w:val="right"/>
              <w:rPr>
                <w:rFonts w:ascii="Arial Narrow" w:hAnsi="Arial Narrow"/>
                <w:color w:val="000000"/>
                <w:sz w:val="18"/>
                <w:szCs w:val="18"/>
                <w:lang w:val="es-ES" w:eastAsia="es-ES"/>
              </w:rPr>
            </w:pPr>
            <w:r w:rsidRPr="007747F2">
              <w:rPr>
                <w:rFonts w:ascii="Arial Narrow" w:hAnsi="Arial Narrow"/>
                <w:color w:val="000000"/>
                <w:sz w:val="18"/>
                <w:szCs w:val="18"/>
                <w:lang w:val="es-ES" w:eastAsia="es-ES"/>
              </w:rPr>
              <w:t> </w:t>
            </w:r>
          </w:p>
        </w:tc>
      </w:tr>
      <w:tr w:rsidR="00C02B01" w:rsidRPr="00C02B01" w:rsidTr="00B92F9D">
        <w:trPr>
          <w:trHeight w:val="330"/>
        </w:trPr>
        <w:tc>
          <w:tcPr>
            <w:tcW w:w="3043" w:type="pct"/>
            <w:tcBorders>
              <w:top w:val="nil"/>
              <w:left w:val="nil"/>
              <w:bottom w:val="single" w:sz="4" w:space="0" w:color="auto"/>
              <w:right w:val="nil"/>
            </w:tcBorders>
            <w:shd w:val="clear" w:color="auto" w:fill="auto"/>
            <w:vAlign w:val="center"/>
            <w:hideMark/>
          </w:tcPr>
          <w:p w:rsidR="00C02B01" w:rsidRPr="00C02B01" w:rsidRDefault="00C02B01" w:rsidP="00C02B01">
            <w:pPr>
              <w:spacing w:after="0"/>
              <w:ind w:firstLine="0"/>
              <w:jc w:val="left"/>
              <w:rPr>
                <w:rFonts w:ascii="Arial Narrow" w:hAnsi="Arial Narrow"/>
                <w:color w:val="000000"/>
                <w:lang w:val="es-ES" w:eastAsia="es-ES"/>
              </w:rPr>
            </w:pPr>
            <w:r w:rsidRPr="00C02B01">
              <w:rPr>
                <w:rFonts w:ascii="Arial Narrow" w:hAnsi="Arial Narrow"/>
                <w:color w:val="000000"/>
                <w:lang w:eastAsia="es-ES"/>
              </w:rPr>
              <w:t>(-) Devoluciones pendientes Pago</w:t>
            </w:r>
          </w:p>
        </w:tc>
        <w:tc>
          <w:tcPr>
            <w:tcW w:w="713" w:type="pct"/>
            <w:tcBorders>
              <w:top w:val="nil"/>
              <w:left w:val="nil"/>
              <w:bottom w:val="single" w:sz="4" w:space="0" w:color="auto"/>
              <w:right w:val="nil"/>
            </w:tcBorders>
            <w:shd w:val="clear" w:color="auto" w:fill="auto"/>
            <w:noWrap/>
            <w:vAlign w:val="bottom"/>
            <w:hideMark/>
          </w:tcPr>
          <w:p w:rsidR="00C02B01" w:rsidRPr="007747F2" w:rsidRDefault="00C02B01" w:rsidP="00C02B01">
            <w:pPr>
              <w:spacing w:after="0"/>
              <w:ind w:firstLine="0"/>
              <w:jc w:val="right"/>
              <w:rPr>
                <w:rFonts w:ascii="Arial Narrow" w:hAnsi="Arial Narrow"/>
                <w:color w:val="000000"/>
                <w:lang w:val="es-ES" w:eastAsia="es-ES"/>
              </w:rPr>
            </w:pPr>
            <w:r w:rsidRPr="007747F2">
              <w:rPr>
                <w:rFonts w:ascii="Arial Narrow" w:hAnsi="Arial Narrow"/>
                <w:color w:val="000000"/>
                <w:lang w:val="es-ES" w:eastAsia="es-ES"/>
              </w:rPr>
              <w:t>429</w:t>
            </w:r>
          </w:p>
        </w:tc>
        <w:tc>
          <w:tcPr>
            <w:tcW w:w="713" w:type="pct"/>
            <w:tcBorders>
              <w:top w:val="nil"/>
              <w:left w:val="nil"/>
              <w:bottom w:val="single" w:sz="4" w:space="0" w:color="auto"/>
              <w:right w:val="nil"/>
            </w:tcBorders>
            <w:shd w:val="clear" w:color="auto" w:fill="auto"/>
            <w:noWrap/>
            <w:vAlign w:val="bottom"/>
            <w:hideMark/>
          </w:tcPr>
          <w:p w:rsidR="00C02B01" w:rsidRPr="007747F2" w:rsidRDefault="00C02B01" w:rsidP="00C02B01">
            <w:pPr>
              <w:spacing w:after="0"/>
              <w:ind w:firstLine="0"/>
              <w:jc w:val="right"/>
              <w:rPr>
                <w:rFonts w:ascii="Arial Narrow" w:hAnsi="Arial Narrow"/>
                <w:color w:val="000000"/>
                <w:lang w:val="es-ES" w:eastAsia="es-ES"/>
              </w:rPr>
            </w:pPr>
            <w:r w:rsidRPr="007747F2">
              <w:rPr>
                <w:rFonts w:ascii="Arial Narrow" w:hAnsi="Arial Narrow"/>
                <w:color w:val="000000"/>
                <w:lang w:val="es-ES" w:eastAsia="es-ES"/>
              </w:rPr>
              <w:t>202</w:t>
            </w:r>
          </w:p>
        </w:tc>
        <w:tc>
          <w:tcPr>
            <w:tcW w:w="531" w:type="pct"/>
            <w:tcBorders>
              <w:top w:val="nil"/>
              <w:left w:val="nil"/>
              <w:bottom w:val="single" w:sz="4" w:space="0" w:color="auto"/>
              <w:right w:val="nil"/>
            </w:tcBorders>
            <w:shd w:val="clear" w:color="auto" w:fill="auto"/>
            <w:vAlign w:val="center"/>
            <w:hideMark/>
          </w:tcPr>
          <w:p w:rsidR="00C02B01" w:rsidRPr="007747F2" w:rsidRDefault="00C02B01" w:rsidP="00C02B01">
            <w:pPr>
              <w:spacing w:after="0"/>
              <w:ind w:firstLine="0"/>
              <w:jc w:val="right"/>
              <w:rPr>
                <w:rFonts w:ascii="Arial Narrow" w:hAnsi="Arial Narrow"/>
                <w:color w:val="000000"/>
                <w:sz w:val="18"/>
                <w:szCs w:val="18"/>
                <w:lang w:val="es-ES" w:eastAsia="es-ES"/>
              </w:rPr>
            </w:pPr>
            <w:r w:rsidRPr="007747F2">
              <w:rPr>
                <w:rFonts w:ascii="Arial Narrow" w:hAnsi="Arial Narrow"/>
                <w:color w:val="000000"/>
                <w:sz w:val="18"/>
                <w:szCs w:val="18"/>
                <w:lang w:val="es-ES" w:eastAsia="es-ES"/>
              </w:rPr>
              <w:t> </w:t>
            </w:r>
          </w:p>
        </w:tc>
      </w:tr>
      <w:tr w:rsidR="00C02B01" w:rsidRPr="00C02B01" w:rsidTr="00B92F9D">
        <w:trPr>
          <w:trHeight w:val="330"/>
        </w:trPr>
        <w:tc>
          <w:tcPr>
            <w:tcW w:w="3043" w:type="pct"/>
            <w:tcBorders>
              <w:top w:val="nil"/>
              <w:left w:val="nil"/>
              <w:bottom w:val="single" w:sz="4" w:space="0" w:color="auto"/>
              <w:right w:val="nil"/>
            </w:tcBorders>
            <w:shd w:val="clear" w:color="auto" w:fill="auto"/>
            <w:vAlign w:val="center"/>
            <w:hideMark/>
          </w:tcPr>
          <w:p w:rsidR="00C02B01" w:rsidRPr="00C02B01" w:rsidRDefault="00C02B01" w:rsidP="00C02B01">
            <w:pPr>
              <w:spacing w:after="0"/>
              <w:ind w:firstLine="0"/>
              <w:jc w:val="left"/>
              <w:rPr>
                <w:rFonts w:ascii="Arial Narrow" w:hAnsi="Arial Narrow"/>
                <w:color w:val="000000"/>
                <w:lang w:val="es-ES" w:eastAsia="es-ES"/>
              </w:rPr>
            </w:pPr>
            <w:r w:rsidRPr="00C02B01">
              <w:rPr>
                <w:rFonts w:ascii="Arial Narrow" w:hAnsi="Arial Narrow"/>
                <w:color w:val="000000"/>
                <w:lang w:eastAsia="es-ES"/>
              </w:rPr>
              <w:t>(+) Pagos pendientes Aplicación</w:t>
            </w:r>
          </w:p>
        </w:tc>
        <w:tc>
          <w:tcPr>
            <w:tcW w:w="713" w:type="pct"/>
            <w:tcBorders>
              <w:top w:val="nil"/>
              <w:left w:val="nil"/>
              <w:bottom w:val="single" w:sz="4" w:space="0" w:color="auto"/>
              <w:right w:val="nil"/>
            </w:tcBorders>
            <w:shd w:val="clear" w:color="auto" w:fill="auto"/>
            <w:noWrap/>
            <w:vAlign w:val="bottom"/>
            <w:hideMark/>
          </w:tcPr>
          <w:p w:rsidR="00C02B01" w:rsidRPr="007747F2" w:rsidRDefault="00C02B01" w:rsidP="00C02B01">
            <w:pPr>
              <w:spacing w:after="0"/>
              <w:ind w:firstLine="0"/>
              <w:jc w:val="right"/>
              <w:rPr>
                <w:rFonts w:ascii="Arial Narrow" w:hAnsi="Arial Narrow"/>
                <w:color w:val="000000"/>
                <w:lang w:val="es-ES" w:eastAsia="es-ES"/>
              </w:rPr>
            </w:pPr>
            <w:r w:rsidRPr="007747F2">
              <w:rPr>
                <w:rFonts w:ascii="Arial Narrow" w:hAnsi="Arial Narrow"/>
                <w:color w:val="000000"/>
                <w:lang w:val="es-ES" w:eastAsia="es-ES"/>
              </w:rPr>
              <w:t>0</w:t>
            </w:r>
          </w:p>
        </w:tc>
        <w:tc>
          <w:tcPr>
            <w:tcW w:w="713" w:type="pct"/>
            <w:tcBorders>
              <w:top w:val="nil"/>
              <w:left w:val="nil"/>
              <w:bottom w:val="single" w:sz="4" w:space="0" w:color="auto"/>
              <w:right w:val="nil"/>
            </w:tcBorders>
            <w:shd w:val="clear" w:color="auto" w:fill="auto"/>
            <w:noWrap/>
            <w:vAlign w:val="bottom"/>
            <w:hideMark/>
          </w:tcPr>
          <w:p w:rsidR="00C02B01" w:rsidRPr="007747F2" w:rsidRDefault="00C02B01" w:rsidP="00C02B01">
            <w:pPr>
              <w:spacing w:after="0"/>
              <w:ind w:firstLine="0"/>
              <w:jc w:val="right"/>
              <w:rPr>
                <w:rFonts w:ascii="Arial Narrow" w:hAnsi="Arial Narrow"/>
                <w:color w:val="000000"/>
                <w:lang w:val="es-ES" w:eastAsia="es-ES"/>
              </w:rPr>
            </w:pPr>
            <w:r w:rsidRPr="007747F2">
              <w:rPr>
                <w:rFonts w:ascii="Arial Narrow" w:hAnsi="Arial Narrow"/>
                <w:color w:val="000000"/>
                <w:lang w:val="es-ES" w:eastAsia="es-ES"/>
              </w:rPr>
              <w:t>0</w:t>
            </w:r>
          </w:p>
        </w:tc>
        <w:tc>
          <w:tcPr>
            <w:tcW w:w="531" w:type="pct"/>
            <w:tcBorders>
              <w:top w:val="nil"/>
              <w:left w:val="nil"/>
              <w:bottom w:val="single" w:sz="4" w:space="0" w:color="auto"/>
              <w:right w:val="nil"/>
            </w:tcBorders>
            <w:shd w:val="clear" w:color="auto" w:fill="auto"/>
            <w:vAlign w:val="center"/>
            <w:hideMark/>
          </w:tcPr>
          <w:p w:rsidR="00C02B01" w:rsidRPr="007747F2" w:rsidRDefault="00C02B01" w:rsidP="00C02B01">
            <w:pPr>
              <w:spacing w:after="0"/>
              <w:ind w:firstLine="0"/>
              <w:jc w:val="right"/>
              <w:rPr>
                <w:rFonts w:ascii="Arial Narrow" w:hAnsi="Arial Narrow"/>
                <w:color w:val="000000"/>
                <w:sz w:val="18"/>
                <w:szCs w:val="18"/>
                <w:lang w:val="es-ES" w:eastAsia="es-ES"/>
              </w:rPr>
            </w:pPr>
            <w:r w:rsidRPr="007747F2">
              <w:rPr>
                <w:rFonts w:ascii="Arial Narrow" w:hAnsi="Arial Narrow"/>
                <w:color w:val="000000"/>
                <w:sz w:val="18"/>
                <w:szCs w:val="18"/>
                <w:lang w:val="es-ES" w:eastAsia="es-ES"/>
              </w:rPr>
              <w:t> </w:t>
            </w:r>
          </w:p>
        </w:tc>
      </w:tr>
      <w:tr w:rsidR="00C02B01" w:rsidRPr="00716725" w:rsidTr="00B92F9D">
        <w:trPr>
          <w:trHeight w:val="330"/>
        </w:trPr>
        <w:tc>
          <w:tcPr>
            <w:tcW w:w="3043" w:type="pct"/>
            <w:tcBorders>
              <w:top w:val="nil"/>
              <w:left w:val="nil"/>
              <w:bottom w:val="single" w:sz="4" w:space="0" w:color="auto"/>
              <w:right w:val="nil"/>
            </w:tcBorders>
            <w:shd w:val="clear" w:color="auto" w:fill="auto"/>
            <w:vAlign w:val="center"/>
            <w:hideMark/>
          </w:tcPr>
          <w:p w:rsidR="00C02B01" w:rsidRPr="00716725" w:rsidRDefault="00C02B01" w:rsidP="00C02B01">
            <w:pPr>
              <w:spacing w:after="0"/>
              <w:ind w:firstLine="0"/>
              <w:jc w:val="left"/>
              <w:rPr>
                <w:rFonts w:ascii="Arial Narrow" w:hAnsi="Arial Narrow"/>
                <w:i/>
                <w:color w:val="000000"/>
                <w:lang w:val="es-ES" w:eastAsia="es-ES"/>
              </w:rPr>
            </w:pPr>
            <w:r w:rsidRPr="00716725">
              <w:rPr>
                <w:rFonts w:ascii="Arial Narrow" w:hAnsi="Arial Narrow" w:cs="Arial"/>
                <w:i/>
                <w:color w:val="000000"/>
                <w:lang w:eastAsia="es-ES"/>
              </w:rPr>
              <w:t>(+) Fondos líquidos de Tesorería</w:t>
            </w:r>
          </w:p>
        </w:tc>
        <w:tc>
          <w:tcPr>
            <w:tcW w:w="713" w:type="pct"/>
            <w:tcBorders>
              <w:top w:val="nil"/>
              <w:left w:val="nil"/>
              <w:bottom w:val="single" w:sz="4" w:space="0" w:color="auto"/>
              <w:right w:val="nil"/>
            </w:tcBorders>
            <w:shd w:val="clear" w:color="auto" w:fill="auto"/>
            <w:noWrap/>
            <w:vAlign w:val="bottom"/>
            <w:hideMark/>
          </w:tcPr>
          <w:p w:rsidR="00C02B01" w:rsidRPr="00716725" w:rsidRDefault="00C02B01" w:rsidP="00C02B01">
            <w:pPr>
              <w:spacing w:after="0"/>
              <w:ind w:firstLine="0"/>
              <w:jc w:val="right"/>
              <w:rPr>
                <w:rFonts w:ascii="Arial Narrow" w:hAnsi="Arial Narrow"/>
                <w:i/>
                <w:color w:val="000000"/>
                <w:lang w:val="es-ES" w:eastAsia="es-ES"/>
              </w:rPr>
            </w:pPr>
            <w:r w:rsidRPr="00716725">
              <w:rPr>
                <w:rFonts w:ascii="Arial Narrow" w:hAnsi="Arial Narrow"/>
                <w:i/>
                <w:color w:val="000000"/>
                <w:lang w:val="es-ES" w:eastAsia="es-ES"/>
              </w:rPr>
              <w:t>6.867.959</w:t>
            </w:r>
          </w:p>
        </w:tc>
        <w:tc>
          <w:tcPr>
            <w:tcW w:w="713" w:type="pct"/>
            <w:tcBorders>
              <w:top w:val="nil"/>
              <w:left w:val="nil"/>
              <w:bottom w:val="single" w:sz="4" w:space="0" w:color="auto"/>
              <w:right w:val="nil"/>
            </w:tcBorders>
            <w:shd w:val="clear" w:color="auto" w:fill="auto"/>
            <w:noWrap/>
            <w:vAlign w:val="bottom"/>
            <w:hideMark/>
          </w:tcPr>
          <w:p w:rsidR="00C02B01" w:rsidRPr="00716725" w:rsidRDefault="00C02B01" w:rsidP="00C02B01">
            <w:pPr>
              <w:spacing w:after="0"/>
              <w:ind w:firstLine="0"/>
              <w:jc w:val="right"/>
              <w:rPr>
                <w:rFonts w:ascii="Arial Narrow" w:hAnsi="Arial Narrow"/>
                <w:i/>
                <w:color w:val="000000"/>
                <w:lang w:val="es-ES" w:eastAsia="es-ES"/>
              </w:rPr>
            </w:pPr>
            <w:r w:rsidRPr="00716725">
              <w:rPr>
                <w:rFonts w:ascii="Arial Narrow" w:hAnsi="Arial Narrow"/>
                <w:i/>
                <w:color w:val="000000"/>
                <w:lang w:val="es-ES" w:eastAsia="es-ES"/>
              </w:rPr>
              <w:t>5.423.227</w:t>
            </w:r>
          </w:p>
        </w:tc>
        <w:tc>
          <w:tcPr>
            <w:tcW w:w="531" w:type="pct"/>
            <w:tcBorders>
              <w:top w:val="nil"/>
              <w:left w:val="nil"/>
              <w:bottom w:val="single" w:sz="4" w:space="0" w:color="auto"/>
              <w:right w:val="nil"/>
            </w:tcBorders>
            <w:shd w:val="clear" w:color="auto" w:fill="auto"/>
            <w:vAlign w:val="center"/>
            <w:hideMark/>
          </w:tcPr>
          <w:p w:rsidR="00C02B01" w:rsidRPr="00716725" w:rsidRDefault="00C02B01" w:rsidP="00C02B01">
            <w:pPr>
              <w:spacing w:after="0"/>
              <w:ind w:firstLine="0"/>
              <w:jc w:val="right"/>
              <w:rPr>
                <w:rFonts w:ascii="Arial Narrow" w:hAnsi="Arial Narrow"/>
                <w:i/>
                <w:color w:val="000000"/>
                <w:sz w:val="18"/>
                <w:szCs w:val="18"/>
                <w:lang w:val="es-ES" w:eastAsia="es-ES"/>
              </w:rPr>
            </w:pPr>
            <w:r w:rsidRPr="00716725">
              <w:rPr>
                <w:rFonts w:ascii="Arial Narrow" w:hAnsi="Arial Narrow"/>
                <w:i/>
                <w:color w:val="000000"/>
                <w:sz w:val="18"/>
                <w:szCs w:val="18"/>
                <w:lang w:val="es-ES" w:eastAsia="es-ES"/>
              </w:rPr>
              <w:t xml:space="preserve">-21 </w:t>
            </w:r>
          </w:p>
        </w:tc>
      </w:tr>
      <w:tr w:rsidR="00C02B01" w:rsidRPr="00716725" w:rsidTr="00B92F9D">
        <w:trPr>
          <w:trHeight w:val="330"/>
        </w:trPr>
        <w:tc>
          <w:tcPr>
            <w:tcW w:w="3043" w:type="pct"/>
            <w:tcBorders>
              <w:top w:val="nil"/>
              <w:left w:val="nil"/>
              <w:bottom w:val="single" w:sz="4" w:space="0" w:color="auto"/>
              <w:right w:val="nil"/>
            </w:tcBorders>
            <w:shd w:val="clear" w:color="auto" w:fill="auto"/>
            <w:vAlign w:val="center"/>
            <w:hideMark/>
          </w:tcPr>
          <w:p w:rsidR="00C02B01" w:rsidRPr="00716725" w:rsidRDefault="00C02B01" w:rsidP="00C02B01">
            <w:pPr>
              <w:spacing w:after="0"/>
              <w:ind w:firstLine="0"/>
              <w:jc w:val="left"/>
              <w:rPr>
                <w:rFonts w:ascii="Arial Narrow" w:hAnsi="Arial Narrow"/>
                <w:i/>
                <w:color w:val="000000"/>
                <w:lang w:val="es-ES" w:eastAsia="es-ES"/>
              </w:rPr>
            </w:pPr>
            <w:r w:rsidRPr="00716725">
              <w:rPr>
                <w:rFonts w:ascii="Arial Narrow" w:hAnsi="Arial Narrow" w:cs="Arial"/>
                <w:i/>
                <w:color w:val="000000"/>
                <w:lang w:eastAsia="es-ES"/>
              </w:rPr>
              <w:t>(+) Desviaciones financiación acumuladas negativas</w:t>
            </w:r>
          </w:p>
        </w:tc>
        <w:tc>
          <w:tcPr>
            <w:tcW w:w="713" w:type="pct"/>
            <w:tcBorders>
              <w:top w:val="nil"/>
              <w:left w:val="nil"/>
              <w:bottom w:val="single" w:sz="4" w:space="0" w:color="auto"/>
              <w:right w:val="nil"/>
            </w:tcBorders>
            <w:shd w:val="clear" w:color="auto" w:fill="auto"/>
            <w:noWrap/>
            <w:vAlign w:val="bottom"/>
            <w:hideMark/>
          </w:tcPr>
          <w:p w:rsidR="00C02B01" w:rsidRPr="00716725" w:rsidRDefault="00C02B01" w:rsidP="00C02B01">
            <w:pPr>
              <w:spacing w:after="0"/>
              <w:ind w:firstLine="0"/>
              <w:jc w:val="right"/>
              <w:rPr>
                <w:rFonts w:ascii="Arial Narrow" w:hAnsi="Arial Narrow"/>
                <w:i/>
                <w:color w:val="000000"/>
                <w:lang w:val="es-ES" w:eastAsia="es-ES"/>
              </w:rPr>
            </w:pPr>
            <w:r w:rsidRPr="00716725">
              <w:rPr>
                <w:rFonts w:ascii="Arial Narrow" w:hAnsi="Arial Narrow"/>
                <w:i/>
                <w:color w:val="000000"/>
                <w:lang w:val="es-ES" w:eastAsia="es-ES"/>
              </w:rPr>
              <w:t>0</w:t>
            </w:r>
          </w:p>
        </w:tc>
        <w:tc>
          <w:tcPr>
            <w:tcW w:w="713" w:type="pct"/>
            <w:tcBorders>
              <w:top w:val="nil"/>
              <w:left w:val="nil"/>
              <w:bottom w:val="single" w:sz="4" w:space="0" w:color="auto"/>
              <w:right w:val="nil"/>
            </w:tcBorders>
            <w:shd w:val="clear" w:color="auto" w:fill="auto"/>
            <w:noWrap/>
            <w:vAlign w:val="bottom"/>
            <w:hideMark/>
          </w:tcPr>
          <w:p w:rsidR="00C02B01" w:rsidRPr="00716725" w:rsidRDefault="00C02B01" w:rsidP="00C02B01">
            <w:pPr>
              <w:spacing w:after="0"/>
              <w:ind w:firstLine="0"/>
              <w:jc w:val="right"/>
              <w:rPr>
                <w:rFonts w:ascii="Arial Narrow" w:hAnsi="Arial Narrow"/>
                <w:i/>
                <w:color w:val="000000"/>
                <w:lang w:val="es-ES" w:eastAsia="es-ES"/>
              </w:rPr>
            </w:pPr>
            <w:r w:rsidRPr="00716725">
              <w:rPr>
                <w:rFonts w:ascii="Arial Narrow" w:hAnsi="Arial Narrow"/>
                <w:i/>
                <w:color w:val="000000"/>
                <w:lang w:val="es-ES" w:eastAsia="es-ES"/>
              </w:rPr>
              <w:t>0</w:t>
            </w:r>
          </w:p>
        </w:tc>
        <w:tc>
          <w:tcPr>
            <w:tcW w:w="531" w:type="pct"/>
            <w:tcBorders>
              <w:top w:val="nil"/>
              <w:left w:val="nil"/>
              <w:bottom w:val="single" w:sz="4" w:space="0" w:color="auto"/>
              <w:right w:val="nil"/>
            </w:tcBorders>
            <w:shd w:val="clear" w:color="auto" w:fill="auto"/>
            <w:vAlign w:val="center"/>
            <w:hideMark/>
          </w:tcPr>
          <w:p w:rsidR="00C02B01" w:rsidRPr="00716725" w:rsidRDefault="00C02B01" w:rsidP="00C02B01">
            <w:pPr>
              <w:spacing w:after="0"/>
              <w:ind w:firstLine="0"/>
              <w:jc w:val="right"/>
              <w:rPr>
                <w:rFonts w:ascii="Arial Narrow" w:hAnsi="Arial Narrow"/>
                <w:i/>
                <w:color w:val="000000"/>
                <w:sz w:val="18"/>
                <w:szCs w:val="18"/>
                <w:lang w:val="es-ES" w:eastAsia="es-ES"/>
              </w:rPr>
            </w:pPr>
            <w:r w:rsidRPr="00716725">
              <w:rPr>
                <w:rFonts w:ascii="Arial Narrow" w:hAnsi="Arial Narrow"/>
                <w:i/>
                <w:color w:val="000000"/>
                <w:sz w:val="18"/>
                <w:szCs w:val="18"/>
                <w:lang w:val="es-ES" w:eastAsia="es-ES"/>
              </w:rPr>
              <w:t> </w:t>
            </w:r>
          </w:p>
        </w:tc>
      </w:tr>
      <w:tr w:rsidR="00C02B01" w:rsidRPr="00C02B01" w:rsidTr="00B92F9D">
        <w:trPr>
          <w:trHeight w:val="330"/>
        </w:trPr>
        <w:tc>
          <w:tcPr>
            <w:tcW w:w="3043" w:type="pct"/>
            <w:tcBorders>
              <w:top w:val="nil"/>
              <w:left w:val="nil"/>
              <w:bottom w:val="single" w:sz="4" w:space="0" w:color="auto"/>
              <w:right w:val="nil"/>
            </w:tcBorders>
            <w:shd w:val="clear" w:color="auto" w:fill="auto"/>
            <w:vAlign w:val="center"/>
            <w:hideMark/>
          </w:tcPr>
          <w:p w:rsidR="00C02B01" w:rsidRPr="00C02B01" w:rsidRDefault="00C02B01" w:rsidP="00C02B01">
            <w:pPr>
              <w:spacing w:after="0"/>
              <w:ind w:firstLine="0"/>
              <w:jc w:val="left"/>
              <w:rPr>
                <w:rFonts w:ascii="Arial Narrow" w:hAnsi="Arial Narrow"/>
                <w:color w:val="000000"/>
                <w:lang w:val="es-ES" w:eastAsia="es-ES"/>
              </w:rPr>
            </w:pPr>
            <w:r w:rsidRPr="00C02B01">
              <w:rPr>
                <w:rFonts w:ascii="Arial Narrow" w:hAnsi="Arial Narrow" w:cs="Arial"/>
                <w:color w:val="000000"/>
                <w:lang w:eastAsia="es-ES"/>
              </w:rPr>
              <w:t>Remanente Tesorería Total</w:t>
            </w:r>
          </w:p>
        </w:tc>
        <w:tc>
          <w:tcPr>
            <w:tcW w:w="713" w:type="pct"/>
            <w:tcBorders>
              <w:top w:val="nil"/>
              <w:left w:val="nil"/>
              <w:bottom w:val="single" w:sz="4" w:space="0" w:color="auto"/>
              <w:right w:val="nil"/>
            </w:tcBorders>
            <w:shd w:val="clear" w:color="auto" w:fill="auto"/>
            <w:noWrap/>
            <w:vAlign w:val="bottom"/>
            <w:hideMark/>
          </w:tcPr>
          <w:p w:rsidR="00C02B01" w:rsidRPr="007747F2" w:rsidRDefault="00C02B01" w:rsidP="00C02B01">
            <w:pPr>
              <w:spacing w:after="0"/>
              <w:ind w:firstLine="0"/>
              <w:jc w:val="right"/>
              <w:rPr>
                <w:rFonts w:ascii="Arial Narrow" w:hAnsi="Arial Narrow"/>
                <w:color w:val="000000"/>
                <w:lang w:val="es-ES" w:eastAsia="es-ES"/>
              </w:rPr>
            </w:pPr>
            <w:r w:rsidRPr="007747F2">
              <w:rPr>
                <w:rFonts w:ascii="Arial Narrow" w:hAnsi="Arial Narrow"/>
                <w:color w:val="000000"/>
                <w:lang w:val="es-ES" w:eastAsia="es-ES"/>
              </w:rPr>
              <w:t>5.524.906</w:t>
            </w:r>
          </w:p>
        </w:tc>
        <w:tc>
          <w:tcPr>
            <w:tcW w:w="713" w:type="pct"/>
            <w:tcBorders>
              <w:top w:val="nil"/>
              <w:left w:val="nil"/>
              <w:bottom w:val="single" w:sz="4" w:space="0" w:color="auto"/>
              <w:right w:val="nil"/>
            </w:tcBorders>
            <w:shd w:val="clear" w:color="auto" w:fill="auto"/>
            <w:noWrap/>
            <w:vAlign w:val="bottom"/>
            <w:hideMark/>
          </w:tcPr>
          <w:p w:rsidR="00C02B01" w:rsidRPr="007747F2" w:rsidRDefault="00C02B01" w:rsidP="00C02B01">
            <w:pPr>
              <w:spacing w:after="0"/>
              <w:ind w:firstLine="0"/>
              <w:jc w:val="right"/>
              <w:rPr>
                <w:rFonts w:ascii="Arial Narrow" w:hAnsi="Arial Narrow"/>
                <w:color w:val="000000"/>
                <w:lang w:val="es-ES" w:eastAsia="es-ES"/>
              </w:rPr>
            </w:pPr>
            <w:r w:rsidRPr="007747F2">
              <w:rPr>
                <w:rFonts w:ascii="Arial Narrow" w:hAnsi="Arial Narrow"/>
                <w:color w:val="000000"/>
                <w:lang w:val="es-ES" w:eastAsia="es-ES"/>
              </w:rPr>
              <w:t>5.041.072</w:t>
            </w:r>
          </w:p>
        </w:tc>
        <w:tc>
          <w:tcPr>
            <w:tcW w:w="531" w:type="pct"/>
            <w:tcBorders>
              <w:top w:val="nil"/>
              <w:left w:val="nil"/>
              <w:bottom w:val="single" w:sz="4" w:space="0" w:color="auto"/>
              <w:right w:val="nil"/>
            </w:tcBorders>
            <w:shd w:val="clear" w:color="auto" w:fill="auto"/>
            <w:vAlign w:val="center"/>
            <w:hideMark/>
          </w:tcPr>
          <w:p w:rsidR="00C02B01" w:rsidRPr="007747F2" w:rsidRDefault="00C02B01" w:rsidP="00C02B01">
            <w:pPr>
              <w:spacing w:after="0"/>
              <w:ind w:firstLine="0"/>
              <w:jc w:val="right"/>
              <w:rPr>
                <w:rFonts w:ascii="Arial Narrow" w:hAnsi="Arial Narrow"/>
                <w:color w:val="000000"/>
                <w:sz w:val="18"/>
                <w:szCs w:val="18"/>
                <w:lang w:val="es-ES" w:eastAsia="es-ES"/>
              </w:rPr>
            </w:pPr>
            <w:r w:rsidRPr="007747F2">
              <w:rPr>
                <w:rFonts w:ascii="Arial Narrow" w:hAnsi="Arial Narrow"/>
                <w:color w:val="000000"/>
                <w:sz w:val="18"/>
                <w:szCs w:val="18"/>
                <w:lang w:val="es-ES" w:eastAsia="es-ES"/>
              </w:rPr>
              <w:t xml:space="preserve">-9 </w:t>
            </w:r>
          </w:p>
        </w:tc>
      </w:tr>
      <w:tr w:rsidR="00C02B01" w:rsidRPr="00C02B01" w:rsidTr="00B92F9D">
        <w:trPr>
          <w:trHeight w:val="330"/>
        </w:trPr>
        <w:tc>
          <w:tcPr>
            <w:tcW w:w="3043" w:type="pct"/>
            <w:tcBorders>
              <w:top w:val="nil"/>
              <w:left w:val="nil"/>
              <w:bottom w:val="single" w:sz="4" w:space="0" w:color="auto"/>
              <w:right w:val="nil"/>
            </w:tcBorders>
            <w:shd w:val="clear" w:color="auto" w:fill="auto"/>
            <w:vAlign w:val="center"/>
            <w:hideMark/>
          </w:tcPr>
          <w:p w:rsidR="00C02B01" w:rsidRPr="00C02B01" w:rsidRDefault="00C02B01" w:rsidP="00C02B01">
            <w:pPr>
              <w:spacing w:after="0"/>
              <w:ind w:firstLine="0"/>
              <w:jc w:val="left"/>
              <w:rPr>
                <w:rFonts w:ascii="Arial Narrow" w:hAnsi="Arial Narrow"/>
                <w:color w:val="000000"/>
                <w:lang w:val="es-ES" w:eastAsia="es-ES"/>
              </w:rPr>
            </w:pPr>
            <w:r w:rsidRPr="00C02B01">
              <w:rPr>
                <w:rFonts w:ascii="Arial Narrow" w:hAnsi="Arial Narrow"/>
                <w:color w:val="000000"/>
                <w:lang w:eastAsia="es-ES"/>
              </w:rPr>
              <w:t xml:space="preserve">    Remanente de tesorería por gastos con financiación afectada</w:t>
            </w:r>
          </w:p>
        </w:tc>
        <w:tc>
          <w:tcPr>
            <w:tcW w:w="713" w:type="pct"/>
            <w:tcBorders>
              <w:top w:val="nil"/>
              <w:left w:val="nil"/>
              <w:bottom w:val="single" w:sz="4" w:space="0" w:color="auto"/>
              <w:right w:val="nil"/>
            </w:tcBorders>
            <w:shd w:val="clear" w:color="auto" w:fill="auto"/>
            <w:noWrap/>
            <w:vAlign w:val="bottom"/>
            <w:hideMark/>
          </w:tcPr>
          <w:p w:rsidR="00C02B01" w:rsidRPr="007747F2" w:rsidRDefault="00C02B01" w:rsidP="00C02B01">
            <w:pPr>
              <w:spacing w:after="0"/>
              <w:ind w:firstLine="0"/>
              <w:jc w:val="right"/>
              <w:rPr>
                <w:rFonts w:ascii="Arial Narrow" w:hAnsi="Arial Narrow"/>
                <w:color w:val="000000"/>
                <w:lang w:val="es-ES" w:eastAsia="es-ES"/>
              </w:rPr>
            </w:pPr>
            <w:r w:rsidRPr="007747F2">
              <w:rPr>
                <w:rFonts w:ascii="Arial Narrow" w:hAnsi="Arial Narrow"/>
                <w:color w:val="000000"/>
                <w:lang w:val="es-ES" w:eastAsia="es-ES"/>
              </w:rPr>
              <w:t>0</w:t>
            </w:r>
          </w:p>
        </w:tc>
        <w:tc>
          <w:tcPr>
            <w:tcW w:w="713" w:type="pct"/>
            <w:tcBorders>
              <w:top w:val="nil"/>
              <w:left w:val="nil"/>
              <w:bottom w:val="single" w:sz="4" w:space="0" w:color="auto"/>
              <w:right w:val="nil"/>
            </w:tcBorders>
            <w:shd w:val="clear" w:color="auto" w:fill="auto"/>
            <w:noWrap/>
            <w:vAlign w:val="bottom"/>
            <w:hideMark/>
          </w:tcPr>
          <w:p w:rsidR="00C02B01" w:rsidRPr="007747F2" w:rsidRDefault="00C02B01" w:rsidP="00C02B01">
            <w:pPr>
              <w:spacing w:after="0"/>
              <w:ind w:firstLine="0"/>
              <w:jc w:val="right"/>
              <w:rPr>
                <w:rFonts w:ascii="Arial Narrow" w:hAnsi="Arial Narrow"/>
                <w:color w:val="000000"/>
                <w:lang w:val="es-ES" w:eastAsia="es-ES"/>
              </w:rPr>
            </w:pPr>
            <w:r w:rsidRPr="007747F2">
              <w:rPr>
                <w:rFonts w:ascii="Arial Narrow" w:hAnsi="Arial Narrow"/>
                <w:color w:val="000000"/>
                <w:lang w:val="es-ES" w:eastAsia="es-ES"/>
              </w:rPr>
              <w:t>250.000</w:t>
            </w:r>
          </w:p>
        </w:tc>
        <w:tc>
          <w:tcPr>
            <w:tcW w:w="531" w:type="pct"/>
            <w:tcBorders>
              <w:top w:val="nil"/>
              <w:left w:val="nil"/>
              <w:bottom w:val="single" w:sz="4" w:space="0" w:color="auto"/>
              <w:right w:val="nil"/>
            </w:tcBorders>
            <w:shd w:val="clear" w:color="auto" w:fill="auto"/>
            <w:vAlign w:val="center"/>
            <w:hideMark/>
          </w:tcPr>
          <w:p w:rsidR="00C02B01" w:rsidRPr="007747F2" w:rsidRDefault="00C02B01" w:rsidP="00C02B01">
            <w:pPr>
              <w:spacing w:after="0"/>
              <w:ind w:firstLine="0"/>
              <w:jc w:val="right"/>
              <w:rPr>
                <w:rFonts w:ascii="Arial Narrow" w:hAnsi="Arial Narrow"/>
                <w:color w:val="000000"/>
                <w:sz w:val="18"/>
                <w:szCs w:val="18"/>
                <w:lang w:val="es-ES" w:eastAsia="es-ES"/>
              </w:rPr>
            </w:pPr>
            <w:r w:rsidRPr="007747F2">
              <w:rPr>
                <w:rFonts w:ascii="Arial Narrow" w:hAnsi="Arial Narrow"/>
                <w:color w:val="000000"/>
                <w:sz w:val="18"/>
                <w:szCs w:val="18"/>
                <w:lang w:val="es-ES" w:eastAsia="es-ES"/>
              </w:rPr>
              <w:t> </w:t>
            </w:r>
          </w:p>
        </w:tc>
      </w:tr>
      <w:tr w:rsidR="00C02B01" w:rsidRPr="00C02B01" w:rsidTr="00B92F9D">
        <w:trPr>
          <w:trHeight w:val="330"/>
        </w:trPr>
        <w:tc>
          <w:tcPr>
            <w:tcW w:w="3043" w:type="pct"/>
            <w:tcBorders>
              <w:top w:val="nil"/>
              <w:left w:val="nil"/>
              <w:bottom w:val="single" w:sz="4" w:space="0" w:color="auto"/>
              <w:right w:val="nil"/>
            </w:tcBorders>
            <w:shd w:val="clear" w:color="auto" w:fill="auto"/>
            <w:vAlign w:val="center"/>
            <w:hideMark/>
          </w:tcPr>
          <w:p w:rsidR="00C02B01" w:rsidRPr="00C02B01" w:rsidRDefault="00C02B01" w:rsidP="00C02B01">
            <w:pPr>
              <w:spacing w:after="0"/>
              <w:ind w:firstLine="0"/>
              <w:jc w:val="left"/>
              <w:rPr>
                <w:rFonts w:ascii="Arial Narrow" w:hAnsi="Arial Narrow"/>
                <w:color w:val="000000"/>
                <w:lang w:val="es-ES" w:eastAsia="es-ES"/>
              </w:rPr>
            </w:pPr>
            <w:r w:rsidRPr="00C02B01">
              <w:rPr>
                <w:rFonts w:ascii="Arial Narrow" w:hAnsi="Arial Narrow"/>
                <w:color w:val="000000"/>
                <w:lang w:eastAsia="es-ES"/>
              </w:rPr>
              <w:t xml:space="preserve">   Remanente de tesorería por recursos afectados</w:t>
            </w:r>
          </w:p>
        </w:tc>
        <w:tc>
          <w:tcPr>
            <w:tcW w:w="713" w:type="pct"/>
            <w:tcBorders>
              <w:top w:val="nil"/>
              <w:left w:val="nil"/>
              <w:bottom w:val="single" w:sz="4" w:space="0" w:color="auto"/>
              <w:right w:val="nil"/>
            </w:tcBorders>
            <w:shd w:val="clear" w:color="auto" w:fill="auto"/>
            <w:noWrap/>
            <w:vAlign w:val="bottom"/>
            <w:hideMark/>
          </w:tcPr>
          <w:p w:rsidR="00C02B01" w:rsidRPr="007747F2" w:rsidRDefault="00C02B01" w:rsidP="00C02B01">
            <w:pPr>
              <w:spacing w:after="0"/>
              <w:ind w:firstLine="0"/>
              <w:jc w:val="right"/>
              <w:rPr>
                <w:rFonts w:ascii="Arial Narrow" w:hAnsi="Arial Narrow"/>
                <w:color w:val="000000"/>
                <w:lang w:val="es-ES" w:eastAsia="es-ES"/>
              </w:rPr>
            </w:pPr>
            <w:r w:rsidRPr="007747F2">
              <w:rPr>
                <w:rFonts w:ascii="Arial Narrow" w:hAnsi="Arial Narrow"/>
                <w:color w:val="000000"/>
                <w:lang w:val="es-ES" w:eastAsia="es-ES"/>
              </w:rPr>
              <w:t>0</w:t>
            </w:r>
          </w:p>
        </w:tc>
        <w:tc>
          <w:tcPr>
            <w:tcW w:w="713" w:type="pct"/>
            <w:tcBorders>
              <w:top w:val="nil"/>
              <w:left w:val="nil"/>
              <w:bottom w:val="single" w:sz="4" w:space="0" w:color="auto"/>
              <w:right w:val="nil"/>
            </w:tcBorders>
            <w:shd w:val="clear" w:color="auto" w:fill="auto"/>
            <w:noWrap/>
            <w:vAlign w:val="bottom"/>
            <w:hideMark/>
          </w:tcPr>
          <w:p w:rsidR="00C02B01" w:rsidRPr="007747F2" w:rsidRDefault="00C02B01" w:rsidP="00C02B01">
            <w:pPr>
              <w:spacing w:after="0"/>
              <w:ind w:firstLine="0"/>
              <w:jc w:val="right"/>
              <w:rPr>
                <w:rFonts w:ascii="Arial Narrow" w:hAnsi="Arial Narrow"/>
                <w:color w:val="000000"/>
                <w:lang w:val="es-ES" w:eastAsia="es-ES"/>
              </w:rPr>
            </w:pPr>
            <w:r w:rsidRPr="007747F2">
              <w:rPr>
                <w:rFonts w:ascii="Arial Narrow" w:hAnsi="Arial Narrow"/>
                <w:color w:val="000000"/>
                <w:lang w:val="es-ES" w:eastAsia="es-ES"/>
              </w:rPr>
              <w:t>0</w:t>
            </w:r>
          </w:p>
        </w:tc>
        <w:tc>
          <w:tcPr>
            <w:tcW w:w="531" w:type="pct"/>
            <w:tcBorders>
              <w:top w:val="nil"/>
              <w:left w:val="nil"/>
              <w:bottom w:val="single" w:sz="4" w:space="0" w:color="auto"/>
              <w:right w:val="nil"/>
            </w:tcBorders>
            <w:shd w:val="clear" w:color="auto" w:fill="auto"/>
            <w:vAlign w:val="center"/>
            <w:hideMark/>
          </w:tcPr>
          <w:p w:rsidR="00C02B01" w:rsidRPr="007747F2" w:rsidRDefault="00C02B01" w:rsidP="00C02B01">
            <w:pPr>
              <w:spacing w:after="0"/>
              <w:ind w:firstLine="0"/>
              <w:jc w:val="right"/>
              <w:rPr>
                <w:rFonts w:ascii="Arial Narrow" w:hAnsi="Arial Narrow"/>
                <w:color w:val="000000"/>
                <w:sz w:val="18"/>
                <w:szCs w:val="18"/>
                <w:lang w:val="es-ES" w:eastAsia="es-ES"/>
              </w:rPr>
            </w:pPr>
            <w:r w:rsidRPr="007747F2">
              <w:rPr>
                <w:rFonts w:ascii="Arial Narrow" w:hAnsi="Arial Narrow"/>
                <w:color w:val="000000"/>
                <w:sz w:val="18"/>
                <w:szCs w:val="18"/>
                <w:lang w:val="es-ES" w:eastAsia="es-ES"/>
              </w:rPr>
              <w:t> </w:t>
            </w:r>
          </w:p>
        </w:tc>
      </w:tr>
      <w:tr w:rsidR="00C02B01" w:rsidRPr="00C02B01" w:rsidTr="00B92F9D">
        <w:trPr>
          <w:trHeight w:val="330"/>
        </w:trPr>
        <w:tc>
          <w:tcPr>
            <w:tcW w:w="3043" w:type="pct"/>
            <w:tcBorders>
              <w:top w:val="nil"/>
              <w:left w:val="nil"/>
              <w:bottom w:val="single" w:sz="4" w:space="0" w:color="auto"/>
              <w:right w:val="nil"/>
            </w:tcBorders>
            <w:shd w:val="clear" w:color="auto" w:fill="auto"/>
            <w:vAlign w:val="center"/>
            <w:hideMark/>
          </w:tcPr>
          <w:p w:rsidR="00C02B01" w:rsidRPr="00C02B01" w:rsidRDefault="00C02B01" w:rsidP="00C02B01">
            <w:pPr>
              <w:spacing w:after="0"/>
              <w:ind w:firstLine="0"/>
              <w:jc w:val="left"/>
              <w:rPr>
                <w:rFonts w:ascii="Arial Narrow" w:hAnsi="Arial Narrow"/>
                <w:color w:val="000000"/>
                <w:lang w:val="es-ES" w:eastAsia="es-ES"/>
              </w:rPr>
            </w:pPr>
            <w:r w:rsidRPr="00C02B01">
              <w:rPr>
                <w:rFonts w:ascii="Arial Narrow" w:hAnsi="Arial Narrow"/>
                <w:color w:val="000000"/>
                <w:lang w:eastAsia="es-ES"/>
              </w:rPr>
              <w:t xml:space="preserve">   Remanente de tesorería para gastos generales</w:t>
            </w:r>
          </w:p>
        </w:tc>
        <w:tc>
          <w:tcPr>
            <w:tcW w:w="713" w:type="pct"/>
            <w:tcBorders>
              <w:top w:val="nil"/>
              <w:left w:val="nil"/>
              <w:bottom w:val="single" w:sz="4" w:space="0" w:color="auto"/>
              <w:right w:val="nil"/>
            </w:tcBorders>
            <w:shd w:val="clear" w:color="auto" w:fill="auto"/>
            <w:noWrap/>
            <w:vAlign w:val="bottom"/>
            <w:hideMark/>
          </w:tcPr>
          <w:p w:rsidR="00C02B01" w:rsidRPr="007747F2" w:rsidRDefault="00C02B01" w:rsidP="00C02B01">
            <w:pPr>
              <w:spacing w:after="0"/>
              <w:ind w:firstLine="0"/>
              <w:jc w:val="right"/>
              <w:rPr>
                <w:rFonts w:ascii="Arial Narrow" w:hAnsi="Arial Narrow"/>
                <w:color w:val="000000"/>
                <w:lang w:val="es-ES" w:eastAsia="es-ES"/>
              </w:rPr>
            </w:pPr>
            <w:r w:rsidRPr="007747F2">
              <w:rPr>
                <w:rFonts w:ascii="Arial Narrow" w:hAnsi="Arial Narrow"/>
                <w:color w:val="000000"/>
                <w:lang w:val="es-ES" w:eastAsia="es-ES"/>
              </w:rPr>
              <w:t>5.524.906</w:t>
            </w:r>
          </w:p>
        </w:tc>
        <w:tc>
          <w:tcPr>
            <w:tcW w:w="713" w:type="pct"/>
            <w:tcBorders>
              <w:top w:val="nil"/>
              <w:left w:val="nil"/>
              <w:bottom w:val="single" w:sz="4" w:space="0" w:color="auto"/>
              <w:right w:val="nil"/>
            </w:tcBorders>
            <w:shd w:val="clear" w:color="auto" w:fill="auto"/>
            <w:noWrap/>
            <w:vAlign w:val="bottom"/>
            <w:hideMark/>
          </w:tcPr>
          <w:p w:rsidR="00C02B01" w:rsidRPr="007747F2" w:rsidRDefault="00C02B01" w:rsidP="00C02B01">
            <w:pPr>
              <w:spacing w:after="0"/>
              <w:ind w:firstLine="0"/>
              <w:jc w:val="right"/>
              <w:rPr>
                <w:rFonts w:ascii="Arial Narrow" w:hAnsi="Arial Narrow"/>
                <w:color w:val="000000"/>
                <w:lang w:val="es-ES" w:eastAsia="es-ES"/>
              </w:rPr>
            </w:pPr>
            <w:r w:rsidRPr="007747F2">
              <w:rPr>
                <w:rFonts w:ascii="Arial Narrow" w:hAnsi="Arial Narrow"/>
                <w:color w:val="000000"/>
                <w:lang w:val="es-ES" w:eastAsia="es-ES"/>
              </w:rPr>
              <w:t>4.791.072</w:t>
            </w:r>
          </w:p>
        </w:tc>
        <w:tc>
          <w:tcPr>
            <w:tcW w:w="531" w:type="pct"/>
            <w:tcBorders>
              <w:top w:val="nil"/>
              <w:left w:val="nil"/>
              <w:bottom w:val="single" w:sz="4" w:space="0" w:color="auto"/>
              <w:right w:val="nil"/>
            </w:tcBorders>
            <w:shd w:val="clear" w:color="auto" w:fill="auto"/>
            <w:vAlign w:val="center"/>
            <w:hideMark/>
          </w:tcPr>
          <w:p w:rsidR="00C02B01" w:rsidRPr="007747F2" w:rsidRDefault="00C02B01" w:rsidP="00C02B01">
            <w:pPr>
              <w:spacing w:after="0"/>
              <w:ind w:firstLine="0"/>
              <w:jc w:val="right"/>
              <w:rPr>
                <w:rFonts w:ascii="Arial Narrow" w:hAnsi="Arial Narrow"/>
                <w:color w:val="000000"/>
                <w:sz w:val="18"/>
                <w:szCs w:val="18"/>
                <w:lang w:val="es-ES" w:eastAsia="es-ES"/>
              </w:rPr>
            </w:pPr>
            <w:r w:rsidRPr="007747F2">
              <w:rPr>
                <w:rFonts w:ascii="Arial Narrow" w:hAnsi="Arial Narrow"/>
                <w:color w:val="000000"/>
                <w:sz w:val="18"/>
                <w:szCs w:val="18"/>
                <w:lang w:val="es-ES" w:eastAsia="es-ES"/>
              </w:rPr>
              <w:t xml:space="preserve">-13 </w:t>
            </w:r>
          </w:p>
        </w:tc>
      </w:tr>
    </w:tbl>
    <w:p w:rsidR="00B92F9D" w:rsidRPr="0076284B" w:rsidRDefault="00B92F9D" w:rsidP="00B92F9D">
      <w:pPr>
        <w:spacing w:before="60" w:after="0"/>
        <w:ind w:firstLine="0"/>
        <w:rPr>
          <w:rFonts w:ascii="Arial Narrow" w:hAnsi="Arial Narrow" w:cs="Arial"/>
          <w:sz w:val="16"/>
          <w:szCs w:val="16"/>
        </w:rPr>
      </w:pPr>
      <w:r w:rsidRPr="00690D3D">
        <w:rPr>
          <w:i/>
          <w:szCs w:val="24"/>
        </w:rPr>
        <w:t xml:space="preserve">* </w:t>
      </w:r>
      <w:r w:rsidRPr="0076284B">
        <w:rPr>
          <w:rFonts w:ascii="Arial Narrow" w:hAnsi="Arial Narrow" w:cs="Arial"/>
          <w:sz w:val="16"/>
          <w:szCs w:val="16"/>
        </w:rPr>
        <w:t>Ejercicio no auditado</w:t>
      </w:r>
    </w:p>
    <w:p w:rsidR="00C02B01" w:rsidRPr="00E33DD4" w:rsidRDefault="00C02B01" w:rsidP="00C02B01">
      <w:pPr>
        <w:spacing w:after="0" w:line="276" w:lineRule="auto"/>
        <w:ind w:firstLine="0"/>
        <w:jc w:val="left"/>
        <w:rPr>
          <w:rFonts w:eastAsia="Arial"/>
          <w:spacing w:val="4"/>
        </w:rPr>
      </w:pPr>
    </w:p>
    <w:p w:rsidR="0067725A" w:rsidRDefault="0067725A" w:rsidP="0067725A">
      <w:pPr>
        <w:pStyle w:val="texto"/>
        <w:spacing w:after="360"/>
        <w:ind w:hanging="28"/>
        <w:jc w:val="center"/>
        <w:rPr>
          <w:rFonts w:ascii="Arial (W1)" w:eastAsia="Arial" w:hAnsi="Arial (W1)" w:cs="Arial"/>
          <w:sz w:val="20"/>
          <w:szCs w:val="20"/>
        </w:rPr>
      </w:pPr>
    </w:p>
    <w:p w:rsidR="001E2F4E" w:rsidRPr="001E2F4E" w:rsidRDefault="001E2F4E" w:rsidP="00327C0E">
      <w:pPr>
        <w:pStyle w:val="CuadroTtulo"/>
        <w:spacing w:before="200" w:after="60"/>
        <w:ind w:right="283"/>
        <w:rPr>
          <w:rFonts w:ascii="Arial (W1)" w:eastAsia="Arial" w:hAnsi="Arial (W1)" w:cs="Arial"/>
          <w:i/>
          <w:szCs w:val="20"/>
        </w:rPr>
      </w:pPr>
    </w:p>
    <w:p w:rsidR="00B92F9D" w:rsidRPr="00B92F9D" w:rsidRDefault="0067725A" w:rsidP="000F5D32">
      <w:pPr>
        <w:pStyle w:val="atitulo2"/>
        <w:spacing w:after="160"/>
        <w:rPr>
          <w:rFonts w:eastAsia="Arial"/>
          <w:spacing w:val="2"/>
        </w:rPr>
      </w:pPr>
      <w:bookmarkStart w:id="62" w:name="_Toc22495439"/>
      <w:bookmarkStart w:id="63" w:name="_Toc50018582"/>
      <w:proofErr w:type="spellStart"/>
      <w:r w:rsidRPr="00B92F9D">
        <w:rPr>
          <w:rFonts w:eastAsia="Arial"/>
          <w:spacing w:val="2"/>
        </w:rPr>
        <w:lastRenderedPageBreak/>
        <w:t>V.4</w:t>
      </w:r>
      <w:proofErr w:type="spellEnd"/>
      <w:r w:rsidRPr="00B92F9D">
        <w:rPr>
          <w:rFonts w:eastAsia="Arial"/>
          <w:spacing w:val="2"/>
        </w:rPr>
        <w:t>. Balance</w:t>
      </w:r>
      <w:bookmarkEnd w:id="62"/>
      <w:bookmarkEnd w:id="63"/>
    </w:p>
    <w:p w:rsidR="00B92F9D" w:rsidRDefault="00B92F9D" w:rsidP="000F5D32">
      <w:pPr>
        <w:pStyle w:val="atitulo2"/>
        <w:spacing w:after="160"/>
        <w:rPr>
          <w:rFonts w:ascii="Times New Roman" w:eastAsia="Arial" w:hAnsi="Times New Roman"/>
          <w:spacing w:val="0"/>
          <w:szCs w:val="25"/>
        </w:rPr>
      </w:pPr>
    </w:p>
    <w:tbl>
      <w:tblPr>
        <w:tblW w:w="5000" w:type="pct"/>
        <w:tblBorders>
          <w:top w:val="single" w:sz="2" w:space="0" w:color="auto"/>
          <w:bottom w:val="single" w:sz="2" w:space="0" w:color="auto"/>
          <w:insideH w:val="single" w:sz="2" w:space="0" w:color="auto"/>
        </w:tblBorders>
        <w:tblCellMar>
          <w:left w:w="70" w:type="dxa"/>
          <w:right w:w="70" w:type="dxa"/>
        </w:tblCellMar>
        <w:tblLook w:val="04A0" w:firstRow="1" w:lastRow="0" w:firstColumn="1" w:lastColumn="0" w:noHBand="0" w:noVBand="1"/>
      </w:tblPr>
      <w:tblGrid>
        <w:gridCol w:w="305"/>
        <w:gridCol w:w="2496"/>
        <w:gridCol w:w="879"/>
        <w:gridCol w:w="879"/>
        <w:gridCol w:w="322"/>
        <w:gridCol w:w="2623"/>
        <w:gridCol w:w="907"/>
        <w:gridCol w:w="943"/>
      </w:tblGrid>
      <w:tr w:rsidR="00B92F9D" w:rsidRPr="00B92F9D" w:rsidTr="00BC4A9E">
        <w:trPr>
          <w:trHeight w:val="330"/>
        </w:trPr>
        <w:tc>
          <w:tcPr>
            <w:tcW w:w="163" w:type="pct"/>
            <w:shd w:val="clear" w:color="000000" w:fill="FABF8F"/>
            <w:vAlign w:val="center"/>
            <w:hideMark/>
          </w:tcPr>
          <w:p w:rsidR="00B92F9D" w:rsidRPr="00B92F9D" w:rsidRDefault="00B92F9D" w:rsidP="00B92F9D">
            <w:pPr>
              <w:spacing w:after="0"/>
              <w:ind w:firstLine="0"/>
              <w:jc w:val="center"/>
              <w:rPr>
                <w:rFonts w:ascii="Arial" w:hAnsi="Arial" w:cs="Arial"/>
                <w:color w:val="000000"/>
                <w:sz w:val="18"/>
                <w:szCs w:val="18"/>
                <w:lang w:val="es-ES" w:eastAsia="es-ES"/>
              </w:rPr>
            </w:pPr>
            <w:r w:rsidRPr="00B92F9D">
              <w:rPr>
                <w:rFonts w:ascii="Arial" w:hAnsi="Arial" w:cs="Arial"/>
                <w:color w:val="000000"/>
                <w:sz w:val="18"/>
                <w:szCs w:val="18"/>
                <w:lang w:val="es-ES" w:eastAsia="es-ES"/>
              </w:rPr>
              <w:t> </w:t>
            </w:r>
          </w:p>
        </w:tc>
        <w:tc>
          <w:tcPr>
            <w:tcW w:w="1334" w:type="pct"/>
            <w:shd w:val="clear" w:color="000000" w:fill="FABF8F"/>
            <w:vAlign w:val="center"/>
            <w:hideMark/>
          </w:tcPr>
          <w:p w:rsidR="00B92F9D" w:rsidRPr="00B92F9D" w:rsidRDefault="00305364" w:rsidP="00BC4A9E">
            <w:pPr>
              <w:spacing w:after="0"/>
              <w:ind w:firstLine="0"/>
              <w:rPr>
                <w:rFonts w:ascii="Arial" w:hAnsi="Arial" w:cs="Arial"/>
                <w:color w:val="000000"/>
                <w:sz w:val="18"/>
                <w:szCs w:val="18"/>
                <w:lang w:val="es-ES" w:eastAsia="es-ES"/>
              </w:rPr>
            </w:pPr>
            <w:r>
              <w:rPr>
                <w:rFonts w:ascii="Arial" w:hAnsi="Arial" w:cs="Arial"/>
                <w:color w:val="000000"/>
                <w:sz w:val="18"/>
                <w:szCs w:val="18"/>
                <w:lang w:val="es-ES" w:eastAsia="es-ES"/>
              </w:rPr>
              <w:t>ACTIVO</w:t>
            </w:r>
          </w:p>
        </w:tc>
        <w:tc>
          <w:tcPr>
            <w:tcW w:w="470" w:type="pct"/>
            <w:shd w:val="clear" w:color="000000" w:fill="FABF8F"/>
            <w:vAlign w:val="center"/>
            <w:hideMark/>
          </w:tcPr>
          <w:p w:rsidR="00B92F9D" w:rsidRPr="00B92F9D" w:rsidRDefault="00B92F9D" w:rsidP="00B92F9D">
            <w:pPr>
              <w:spacing w:after="0"/>
              <w:ind w:firstLine="0"/>
              <w:jc w:val="right"/>
              <w:rPr>
                <w:rFonts w:ascii="Arial" w:hAnsi="Arial" w:cs="Arial"/>
                <w:color w:val="000000"/>
                <w:sz w:val="18"/>
                <w:szCs w:val="18"/>
                <w:lang w:val="es-ES" w:eastAsia="es-ES"/>
              </w:rPr>
            </w:pPr>
            <w:r w:rsidRPr="00B92F9D">
              <w:rPr>
                <w:rFonts w:ascii="Arial" w:hAnsi="Arial" w:cs="Arial"/>
                <w:color w:val="000000"/>
                <w:sz w:val="18"/>
                <w:szCs w:val="18"/>
                <w:lang w:val="es-ES" w:eastAsia="es-ES"/>
              </w:rPr>
              <w:t>2018</w:t>
            </w:r>
            <w:r>
              <w:rPr>
                <w:rFonts w:ascii="Arial" w:hAnsi="Arial" w:cs="Arial"/>
                <w:color w:val="000000"/>
                <w:sz w:val="18"/>
                <w:szCs w:val="18"/>
                <w:lang w:val="es-ES" w:eastAsia="es-ES"/>
              </w:rPr>
              <w:t>*</w:t>
            </w:r>
          </w:p>
        </w:tc>
        <w:tc>
          <w:tcPr>
            <w:tcW w:w="470" w:type="pct"/>
            <w:tcBorders>
              <w:right w:val="single" w:sz="2" w:space="0" w:color="auto"/>
            </w:tcBorders>
            <w:shd w:val="clear" w:color="000000" w:fill="FABF8F"/>
            <w:vAlign w:val="center"/>
            <w:hideMark/>
          </w:tcPr>
          <w:p w:rsidR="00B92F9D" w:rsidRPr="00B92F9D" w:rsidRDefault="00B92F9D" w:rsidP="00B92F9D">
            <w:pPr>
              <w:spacing w:after="0"/>
              <w:ind w:firstLine="0"/>
              <w:jc w:val="right"/>
              <w:rPr>
                <w:rFonts w:ascii="Arial" w:hAnsi="Arial" w:cs="Arial"/>
                <w:color w:val="000000"/>
                <w:sz w:val="18"/>
                <w:szCs w:val="18"/>
                <w:lang w:val="es-ES" w:eastAsia="es-ES"/>
              </w:rPr>
            </w:pPr>
            <w:r w:rsidRPr="00B92F9D">
              <w:rPr>
                <w:rFonts w:ascii="Arial" w:hAnsi="Arial" w:cs="Arial"/>
                <w:color w:val="000000"/>
                <w:sz w:val="18"/>
                <w:szCs w:val="18"/>
                <w:lang w:val="es-ES" w:eastAsia="es-ES"/>
              </w:rPr>
              <w:t>2019</w:t>
            </w:r>
          </w:p>
        </w:tc>
        <w:tc>
          <w:tcPr>
            <w:tcW w:w="172" w:type="pct"/>
            <w:tcBorders>
              <w:left w:val="single" w:sz="2" w:space="0" w:color="auto"/>
            </w:tcBorders>
            <w:shd w:val="clear" w:color="000000" w:fill="FABF8F"/>
            <w:vAlign w:val="center"/>
            <w:hideMark/>
          </w:tcPr>
          <w:p w:rsidR="00B92F9D" w:rsidRPr="00B92F9D" w:rsidRDefault="00B92F9D" w:rsidP="00B92F9D">
            <w:pPr>
              <w:spacing w:after="0"/>
              <w:ind w:firstLine="0"/>
              <w:jc w:val="center"/>
              <w:rPr>
                <w:rFonts w:ascii="Arial" w:hAnsi="Arial" w:cs="Arial"/>
                <w:color w:val="000000"/>
                <w:sz w:val="18"/>
                <w:szCs w:val="18"/>
                <w:lang w:val="es-ES" w:eastAsia="es-ES"/>
              </w:rPr>
            </w:pPr>
            <w:r w:rsidRPr="00B92F9D">
              <w:rPr>
                <w:rFonts w:ascii="Arial" w:hAnsi="Arial" w:cs="Arial"/>
                <w:color w:val="000000"/>
                <w:sz w:val="18"/>
                <w:szCs w:val="18"/>
                <w:lang w:val="es-ES" w:eastAsia="es-ES"/>
              </w:rPr>
              <w:t> </w:t>
            </w:r>
          </w:p>
        </w:tc>
        <w:tc>
          <w:tcPr>
            <w:tcW w:w="1402" w:type="pct"/>
            <w:shd w:val="clear" w:color="000000" w:fill="FABF8F"/>
            <w:vAlign w:val="center"/>
            <w:hideMark/>
          </w:tcPr>
          <w:p w:rsidR="00B92F9D" w:rsidRPr="00B92F9D" w:rsidRDefault="00305364" w:rsidP="00B92F9D">
            <w:pPr>
              <w:spacing w:after="0"/>
              <w:ind w:firstLine="0"/>
              <w:jc w:val="left"/>
              <w:rPr>
                <w:rFonts w:ascii="Arial" w:hAnsi="Arial" w:cs="Arial"/>
                <w:color w:val="000000"/>
                <w:sz w:val="18"/>
                <w:szCs w:val="18"/>
                <w:lang w:val="es-ES" w:eastAsia="es-ES"/>
              </w:rPr>
            </w:pPr>
            <w:r>
              <w:rPr>
                <w:rFonts w:ascii="Arial" w:hAnsi="Arial" w:cs="Arial"/>
                <w:color w:val="000000"/>
                <w:sz w:val="18"/>
                <w:szCs w:val="18"/>
                <w:lang w:val="es-ES" w:eastAsia="es-ES"/>
              </w:rPr>
              <w:t>PASIVO</w:t>
            </w:r>
          </w:p>
        </w:tc>
        <w:tc>
          <w:tcPr>
            <w:tcW w:w="485" w:type="pct"/>
            <w:shd w:val="clear" w:color="000000" w:fill="FABF8F"/>
            <w:vAlign w:val="center"/>
            <w:hideMark/>
          </w:tcPr>
          <w:p w:rsidR="00B92F9D" w:rsidRPr="00B92F9D" w:rsidRDefault="00B92F9D" w:rsidP="00B92F9D">
            <w:pPr>
              <w:spacing w:after="0"/>
              <w:ind w:firstLine="0"/>
              <w:jc w:val="right"/>
              <w:rPr>
                <w:rFonts w:ascii="Arial" w:hAnsi="Arial" w:cs="Arial"/>
                <w:color w:val="000000"/>
                <w:sz w:val="18"/>
                <w:szCs w:val="18"/>
                <w:lang w:val="es-ES" w:eastAsia="es-ES"/>
              </w:rPr>
            </w:pPr>
            <w:r w:rsidRPr="00B92F9D">
              <w:rPr>
                <w:rFonts w:ascii="Arial" w:hAnsi="Arial" w:cs="Arial"/>
                <w:color w:val="000000"/>
                <w:sz w:val="18"/>
                <w:szCs w:val="18"/>
                <w:lang w:val="es-ES" w:eastAsia="es-ES"/>
              </w:rPr>
              <w:t>2018</w:t>
            </w:r>
            <w:r>
              <w:rPr>
                <w:rFonts w:ascii="Arial" w:hAnsi="Arial" w:cs="Arial"/>
                <w:color w:val="000000"/>
                <w:sz w:val="18"/>
                <w:szCs w:val="18"/>
                <w:lang w:val="es-ES" w:eastAsia="es-ES"/>
              </w:rPr>
              <w:t>*</w:t>
            </w:r>
          </w:p>
        </w:tc>
        <w:tc>
          <w:tcPr>
            <w:tcW w:w="505" w:type="pct"/>
            <w:shd w:val="clear" w:color="000000" w:fill="FABF8F"/>
            <w:vAlign w:val="center"/>
            <w:hideMark/>
          </w:tcPr>
          <w:p w:rsidR="00B92F9D" w:rsidRPr="00B92F9D" w:rsidRDefault="00B92F9D" w:rsidP="00B92F9D">
            <w:pPr>
              <w:spacing w:after="0"/>
              <w:ind w:firstLine="0"/>
              <w:jc w:val="right"/>
              <w:rPr>
                <w:rFonts w:ascii="Arial" w:hAnsi="Arial" w:cs="Arial"/>
                <w:color w:val="000000"/>
                <w:sz w:val="18"/>
                <w:szCs w:val="18"/>
                <w:lang w:val="es-ES" w:eastAsia="es-ES"/>
              </w:rPr>
            </w:pPr>
            <w:r w:rsidRPr="00B92F9D">
              <w:rPr>
                <w:rFonts w:ascii="Arial" w:hAnsi="Arial" w:cs="Arial"/>
                <w:color w:val="000000"/>
                <w:sz w:val="18"/>
                <w:szCs w:val="18"/>
                <w:lang w:val="es-ES" w:eastAsia="es-ES"/>
              </w:rPr>
              <w:t>2019</w:t>
            </w:r>
          </w:p>
        </w:tc>
      </w:tr>
      <w:tr w:rsidR="00B92F9D" w:rsidRPr="00B92F9D" w:rsidTr="00BC4A9E">
        <w:trPr>
          <w:trHeight w:val="315"/>
        </w:trPr>
        <w:tc>
          <w:tcPr>
            <w:tcW w:w="163" w:type="pct"/>
            <w:shd w:val="clear" w:color="auto" w:fill="auto"/>
            <w:vAlign w:val="center"/>
            <w:hideMark/>
          </w:tcPr>
          <w:p w:rsidR="00B92F9D" w:rsidRPr="00B92F9D" w:rsidRDefault="00B92F9D" w:rsidP="00B92F9D">
            <w:pPr>
              <w:spacing w:after="0"/>
              <w:ind w:firstLine="0"/>
              <w:jc w:val="center"/>
              <w:rPr>
                <w:rFonts w:ascii="Arial Narrow" w:hAnsi="Arial Narrow"/>
                <w:b/>
                <w:bCs/>
                <w:i/>
                <w:iCs/>
                <w:color w:val="000000"/>
                <w:sz w:val="18"/>
                <w:szCs w:val="18"/>
                <w:lang w:val="es-ES" w:eastAsia="es-ES"/>
              </w:rPr>
            </w:pPr>
            <w:r w:rsidRPr="00B92F9D">
              <w:rPr>
                <w:rFonts w:ascii="Arial Narrow" w:hAnsi="Arial Narrow"/>
                <w:b/>
                <w:bCs/>
                <w:i/>
                <w:iCs/>
                <w:color w:val="000000"/>
                <w:sz w:val="18"/>
                <w:szCs w:val="18"/>
                <w:lang w:val="es-ES" w:eastAsia="es-ES"/>
              </w:rPr>
              <w:t>A</w:t>
            </w:r>
          </w:p>
        </w:tc>
        <w:tc>
          <w:tcPr>
            <w:tcW w:w="1334" w:type="pct"/>
            <w:shd w:val="clear" w:color="auto" w:fill="auto"/>
            <w:vAlign w:val="center"/>
            <w:hideMark/>
          </w:tcPr>
          <w:p w:rsidR="00B92F9D" w:rsidRPr="00B92F9D" w:rsidRDefault="00B92F9D" w:rsidP="00B92F9D">
            <w:pPr>
              <w:spacing w:after="0"/>
              <w:ind w:firstLine="0"/>
              <w:jc w:val="left"/>
              <w:rPr>
                <w:rFonts w:ascii="Arial Narrow" w:hAnsi="Arial Narrow"/>
                <w:b/>
                <w:bCs/>
                <w:i/>
                <w:iCs/>
                <w:color w:val="000000"/>
                <w:sz w:val="18"/>
                <w:szCs w:val="18"/>
                <w:lang w:val="es-ES" w:eastAsia="es-ES"/>
              </w:rPr>
            </w:pPr>
            <w:r w:rsidRPr="00B92F9D">
              <w:rPr>
                <w:rFonts w:ascii="Arial Narrow" w:hAnsi="Arial Narrow"/>
                <w:b/>
                <w:bCs/>
                <w:i/>
                <w:iCs/>
                <w:color w:val="000000"/>
                <w:sz w:val="18"/>
                <w:szCs w:val="18"/>
                <w:lang w:val="es-ES" w:eastAsia="es-ES"/>
              </w:rPr>
              <w:t>Inmovilizado</w:t>
            </w:r>
          </w:p>
        </w:tc>
        <w:tc>
          <w:tcPr>
            <w:tcW w:w="470" w:type="pct"/>
            <w:shd w:val="clear" w:color="auto" w:fill="auto"/>
            <w:vAlign w:val="center"/>
            <w:hideMark/>
          </w:tcPr>
          <w:p w:rsidR="00B92F9D" w:rsidRPr="00B92F9D" w:rsidRDefault="00B92F9D" w:rsidP="00B92F9D">
            <w:pPr>
              <w:spacing w:after="0"/>
              <w:ind w:firstLine="0"/>
              <w:jc w:val="right"/>
              <w:rPr>
                <w:rFonts w:ascii="Arial Narrow" w:hAnsi="Arial Narrow"/>
                <w:b/>
                <w:bCs/>
                <w:i/>
                <w:iCs/>
                <w:color w:val="000000"/>
                <w:sz w:val="18"/>
                <w:szCs w:val="18"/>
                <w:lang w:val="es-ES" w:eastAsia="es-ES"/>
              </w:rPr>
            </w:pPr>
            <w:r w:rsidRPr="00B92F9D">
              <w:rPr>
                <w:rFonts w:ascii="Arial Narrow" w:hAnsi="Arial Narrow"/>
                <w:b/>
                <w:bCs/>
                <w:i/>
                <w:iCs/>
                <w:color w:val="000000"/>
                <w:sz w:val="18"/>
                <w:szCs w:val="18"/>
                <w:lang w:val="es-ES" w:eastAsia="es-ES"/>
              </w:rPr>
              <w:t>72.078.889</w:t>
            </w:r>
          </w:p>
        </w:tc>
        <w:tc>
          <w:tcPr>
            <w:tcW w:w="470" w:type="pct"/>
            <w:tcBorders>
              <w:right w:val="single" w:sz="2" w:space="0" w:color="auto"/>
            </w:tcBorders>
            <w:shd w:val="clear" w:color="auto" w:fill="auto"/>
            <w:vAlign w:val="center"/>
            <w:hideMark/>
          </w:tcPr>
          <w:p w:rsidR="00B92F9D" w:rsidRPr="00B92F9D" w:rsidRDefault="00B92F9D" w:rsidP="00B92F9D">
            <w:pPr>
              <w:spacing w:after="0"/>
              <w:ind w:firstLine="0"/>
              <w:jc w:val="right"/>
              <w:rPr>
                <w:rFonts w:ascii="Arial Narrow" w:hAnsi="Arial Narrow"/>
                <w:b/>
                <w:bCs/>
                <w:i/>
                <w:iCs/>
                <w:color w:val="000000"/>
                <w:sz w:val="18"/>
                <w:szCs w:val="18"/>
                <w:lang w:val="es-ES" w:eastAsia="es-ES"/>
              </w:rPr>
            </w:pPr>
            <w:r w:rsidRPr="00B92F9D">
              <w:rPr>
                <w:rFonts w:ascii="Arial Narrow" w:hAnsi="Arial Narrow"/>
                <w:b/>
                <w:bCs/>
                <w:i/>
                <w:iCs/>
                <w:color w:val="000000"/>
                <w:sz w:val="18"/>
                <w:szCs w:val="18"/>
                <w:lang w:val="es-ES" w:eastAsia="es-ES"/>
              </w:rPr>
              <w:t>72.816.717</w:t>
            </w:r>
          </w:p>
        </w:tc>
        <w:tc>
          <w:tcPr>
            <w:tcW w:w="172" w:type="pct"/>
            <w:tcBorders>
              <w:left w:val="single" w:sz="2" w:space="0" w:color="auto"/>
            </w:tcBorders>
            <w:shd w:val="clear" w:color="auto" w:fill="auto"/>
            <w:vAlign w:val="center"/>
            <w:hideMark/>
          </w:tcPr>
          <w:p w:rsidR="00B92F9D" w:rsidRPr="00B92F9D" w:rsidRDefault="00B92F9D" w:rsidP="00B92F9D">
            <w:pPr>
              <w:spacing w:after="0"/>
              <w:ind w:firstLine="0"/>
              <w:jc w:val="center"/>
              <w:rPr>
                <w:rFonts w:ascii="Arial Narrow" w:hAnsi="Arial Narrow"/>
                <w:b/>
                <w:bCs/>
                <w:i/>
                <w:iCs/>
                <w:color w:val="000000"/>
                <w:sz w:val="18"/>
                <w:szCs w:val="18"/>
                <w:lang w:val="es-ES" w:eastAsia="es-ES"/>
              </w:rPr>
            </w:pPr>
            <w:r w:rsidRPr="00B92F9D">
              <w:rPr>
                <w:rFonts w:ascii="Arial Narrow" w:hAnsi="Arial Narrow"/>
                <w:b/>
                <w:bCs/>
                <w:i/>
                <w:iCs/>
                <w:color w:val="000000"/>
                <w:sz w:val="18"/>
                <w:szCs w:val="18"/>
                <w:lang w:val="es-ES" w:eastAsia="es-ES"/>
              </w:rPr>
              <w:t>A</w:t>
            </w:r>
          </w:p>
        </w:tc>
        <w:tc>
          <w:tcPr>
            <w:tcW w:w="1402" w:type="pct"/>
            <w:shd w:val="clear" w:color="auto" w:fill="auto"/>
            <w:vAlign w:val="center"/>
            <w:hideMark/>
          </w:tcPr>
          <w:p w:rsidR="00B92F9D" w:rsidRPr="00B92F9D" w:rsidRDefault="00B92F9D" w:rsidP="00B92F9D">
            <w:pPr>
              <w:spacing w:after="0"/>
              <w:ind w:firstLine="0"/>
              <w:jc w:val="left"/>
              <w:rPr>
                <w:rFonts w:ascii="Arial Narrow" w:hAnsi="Arial Narrow"/>
                <w:b/>
                <w:bCs/>
                <w:i/>
                <w:iCs/>
                <w:color w:val="000000"/>
                <w:sz w:val="18"/>
                <w:szCs w:val="18"/>
                <w:lang w:val="es-ES" w:eastAsia="es-ES"/>
              </w:rPr>
            </w:pPr>
            <w:r w:rsidRPr="00B92F9D">
              <w:rPr>
                <w:rFonts w:ascii="Arial Narrow" w:hAnsi="Arial Narrow"/>
                <w:b/>
                <w:bCs/>
                <w:i/>
                <w:iCs/>
                <w:color w:val="000000"/>
                <w:sz w:val="18"/>
                <w:szCs w:val="18"/>
                <w:lang w:val="es-ES" w:eastAsia="es-ES"/>
              </w:rPr>
              <w:t>Fondos Propios</w:t>
            </w:r>
          </w:p>
        </w:tc>
        <w:tc>
          <w:tcPr>
            <w:tcW w:w="485" w:type="pct"/>
            <w:shd w:val="clear" w:color="auto" w:fill="auto"/>
            <w:vAlign w:val="center"/>
            <w:hideMark/>
          </w:tcPr>
          <w:p w:rsidR="00B92F9D" w:rsidRPr="00B92F9D" w:rsidRDefault="00B92F9D" w:rsidP="00B92F9D">
            <w:pPr>
              <w:spacing w:after="0"/>
              <w:ind w:firstLine="0"/>
              <w:jc w:val="right"/>
              <w:rPr>
                <w:rFonts w:ascii="Arial Narrow" w:hAnsi="Arial Narrow"/>
                <w:b/>
                <w:bCs/>
                <w:i/>
                <w:iCs/>
                <w:color w:val="000000"/>
                <w:sz w:val="18"/>
                <w:szCs w:val="18"/>
                <w:lang w:val="es-ES" w:eastAsia="es-ES"/>
              </w:rPr>
            </w:pPr>
            <w:r w:rsidRPr="00B92F9D">
              <w:rPr>
                <w:rFonts w:ascii="Arial Narrow" w:hAnsi="Arial Narrow"/>
                <w:b/>
                <w:bCs/>
                <w:i/>
                <w:iCs/>
                <w:color w:val="000000"/>
                <w:sz w:val="18"/>
                <w:szCs w:val="18"/>
                <w:lang w:val="es-ES" w:eastAsia="es-ES"/>
              </w:rPr>
              <w:t>78.418.698</w:t>
            </w:r>
          </w:p>
        </w:tc>
        <w:tc>
          <w:tcPr>
            <w:tcW w:w="505" w:type="pct"/>
            <w:shd w:val="clear" w:color="auto" w:fill="auto"/>
            <w:vAlign w:val="center"/>
            <w:hideMark/>
          </w:tcPr>
          <w:p w:rsidR="00B92F9D" w:rsidRPr="00B92F9D" w:rsidRDefault="00B92F9D" w:rsidP="00B92F9D">
            <w:pPr>
              <w:spacing w:after="0"/>
              <w:ind w:firstLine="0"/>
              <w:jc w:val="right"/>
              <w:rPr>
                <w:rFonts w:ascii="Arial Narrow" w:hAnsi="Arial Narrow"/>
                <w:b/>
                <w:bCs/>
                <w:i/>
                <w:iCs/>
                <w:color w:val="000000"/>
                <w:sz w:val="18"/>
                <w:szCs w:val="18"/>
                <w:lang w:val="es-ES" w:eastAsia="es-ES"/>
              </w:rPr>
            </w:pPr>
            <w:r w:rsidRPr="00B92F9D">
              <w:rPr>
                <w:rFonts w:ascii="Arial Narrow" w:hAnsi="Arial Narrow"/>
                <w:b/>
                <w:bCs/>
                <w:i/>
                <w:iCs/>
                <w:color w:val="000000"/>
                <w:sz w:val="18"/>
                <w:szCs w:val="18"/>
                <w:lang w:val="es-ES" w:eastAsia="es-ES"/>
              </w:rPr>
              <w:t>79.157.694</w:t>
            </w:r>
          </w:p>
        </w:tc>
      </w:tr>
      <w:tr w:rsidR="00B92F9D" w:rsidRPr="00B92F9D" w:rsidTr="00BC4A9E">
        <w:trPr>
          <w:trHeight w:val="315"/>
        </w:trPr>
        <w:tc>
          <w:tcPr>
            <w:tcW w:w="163" w:type="pct"/>
            <w:shd w:val="clear" w:color="auto" w:fill="auto"/>
            <w:vAlign w:val="center"/>
            <w:hideMark/>
          </w:tcPr>
          <w:p w:rsidR="00B92F9D" w:rsidRPr="00B92F9D" w:rsidRDefault="00B92F9D" w:rsidP="00B92F9D">
            <w:pPr>
              <w:spacing w:after="0"/>
              <w:ind w:firstLine="0"/>
              <w:jc w:val="center"/>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1</w:t>
            </w:r>
          </w:p>
        </w:tc>
        <w:tc>
          <w:tcPr>
            <w:tcW w:w="1334" w:type="pct"/>
            <w:shd w:val="clear" w:color="auto" w:fill="auto"/>
            <w:vAlign w:val="center"/>
            <w:hideMark/>
          </w:tcPr>
          <w:p w:rsidR="00B92F9D" w:rsidRPr="00B92F9D" w:rsidRDefault="00B92F9D" w:rsidP="00B92F9D">
            <w:pPr>
              <w:spacing w:after="0"/>
              <w:ind w:firstLine="0"/>
              <w:jc w:val="lef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Inmovilizado material</w:t>
            </w:r>
          </w:p>
        </w:tc>
        <w:tc>
          <w:tcPr>
            <w:tcW w:w="470" w:type="pct"/>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70.716.284</w:t>
            </w:r>
          </w:p>
        </w:tc>
        <w:tc>
          <w:tcPr>
            <w:tcW w:w="470" w:type="pct"/>
            <w:tcBorders>
              <w:right w:val="single" w:sz="2" w:space="0" w:color="auto"/>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71.391.212</w:t>
            </w:r>
          </w:p>
        </w:tc>
        <w:tc>
          <w:tcPr>
            <w:tcW w:w="172" w:type="pct"/>
            <w:tcBorders>
              <w:left w:val="single" w:sz="2" w:space="0" w:color="auto"/>
            </w:tcBorders>
            <w:shd w:val="clear" w:color="auto" w:fill="auto"/>
            <w:vAlign w:val="center"/>
            <w:hideMark/>
          </w:tcPr>
          <w:p w:rsidR="00B92F9D" w:rsidRPr="00B92F9D" w:rsidRDefault="00B92F9D" w:rsidP="00B92F9D">
            <w:pPr>
              <w:spacing w:after="0"/>
              <w:ind w:firstLine="0"/>
              <w:jc w:val="center"/>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1</w:t>
            </w:r>
          </w:p>
        </w:tc>
        <w:tc>
          <w:tcPr>
            <w:tcW w:w="1402" w:type="pct"/>
            <w:shd w:val="clear" w:color="auto" w:fill="auto"/>
            <w:vAlign w:val="center"/>
            <w:hideMark/>
          </w:tcPr>
          <w:p w:rsidR="00B92F9D" w:rsidRPr="00B92F9D" w:rsidRDefault="00B92F9D" w:rsidP="00B92F9D">
            <w:pPr>
              <w:spacing w:after="0"/>
              <w:ind w:firstLine="0"/>
              <w:jc w:val="lef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Patrimonio y reservas</w:t>
            </w:r>
          </w:p>
        </w:tc>
        <w:tc>
          <w:tcPr>
            <w:tcW w:w="485" w:type="pct"/>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65.741.379</w:t>
            </w:r>
          </w:p>
        </w:tc>
        <w:tc>
          <w:tcPr>
            <w:tcW w:w="505" w:type="pct"/>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72.027.957</w:t>
            </w:r>
          </w:p>
        </w:tc>
      </w:tr>
      <w:tr w:rsidR="00B92F9D" w:rsidRPr="00B92F9D" w:rsidTr="00BC4A9E">
        <w:trPr>
          <w:trHeight w:val="315"/>
        </w:trPr>
        <w:tc>
          <w:tcPr>
            <w:tcW w:w="163" w:type="pct"/>
            <w:shd w:val="clear" w:color="auto" w:fill="auto"/>
            <w:vAlign w:val="center"/>
            <w:hideMark/>
          </w:tcPr>
          <w:p w:rsidR="00B92F9D" w:rsidRPr="00B92F9D" w:rsidRDefault="00B92F9D" w:rsidP="00B92F9D">
            <w:pPr>
              <w:spacing w:after="0"/>
              <w:ind w:firstLine="0"/>
              <w:jc w:val="center"/>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2</w:t>
            </w:r>
          </w:p>
        </w:tc>
        <w:tc>
          <w:tcPr>
            <w:tcW w:w="1334" w:type="pct"/>
            <w:shd w:val="clear" w:color="auto" w:fill="auto"/>
            <w:vAlign w:val="center"/>
            <w:hideMark/>
          </w:tcPr>
          <w:p w:rsidR="00B92F9D" w:rsidRPr="00B92F9D" w:rsidRDefault="00B92F9D" w:rsidP="00B92F9D">
            <w:pPr>
              <w:spacing w:after="0"/>
              <w:ind w:firstLine="0"/>
              <w:jc w:val="lef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Inmovilizado inmaterial</w:t>
            </w:r>
          </w:p>
        </w:tc>
        <w:tc>
          <w:tcPr>
            <w:tcW w:w="470" w:type="pct"/>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404.319</w:t>
            </w:r>
          </w:p>
        </w:tc>
        <w:tc>
          <w:tcPr>
            <w:tcW w:w="470" w:type="pct"/>
            <w:tcBorders>
              <w:right w:val="single" w:sz="2" w:space="0" w:color="auto"/>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399.986</w:t>
            </w:r>
          </w:p>
        </w:tc>
        <w:tc>
          <w:tcPr>
            <w:tcW w:w="172" w:type="pct"/>
            <w:tcBorders>
              <w:left w:val="single" w:sz="2" w:space="0" w:color="auto"/>
            </w:tcBorders>
            <w:shd w:val="clear" w:color="auto" w:fill="auto"/>
            <w:vAlign w:val="center"/>
            <w:hideMark/>
          </w:tcPr>
          <w:p w:rsidR="00B92F9D" w:rsidRPr="00B92F9D" w:rsidRDefault="00B92F9D" w:rsidP="00B92F9D">
            <w:pPr>
              <w:spacing w:after="0"/>
              <w:ind w:firstLine="0"/>
              <w:jc w:val="center"/>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2</w:t>
            </w:r>
          </w:p>
        </w:tc>
        <w:tc>
          <w:tcPr>
            <w:tcW w:w="1402" w:type="pct"/>
            <w:shd w:val="clear" w:color="auto" w:fill="auto"/>
            <w:vAlign w:val="center"/>
            <w:hideMark/>
          </w:tcPr>
          <w:p w:rsidR="00B92F9D" w:rsidRPr="00B92F9D" w:rsidRDefault="00B92F9D" w:rsidP="00A53520">
            <w:pPr>
              <w:spacing w:after="0"/>
              <w:ind w:firstLine="0"/>
              <w:jc w:val="left"/>
              <w:rPr>
                <w:rFonts w:ascii="Arial Narrow" w:hAnsi="Arial Narrow"/>
                <w:color w:val="000000"/>
                <w:sz w:val="18"/>
                <w:szCs w:val="18"/>
                <w:lang w:val="es-ES" w:eastAsia="es-ES"/>
              </w:rPr>
            </w:pPr>
            <w:proofErr w:type="spellStart"/>
            <w:r w:rsidRPr="00B92F9D">
              <w:rPr>
                <w:rFonts w:ascii="Arial Narrow" w:hAnsi="Arial Narrow"/>
                <w:color w:val="000000"/>
                <w:sz w:val="18"/>
                <w:szCs w:val="18"/>
                <w:lang w:val="es-ES" w:eastAsia="es-ES"/>
              </w:rPr>
              <w:t>R</w:t>
            </w:r>
            <w:r w:rsidR="00305364">
              <w:rPr>
                <w:rFonts w:ascii="Arial Narrow" w:hAnsi="Arial Narrow"/>
                <w:color w:val="000000"/>
                <w:sz w:val="18"/>
                <w:szCs w:val="18"/>
                <w:lang w:val="es-ES" w:eastAsia="es-ES"/>
              </w:rPr>
              <w:t>do.econ</w:t>
            </w:r>
            <w:r w:rsidR="00A53520">
              <w:rPr>
                <w:rFonts w:ascii="Arial Narrow" w:hAnsi="Arial Narrow"/>
                <w:color w:val="000000"/>
                <w:sz w:val="18"/>
                <w:szCs w:val="18"/>
                <w:lang w:val="es-ES" w:eastAsia="es-ES"/>
              </w:rPr>
              <w:t>.ejercic</w:t>
            </w:r>
            <w:r w:rsidRPr="00B92F9D">
              <w:rPr>
                <w:rFonts w:ascii="Arial Narrow" w:hAnsi="Arial Narrow"/>
                <w:color w:val="000000"/>
                <w:sz w:val="18"/>
                <w:szCs w:val="18"/>
                <w:lang w:val="es-ES" w:eastAsia="es-ES"/>
              </w:rPr>
              <w:t>io</w:t>
            </w:r>
            <w:proofErr w:type="spellEnd"/>
            <w:r w:rsidRPr="00B92F9D">
              <w:rPr>
                <w:rFonts w:ascii="Arial Narrow" w:hAnsi="Arial Narrow"/>
                <w:color w:val="000000"/>
                <w:sz w:val="18"/>
                <w:szCs w:val="18"/>
                <w:lang w:val="es-ES" w:eastAsia="es-ES"/>
              </w:rPr>
              <w:t xml:space="preserve"> (beneficio)</w:t>
            </w:r>
          </w:p>
        </w:tc>
        <w:tc>
          <w:tcPr>
            <w:tcW w:w="485" w:type="pct"/>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6.521.403</w:t>
            </w:r>
          </w:p>
        </w:tc>
        <w:tc>
          <w:tcPr>
            <w:tcW w:w="505" w:type="pct"/>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590.529</w:t>
            </w:r>
          </w:p>
        </w:tc>
      </w:tr>
      <w:tr w:rsidR="00B92F9D" w:rsidRPr="00B92F9D" w:rsidTr="00BC4A9E">
        <w:trPr>
          <w:trHeight w:val="495"/>
        </w:trPr>
        <w:tc>
          <w:tcPr>
            <w:tcW w:w="163" w:type="pct"/>
            <w:shd w:val="clear" w:color="auto" w:fill="auto"/>
            <w:vAlign w:val="center"/>
            <w:hideMark/>
          </w:tcPr>
          <w:p w:rsidR="00B92F9D" w:rsidRPr="00B92F9D" w:rsidRDefault="00B92F9D" w:rsidP="00B92F9D">
            <w:pPr>
              <w:spacing w:after="0"/>
              <w:ind w:firstLine="0"/>
              <w:jc w:val="center"/>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3</w:t>
            </w:r>
          </w:p>
        </w:tc>
        <w:tc>
          <w:tcPr>
            <w:tcW w:w="1334" w:type="pct"/>
            <w:shd w:val="clear" w:color="auto" w:fill="auto"/>
            <w:vAlign w:val="center"/>
            <w:hideMark/>
          </w:tcPr>
          <w:p w:rsidR="00B92F9D" w:rsidRPr="00B92F9D" w:rsidRDefault="00B92F9D" w:rsidP="00A53520">
            <w:pPr>
              <w:spacing w:after="0"/>
              <w:ind w:firstLine="0"/>
              <w:jc w:val="left"/>
              <w:rPr>
                <w:rFonts w:ascii="Arial Narrow" w:hAnsi="Arial Narrow"/>
                <w:color w:val="000000"/>
                <w:sz w:val="18"/>
                <w:szCs w:val="18"/>
                <w:lang w:val="es-ES" w:eastAsia="es-ES"/>
              </w:rPr>
            </w:pPr>
            <w:proofErr w:type="spellStart"/>
            <w:r w:rsidRPr="00B92F9D">
              <w:rPr>
                <w:rFonts w:ascii="Arial Narrow" w:hAnsi="Arial Narrow"/>
                <w:color w:val="000000"/>
                <w:sz w:val="18"/>
                <w:szCs w:val="18"/>
                <w:lang w:val="es-ES" w:eastAsia="es-ES"/>
              </w:rPr>
              <w:t>Infraestruct</w:t>
            </w:r>
            <w:proofErr w:type="spellEnd"/>
            <w:r w:rsidRPr="00B92F9D">
              <w:rPr>
                <w:rFonts w:ascii="Arial Narrow" w:hAnsi="Arial Narrow"/>
                <w:color w:val="000000"/>
                <w:sz w:val="18"/>
                <w:szCs w:val="18"/>
                <w:lang w:val="es-ES" w:eastAsia="es-ES"/>
              </w:rPr>
              <w:t>. y bienes destinados a uso g</w:t>
            </w:r>
            <w:r w:rsidR="00A53520">
              <w:rPr>
                <w:rFonts w:ascii="Arial Narrow" w:hAnsi="Arial Narrow"/>
                <w:color w:val="000000"/>
                <w:sz w:val="18"/>
                <w:szCs w:val="18"/>
                <w:lang w:val="es-ES" w:eastAsia="es-ES"/>
              </w:rPr>
              <w:t>eneral</w:t>
            </w:r>
          </w:p>
        </w:tc>
        <w:tc>
          <w:tcPr>
            <w:tcW w:w="470" w:type="pct"/>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0</w:t>
            </w:r>
          </w:p>
        </w:tc>
        <w:tc>
          <w:tcPr>
            <w:tcW w:w="470" w:type="pct"/>
            <w:tcBorders>
              <w:right w:val="single" w:sz="2" w:space="0" w:color="auto"/>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0</w:t>
            </w:r>
          </w:p>
        </w:tc>
        <w:tc>
          <w:tcPr>
            <w:tcW w:w="172" w:type="pct"/>
            <w:tcBorders>
              <w:left w:val="single" w:sz="2" w:space="0" w:color="auto"/>
            </w:tcBorders>
            <w:shd w:val="clear" w:color="auto" w:fill="auto"/>
            <w:vAlign w:val="center"/>
            <w:hideMark/>
          </w:tcPr>
          <w:p w:rsidR="00B92F9D" w:rsidRPr="00B92F9D" w:rsidRDefault="00B92F9D" w:rsidP="00B92F9D">
            <w:pPr>
              <w:spacing w:after="0"/>
              <w:ind w:firstLine="0"/>
              <w:jc w:val="center"/>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3</w:t>
            </w:r>
          </w:p>
        </w:tc>
        <w:tc>
          <w:tcPr>
            <w:tcW w:w="1402" w:type="pct"/>
            <w:shd w:val="clear" w:color="auto" w:fill="auto"/>
            <w:vAlign w:val="center"/>
            <w:hideMark/>
          </w:tcPr>
          <w:p w:rsidR="00B92F9D" w:rsidRPr="00B92F9D" w:rsidRDefault="00B92F9D" w:rsidP="00B92F9D">
            <w:pPr>
              <w:spacing w:after="0"/>
              <w:ind w:firstLine="0"/>
              <w:jc w:val="lef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Subvenciones de capital</w:t>
            </w:r>
          </w:p>
        </w:tc>
        <w:tc>
          <w:tcPr>
            <w:tcW w:w="485" w:type="pct"/>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6.155.916</w:t>
            </w:r>
          </w:p>
        </w:tc>
        <w:tc>
          <w:tcPr>
            <w:tcW w:w="505" w:type="pct"/>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6.539.208</w:t>
            </w:r>
          </w:p>
        </w:tc>
      </w:tr>
      <w:tr w:rsidR="00B92F9D" w:rsidRPr="00B92F9D" w:rsidTr="00BC4A9E">
        <w:trPr>
          <w:trHeight w:val="315"/>
        </w:trPr>
        <w:tc>
          <w:tcPr>
            <w:tcW w:w="163" w:type="pct"/>
            <w:shd w:val="clear" w:color="auto" w:fill="auto"/>
            <w:vAlign w:val="center"/>
            <w:hideMark/>
          </w:tcPr>
          <w:p w:rsidR="00B92F9D" w:rsidRPr="00B92F9D" w:rsidRDefault="00B92F9D" w:rsidP="00B92F9D">
            <w:pPr>
              <w:spacing w:after="0"/>
              <w:ind w:firstLine="0"/>
              <w:jc w:val="center"/>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4</w:t>
            </w:r>
          </w:p>
        </w:tc>
        <w:tc>
          <w:tcPr>
            <w:tcW w:w="1334" w:type="pct"/>
            <w:shd w:val="clear" w:color="auto" w:fill="auto"/>
            <w:vAlign w:val="center"/>
            <w:hideMark/>
          </w:tcPr>
          <w:p w:rsidR="00B92F9D" w:rsidRPr="00B92F9D" w:rsidRDefault="00B92F9D" w:rsidP="00B92F9D">
            <w:pPr>
              <w:spacing w:after="0"/>
              <w:ind w:firstLine="0"/>
              <w:jc w:val="lef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Bienes comunales</w:t>
            </w:r>
          </w:p>
        </w:tc>
        <w:tc>
          <w:tcPr>
            <w:tcW w:w="470" w:type="pct"/>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950.685</w:t>
            </w:r>
          </w:p>
        </w:tc>
        <w:tc>
          <w:tcPr>
            <w:tcW w:w="470" w:type="pct"/>
            <w:tcBorders>
              <w:right w:val="single" w:sz="2" w:space="0" w:color="auto"/>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1.017.919</w:t>
            </w:r>
          </w:p>
        </w:tc>
        <w:tc>
          <w:tcPr>
            <w:tcW w:w="172" w:type="pct"/>
            <w:tcBorders>
              <w:left w:val="single" w:sz="2" w:space="0" w:color="auto"/>
            </w:tcBorders>
            <w:shd w:val="clear" w:color="auto" w:fill="auto"/>
            <w:vAlign w:val="center"/>
            <w:hideMark/>
          </w:tcPr>
          <w:p w:rsidR="00B92F9D" w:rsidRPr="00B92F9D" w:rsidRDefault="00B92F9D" w:rsidP="00B92F9D">
            <w:pPr>
              <w:spacing w:after="0"/>
              <w:ind w:firstLine="0"/>
              <w:jc w:val="center"/>
              <w:rPr>
                <w:rFonts w:ascii="Arial Narrow" w:hAnsi="Arial Narrow"/>
                <w:b/>
                <w:bCs/>
                <w:i/>
                <w:iCs/>
                <w:color w:val="000000"/>
                <w:sz w:val="18"/>
                <w:szCs w:val="18"/>
                <w:lang w:val="es-ES" w:eastAsia="es-ES"/>
              </w:rPr>
            </w:pPr>
            <w:r w:rsidRPr="00B92F9D">
              <w:rPr>
                <w:rFonts w:ascii="Arial Narrow" w:hAnsi="Arial Narrow"/>
                <w:b/>
                <w:bCs/>
                <w:i/>
                <w:iCs/>
                <w:color w:val="000000"/>
                <w:sz w:val="18"/>
                <w:szCs w:val="18"/>
                <w:lang w:val="es-ES" w:eastAsia="es-ES"/>
              </w:rPr>
              <w:t>B</w:t>
            </w:r>
          </w:p>
        </w:tc>
        <w:tc>
          <w:tcPr>
            <w:tcW w:w="1402" w:type="pct"/>
            <w:shd w:val="clear" w:color="auto" w:fill="auto"/>
            <w:vAlign w:val="center"/>
            <w:hideMark/>
          </w:tcPr>
          <w:p w:rsidR="00B92F9D" w:rsidRPr="00B92F9D" w:rsidRDefault="00B92F9D" w:rsidP="00B92F9D">
            <w:pPr>
              <w:spacing w:after="0"/>
              <w:ind w:firstLine="0"/>
              <w:jc w:val="left"/>
              <w:rPr>
                <w:rFonts w:ascii="Arial Narrow" w:hAnsi="Arial Narrow"/>
                <w:b/>
                <w:bCs/>
                <w:i/>
                <w:iCs/>
                <w:color w:val="000000"/>
                <w:sz w:val="18"/>
                <w:szCs w:val="18"/>
                <w:lang w:val="es-ES" w:eastAsia="es-ES"/>
              </w:rPr>
            </w:pPr>
            <w:r w:rsidRPr="00B92F9D">
              <w:rPr>
                <w:rFonts w:ascii="Arial Narrow" w:hAnsi="Arial Narrow"/>
                <w:b/>
                <w:bCs/>
                <w:i/>
                <w:iCs/>
                <w:color w:val="000000"/>
                <w:sz w:val="18"/>
                <w:szCs w:val="18"/>
                <w:lang w:val="es-ES" w:eastAsia="es-ES"/>
              </w:rPr>
              <w:t>Provisiones para riesgos y gastos</w:t>
            </w:r>
          </w:p>
        </w:tc>
        <w:tc>
          <w:tcPr>
            <w:tcW w:w="485" w:type="pct"/>
            <w:shd w:val="clear" w:color="auto" w:fill="auto"/>
            <w:vAlign w:val="center"/>
            <w:hideMark/>
          </w:tcPr>
          <w:p w:rsidR="00B92F9D" w:rsidRPr="00B92F9D" w:rsidRDefault="00B92F9D" w:rsidP="00B92F9D">
            <w:pPr>
              <w:spacing w:after="0"/>
              <w:ind w:firstLine="0"/>
              <w:jc w:val="right"/>
              <w:rPr>
                <w:rFonts w:ascii="Arial Narrow" w:hAnsi="Arial Narrow"/>
                <w:b/>
                <w:bCs/>
                <w:i/>
                <w:iCs/>
                <w:color w:val="000000"/>
                <w:sz w:val="18"/>
                <w:szCs w:val="18"/>
                <w:lang w:val="es-ES" w:eastAsia="es-ES"/>
              </w:rPr>
            </w:pPr>
            <w:r w:rsidRPr="00B92F9D">
              <w:rPr>
                <w:rFonts w:ascii="Arial Narrow" w:hAnsi="Arial Narrow"/>
                <w:b/>
                <w:bCs/>
                <w:i/>
                <w:iCs/>
                <w:color w:val="000000"/>
                <w:sz w:val="18"/>
                <w:szCs w:val="18"/>
                <w:lang w:val="es-ES" w:eastAsia="es-ES"/>
              </w:rPr>
              <w:t>0</w:t>
            </w:r>
          </w:p>
        </w:tc>
        <w:tc>
          <w:tcPr>
            <w:tcW w:w="505" w:type="pct"/>
            <w:shd w:val="clear" w:color="auto" w:fill="auto"/>
            <w:vAlign w:val="center"/>
            <w:hideMark/>
          </w:tcPr>
          <w:p w:rsidR="00B92F9D" w:rsidRPr="00B92F9D" w:rsidRDefault="00B92F9D" w:rsidP="00B92F9D">
            <w:pPr>
              <w:spacing w:after="0"/>
              <w:ind w:firstLine="0"/>
              <w:jc w:val="right"/>
              <w:rPr>
                <w:rFonts w:ascii="Arial Narrow" w:hAnsi="Arial Narrow"/>
                <w:b/>
                <w:bCs/>
                <w:i/>
                <w:iCs/>
                <w:color w:val="000000"/>
                <w:sz w:val="18"/>
                <w:szCs w:val="18"/>
                <w:lang w:val="es-ES" w:eastAsia="es-ES"/>
              </w:rPr>
            </w:pPr>
            <w:r w:rsidRPr="00B92F9D">
              <w:rPr>
                <w:rFonts w:ascii="Arial Narrow" w:hAnsi="Arial Narrow"/>
                <w:b/>
                <w:bCs/>
                <w:i/>
                <w:iCs/>
                <w:color w:val="000000"/>
                <w:sz w:val="18"/>
                <w:szCs w:val="18"/>
                <w:lang w:val="es-ES" w:eastAsia="es-ES"/>
              </w:rPr>
              <w:t>0</w:t>
            </w:r>
          </w:p>
        </w:tc>
      </w:tr>
      <w:tr w:rsidR="00B92F9D" w:rsidRPr="00B92F9D" w:rsidTr="00BC4A9E">
        <w:trPr>
          <w:trHeight w:val="315"/>
        </w:trPr>
        <w:tc>
          <w:tcPr>
            <w:tcW w:w="163" w:type="pct"/>
            <w:shd w:val="clear" w:color="auto" w:fill="auto"/>
            <w:vAlign w:val="center"/>
            <w:hideMark/>
          </w:tcPr>
          <w:p w:rsidR="00B92F9D" w:rsidRPr="00B92F9D" w:rsidRDefault="00B92F9D" w:rsidP="00B92F9D">
            <w:pPr>
              <w:spacing w:after="0"/>
              <w:ind w:firstLine="0"/>
              <w:jc w:val="center"/>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5</w:t>
            </w:r>
          </w:p>
        </w:tc>
        <w:tc>
          <w:tcPr>
            <w:tcW w:w="1334" w:type="pct"/>
            <w:shd w:val="clear" w:color="auto" w:fill="auto"/>
            <w:vAlign w:val="center"/>
            <w:hideMark/>
          </w:tcPr>
          <w:p w:rsidR="00B92F9D" w:rsidRPr="00B92F9D" w:rsidRDefault="00B92F9D" w:rsidP="00B92F9D">
            <w:pPr>
              <w:spacing w:after="0"/>
              <w:ind w:firstLine="0"/>
              <w:jc w:val="lef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Inmovilizado Financiero</w:t>
            </w:r>
          </w:p>
        </w:tc>
        <w:tc>
          <w:tcPr>
            <w:tcW w:w="470" w:type="pct"/>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7.601</w:t>
            </w:r>
          </w:p>
        </w:tc>
        <w:tc>
          <w:tcPr>
            <w:tcW w:w="470" w:type="pct"/>
            <w:tcBorders>
              <w:right w:val="single" w:sz="2" w:space="0" w:color="auto"/>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7.601</w:t>
            </w:r>
          </w:p>
        </w:tc>
        <w:tc>
          <w:tcPr>
            <w:tcW w:w="172" w:type="pct"/>
            <w:tcBorders>
              <w:left w:val="single" w:sz="2" w:space="0" w:color="auto"/>
            </w:tcBorders>
            <w:shd w:val="clear" w:color="auto" w:fill="auto"/>
            <w:vAlign w:val="center"/>
            <w:hideMark/>
          </w:tcPr>
          <w:p w:rsidR="00B92F9D" w:rsidRPr="00B92F9D" w:rsidRDefault="00B92F9D" w:rsidP="00B92F9D">
            <w:pPr>
              <w:spacing w:after="0"/>
              <w:ind w:firstLine="0"/>
              <w:jc w:val="center"/>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4</w:t>
            </w:r>
          </w:p>
        </w:tc>
        <w:tc>
          <w:tcPr>
            <w:tcW w:w="1402" w:type="pct"/>
            <w:shd w:val="clear" w:color="auto" w:fill="auto"/>
            <w:vAlign w:val="center"/>
            <w:hideMark/>
          </w:tcPr>
          <w:p w:rsidR="00B92F9D" w:rsidRPr="00B92F9D" w:rsidRDefault="00B92F9D" w:rsidP="00B92F9D">
            <w:pPr>
              <w:spacing w:after="0"/>
              <w:ind w:firstLine="0"/>
              <w:jc w:val="lef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Provisiones</w:t>
            </w:r>
          </w:p>
        </w:tc>
        <w:tc>
          <w:tcPr>
            <w:tcW w:w="485" w:type="pct"/>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0</w:t>
            </w:r>
          </w:p>
        </w:tc>
        <w:tc>
          <w:tcPr>
            <w:tcW w:w="505" w:type="pct"/>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0</w:t>
            </w:r>
          </w:p>
        </w:tc>
      </w:tr>
      <w:tr w:rsidR="00B92F9D" w:rsidRPr="00B92F9D" w:rsidTr="00BC4A9E">
        <w:trPr>
          <w:trHeight w:val="315"/>
        </w:trPr>
        <w:tc>
          <w:tcPr>
            <w:tcW w:w="163" w:type="pct"/>
            <w:shd w:val="clear" w:color="auto" w:fill="auto"/>
            <w:vAlign w:val="center"/>
            <w:hideMark/>
          </w:tcPr>
          <w:p w:rsidR="00B92F9D" w:rsidRPr="00B92F9D" w:rsidRDefault="00B92F9D" w:rsidP="00B92F9D">
            <w:pPr>
              <w:spacing w:after="0"/>
              <w:ind w:firstLine="0"/>
              <w:jc w:val="center"/>
              <w:rPr>
                <w:rFonts w:ascii="Arial Narrow" w:hAnsi="Arial Narrow"/>
                <w:b/>
                <w:bCs/>
                <w:i/>
                <w:iCs/>
                <w:color w:val="000000"/>
                <w:sz w:val="18"/>
                <w:szCs w:val="18"/>
                <w:lang w:val="es-ES" w:eastAsia="es-ES"/>
              </w:rPr>
            </w:pPr>
            <w:r w:rsidRPr="00B92F9D">
              <w:rPr>
                <w:rFonts w:ascii="Arial Narrow" w:hAnsi="Arial Narrow"/>
                <w:b/>
                <w:bCs/>
                <w:i/>
                <w:iCs/>
                <w:color w:val="000000"/>
                <w:sz w:val="18"/>
                <w:szCs w:val="18"/>
                <w:lang w:val="es-ES" w:eastAsia="es-ES"/>
              </w:rPr>
              <w:t>B</w:t>
            </w:r>
          </w:p>
        </w:tc>
        <w:tc>
          <w:tcPr>
            <w:tcW w:w="1334" w:type="pct"/>
            <w:shd w:val="clear" w:color="auto" w:fill="auto"/>
            <w:vAlign w:val="center"/>
            <w:hideMark/>
          </w:tcPr>
          <w:p w:rsidR="00B92F9D" w:rsidRPr="00B92F9D" w:rsidRDefault="00B92F9D" w:rsidP="00B92F9D">
            <w:pPr>
              <w:spacing w:after="0"/>
              <w:ind w:firstLine="0"/>
              <w:jc w:val="left"/>
              <w:rPr>
                <w:rFonts w:ascii="Arial Narrow" w:hAnsi="Arial Narrow"/>
                <w:b/>
                <w:bCs/>
                <w:i/>
                <w:iCs/>
                <w:color w:val="000000"/>
                <w:sz w:val="18"/>
                <w:szCs w:val="18"/>
                <w:lang w:val="es-ES" w:eastAsia="es-ES"/>
              </w:rPr>
            </w:pPr>
            <w:r w:rsidRPr="00B92F9D">
              <w:rPr>
                <w:rFonts w:ascii="Arial Narrow" w:hAnsi="Arial Narrow"/>
                <w:b/>
                <w:bCs/>
                <w:i/>
                <w:iCs/>
                <w:color w:val="000000"/>
                <w:sz w:val="18"/>
                <w:szCs w:val="18"/>
                <w:lang w:val="es-ES" w:eastAsia="es-ES"/>
              </w:rPr>
              <w:t xml:space="preserve">Gastos a </w:t>
            </w:r>
            <w:proofErr w:type="spellStart"/>
            <w:r w:rsidRPr="00B92F9D">
              <w:rPr>
                <w:rFonts w:ascii="Arial Narrow" w:hAnsi="Arial Narrow"/>
                <w:b/>
                <w:bCs/>
                <w:i/>
                <w:iCs/>
                <w:color w:val="000000"/>
                <w:sz w:val="18"/>
                <w:szCs w:val="18"/>
                <w:lang w:val="es-ES" w:eastAsia="es-ES"/>
              </w:rPr>
              <w:t>distrib</w:t>
            </w:r>
            <w:proofErr w:type="spellEnd"/>
            <w:r w:rsidRPr="00B92F9D">
              <w:rPr>
                <w:rFonts w:ascii="Arial Narrow" w:hAnsi="Arial Narrow"/>
                <w:b/>
                <w:bCs/>
                <w:i/>
                <w:iCs/>
                <w:color w:val="000000"/>
                <w:sz w:val="18"/>
                <w:szCs w:val="18"/>
                <w:lang w:val="es-ES" w:eastAsia="es-ES"/>
              </w:rPr>
              <w:t xml:space="preserve">. </w:t>
            </w:r>
            <w:proofErr w:type="gramStart"/>
            <w:r w:rsidRPr="00B92F9D">
              <w:rPr>
                <w:rFonts w:ascii="Arial Narrow" w:hAnsi="Arial Narrow"/>
                <w:b/>
                <w:bCs/>
                <w:i/>
                <w:iCs/>
                <w:color w:val="000000"/>
                <w:sz w:val="18"/>
                <w:szCs w:val="18"/>
                <w:lang w:val="es-ES" w:eastAsia="es-ES"/>
              </w:rPr>
              <w:t>varios</w:t>
            </w:r>
            <w:proofErr w:type="gramEnd"/>
            <w:r w:rsidRPr="00B92F9D">
              <w:rPr>
                <w:rFonts w:ascii="Arial Narrow" w:hAnsi="Arial Narrow"/>
                <w:b/>
                <w:bCs/>
                <w:i/>
                <w:iCs/>
                <w:color w:val="000000"/>
                <w:sz w:val="18"/>
                <w:szCs w:val="18"/>
                <w:lang w:val="es-ES" w:eastAsia="es-ES"/>
              </w:rPr>
              <w:t xml:space="preserve"> </w:t>
            </w:r>
            <w:proofErr w:type="spellStart"/>
            <w:r w:rsidRPr="00B92F9D">
              <w:rPr>
                <w:rFonts w:ascii="Arial Narrow" w:hAnsi="Arial Narrow"/>
                <w:b/>
                <w:bCs/>
                <w:i/>
                <w:iCs/>
                <w:color w:val="000000"/>
                <w:sz w:val="18"/>
                <w:szCs w:val="18"/>
                <w:lang w:val="es-ES" w:eastAsia="es-ES"/>
              </w:rPr>
              <w:t>ejercic</w:t>
            </w:r>
            <w:proofErr w:type="spellEnd"/>
            <w:r w:rsidRPr="00B92F9D">
              <w:rPr>
                <w:rFonts w:ascii="Arial Narrow" w:hAnsi="Arial Narrow"/>
                <w:b/>
                <w:bCs/>
                <w:i/>
                <w:iCs/>
                <w:color w:val="000000"/>
                <w:sz w:val="18"/>
                <w:szCs w:val="18"/>
                <w:lang w:val="es-ES" w:eastAsia="es-ES"/>
              </w:rPr>
              <w:t>.</w:t>
            </w:r>
          </w:p>
        </w:tc>
        <w:tc>
          <w:tcPr>
            <w:tcW w:w="470" w:type="pct"/>
            <w:shd w:val="clear" w:color="auto" w:fill="auto"/>
            <w:vAlign w:val="center"/>
            <w:hideMark/>
          </w:tcPr>
          <w:p w:rsidR="00B92F9D" w:rsidRPr="00B92F9D" w:rsidRDefault="00B92F9D" w:rsidP="00B92F9D">
            <w:pPr>
              <w:spacing w:after="0"/>
              <w:ind w:firstLine="0"/>
              <w:jc w:val="right"/>
              <w:rPr>
                <w:rFonts w:ascii="Arial Narrow" w:hAnsi="Arial Narrow"/>
                <w:b/>
                <w:bCs/>
                <w:i/>
                <w:iCs/>
                <w:color w:val="000000"/>
                <w:sz w:val="18"/>
                <w:szCs w:val="18"/>
                <w:lang w:val="es-ES" w:eastAsia="es-ES"/>
              </w:rPr>
            </w:pPr>
            <w:r w:rsidRPr="00B92F9D">
              <w:rPr>
                <w:rFonts w:ascii="Arial Narrow" w:hAnsi="Arial Narrow"/>
                <w:b/>
                <w:bCs/>
                <w:i/>
                <w:iCs/>
                <w:color w:val="000000"/>
                <w:sz w:val="18"/>
                <w:szCs w:val="18"/>
                <w:lang w:val="es-ES" w:eastAsia="es-ES"/>
              </w:rPr>
              <w:t>0</w:t>
            </w:r>
          </w:p>
        </w:tc>
        <w:tc>
          <w:tcPr>
            <w:tcW w:w="470" w:type="pct"/>
            <w:tcBorders>
              <w:right w:val="single" w:sz="2" w:space="0" w:color="auto"/>
            </w:tcBorders>
            <w:shd w:val="clear" w:color="auto" w:fill="auto"/>
            <w:vAlign w:val="center"/>
            <w:hideMark/>
          </w:tcPr>
          <w:p w:rsidR="00B92F9D" w:rsidRPr="00B92F9D" w:rsidRDefault="00B92F9D" w:rsidP="00B92F9D">
            <w:pPr>
              <w:spacing w:after="0"/>
              <w:ind w:firstLine="0"/>
              <w:jc w:val="right"/>
              <w:rPr>
                <w:rFonts w:ascii="Arial Narrow" w:hAnsi="Arial Narrow"/>
                <w:b/>
                <w:bCs/>
                <w:i/>
                <w:iCs/>
                <w:color w:val="000000"/>
                <w:sz w:val="18"/>
                <w:szCs w:val="18"/>
                <w:lang w:val="es-ES" w:eastAsia="es-ES"/>
              </w:rPr>
            </w:pPr>
            <w:r w:rsidRPr="00B92F9D">
              <w:rPr>
                <w:rFonts w:ascii="Arial Narrow" w:hAnsi="Arial Narrow"/>
                <w:b/>
                <w:bCs/>
                <w:i/>
                <w:iCs/>
                <w:color w:val="000000"/>
                <w:sz w:val="18"/>
                <w:szCs w:val="18"/>
                <w:lang w:val="es-ES" w:eastAsia="es-ES"/>
              </w:rPr>
              <w:t>0</w:t>
            </w:r>
          </w:p>
        </w:tc>
        <w:tc>
          <w:tcPr>
            <w:tcW w:w="172" w:type="pct"/>
            <w:tcBorders>
              <w:left w:val="single" w:sz="2" w:space="0" w:color="auto"/>
            </w:tcBorders>
            <w:shd w:val="clear" w:color="auto" w:fill="auto"/>
            <w:vAlign w:val="center"/>
            <w:hideMark/>
          </w:tcPr>
          <w:p w:rsidR="00B92F9D" w:rsidRPr="00B92F9D" w:rsidRDefault="00B92F9D" w:rsidP="00B92F9D">
            <w:pPr>
              <w:spacing w:after="0"/>
              <w:ind w:firstLine="0"/>
              <w:jc w:val="center"/>
              <w:rPr>
                <w:rFonts w:ascii="Arial Narrow" w:hAnsi="Arial Narrow"/>
                <w:b/>
                <w:bCs/>
                <w:i/>
                <w:iCs/>
                <w:color w:val="000000"/>
                <w:sz w:val="18"/>
                <w:szCs w:val="18"/>
                <w:lang w:val="es-ES" w:eastAsia="es-ES"/>
              </w:rPr>
            </w:pPr>
            <w:r w:rsidRPr="00B92F9D">
              <w:rPr>
                <w:rFonts w:ascii="Arial Narrow" w:hAnsi="Arial Narrow"/>
                <w:b/>
                <w:bCs/>
                <w:i/>
                <w:iCs/>
                <w:color w:val="000000"/>
                <w:sz w:val="18"/>
                <w:szCs w:val="18"/>
                <w:lang w:val="es-ES" w:eastAsia="es-ES"/>
              </w:rPr>
              <w:t>C</w:t>
            </w:r>
          </w:p>
        </w:tc>
        <w:tc>
          <w:tcPr>
            <w:tcW w:w="1402" w:type="pct"/>
            <w:shd w:val="clear" w:color="auto" w:fill="auto"/>
            <w:vAlign w:val="center"/>
            <w:hideMark/>
          </w:tcPr>
          <w:p w:rsidR="00B92F9D" w:rsidRPr="00B92F9D" w:rsidRDefault="00B92F9D" w:rsidP="00B92F9D">
            <w:pPr>
              <w:spacing w:after="0"/>
              <w:ind w:firstLine="0"/>
              <w:jc w:val="left"/>
              <w:rPr>
                <w:rFonts w:ascii="Arial Narrow" w:hAnsi="Arial Narrow"/>
                <w:b/>
                <w:bCs/>
                <w:i/>
                <w:iCs/>
                <w:color w:val="000000"/>
                <w:sz w:val="18"/>
                <w:szCs w:val="18"/>
                <w:lang w:val="es-ES" w:eastAsia="es-ES"/>
              </w:rPr>
            </w:pPr>
            <w:r w:rsidRPr="00B92F9D">
              <w:rPr>
                <w:rFonts w:ascii="Arial Narrow" w:hAnsi="Arial Narrow"/>
                <w:b/>
                <w:bCs/>
                <w:i/>
                <w:iCs/>
                <w:color w:val="000000"/>
                <w:sz w:val="18"/>
                <w:szCs w:val="18"/>
                <w:lang w:val="es-ES" w:eastAsia="es-ES"/>
              </w:rPr>
              <w:t>Acreedores a largo plazo</w:t>
            </w:r>
          </w:p>
        </w:tc>
        <w:tc>
          <w:tcPr>
            <w:tcW w:w="485" w:type="pct"/>
            <w:shd w:val="clear" w:color="auto" w:fill="auto"/>
            <w:vAlign w:val="center"/>
            <w:hideMark/>
          </w:tcPr>
          <w:p w:rsidR="00B92F9D" w:rsidRPr="00B92F9D" w:rsidRDefault="00B92F9D" w:rsidP="00B92F9D">
            <w:pPr>
              <w:spacing w:after="0"/>
              <w:ind w:firstLine="0"/>
              <w:jc w:val="right"/>
              <w:rPr>
                <w:rFonts w:ascii="Arial Narrow" w:hAnsi="Arial Narrow"/>
                <w:b/>
                <w:bCs/>
                <w:i/>
                <w:iCs/>
                <w:color w:val="000000"/>
                <w:sz w:val="18"/>
                <w:szCs w:val="18"/>
                <w:lang w:val="es-ES" w:eastAsia="es-ES"/>
              </w:rPr>
            </w:pPr>
            <w:r w:rsidRPr="00B92F9D">
              <w:rPr>
                <w:rFonts w:ascii="Arial Narrow" w:hAnsi="Arial Narrow"/>
                <w:b/>
                <w:bCs/>
                <w:i/>
                <w:iCs/>
                <w:color w:val="000000"/>
                <w:sz w:val="18"/>
                <w:szCs w:val="18"/>
                <w:lang w:val="es-ES" w:eastAsia="es-ES"/>
              </w:rPr>
              <w:t>1.581.717</w:t>
            </w:r>
          </w:p>
        </w:tc>
        <w:tc>
          <w:tcPr>
            <w:tcW w:w="505" w:type="pct"/>
            <w:shd w:val="clear" w:color="auto" w:fill="auto"/>
            <w:vAlign w:val="center"/>
            <w:hideMark/>
          </w:tcPr>
          <w:p w:rsidR="00B92F9D" w:rsidRPr="00B92F9D" w:rsidRDefault="00B92F9D" w:rsidP="00B92F9D">
            <w:pPr>
              <w:spacing w:after="0"/>
              <w:ind w:firstLine="0"/>
              <w:jc w:val="right"/>
              <w:rPr>
                <w:rFonts w:ascii="Arial Narrow" w:hAnsi="Arial Narrow"/>
                <w:b/>
                <w:bCs/>
                <w:i/>
                <w:iCs/>
                <w:color w:val="000000"/>
                <w:sz w:val="18"/>
                <w:szCs w:val="18"/>
                <w:lang w:val="es-ES" w:eastAsia="es-ES"/>
              </w:rPr>
            </w:pPr>
            <w:r w:rsidRPr="00B92F9D">
              <w:rPr>
                <w:rFonts w:ascii="Arial Narrow" w:hAnsi="Arial Narrow"/>
                <w:b/>
                <w:bCs/>
                <w:i/>
                <w:iCs/>
                <w:color w:val="000000"/>
                <w:sz w:val="18"/>
                <w:szCs w:val="18"/>
                <w:lang w:val="es-ES" w:eastAsia="es-ES"/>
              </w:rPr>
              <w:t>1.389.994</w:t>
            </w:r>
          </w:p>
        </w:tc>
      </w:tr>
      <w:tr w:rsidR="00B92F9D" w:rsidRPr="00B92F9D" w:rsidTr="00BC4A9E">
        <w:trPr>
          <w:trHeight w:val="540"/>
        </w:trPr>
        <w:tc>
          <w:tcPr>
            <w:tcW w:w="163" w:type="pct"/>
            <w:shd w:val="clear" w:color="auto" w:fill="auto"/>
            <w:vAlign w:val="center"/>
            <w:hideMark/>
          </w:tcPr>
          <w:p w:rsidR="00B92F9D" w:rsidRPr="00B92F9D" w:rsidRDefault="00B92F9D" w:rsidP="00B92F9D">
            <w:pPr>
              <w:spacing w:after="0"/>
              <w:ind w:firstLine="0"/>
              <w:jc w:val="center"/>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6</w:t>
            </w:r>
          </w:p>
        </w:tc>
        <w:tc>
          <w:tcPr>
            <w:tcW w:w="1334" w:type="pct"/>
            <w:shd w:val="clear" w:color="auto" w:fill="auto"/>
            <w:vAlign w:val="center"/>
            <w:hideMark/>
          </w:tcPr>
          <w:p w:rsidR="00B92F9D" w:rsidRPr="00B92F9D" w:rsidRDefault="00B92F9D" w:rsidP="00B92F9D">
            <w:pPr>
              <w:spacing w:after="0"/>
              <w:ind w:firstLine="0"/>
              <w:jc w:val="lef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Gastos cancelar</w:t>
            </w:r>
          </w:p>
        </w:tc>
        <w:tc>
          <w:tcPr>
            <w:tcW w:w="470" w:type="pct"/>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0</w:t>
            </w:r>
          </w:p>
        </w:tc>
        <w:tc>
          <w:tcPr>
            <w:tcW w:w="470" w:type="pct"/>
            <w:tcBorders>
              <w:right w:val="single" w:sz="2" w:space="0" w:color="auto"/>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0</w:t>
            </w:r>
          </w:p>
        </w:tc>
        <w:tc>
          <w:tcPr>
            <w:tcW w:w="172" w:type="pct"/>
            <w:tcBorders>
              <w:left w:val="single" w:sz="2" w:space="0" w:color="auto"/>
            </w:tcBorders>
            <w:shd w:val="clear" w:color="auto" w:fill="auto"/>
            <w:vAlign w:val="center"/>
            <w:hideMark/>
          </w:tcPr>
          <w:p w:rsidR="00B92F9D" w:rsidRPr="00B92F9D" w:rsidRDefault="00B92F9D" w:rsidP="00B92F9D">
            <w:pPr>
              <w:spacing w:after="0"/>
              <w:ind w:firstLine="0"/>
              <w:jc w:val="center"/>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5</w:t>
            </w:r>
          </w:p>
        </w:tc>
        <w:tc>
          <w:tcPr>
            <w:tcW w:w="1402" w:type="pct"/>
            <w:shd w:val="clear" w:color="auto" w:fill="auto"/>
            <w:vAlign w:val="center"/>
            <w:hideMark/>
          </w:tcPr>
          <w:p w:rsidR="00B92F9D" w:rsidRPr="00B92F9D" w:rsidRDefault="00B92F9D" w:rsidP="00A53520">
            <w:pPr>
              <w:spacing w:after="0"/>
              <w:ind w:firstLine="0"/>
              <w:jc w:val="lef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 xml:space="preserve">Empréstitos, </w:t>
            </w:r>
            <w:proofErr w:type="spellStart"/>
            <w:r w:rsidRPr="00B92F9D">
              <w:rPr>
                <w:rFonts w:ascii="Arial Narrow" w:hAnsi="Arial Narrow"/>
                <w:color w:val="000000"/>
                <w:sz w:val="18"/>
                <w:szCs w:val="18"/>
                <w:lang w:val="es-ES" w:eastAsia="es-ES"/>
              </w:rPr>
              <w:t>préstam</w:t>
            </w:r>
            <w:proofErr w:type="spellEnd"/>
            <w:r w:rsidRPr="00B92F9D">
              <w:rPr>
                <w:rFonts w:ascii="Arial Narrow" w:hAnsi="Arial Narrow"/>
                <w:color w:val="000000"/>
                <w:sz w:val="18"/>
                <w:szCs w:val="18"/>
                <w:lang w:val="es-ES" w:eastAsia="es-ES"/>
              </w:rPr>
              <w:t>. y fianzas y depós</w:t>
            </w:r>
            <w:r w:rsidR="00A53520">
              <w:rPr>
                <w:rFonts w:ascii="Arial Narrow" w:hAnsi="Arial Narrow"/>
                <w:color w:val="000000"/>
                <w:sz w:val="18"/>
                <w:szCs w:val="18"/>
                <w:lang w:val="es-ES" w:eastAsia="es-ES"/>
              </w:rPr>
              <w:t>itos</w:t>
            </w:r>
            <w:r w:rsidRPr="00B92F9D">
              <w:rPr>
                <w:rFonts w:ascii="Arial Narrow" w:hAnsi="Arial Narrow"/>
                <w:color w:val="000000"/>
                <w:sz w:val="18"/>
                <w:szCs w:val="18"/>
                <w:lang w:val="es-ES" w:eastAsia="es-ES"/>
              </w:rPr>
              <w:t xml:space="preserve"> recibidos</w:t>
            </w:r>
          </w:p>
        </w:tc>
        <w:tc>
          <w:tcPr>
            <w:tcW w:w="485" w:type="pct"/>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1.581.717</w:t>
            </w:r>
          </w:p>
        </w:tc>
        <w:tc>
          <w:tcPr>
            <w:tcW w:w="505" w:type="pct"/>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1.389.994</w:t>
            </w:r>
          </w:p>
        </w:tc>
      </w:tr>
      <w:tr w:rsidR="00B92F9D" w:rsidRPr="00B92F9D" w:rsidTr="00BC4A9E">
        <w:trPr>
          <w:trHeight w:val="315"/>
        </w:trPr>
        <w:tc>
          <w:tcPr>
            <w:tcW w:w="163" w:type="pct"/>
            <w:shd w:val="clear" w:color="auto" w:fill="auto"/>
            <w:vAlign w:val="center"/>
            <w:hideMark/>
          </w:tcPr>
          <w:p w:rsidR="00B92F9D" w:rsidRPr="00B92F9D" w:rsidRDefault="00B92F9D" w:rsidP="00B92F9D">
            <w:pPr>
              <w:spacing w:after="0"/>
              <w:ind w:firstLine="0"/>
              <w:jc w:val="center"/>
              <w:rPr>
                <w:rFonts w:ascii="Arial Narrow" w:hAnsi="Arial Narrow"/>
                <w:b/>
                <w:bCs/>
                <w:i/>
                <w:iCs/>
                <w:color w:val="000000"/>
                <w:sz w:val="18"/>
                <w:szCs w:val="18"/>
                <w:lang w:val="es-ES" w:eastAsia="es-ES"/>
              </w:rPr>
            </w:pPr>
            <w:r w:rsidRPr="00B92F9D">
              <w:rPr>
                <w:rFonts w:ascii="Arial Narrow" w:hAnsi="Arial Narrow"/>
                <w:b/>
                <w:bCs/>
                <w:i/>
                <w:iCs/>
                <w:color w:val="000000"/>
                <w:sz w:val="18"/>
                <w:szCs w:val="18"/>
                <w:lang w:val="es-ES" w:eastAsia="es-ES"/>
              </w:rPr>
              <w:t>C</w:t>
            </w:r>
          </w:p>
        </w:tc>
        <w:tc>
          <w:tcPr>
            <w:tcW w:w="1334" w:type="pct"/>
            <w:shd w:val="clear" w:color="auto" w:fill="auto"/>
            <w:vAlign w:val="center"/>
            <w:hideMark/>
          </w:tcPr>
          <w:p w:rsidR="00B92F9D" w:rsidRPr="00B92F9D" w:rsidRDefault="00B92F9D" w:rsidP="00B92F9D">
            <w:pPr>
              <w:spacing w:after="0"/>
              <w:ind w:firstLine="0"/>
              <w:jc w:val="left"/>
              <w:rPr>
                <w:rFonts w:ascii="Arial Narrow" w:hAnsi="Arial Narrow"/>
                <w:b/>
                <w:bCs/>
                <w:i/>
                <w:iCs/>
                <w:color w:val="000000"/>
                <w:sz w:val="18"/>
                <w:szCs w:val="18"/>
                <w:lang w:val="es-ES" w:eastAsia="es-ES"/>
              </w:rPr>
            </w:pPr>
            <w:r w:rsidRPr="00B92F9D">
              <w:rPr>
                <w:rFonts w:ascii="Arial Narrow" w:hAnsi="Arial Narrow"/>
                <w:b/>
                <w:bCs/>
                <w:i/>
                <w:iCs/>
                <w:color w:val="000000"/>
                <w:sz w:val="18"/>
                <w:szCs w:val="18"/>
                <w:lang w:val="es-ES" w:eastAsia="es-ES"/>
              </w:rPr>
              <w:t>Circulante</w:t>
            </w:r>
          </w:p>
        </w:tc>
        <w:tc>
          <w:tcPr>
            <w:tcW w:w="470" w:type="pct"/>
            <w:shd w:val="clear" w:color="auto" w:fill="auto"/>
            <w:vAlign w:val="center"/>
            <w:hideMark/>
          </w:tcPr>
          <w:p w:rsidR="00B92F9D" w:rsidRPr="00B92F9D" w:rsidRDefault="00B92F9D" w:rsidP="00B92F9D">
            <w:pPr>
              <w:spacing w:after="0"/>
              <w:ind w:firstLine="0"/>
              <w:jc w:val="right"/>
              <w:rPr>
                <w:rFonts w:ascii="Arial Narrow" w:hAnsi="Arial Narrow"/>
                <w:b/>
                <w:bCs/>
                <w:i/>
                <w:iCs/>
                <w:color w:val="000000"/>
                <w:sz w:val="18"/>
                <w:szCs w:val="18"/>
                <w:lang w:val="es-ES" w:eastAsia="es-ES"/>
              </w:rPr>
            </w:pPr>
            <w:r w:rsidRPr="00B92F9D">
              <w:rPr>
                <w:rFonts w:ascii="Arial Narrow" w:hAnsi="Arial Narrow"/>
                <w:b/>
                <w:bCs/>
                <w:i/>
                <w:iCs/>
                <w:color w:val="000000"/>
                <w:sz w:val="18"/>
                <w:szCs w:val="18"/>
                <w:lang w:val="es-ES" w:eastAsia="es-ES"/>
              </w:rPr>
              <w:t>9.629.925</w:t>
            </w:r>
          </w:p>
        </w:tc>
        <w:tc>
          <w:tcPr>
            <w:tcW w:w="470" w:type="pct"/>
            <w:tcBorders>
              <w:right w:val="single" w:sz="2" w:space="0" w:color="auto"/>
            </w:tcBorders>
            <w:shd w:val="clear" w:color="auto" w:fill="auto"/>
            <w:vAlign w:val="center"/>
            <w:hideMark/>
          </w:tcPr>
          <w:p w:rsidR="00B92F9D" w:rsidRPr="00B92F9D" w:rsidRDefault="00B92F9D" w:rsidP="00B92F9D">
            <w:pPr>
              <w:spacing w:after="0"/>
              <w:ind w:firstLine="0"/>
              <w:jc w:val="right"/>
              <w:rPr>
                <w:rFonts w:ascii="Arial Narrow" w:hAnsi="Arial Narrow"/>
                <w:b/>
                <w:bCs/>
                <w:i/>
                <w:iCs/>
                <w:color w:val="000000"/>
                <w:sz w:val="18"/>
                <w:szCs w:val="18"/>
                <w:lang w:val="es-ES" w:eastAsia="es-ES"/>
              </w:rPr>
            </w:pPr>
            <w:r w:rsidRPr="00B92F9D">
              <w:rPr>
                <w:rFonts w:ascii="Arial Narrow" w:hAnsi="Arial Narrow"/>
                <w:b/>
                <w:bCs/>
                <w:i/>
                <w:iCs/>
                <w:color w:val="000000"/>
                <w:sz w:val="18"/>
                <w:szCs w:val="18"/>
                <w:lang w:val="es-ES" w:eastAsia="es-ES"/>
              </w:rPr>
              <w:t>9.415.693</w:t>
            </w:r>
          </w:p>
        </w:tc>
        <w:tc>
          <w:tcPr>
            <w:tcW w:w="172" w:type="pct"/>
            <w:tcBorders>
              <w:left w:val="single" w:sz="2" w:space="0" w:color="auto"/>
            </w:tcBorders>
            <w:shd w:val="clear" w:color="auto" w:fill="auto"/>
            <w:vAlign w:val="center"/>
            <w:hideMark/>
          </w:tcPr>
          <w:p w:rsidR="00B92F9D" w:rsidRPr="00B92F9D" w:rsidRDefault="00B92F9D" w:rsidP="00B92F9D">
            <w:pPr>
              <w:spacing w:after="0"/>
              <w:ind w:firstLine="0"/>
              <w:jc w:val="center"/>
              <w:rPr>
                <w:rFonts w:ascii="Arial Narrow" w:hAnsi="Arial Narrow"/>
                <w:b/>
                <w:bCs/>
                <w:i/>
                <w:iCs/>
                <w:color w:val="000000"/>
                <w:sz w:val="18"/>
                <w:szCs w:val="18"/>
                <w:lang w:val="es-ES" w:eastAsia="es-ES"/>
              </w:rPr>
            </w:pPr>
            <w:r w:rsidRPr="00B92F9D">
              <w:rPr>
                <w:rFonts w:ascii="Arial Narrow" w:hAnsi="Arial Narrow"/>
                <w:b/>
                <w:bCs/>
                <w:i/>
                <w:iCs/>
                <w:color w:val="000000"/>
                <w:sz w:val="18"/>
                <w:szCs w:val="18"/>
                <w:lang w:val="es-ES" w:eastAsia="es-ES"/>
              </w:rPr>
              <w:t>D</w:t>
            </w:r>
          </w:p>
        </w:tc>
        <w:tc>
          <w:tcPr>
            <w:tcW w:w="1402" w:type="pct"/>
            <w:shd w:val="clear" w:color="auto" w:fill="auto"/>
            <w:vAlign w:val="center"/>
            <w:hideMark/>
          </w:tcPr>
          <w:p w:rsidR="00B92F9D" w:rsidRPr="00B92F9D" w:rsidRDefault="00B92F9D" w:rsidP="00B92F9D">
            <w:pPr>
              <w:spacing w:after="0"/>
              <w:ind w:firstLine="0"/>
              <w:jc w:val="left"/>
              <w:rPr>
                <w:rFonts w:ascii="Arial Narrow" w:hAnsi="Arial Narrow"/>
                <w:b/>
                <w:bCs/>
                <w:i/>
                <w:iCs/>
                <w:color w:val="000000"/>
                <w:sz w:val="18"/>
                <w:szCs w:val="18"/>
                <w:lang w:val="es-ES" w:eastAsia="es-ES"/>
              </w:rPr>
            </w:pPr>
            <w:r w:rsidRPr="00B92F9D">
              <w:rPr>
                <w:rFonts w:ascii="Arial Narrow" w:hAnsi="Arial Narrow"/>
                <w:b/>
                <w:bCs/>
                <w:i/>
                <w:iCs/>
                <w:color w:val="000000"/>
                <w:sz w:val="18"/>
                <w:szCs w:val="18"/>
                <w:lang w:val="es-ES" w:eastAsia="es-ES"/>
              </w:rPr>
              <w:t>Acreedores a corto plazo</w:t>
            </w:r>
          </w:p>
        </w:tc>
        <w:tc>
          <w:tcPr>
            <w:tcW w:w="485" w:type="pct"/>
            <w:shd w:val="clear" w:color="auto" w:fill="auto"/>
            <w:vAlign w:val="center"/>
            <w:hideMark/>
          </w:tcPr>
          <w:p w:rsidR="00B92F9D" w:rsidRPr="00B92F9D" w:rsidRDefault="00B92F9D" w:rsidP="00B92F9D">
            <w:pPr>
              <w:spacing w:after="0"/>
              <w:ind w:firstLine="0"/>
              <w:jc w:val="right"/>
              <w:rPr>
                <w:rFonts w:ascii="Arial Narrow" w:hAnsi="Arial Narrow"/>
                <w:b/>
                <w:bCs/>
                <w:i/>
                <w:iCs/>
                <w:color w:val="000000"/>
                <w:sz w:val="18"/>
                <w:szCs w:val="18"/>
                <w:lang w:val="es-ES" w:eastAsia="es-ES"/>
              </w:rPr>
            </w:pPr>
            <w:r w:rsidRPr="00B92F9D">
              <w:rPr>
                <w:rFonts w:ascii="Arial Narrow" w:hAnsi="Arial Narrow"/>
                <w:b/>
                <w:bCs/>
                <w:i/>
                <w:iCs/>
                <w:color w:val="000000"/>
                <w:sz w:val="18"/>
                <w:szCs w:val="18"/>
                <w:lang w:val="es-ES" w:eastAsia="es-ES"/>
              </w:rPr>
              <w:t>1.708.398</w:t>
            </w:r>
          </w:p>
        </w:tc>
        <w:tc>
          <w:tcPr>
            <w:tcW w:w="505" w:type="pct"/>
            <w:shd w:val="clear" w:color="auto" w:fill="auto"/>
            <w:vAlign w:val="center"/>
            <w:hideMark/>
          </w:tcPr>
          <w:p w:rsidR="00B92F9D" w:rsidRPr="00B92F9D" w:rsidRDefault="00B92F9D" w:rsidP="00B92F9D">
            <w:pPr>
              <w:spacing w:after="0"/>
              <w:ind w:firstLine="0"/>
              <w:jc w:val="right"/>
              <w:rPr>
                <w:rFonts w:ascii="Arial Narrow" w:hAnsi="Arial Narrow"/>
                <w:b/>
                <w:bCs/>
                <w:i/>
                <w:iCs/>
                <w:color w:val="000000"/>
                <w:sz w:val="18"/>
                <w:szCs w:val="18"/>
                <w:lang w:val="es-ES" w:eastAsia="es-ES"/>
              </w:rPr>
            </w:pPr>
            <w:r w:rsidRPr="00B92F9D">
              <w:rPr>
                <w:rFonts w:ascii="Arial Narrow" w:hAnsi="Arial Narrow"/>
                <w:b/>
                <w:bCs/>
                <w:i/>
                <w:iCs/>
                <w:color w:val="000000"/>
                <w:sz w:val="18"/>
                <w:szCs w:val="18"/>
                <w:lang w:val="es-ES" w:eastAsia="es-ES"/>
              </w:rPr>
              <w:t>1.684.722</w:t>
            </w:r>
          </w:p>
        </w:tc>
      </w:tr>
      <w:tr w:rsidR="00B92F9D" w:rsidRPr="00B92F9D" w:rsidTr="00BC4A9E">
        <w:trPr>
          <w:trHeight w:val="420"/>
        </w:trPr>
        <w:tc>
          <w:tcPr>
            <w:tcW w:w="163" w:type="pct"/>
            <w:shd w:val="clear" w:color="auto" w:fill="auto"/>
            <w:vAlign w:val="center"/>
            <w:hideMark/>
          </w:tcPr>
          <w:p w:rsidR="00B92F9D" w:rsidRPr="00B92F9D" w:rsidRDefault="00B92F9D" w:rsidP="00B92F9D">
            <w:pPr>
              <w:spacing w:after="0"/>
              <w:ind w:firstLine="0"/>
              <w:jc w:val="center"/>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7</w:t>
            </w:r>
          </w:p>
        </w:tc>
        <w:tc>
          <w:tcPr>
            <w:tcW w:w="1334" w:type="pct"/>
            <w:shd w:val="clear" w:color="auto" w:fill="auto"/>
            <w:vAlign w:val="center"/>
            <w:hideMark/>
          </w:tcPr>
          <w:p w:rsidR="00B92F9D" w:rsidRPr="00B92F9D" w:rsidRDefault="00B92F9D" w:rsidP="00B92F9D">
            <w:pPr>
              <w:spacing w:after="0"/>
              <w:ind w:firstLine="0"/>
              <w:jc w:val="lef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Existencias</w:t>
            </w:r>
          </w:p>
        </w:tc>
        <w:tc>
          <w:tcPr>
            <w:tcW w:w="470" w:type="pct"/>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0</w:t>
            </w:r>
          </w:p>
        </w:tc>
        <w:tc>
          <w:tcPr>
            <w:tcW w:w="470" w:type="pct"/>
            <w:tcBorders>
              <w:right w:val="single" w:sz="2" w:space="0" w:color="auto"/>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0</w:t>
            </w:r>
          </w:p>
        </w:tc>
        <w:tc>
          <w:tcPr>
            <w:tcW w:w="172" w:type="pct"/>
            <w:tcBorders>
              <w:left w:val="single" w:sz="2" w:space="0" w:color="auto"/>
            </w:tcBorders>
            <w:shd w:val="clear" w:color="auto" w:fill="auto"/>
            <w:vAlign w:val="center"/>
            <w:hideMark/>
          </w:tcPr>
          <w:p w:rsidR="00B92F9D" w:rsidRPr="00B92F9D" w:rsidRDefault="00B92F9D" w:rsidP="00B92F9D">
            <w:pPr>
              <w:spacing w:after="0"/>
              <w:ind w:firstLine="0"/>
              <w:jc w:val="center"/>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6</w:t>
            </w:r>
          </w:p>
        </w:tc>
        <w:tc>
          <w:tcPr>
            <w:tcW w:w="1402" w:type="pct"/>
            <w:shd w:val="clear" w:color="auto" w:fill="auto"/>
            <w:vAlign w:val="center"/>
            <w:hideMark/>
          </w:tcPr>
          <w:p w:rsidR="00B92F9D" w:rsidRPr="00B92F9D" w:rsidRDefault="00B92F9D" w:rsidP="00A53520">
            <w:pPr>
              <w:spacing w:after="0"/>
              <w:ind w:firstLine="0"/>
              <w:jc w:val="left"/>
              <w:rPr>
                <w:rFonts w:ascii="Arial Narrow" w:hAnsi="Arial Narrow"/>
                <w:color w:val="000000"/>
                <w:sz w:val="18"/>
                <w:szCs w:val="18"/>
                <w:lang w:val="es-ES" w:eastAsia="es-ES"/>
              </w:rPr>
            </w:pPr>
            <w:proofErr w:type="spellStart"/>
            <w:r w:rsidRPr="00B92F9D">
              <w:rPr>
                <w:rFonts w:ascii="Arial Narrow" w:hAnsi="Arial Narrow"/>
                <w:color w:val="000000"/>
                <w:sz w:val="18"/>
                <w:szCs w:val="18"/>
                <w:lang w:val="es-ES" w:eastAsia="es-ES"/>
              </w:rPr>
              <w:t>Acreed</w:t>
            </w:r>
            <w:proofErr w:type="spellEnd"/>
            <w:r w:rsidRPr="00B92F9D">
              <w:rPr>
                <w:rFonts w:ascii="Arial Narrow" w:hAnsi="Arial Narrow"/>
                <w:color w:val="000000"/>
                <w:sz w:val="18"/>
                <w:szCs w:val="18"/>
                <w:lang w:val="es-ES" w:eastAsia="es-ES"/>
              </w:rPr>
              <w:t xml:space="preserve">. </w:t>
            </w:r>
            <w:proofErr w:type="gramStart"/>
            <w:r w:rsidRPr="00B92F9D">
              <w:rPr>
                <w:rFonts w:ascii="Arial Narrow" w:hAnsi="Arial Narrow"/>
                <w:color w:val="000000"/>
                <w:sz w:val="18"/>
                <w:szCs w:val="18"/>
                <w:lang w:val="es-ES" w:eastAsia="es-ES"/>
              </w:rPr>
              <w:t>de</w:t>
            </w:r>
            <w:proofErr w:type="gramEnd"/>
            <w:r w:rsidRPr="00B92F9D">
              <w:rPr>
                <w:rFonts w:ascii="Arial Narrow" w:hAnsi="Arial Narrow"/>
                <w:color w:val="000000"/>
                <w:sz w:val="18"/>
                <w:szCs w:val="18"/>
                <w:lang w:val="es-ES" w:eastAsia="es-ES"/>
              </w:rPr>
              <w:t xml:space="preserve"> </w:t>
            </w:r>
            <w:proofErr w:type="spellStart"/>
            <w:r w:rsidRPr="00B92F9D">
              <w:rPr>
                <w:rFonts w:ascii="Arial Narrow" w:hAnsi="Arial Narrow"/>
                <w:color w:val="000000"/>
                <w:sz w:val="18"/>
                <w:szCs w:val="18"/>
                <w:lang w:val="es-ES" w:eastAsia="es-ES"/>
              </w:rPr>
              <w:t>pptos</w:t>
            </w:r>
            <w:proofErr w:type="spellEnd"/>
            <w:r w:rsidRPr="00B92F9D">
              <w:rPr>
                <w:rFonts w:ascii="Arial Narrow" w:hAnsi="Arial Narrow"/>
                <w:color w:val="000000"/>
                <w:sz w:val="18"/>
                <w:szCs w:val="18"/>
                <w:lang w:val="es-ES" w:eastAsia="es-ES"/>
              </w:rPr>
              <w:t>. cerrados y extr</w:t>
            </w:r>
            <w:r w:rsidRPr="00B92F9D">
              <w:rPr>
                <w:rFonts w:ascii="Arial Narrow" w:hAnsi="Arial Narrow"/>
                <w:color w:val="000000"/>
                <w:sz w:val="18"/>
                <w:szCs w:val="18"/>
                <w:lang w:val="es-ES" w:eastAsia="es-ES"/>
              </w:rPr>
              <w:t>a</w:t>
            </w:r>
            <w:r w:rsidRPr="00B92F9D">
              <w:rPr>
                <w:rFonts w:ascii="Arial Narrow" w:hAnsi="Arial Narrow"/>
                <w:color w:val="000000"/>
                <w:sz w:val="18"/>
                <w:szCs w:val="18"/>
                <w:lang w:val="es-ES" w:eastAsia="es-ES"/>
              </w:rPr>
              <w:t>presupuest</w:t>
            </w:r>
            <w:r w:rsidR="00A53520">
              <w:rPr>
                <w:rFonts w:ascii="Arial Narrow" w:hAnsi="Arial Narrow"/>
                <w:color w:val="000000"/>
                <w:sz w:val="18"/>
                <w:szCs w:val="18"/>
                <w:lang w:val="es-ES" w:eastAsia="es-ES"/>
              </w:rPr>
              <w:t>arios</w:t>
            </w:r>
          </w:p>
        </w:tc>
        <w:tc>
          <w:tcPr>
            <w:tcW w:w="485" w:type="pct"/>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1.701.320</w:t>
            </w:r>
          </w:p>
        </w:tc>
        <w:tc>
          <w:tcPr>
            <w:tcW w:w="505" w:type="pct"/>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1.674.858</w:t>
            </w:r>
          </w:p>
        </w:tc>
      </w:tr>
      <w:tr w:rsidR="00B92F9D" w:rsidRPr="00B92F9D" w:rsidTr="00BC4A9E">
        <w:trPr>
          <w:trHeight w:val="495"/>
        </w:trPr>
        <w:tc>
          <w:tcPr>
            <w:tcW w:w="163" w:type="pct"/>
            <w:shd w:val="clear" w:color="auto" w:fill="auto"/>
            <w:vAlign w:val="center"/>
            <w:hideMark/>
          </w:tcPr>
          <w:p w:rsidR="00B92F9D" w:rsidRPr="00B92F9D" w:rsidRDefault="00B92F9D" w:rsidP="00B92F9D">
            <w:pPr>
              <w:spacing w:after="0"/>
              <w:ind w:firstLine="0"/>
              <w:jc w:val="center"/>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8</w:t>
            </w:r>
          </w:p>
        </w:tc>
        <w:tc>
          <w:tcPr>
            <w:tcW w:w="1334" w:type="pct"/>
            <w:shd w:val="clear" w:color="auto" w:fill="auto"/>
            <w:vAlign w:val="center"/>
            <w:hideMark/>
          </w:tcPr>
          <w:p w:rsidR="00B92F9D" w:rsidRPr="00B92F9D" w:rsidRDefault="00B92F9D" w:rsidP="00B92F9D">
            <w:pPr>
              <w:spacing w:after="0"/>
              <w:ind w:firstLine="0"/>
              <w:jc w:val="lef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Deudores</w:t>
            </w:r>
          </w:p>
        </w:tc>
        <w:tc>
          <w:tcPr>
            <w:tcW w:w="470" w:type="pct"/>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2.761.966</w:t>
            </w:r>
          </w:p>
        </w:tc>
        <w:tc>
          <w:tcPr>
            <w:tcW w:w="470" w:type="pct"/>
            <w:tcBorders>
              <w:right w:val="single" w:sz="2" w:space="0" w:color="auto"/>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3.992.467</w:t>
            </w:r>
          </w:p>
        </w:tc>
        <w:tc>
          <w:tcPr>
            <w:tcW w:w="172" w:type="pct"/>
            <w:tcBorders>
              <w:left w:val="single" w:sz="2" w:space="0" w:color="auto"/>
            </w:tcBorders>
            <w:shd w:val="clear" w:color="auto" w:fill="auto"/>
            <w:vAlign w:val="center"/>
            <w:hideMark/>
          </w:tcPr>
          <w:p w:rsidR="00B92F9D" w:rsidRPr="00B92F9D" w:rsidRDefault="00B92F9D" w:rsidP="00B92F9D">
            <w:pPr>
              <w:spacing w:after="0"/>
              <w:ind w:firstLine="0"/>
              <w:jc w:val="center"/>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7</w:t>
            </w:r>
          </w:p>
        </w:tc>
        <w:tc>
          <w:tcPr>
            <w:tcW w:w="1402" w:type="pct"/>
            <w:shd w:val="clear" w:color="auto" w:fill="auto"/>
            <w:vAlign w:val="center"/>
            <w:hideMark/>
          </w:tcPr>
          <w:p w:rsidR="00A53520" w:rsidRDefault="00B92F9D" w:rsidP="00B92F9D">
            <w:pPr>
              <w:spacing w:after="0"/>
              <w:ind w:firstLine="0"/>
              <w:jc w:val="lef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 xml:space="preserve">Partidas </w:t>
            </w:r>
            <w:proofErr w:type="spellStart"/>
            <w:r w:rsidRPr="00B92F9D">
              <w:rPr>
                <w:rFonts w:ascii="Arial Narrow" w:hAnsi="Arial Narrow"/>
                <w:color w:val="000000"/>
                <w:sz w:val="18"/>
                <w:szCs w:val="18"/>
                <w:lang w:val="es-ES" w:eastAsia="es-ES"/>
              </w:rPr>
              <w:t>p</w:t>
            </w:r>
            <w:r w:rsidR="00A53520">
              <w:rPr>
                <w:rFonts w:ascii="Arial Narrow" w:hAnsi="Arial Narrow"/>
                <w:color w:val="000000"/>
                <w:sz w:val="18"/>
                <w:szCs w:val="18"/>
                <w:lang w:val="es-ES" w:eastAsia="es-ES"/>
              </w:rPr>
              <w:t>d</w:t>
            </w:r>
            <w:r w:rsidRPr="00B92F9D">
              <w:rPr>
                <w:rFonts w:ascii="Arial Narrow" w:hAnsi="Arial Narrow"/>
                <w:color w:val="000000"/>
                <w:sz w:val="18"/>
                <w:szCs w:val="18"/>
                <w:lang w:val="es-ES" w:eastAsia="es-ES"/>
              </w:rPr>
              <w:t>tes</w:t>
            </w:r>
            <w:proofErr w:type="spellEnd"/>
            <w:r w:rsidRPr="00B92F9D">
              <w:rPr>
                <w:rFonts w:ascii="Arial Narrow" w:hAnsi="Arial Narrow"/>
                <w:color w:val="000000"/>
                <w:sz w:val="18"/>
                <w:szCs w:val="18"/>
                <w:lang w:val="es-ES" w:eastAsia="es-ES"/>
              </w:rPr>
              <w:t xml:space="preserve"> </w:t>
            </w:r>
            <w:proofErr w:type="spellStart"/>
            <w:r w:rsidRPr="00B92F9D">
              <w:rPr>
                <w:rFonts w:ascii="Arial Narrow" w:hAnsi="Arial Narrow"/>
                <w:color w:val="000000"/>
                <w:sz w:val="18"/>
                <w:szCs w:val="18"/>
                <w:lang w:val="es-ES" w:eastAsia="es-ES"/>
              </w:rPr>
              <w:t>aplic</w:t>
            </w:r>
            <w:proofErr w:type="spellEnd"/>
            <w:r w:rsidRPr="00B92F9D">
              <w:rPr>
                <w:rFonts w:ascii="Arial Narrow" w:hAnsi="Arial Narrow"/>
                <w:color w:val="000000"/>
                <w:sz w:val="18"/>
                <w:szCs w:val="18"/>
                <w:lang w:val="es-ES" w:eastAsia="es-ES"/>
              </w:rPr>
              <w:t xml:space="preserve">. y ajustes </w:t>
            </w:r>
          </w:p>
          <w:p w:rsidR="00B92F9D" w:rsidRPr="00B92F9D" w:rsidRDefault="00B92F9D" w:rsidP="00B92F9D">
            <w:pPr>
              <w:spacing w:after="0"/>
              <w:ind w:firstLine="0"/>
              <w:jc w:val="left"/>
              <w:rPr>
                <w:rFonts w:ascii="Arial Narrow" w:hAnsi="Arial Narrow"/>
                <w:color w:val="000000"/>
                <w:sz w:val="18"/>
                <w:szCs w:val="18"/>
                <w:lang w:val="es-ES" w:eastAsia="es-ES"/>
              </w:rPr>
            </w:pPr>
            <w:proofErr w:type="spellStart"/>
            <w:r w:rsidRPr="00B92F9D">
              <w:rPr>
                <w:rFonts w:ascii="Arial Narrow" w:hAnsi="Arial Narrow"/>
                <w:color w:val="000000"/>
                <w:sz w:val="18"/>
                <w:szCs w:val="18"/>
                <w:lang w:val="es-ES" w:eastAsia="es-ES"/>
              </w:rPr>
              <w:t>periodificación</w:t>
            </w:r>
            <w:proofErr w:type="spellEnd"/>
          </w:p>
        </w:tc>
        <w:tc>
          <w:tcPr>
            <w:tcW w:w="485" w:type="pct"/>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7.078</w:t>
            </w:r>
          </w:p>
        </w:tc>
        <w:tc>
          <w:tcPr>
            <w:tcW w:w="505" w:type="pct"/>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9.863</w:t>
            </w:r>
          </w:p>
        </w:tc>
      </w:tr>
      <w:tr w:rsidR="00B92F9D" w:rsidRPr="00B92F9D" w:rsidTr="00BC4A9E">
        <w:trPr>
          <w:trHeight w:val="315"/>
        </w:trPr>
        <w:tc>
          <w:tcPr>
            <w:tcW w:w="163" w:type="pct"/>
            <w:shd w:val="clear" w:color="auto" w:fill="auto"/>
            <w:vAlign w:val="center"/>
            <w:hideMark/>
          </w:tcPr>
          <w:p w:rsidR="00B92F9D" w:rsidRPr="00B92F9D" w:rsidRDefault="00B92F9D" w:rsidP="00B92F9D">
            <w:pPr>
              <w:spacing w:after="0"/>
              <w:ind w:firstLine="0"/>
              <w:jc w:val="center"/>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9</w:t>
            </w:r>
          </w:p>
        </w:tc>
        <w:tc>
          <w:tcPr>
            <w:tcW w:w="1334" w:type="pct"/>
            <w:shd w:val="clear" w:color="auto" w:fill="auto"/>
            <w:vAlign w:val="center"/>
            <w:hideMark/>
          </w:tcPr>
          <w:p w:rsidR="00B92F9D" w:rsidRPr="00B92F9D" w:rsidRDefault="00B92F9D" w:rsidP="00B92F9D">
            <w:pPr>
              <w:spacing w:after="0"/>
              <w:ind w:firstLine="0"/>
              <w:jc w:val="lef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Cuentas financieras</w:t>
            </w:r>
          </w:p>
        </w:tc>
        <w:tc>
          <w:tcPr>
            <w:tcW w:w="470" w:type="pct"/>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6.867.959</w:t>
            </w:r>
          </w:p>
        </w:tc>
        <w:tc>
          <w:tcPr>
            <w:tcW w:w="470" w:type="pct"/>
            <w:tcBorders>
              <w:right w:val="single" w:sz="2" w:space="0" w:color="auto"/>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5.423.227</w:t>
            </w:r>
          </w:p>
        </w:tc>
        <w:tc>
          <w:tcPr>
            <w:tcW w:w="172" w:type="pct"/>
            <w:tcBorders>
              <w:left w:val="single" w:sz="2" w:space="0" w:color="auto"/>
            </w:tcBorders>
            <w:shd w:val="clear" w:color="auto" w:fill="auto"/>
            <w:vAlign w:val="center"/>
            <w:hideMark/>
          </w:tcPr>
          <w:p w:rsidR="00B92F9D" w:rsidRPr="00B92F9D" w:rsidRDefault="00B92F9D" w:rsidP="00B92F9D">
            <w:pPr>
              <w:spacing w:after="0"/>
              <w:ind w:firstLine="0"/>
              <w:jc w:val="center"/>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 </w:t>
            </w:r>
          </w:p>
        </w:tc>
        <w:tc>
          <w:tcPr>
            <w:tcW w:w="1402" w:type="pct"/>
            <w:shd w:val="clear" w:color="auto" w:fill="auto"/>
            <w:vAlign w:val="center"/>
            <w:hideMark/>
          </w:tcPr>
          <w:p w:rsidR="00B92F9D" w:rsidRPr="00B92F9D" w:rsidRDefault="00B92F9D" w:rsidP="00B92F9D">
            <w:pPr>
              <w:spacing w:after="0"/>
              <w:ind w:firstLine="0"/>
              <w:jc w:val="lef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 </w:t>
            </w:r>
          </w:p>
        </w:tc>
        <w:tc>
          <w:tcPr>
            <w:tcW w:w="485" w:type="pct"/>
            <w:shd w:val="clear" w:color="auto" w:fill="auto"/>
            <w:noWrap/>
            <w:vAlign w:val="center"/>
            <w:hideMark/>
          </w:tcPr>
          <w:p w:rsidR="00B92F9D" w:rsidRPr="00B92F9D" w:rsidRDefault="00B92F9D" w:rsidP="00B92F9D">
            <w:pPr>
              <w:spacing w:after="0"/>
              <w:ind w:firstLine="0"/>
              <w:jc w:val="lef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 </w:t>
            </w:r>
          </w:p>
        </w:tc>
        <w:tc>
          <w:tcPr>
            <w:tcW w:w="505" w:type="pct"/>
            <w:shd w:val="clear" w:color="auto" w:fill="auto"/>
            <w:vAlign w:val="center"/>
            <w:hideMark/>
          </w:tcPr>
          <w:p w:rsidR="00B92F9D" w:rsidRPr="00B92F9D" w:rsidRDefault="00B92F9D" w:rsidP="00B92F9D">
            <w:pPr>
              <w:spacing w:after="0"/>
              <w:ind w:firstLine="0"/>
              <w:jc w:val="lef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 </w:t>
            </w:r>
          </w:p>
        </w:tc>
      </w:tr>
      <w:tr w:rsidR="00B92F9D" w:rsidRPr="00B92F9D" w:rsidTr="00BC4A9E">
        <w:trPr>
          <w:trHeight w:val="495"/>
        </w:trPr>
        <w:tc>
          <w:tcPr>
            <w:tcW w:w="163" w:type="pct"/>
            <w:shd w:val="clear" w:color="auto" w:fill="auto"/>
            <w:vAlign w:val="center"/>
            <w:hideMark/>
          </w:tcPr>
          <w:p w:rsidR="00B92F9D" w:rsidRPr="00B92F9D" w:rsidRDefault="00B92F9D" w:rsidP="00B92F9D">
            <w:pPr>
              <w:spacing w:after="0"/>
              <w:ind w:firstLine="0"/>
              <w:jc w:val="center"/>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10</w:t>
            </w:r>
          </w:p>
        </w:tc>
        <w:tc>
          <w:tcPr>
            <w:tcW w:w="1334" w:type="pct"/>
            <w:shd w:val="clear" w:color="auto" w:fill="auto"/>
            <w:vAlign w:val="center"/>
            <w:hideMark/>
          </w:tcPr>
          <w:p w:rsidR="00B92F9D" w:rsidRPr="00B92F9D" w:rsidRDefault="00B92F9D" w:rsidP="00B92F9D">
            <w:pPr>
              <w:spacing w:after="0"/>
              <w:ind w:firstLine="0"/>
              <w:jc w:val="left"/>
              <w:rPr>
                <w:rFonts w:ascii="Arial Narrow" w:hAnsi="Arial Narrow"/>
                <w:color w:val="000000"/>
                <w:sz w:val="18"/>
                <w:szCs w:val="18"/>
                <w:lang w:val="es-ES" w:eastAsia="es-ES"/>
              </w:rPr>
            </w:pPr>
            <w:proofErr w:type="spellStart"/>
            <w:r w:rsidRPr="00B92F9D">
              <w:rPr>
                <w:rFonts w:ascii="Arial Narrow" w:hAnsi="Arial Narrow"/>
                <w:color w:val="000000"/>
                <w:sz w:val="18"/>
                <w:szCs w:val="18"/>
                <w:lang w:val="es-ES" w:eastAsia="es-ES"/>
              </w:rPr>
              <w:t>Situac</w:t>
            </w:r>
            <w:proofErr w:type="spellEnd"/>
            <w:r w:rsidRPr="00B92F9D">
              <w:rPr>
                <w:rFonts w:ascii="Arial Narrow" w:hAnsi="Arial Narrow"/>
                <w:color w:val="000000"/>
                <w:sz w:val="18"/>
                <w:szCs w:val="18"/>
                <w:lang w:val="es-ES" w:eastAsia="es-ES"/>
              </w:rPr>
              <w:t xml:space="preserve">. </w:t>
            </w:r>
            <w:proofErr w:type="gramStart"/>
            <w:r w:rsidRPr="00B92F9D">
              <w:rPr>
                <w:rFonts w:ascii="Arial Narrow" w:hAnsi="Arial Narrow"/>
                <w:color w:val="000000"/>
                <w:sz w:val="18"/>
                <w:szCs w:val="18"/>
                <w:lang w:val="es-ES" w:eastAsia="es-ES"/>
              </w:rPr>
              <w:t>transitorias</w:t>
            </w:r>
            <w:proofErr w:type="gramEnd"/>
            <w:r w:rsidRPr="00B92F9D">
              <w:rPr>
                <w:rFonts w:ascii="Arial Narrow" w:hAnsi="Arial Narrow"/>
                <w:color w:val="000000"/>
                <w:sz w:val="18"/>
                <w:szCs w:val="18"/>
                <w:lang w:val="es-ES" w:eastAsia="es-ES"/>
              </w:rPr>
              <w:t xml:space="preserve"> de </w:t>
            </w:r>
            <w:proofErr w:type="spellStart"/>
            <w:r w:rsidRPr="00B92F9D">
              <w:rPr>
                <w:rFonts w:ascii="Arial Narrow" w:hAnsi="Arial Narrow"/>
                <w:color w:val="000000"/>
                <w:sz w:val="18"/>
                <w:szCs w:val="18"/>
                <w:lang w:val="es-ES" w:eastAsia="es-ES"/>
              </w:rPr>
              <w:t>financ</w:t>
            </w:r>
            <w:proofErr w:type="spellEnd"/>
            <w:r w:rsidRPr="00B92F9D">
              <w:rPr>
                <w:rFonts w:ascii="Arial Narrow" w:hAnsi="Arial Narrow"/>
                <w:color w:val="000000"/>
                <w:sz w:val="18"/>
                <w:szCs w:val="18"/>
                <w:lang w:val="es-ES" w:eastAsia="es-ES"/>
              </w:rPr>
              <w:t>., aju</w:t>
            </w:r>
            <w:r w:rsidRPr="00B92F9D">
              <w:rPr>
                <w:rFonts w:ascii="Arial Narrow" w:hAnsi="Arial Narrow"/>
                <w:color w:val="000000"/>
                <w:sz w:val="18"/>
                <w:szCs w:val="18"/>
                <w:lang w:val="es-ES" w:eastAsia="es-ES"/>
              </w:rPr>
              <w:t>s</w:t>
            </w:r>
            <w:r w:rsidRPr="00B92F9D">
              <w:rPr>
                <w:rFonts w:ascii="Arial Narrow" w:hAnsi="Arial Narrow"/>
                <w:color w:val="000000"/>
                <w:sz w:val="18"/>
                <w:szCs w:val="18"/>
                <w:lang w:val="es-ES" w:eastAsia="es-ES"/>
              </w:rPr>
              <w:t xml:space="preserve">tes </w:t>
            </w:r>
            <w:proofErr w:type="spellStart"/>
            <w:r w:rsidRPr="00B92F9D">
              <w:rPr>
                <w:rFonts w:ascii="Arial Narrow" w:hAnsi="Arial Narrow"/>
                <w:color w:val="000000"/>
                <w:sz w:val="18"/>
                <w:szCs w:val="18"/>
                <w:lang w:val="es-ES" w:eastAsia="es-ES"/>
              </w:rPr>
              <w:t>periodificación</w:t>
            </w:r>
            <w:proofErr w:type="spellEnd"/>
            <w:r w:rsidRPr="00B92F9D">
              <w:rPr>
                <w:rFonts w:ascii="Arial Narrow" w:hAnsi="Arial Narrow"/>
                <w:color w:val="000000"/>
                <w:sz w:val="18"/>
                <w:szCs w:val="18"/>
                <w:lang w:val="es-ES" w:eastAsia="es-ES"/>
              </w:rPr>
              <w:t xml:space="preserve"> </w:t>
            </w:r>
            <w:proofErr w:type="spellStart"/>
            <w:r w:rsidRPr="00B92F9D">
              <w:rPr>
                <w:rFonts w:ascii="Arial Narrow" w:hAnsi="Arial Narrow"/>
                <w:color w:val="000000"/>
                <w:sz w:val="18"/>
                <w:szCs w:val="18"/>
                <w:lang w:val="es-ES" w:eastAsia="es-ES"/>
              </w:rPr>
              <w:t>pdte.</w:t>
            </w:r>
            <w:proofErr w:type="spellEnd"/>
            <w:r w:rsidRPr="00B92F9D">
              <w:rPr>
                <w:rFonts w:ascii="Arial Narrow" w:hAnsi="Arial Narrow"/>
                <w:color w:val="000000"/>
                <w:sz w:val="18"/>
                <w:szCs w:val="18"/>
                <w:lang w:val="es-ES" w:eastAsia="es-ES"/>
              </w:rPr>
              <w:t xml:space="preserve"> aplicación</w:t>
            </w:r>
          </w:p>
        </w:tc>
        <w:tc>
          <w:tcPr>
            <w:tcW w:w="470" w:type="pct"/>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0</w:t>
            </w:r>
          </w:p>
        </w:tc>
        <w:tc>
          <w:tcPr>
            <w:tcW w:w="470" w:type="pct"/>
            <w:tcBorders>
              <w:right w:val="single" w:sz="2" w:space="0" w:color="auto"/>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0</w:t>
            </w:r>
          </w:p>
        </w:tc>
        <w:tc>
          <w:tcPr>
            <w:tcW w:w="172" w:type="pct"/>
            <w:tcBorders>
              <w:left w:val="single" w:sz="2" w:space="0" w:color="auto"/>
            </w:tcBorders>
            <w:shd w:val="clear" w:color="auto" w:fill="auto"/>
            <w:vAlign w:val="center"/>
            <w:hideMark/>
          </w:tcPr>
          <w:p w:rsidR="00B92F9D" w:rsidRPr="00B92F9D" w:rsidRDefault="00B92F9D" w:rsidP="00B92F9D">
            <w:pPr>
              <w:spacing w:after="0"/>
              <w:ind w:firstLine="0"/>
              <w:jc w:val="center"/>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 </w:t>
            </w:r>
          </w:p>
        </w:tc>
        <w:tc>
          <w:tcPr>
            <w:tcW w:w="1402" w:type="pct"/>
            <w:shd w:val="clear" w:color="auto" w:fill="auto"/>
            <w:vAlign w:val="center"/>
            <w:hideMark/>
          </w:tcPr>
          <w:p w:rsidR="00B92F9D" w:rsidRPr="00B92F9D" w:rsidRDefault="00B92F9D" w:rsidP="00B92F9D">
            <w:pPr>
              <w:spacing w:after="0"/>
              <w:ind w:firstLine="0"/>
              <w:jc w:val="lef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 </w:t>
            </w:r>
          </w:p>
        </w:tc>
        <w:tc>
          <w:tcPr>
            <w:tcW w:w="485" w:type="pct"/>
            <w:shd w:val="clear" w:color="auto" w:fill="auto"/>
            <w:vAlign w:val="center"/>
            <w:hideMark/>
          </w:tcPr>
          <w:p w:rsidR="00B92F9D" w:rsidRPr="00B92F9D" w:rsidRDefault="00B92F9D" w:rsidP="00B92F9D">
            <w:pPr>
              <w:spacing w:after="0"/>
              <w:ind w:firstLine="0"/>
              <w:jc w:val="lef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 </w:t>
            </w:r>
          </w:p>
        </w:tc>
        <w:tc>
          <w:tcPr>
            <w:tcW w:w="505" w:type="pct"/>
            <w:shd w:val="clear" w:color="auto" w:fill="auto"/>
            <w:vAlign w:val="center"/>
            <w:hideMark/>
          </w:tcPr>
          <w:p w:rsidR="00B92F9D" w:rsidRPr="00B92F9D" w:rsidRDefault="00B92F9D" w:rsidP="00B92F9D">
            <w:pPr>
              <w:spacing w:after="0"/>
              <w:ind w:firstLine="0"/>
              <w:jc w:val="lef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 </w:t>
            </w:r>
          </w:p>
        </w:tc>
      </w:tr>
      <w:tr w:rsidR="00B92F9D" w:rsidRPr="00B92F9D" w:rsidTr="00BC4A9E">
        <w:trPr>
          <w:trHeight w:val="495"/>
        </w:trPr>
        <w:tc>
          <w:tcPr>
            <w:tcW w:w="163" w:type="pct"/>
            <w:shd w:val="clear" w:color="auto" w:fill="auto"/>
            <w:vAlign w:val="center"/>
            <w:hideMark/>
          </w:tcPr>
          <w:p w:rsidR="00B92F9D" w:rsidRPr="00B92F9D" w:rsidRDefault="00B92F9D" w:rsidP="00B92F9D">
            <w:pPr>
              <w:spacing w:after="0"/>
              <w:ind w:firstLine="0"/>
              <w:jc w:val="center"/>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11</w:t>
            </w:r>
          </w:p>
        </w:tc>
        <w:tc>
          <w:tcPr>
            <w:tcW w:w="1334" w:type="pct"/>
            <w:shd w:val="clear" w:color="auto" w:fill="auto"/>
            <w:vAlign w:val="center"/>
            <w:hideMark/>
          </w:tcPr>
          <w:p w:rsidR="00A53520" w:rsidRDefault="00B92F9D" w:rsidP="00A53520">
            <w:pPr>
              <w:spacing w:after="0"/>
              <w:ind w:firstLine="0"/>
              <w:jc w:val="left"/>
              <w:rPr>
                <w:rFonts w:ascii="Arial Narrow" w:hAnsi="Arial Narrow"/>
                <w:color w:val="000000"/>
                <w:sz w:val="18"/>
                <w:szCs w:val="18"/>
                <w:lang w:val="es-ES" w:eastAsia="es-ES"/>
              </w:rPr>
            </w:pPr>
            <w:proofErr w:type="spellStart"/>
            <w:r w:rsidRPr="00B92F9D">
              <w:rPr>
                <w:rFonts w:ascii="Arial Narrow" w:hAnsi="Arial Narrow"/>
                <w:color w:val="000000"/>
                <w:sz w:val="18"/>
                <w:szCs w:val="18"/>
                <w:lang w:val="es-ES" w:eastAsia="es-ES"/>
              </w:rPr>
              <w:t>Rtdo</w:t>
            </w:r>
            <w:proofErr w:type="spellEnd"/>
            <w:r w:rsidRPr="00B92F9D">
              <w:rPr>
                <w:rFonts w:ascii="Arial Narrow" w:hAnsi="Arial Narrow"/>
                <w:color w:val="000000"/>
                <w:sz w:val="18"/>
                <w:szCs w:val="18"/>
                <w:lang w:val="es-ES" w:eastAsia="es-ES"/>
              </w:rPr>
              <w:t>. pendiente de aplicación</w:t>
            </w:r>
          </w:p>
          <w:p w:rsidR="00B92F9D" w:rsidRPr="00B92F9D" w:rsidRDefault="00B92F9D" w:rsidP="00A53520">
            <w:pPr>
              <w:spacing w:after="0"/>
              <w:ind w:firstLine="0"/>
              <w:jc w:val="lef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 xml:space="preserve"> (pérd</w:t>
            </w:r>
            <w:r w:rsidR="00A53520">
              <w:rPr>
                <w:rFonts w:ascii="Arial Narrow" w:hAnsi="Arial Narrow"/>
                <w:color w:val="000000"/>
                <w:sz w:val="18"/>
                <w:szCs w:val="18"/>
                <w:lang w:val="es-ES" w:eastAsia="es-ES"/>
              </w:rPr>
              <w:t>ida</w:t>
            </w:r>
            <w:r w:rsidRPr="00B92F9D">
              <w:rPr>
                <w:rFonts w:ascii="Arial Narrow" w:hAnsi="Arial Narrow"/>
                <w:color w:val="000000"/>
                <w:sz w:val="18"/>
                <w:szCs w:val="18"/>
                <w:lang w:val="es-ES" w:eastAsia="es-ES"/>
              </w:rPr>
              <w:t xml:space="preserve"> del ejer</w:t>
            </w:r>
            <w:r w:rsidR="00A53520">
              <w:rPr>
                <w:rFonts w:ascii="Arial Narrow" w:hAnsi="Arial Narrow"/>
                <w:color w:val="000000"/>
                <w:sz w:val="18"/>
                <w:szCs w:val="18"/>
                <w:lang w:val="es-ES" w:eastAsia="es-ES"/>
              </w:rPr>
              <w:t>cicio</w:t>
            </w:r>
            <w:r w:rsidRPr="00B92F9D">
              <w:rPr>
                <w:rFonts w:ascii="Arial Narrow" w:hAnsi="Arial Narrow"/>
                <w:color w:val="000000"/>
                <w:sz w:val="18"/>
                <w:szCs w:val="18"/>
                <w:lang w:val="es-ES" w:eastAsia="es-ES"/>
              </w:rPr>
              <w:t>)</w:t>
            </w:r>
          </w:p>
        </w:tc>
        <w:tc>
          <w:tcPr>
            <w:tcW w:w="470" w:type="pct"/>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0</w:t>
            </w:r>
          </w:p>
        </w:tc>
        <w:tc>
          <w:tcPr>
            <w:tcW w:w="470" w:type="pct"/>
            <w:tcBorders>
              <w:right w:val="single" w:sz="2" w:space="0" w:color="auto"/>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0</w:t>
            </w:r>
          </w:p>
        </w:tc>
        <w:tc>
          <w:tcPr>
            <w:tcW w:w="172" w:type="pct"/>
            <w:tcBorders>
              <w:left w:val="single" w:sz="2" w:space="0" w:color="auto"/>
            </w:tcBorders>
            <w:shd w:val="clear" w:color="auto" w:fill="auto"/>
            <w:vAlign w:val="center"/>
            <w:hideMark/>
          </w:tcPr>
          <w:p w:rsidR="00B92F9D" w:rsidRPr="00B92F9D" w:rsidRDefault="00B92F9D" w:rsidP="00B92F9D">
            <w:pPr>
              <w:spacing w:after="0"/>
              <w:ind w:firstLine="0"/>
              <w:jc w:val="center"/>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 </w:t>
            </w:r>
          </w:p>
        </w:tc>
        <w:tc>
          <w:tcPr>
            <w:tcW w:w="1402" w:type="pct"/>
            <w:shd w:val="clear" w:color="auto" w:fill="auto"/>
            <w:vAlign w:val="center"/>
            <w:hideMark/>
          </w:tcPr>
          <w:p w:rsidR="00B92F9D" w:rsidRPr="00B92F9D" w:rsidRDefault="00B92F9D" w:rsidP="00B92F9D">
            <w:pPr>
              <w:spacing w:after="0"/>
              <w:ind w:firstLine="0"/>
              <w:jc w:val="lef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 </w:t>
            </w:r>
          </w:p>
        </w:tc>
        <w:tc>
          <w:tcPr>
            <w:tcW w:w="485" w:type="pct"/>
            <w:shd w:val="clear" w:color="auto" w:fill="auto"/>
            <w:vAlign w:val="center"/>
            <w:hideMark/>
          </w:tcPr>
          <w:p w:rsidR="00B92F9D" w:rsidRPr="00B92F9D" w:rsidRDefault="00B92F9D" w:rsidP="00B92F9D">
            <w:pPr>
              <w:spacing w:after="0"/>
              <w:ind w:firstLine="0"/>
              <w:jc w:val="lef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 </w:t>
            </w:r>
          </w:p>
        </w:tc>
        <w:tc>
          <w:tcPr>
            <w:tcW w:w="505" w:type="pct"/>
            <w:shd w:val="clear" w:color="auto" w:fill="auto"/>
            <w:vAlign w:val="center"/>
            <w:hideMark/>
          </w:tcPr>
          <w:p w:rsidR="00B92F9D" w:rsidRPr="00B92F9D" w:rsidRDefault="00B92F9D" w:rsidP="00B92F9D">
            <w:pPr>
              <w:spacing w:after="0"/>
              <w:ind w:firstLine="0"/>
              <w:jc w:val="lef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 </w:t>
            </w:r>
          </w:p>
        </w:tc>
      </w:tr>
      <w:tr w:rsidR="00B92F9D" w:rsidRPr="00B92F9D" w:rsidTr="00BC4A9E">
        <w:trPr>
          <w:trHeight w:val="330"/>
        </w:trPr>
        <w:tc>
          <w:tcPr>
            <w:tcW w:w="163" w:type="pct"/>
            <w:shd w:val="clear" w:color="000000" w:fill="FABF8F"/>
            <w:vAlign w:val="center"/>
            <w:hideMark/>
          </w:tcPr>
          <w:p w:rsidR="00B92F9D" w:rsidRPr="00B92F9D" w:rsidRDefault="00B92F9D" w:rsidP="00B92F9D">
            <w:pPr>
              <w:spacing w:after="0"/>
              <w:ind w:firstLine="0"/>
              <w:jc w:val="center"/>
              <w:rPr>
                <w:rFonts w:ascii="Arial" w:hAnsi="Arial" w:cs="Arial"/>
                <w:b/>
                <w:bCs/>
                <w:color w:val="000000"/>
                <w:sz w:val="18"/>
                <w:szCs w:val="18"/>
                <w:lang w:val="es-ES" w:eastAsia="es-ES"/>
              </w:rPr>
            </w:pPr>
            <w:r w:rsidRPr="00B92F9D">
              <w:rPr>
                <w:rFonts w:ascii="Arial" w:hAnsi="Arial" w:cs="Arial"/>
                <w:b/>
                <w:bCs/>
                <w:color w:val="000000"/>
                <w:sz w:val="18"/>
                <w:szCs w:val="18"/>
                <w:lang w:val="es-ES" w:eastAsia="es-ES"/>
              </w:rPr>
              <w:t> </w:t>
            </w:r>
          </w:p>
        </w:tc>
        <w:tc>
          <w:tcPr>
            <w:tcW w:w="1334" w:type="pct"/>
            <w:shd w:val="clear" w:color="000000" w:fill="FABF8F"/>
            <w:vAlign w:val="center"/>
            <w:hideMark/>
          </w:tcPr>
          <w:p w:rsidR="00B92F9D" w:rsidRPr="00B92F9D" w:rsidRDefault="00B92F9D" w:rsidP="00B92F9D">
            <w:pPr>
              <w:spacing w:after="0"/>
              <w:ind w:firstLine="0"/>
              <w:jc w:val="left"/>
              <w:rPr>
                <w:rFonts w:ascii="Arial" w:hAnsi="Arial" w:cs="Arial"/>
                <w:b/>
                <w:bCs/>
                <w:color w:val="000000"/>
                <w:sz w:val="18"/>
                <w:szCs w:val="18"/>
                <w:lang w:val="es-ES" w:eastAsia="es-ES"/>
              </w:rPr>
            </w:pPr>
            <w:r w:rsidRPr="00B92F9D">
              <w:rPr>
                <w:rFonts w:ascii="Arial" w:hAnsi="Arial" w:cs="Arial"/>
                <w:b/>
                <w:bCs/>
                <w:color w:val="000000"/>
                <w:sz w:val="18"/>
                <w:szCs w:val="18"/>
                <w:lang w:val="es-ES" w:eastAsia="es-ES"/>
              </w:rPr>
              <w:t>Total Activo</w:t>
            </w:r>
          </w:p>
        </w:tc>
        <w:tc>
          <w:tcPr>
            <w:tcW w:w="470" w:type="pct"/>
            <w:shd w:val="clear" w:color="000000" w:fill="FABF8F"/>
            <w:vAlign w:val="center"/>
            <w:hideMark/>
          </w:tcPr>
          <w:p w:rsidR="00B92F9D" w:rsidRPr="00B92F9D" w:rsidRDefault="00B92F9D" w:rsidP="00B92F9D">
            <w:pPr>
              <w:spacing w:after="0"/>
              <w:ind w:firstLine="0"/>
              <w:jc w:val="right"/>
              <w:rPr>
                <w:rFonts w:ascii="Arial Narrow" w:hAnsi="Arial Narrow"/>
                <w:b/>
                <w:bCs/>
                <w:color w:val="000000"/>
                <w:sz w:val="18"/>
                <w:szCs w:val="18"/>
                <w:lang w:val="es-ES" w:eastAsia="es-ES"/>
              </w:rPr>
            </w:pPr>
            <w:r w:rsidRPr="00B92F9D">
              <w:rPr>
                <w:rFonts w:ascii="Arial Narrow" w:hAnsi="Arial Narrow"/>
                <w:b/>
                <w:bCs/>
                <w:color w:val="000000"/>
                <w:sz w:val="18"/>
                <w:szCs w:val="18"/>
                <w:lang w:val="es-ES" w:eastAsia="es-ES"/>
              </w:rPr>
              <w:t>81.708.813</w:t>
            </w:r>
          </w:p>
        </w:tc>
        <w:tc>
          <w:tcPr>
            <w:tcW w:w="470" w:type="pct"/>
            <w:tcBorders>
              <w:right w:val="single" w:sz="2" w:space="0" w:color="auto"/>
            </w:tcBorders>
            <w:shd w:val="clear" w:color="000000" w:fill="FABF8F"/>
            <w:vAlign w:val="center"/>
            <w:hideMark/>
          </w:tcPr>
          <w:p w:rsidR="00B92F9D" w:rsidRPr="00B92F9D" w:rsidRDefault="00B92F9D" w:rsidP="00B92F9D">
            <w:pPr>
              <w:spacing w:after="0"/>
              <w:ind w:firstLine="0"/>
              <w:jc w:val="right"/>
              <w:rPr>
                <w:rFonts w:ascii="Arial Narrow" w:hAnsi="Arial Narrow"/>
                <w:b/>
                <w:bCs/>
                <w:color w:val="000000"/>
                <w:sz w:val="18"/>
                <w:szCs w:val="18"/>
                <w:lang w:val="es-ES" w:eastAsia="es-ES"/>
              </w:rPr>
            </w:pPr>
            <w:r w:rsidRPr="00B92F9D">
              <w:rPr>
                <w:rFonts w:ascii="Arial Narrow" w:hAnsi="Arial Narrow"/>
                <w:b/>
                <w:bCs/>
                <w:color w:val="000000"/>
                <w:sz w:val="18"/>
                <w:szCs w:val="18"/>
                <w:lang w:val="es-ES" w:eastAsia="es-ES"/>
              </w:rPr>
              <w:t>82.232.410</w:t>
            </w:r>
          </w:p>
        </w:tc>
        <w:tc>
          <w:tcPr>
            <w:tcW w:w="172" w:type="pct"/>
            <w:tcBorders>
              <w:left w:val="single" w:sz="2" w:space="0" w:color="auto"/>
            </w:tcBorders>
            <w:shd w:val="clear" w:color="000000" w:fill="FABF8F"/>
            <w:vAlign w:val="center"/>
            <w:hideMark/>
          </w:tcPr>
          <w:p w:rsidR="00B92F9D" w:rsidRPr="00B92F9D" w:rsidRDefault="00B92F9D" w:rsidP="00B92F9D">
            <w:pPr>
              <w:spacing w:after="0"/>
              <w:ind w:firstLine="0"/>
              <w:jc w:val="center"/>
              <w:rPr>
                <w:rFonts w:ascii="Arial" w:hAnsi="Arial" w:cs="Arial"/>
                <w:b/>
                <w:bCs/>
                <w:color w:val="000000"/>
                <w:sz w:val="18"/>
                <w:szCs w:val="18"/>
                <w:lang w:val="es-ES" w:eastAsia="es-ES"/>
              </w:rPr>
            </w:pPr>
            <w:r w:rsidRPr="00B92F9D">
              <w:rPr>
                <w:rFonts w:ascii="Arial" w:hAnsi="Arial" w:cs="Arial"/>
                <w:b/>
                <w:bCs/>
                <w:color w:val="000000"/>
                <w:sz w:val="18"/>
                <w:szCs w:val="18"/>
                <w:lang w:val="es-ES" w:eastAsia="es-ES"/>
              </w:rPr>
              <w:t> </w:t>
            </w:r>
          </w:p>
        </w:tc>
        <w:tc>
          <w:tcPr>
            <w:tcW w:w="1402" w:type="pct"/>
            <w:shd w:val="clear" w:color="000000" w:fill="FABF8F"/>
            <w:vAlign w:val="center"/>
            <w:hideMark/>
          </w:tcPr>
          <w:p w:rsidR="00B92F9D" w:rsidRPr="00B92F9D" w:rsidRDefault="00B92F9D" w:rsidP="00B92F9D">
            <w:pPr>
              <w:spacing w:after="0"/>
              <w:ind w:firstLine="0"/>
              <w:jc w:val="left"/>
              <w:rPr>
                <w:rFonts w:ascii="Arial" w:hAnsi="Arial" w:cs="Arial"/>
                <w:b/>
                <w:bCs/>
                <w:color w:val="000000"/>
                <w:sz w:val="18"/>
                <w:szCs w:val="18"/>
                <w:lang w:val="es-ES" w:eastAsia="es-ES"/>
              </w:rPr>
            </w:pPr>
            <w:r w:rsidRPr="00B92F9D">
              <w:rPr>
                <w:rFonts w:ascii="Arial" w:hAnsi="Arial" w:cs="Arial"/>
                <w:b/>
                <w:bCs/>
                <w:color w:val="000000"/>
                <w:sz w:val="18"/>
                <w:szCs w:val="18"/>
                <w:lang w:val="es-ES" w:eastAsia="es-ES"/>
              </w:rPr>
              <w:t>Total Pasivo</w:t>
            </w:r>
          </w:p>
        </w:tc>
        <w:tc>
          <w:tcPr>
            <w:tcW w:w="485" w:type="pct"/>
            <w:shd w:val="clear" w:color="000000" w:fill="FABF8F"/>
            <w:vAlign w:val="center"/>
            <w:hideMark/>
          </w:tcPr>
          <w:p w:rsidR="00B92F9D" w:rsidRPr="00B92F9D" w:rsidRDefault="00B92F9D" w:rsidP="00B92F9D">
            <w:pPr>
              <w:spacing w:after="0"/>
              <w:ind w:firstLine="0"/>
              <w:jc w:val="right"/>
              <w:rPr>
                <w:rFonts w:ascii="Arial Narrow" w:hAnsi="Arial Narrow"/>
                <w:b/>
                <w:bCs/>
                <w:color w:val="000000"/>
                <w:sz w:val="18"/>
                <w:szCs w:val="18"/>
                <w:lang w:val="es-ES" w:eastAsia="es-ES"/>
              </w:rPr>
            </w:pPr>
            <w:r w:rsidRPr="00B92F9D">
              <w:rPr>
                <w:rFonts w:ascii="Arial Narrow" w:hAnsi="Arial Narrow"/>
                <w:b/>
                <w:bCs/>
                <w:color w:val="000000"/>
                <w:sz w:val="18"/>
                <w:szCs w:val="18"/>
                <w:lang w:val="es-ES" w:eastAsia="es-ES"/>
              </w:rPr>
              <w:t>81.708.813</w:t>
            </w:r>
          </w:p>
        </w:tc>
        <w:tc>
          <w:tcPr>
            <w:tcW w:w="505" w:type="pct"/>
            <w:shd w:val="clear" w:color="000000" w:fill="FABF8F"/>
            <w:vAlign w:val="center"/>
            <w:hideMark/>
          </w:tcPr>
          <w:p w:rsidR="00B92F9D" w:rsidRPr="00B92F9D" w:rsidRDefault="00B92F9D" w:rsidP="00B92F9D">
            <w:pPr>
              <w:spacing w:after="0"/>
              <w:ind w:firstLine="0"/>
              <w:jc w:val="right"/>
              <w:rPr>
                <w:rFonts w:ascii="Arial Narrow" w:hAnsi="Arial Narrow"/>
                <w:b/>
                <w:bCs/>
                <w:color w:val="000000"/>
                <w:sz w:val="18"/>
                <w:szCs w:val="18"/>
                <w:lang w:val="es-ES" w:eastAsia="es-ES"/>
              </w:rPr>
            </w:pPr>
            <w:r w:rsidRPr="00B92F9D">
              <w:rPr>
                <w:rFonts w:ascii="Arial Narrow" w:hAnsi="Arial Narrow"/>
                <w:b/>
                <w:bCs/>
                <w:color w:val="000000"/>
                <w:sz w:val="18"/>
                <w:szCs w:val="18"/>
                <w:lang w:val="es-ES" w:eastAsia="es-ES"/>
              </w:rPr>
              <w:t>82.232.410</w:t>
            </w:r>
          </w:p>
        </w:tc>
      </w:tr>
    </w:tbl>
    <w:p w:rsidR="00B92F9D" w:rsidRPr="0076284B" w:rsidRDefault="00B92F9D" w:rsidP="00B92F9D">
      <w:pPr>
        <w:spacing w:before="60" w:after="0"/>
        <w:ind w:firstLine="0"/>
        <w:rPr>
          <w:rFonts w:ascii="Arial Narrow" w:hAnsi="Arial Narrow" w:cs="Arial"/>
          <w:sz w:val="16"/>
          <w:szCs w:val="16"/>
        </w:rPr>
      </w:pPr>
      <w:r w:rsidRPr="00690D3D">
        <w:rPr>
          <w:i/>
          <w:szCs w:val="24"/>
        </w:rPr>
        <w:t xml:space="preserve">* </w:t>
      </w:r>
      <w:r w:rsidRPr="0076284B">
        <w:rPr>
          <w:rFonts w:ascii="Arial Narrow" w:hAnsi="Arial Narrow" w:cs="Arial"/>
          <w:sz w:val="16"/>
          <w:szCs w:val="16"/>
        </w:rPr>
        <w:t>Ejercicio no auditado</w:t>
      </w:r>
    </w:p>
    <w:p w:rsidR="00B92F9D" w:rsidRDefault="00B92F9D" w:rsidP="000F5D32">
      <w:pPr>
        <w:pStyle w:val="atitulo2"/>
        <w:spacing w:after="160"/>
        <w:rPr>
          <w:rFonts w:ascii="Times New Roman" w:eastAsia="Arial" w:hAnsi="Times New Roman"/>
          <w:spacing w:val="0"/>
          <w:szCs w:val="25"/>
        </w:rPr>
      </w:pPr>
    </w:p>
    <w:p w:rsidR="00B92F9D" w:rsidRDefault="00B92F9D" w:rsidP="000F5D32">
      <w:pPr>
        <w:pStyle w:val="atitulo2"/>
        <w:spacing w:after="160"/>
        <w:rPr>
          <w:rFonts w:ascii="Times New Roman" w:eastAsia="Arial" w:hAnsi="Times New Roman"/>
          <w:spacing w:val="0"/>
          <w:szCs w:val="25"/>
        </w:rPr>
      </w:pPr>
    </w:p>
    <w:p w:rsidR="00B92F9D" w:rsidRDefault="00B92F9D" w:rsidP="000F5D32">
      <w:pPr>
        <w:pStyle w:val="atitulo2"/>
        <w:spacing w:after="160"/>
        <w:rPr>
          <w:rFonts w:ascii="Times New Roman" w:eastAsia="Arial" w:hAnsi="Times New Roman"/>
          <w:spacing w:val="0"/>
          <w:szCs w:val="25"/>
        </w:rPr>
      </w:pPr>
    </w:p>
    <w:p w:rsidR="00B92F9D" w:rsidRDefault="00B92F9D" w:rsidP="000F5D32">
      <w:pPr>
        <w:pStyle w:val="atitulo2"/>
        <w:spacing w:after="160"/>
        <w:rPr>
          <w:rFonts w:ascii="Times New Roman" w:eastAsia="Arial" w:hAnsi="Times New Roman"/>
          <w:spacing w:val="0"/>
          <w:szCs w:val="25"/>
        </w:rPr>
      </w:pPr>
    </w:p>
    <w:p w:rsidR="00B92F9D" w:rsidRDefault="00B92F9D" w:rsidP="000F5D32">
      <w:pPr>
        <w:pStyle w:val="atitulo2"/>
        <w:spacing w:after="160"/>
        <w:rPr>
          <w:rFonts w:ascii="Times New Roman" w:eastAsia="Arial" w:hAnsi="Times New Roman"/>
          <w:spacing w:val="0"/>
          <w:szCs w:val="25"/>
        </w:rPr>
      </w:pPr>
    </w:p>
    <w:p w:rsidR="00B92F9D" w:rsidRPr="00CB2DA8" w:rsidRDefault="00B92F9D" w:rsidP="000F5D32">
      <w:pPr>
        <w:pStyle w:val="atitulo2"/>
        <w:spacing w:after="160"/>
        <w:rPr>
          <w:rFonts w:ascii="Times New Roman" w:eastAsia="Arial" w:hAnsi="Times New Roman"/>
          <w:spacing w:val="0"/>
          <w:szCs w:val="25"/>
        </w:rPr>
      </w:pPr>
    </w:p>
    <w:p w:rsidR="00C20CF1" w:rsidRPr="007B7455" w:rsidRDefault="00C20CF1" w:rsidP="007B7455">
      <w:pPr>
        <w:pStyle w:val="CuadroTtulo"/>
        <w:spacing w:before="200" w:after="240"/>
        <w:jc w:val="center"/>
      </w:pPr>
    </w:p>
    <w:p w:rsidR="006C592F" w:rsidRDefault="006C592F" w:rsidP="0094579E">
      <w:pPr>
        <w:pStyle w:val="texto"/>
        <w:spacing w:after="60"/>
        <w:ind w:right="-284" w:hanging="28"/>
        <w:jc w:val="center"/>
        <w:rPr>
          <w:rFonts w:ascii="Arial (W1)" w:eastAsia="Arial" w:hAnsi="Arial (W1)" w:cs="Arial"/>
          <w:sz w:val="20"/>
          <w:szCs w:val="20"/>
        </w:rPr>
      </w:pPr>
    </w:p>
    <w:p w:rsidR="003344F9" w:rsidRDefault="003344F9" w:rsidP="000F284A">
      <w:pPr>
        <w:pStyle w:val="texto"/>
        <w:spacing w:after="60"/>
        <w:ind w:right="-284" w:hanging="28"/>
        <w:rPr>
          <w:rFonts w:ascii="Arial (W1)" w:eastAsia="Arial" w:hAnsi="Arial (W1)" w:cs="Arial"/>
          <w:sz w:val="16"/>
          <w:szCs w:val="20"/>
        </w:rPr>
      </w:pPr>
      <w:r>
        <w:rPr>
          <w:rFonts w:ascii="Arial (W1)" w:eastAsia="Arial" w:hAnsi="Arial (W1)" w:cs="Arial"/>
          <w:sz w:val="20"/>
          <w:szCs w:val="20"/>
        </w:rPr>
        <w:tab/>
      </w:r>
      <w:r w:rsidRPr="00E26328">
        <w:rPr>
          <w:rFonts w:ascii="Arial (W1)" w:eastAsia="Arial" w:hAnsi="Arial (W1)" w:cs="Arial"/>
          <w:sz w:val="16"/>
          <w:szCs w:val="20"/>
        </w:rPr>
        <w:t xml:space="preserve">                        </w:t>
      </w:r>
      <w:r>
        <w:rPr>
          <w:rFonts w:ascii="Arial (W1)" w:eastAsia="Arial" w:hAnsi="Arial (W1)" w:cs="Arial"/>
          <w:sz w:val="16"/>
          <w:szCs w:val="20"/>
        </w:rPr>
        <w:t xml:space="preserve">      </w:t>
      </w:r>
      <w:r w:rsidRPr="00E26328">
        <w:rPr>
          <w:rFonts w:ascii="Arial (W1)" w:eastAsia="Arial" w:hAnsi="Arial (W1)" w:cs="Arial"/>
          <w:sz w:val="16"/>
          <w:szCs w:val="20"/>
        </w:rPr>
        <w:t xml:space="preserve">   </w:t>
      </w:r>
      <w:r w:rsidR="000F284A">
        <w:rPr>
          <w:rFonts w:ascii="Arial (W1)" w:eastAsia="Arial" w:hAnsi="Arial (W1)" w:cs="Arial"/>
          <w:sz w:val="16"/>
          <w:szCs w:val="20"/>
        </w:rPr>
        <w:t xml:space="preserve">    </w:t>
      </w:r>
      <w:r w:rsidRPr="00E26328">
        <w:rPr>
          <w:rFonts w:ascii="Arial (W1)" w:eastAsia="Arial" w:hAnsi="Arial (W1)" w:cs="Arial"/>
          <w:sz w:val="16"/>
          <w:szCs w:val="20"/>
        </w:rPr>
        <w:t xml:space="preserve"> </w:t>
      </w:r>
    </w:p>
    <w:p w:rsidR="00AF6B53" w:rsidRDefault="00AF6B53">
      <w:pPr>
        <w:spacing w:after="0"/>
        <w:ind w:firstLine="0"/>
        <w:jc w:val="left"/>
        <w:rPr>
          <w:rFonts w:ascii="Arial (W1)" w:eastAsia="Arial" w:hAnsi="Arial (W1)" w:cs="Arial"/>
          <w:spacing w:val="6"/>
          <w:sz w:val="16"/>
        </w:rPr>
      </w:pPr>
      <w:r>
        <w:rPr>
          <w:rFonts w:ascii="Arial (W1)" w:eastAsia="Arial" w:hAnsi="Arial (W1)" w:cs="Arial"/>
          <w:sz w:val="16"/>
        </w:rPr>
        <w:br w:type="page"/>
      </w:r>
    </w:p>
    <w:p w:rsidR="004B2234" w:rsidRPr="003B43B0" w:rsidRDefault="004B2234" w:rsidP="004B2234">
      <w:pPr>
        <w:pStyle w:val="atitulo2"/>
        <w:spacing w:after="160"/>
        <w:rPr>
          <w:rFonts w:eastAsia="Arial"/>
          <w:spacing w:val="2"/>
        </w:rPr>
      </w:pPr>
      <w:bookmarkStart w:id="64" w:name="_Toc50018583"/>
      <w:proofErr w:type="spellStart"/>
      <w:r w:rsidRPr="00B92F9D">
        <w:rPr>
          <w:rFonts w:eastAsia="Arial"/>
          <w:spacing w:val="2"/>
        </w:rPr>
        <w:lastRenderedPageBreak/>
        <w:t>V.5</w:t>
      </w:r>
      <w:proofErr w:type="spellEnd"/>
      <w:r w:rsidRPr="00B92F9D">
        <w:rPr>
          <w:rFonts w:eastAsia="Arial"/>
          <w:spacing w:val="2"/>
        </w:rPr>
        <w:t>. Cuenta de resultados</w:t>
      </w:r>
      <w:bookmarkEnd w:id="64"/>
    </w:p>
    <w:p w:rsidR="009F0368" w:rsidRPr="003B43B0" w:rsidRDefault="009F0368" w:rsidP="0067725A">
      <w:pPr>
        <w:spacing w:after="0"/>
        <w:ind w:firstLine="0"/>
        <w:jc w:val="left"/>
        <w:rPr>
          <w:rFonts w:ascii="Arial" w:hAnsi="Arial" w:cs="Arial"/>
          <w:sz w:val="24"/>
          <w:szCs w:val="24"/>
        </w:rPr>
      </w:pPr>
    </w:p>
    <w:p w:rsidR="009F0368" w:rsidRDefault="009F0368" w:rsidP="007B7455">
      <w:pPr>
        <w:spacing w:after="0"/>
        <w:ind w:firstLine="0"/>
        <w:jc w:val="center"/>
        <w:rPr>
          <w:rFonts w:ascii="Arial" w:hAnsi="Arial" w:cs="Arial"/>
        </w:rPr>
      </w:pPr>
      <w:r w:rsidRPr="007B7455">
        <w:rPr>
          <w:rFonts w:ascii="Arial" w:hAnsi="Arial" w:cs="Arial"/>
        </w:rPr>
        <w:t>Resultados corrientes del ejercicio</w:t>
      </w:r>
      <w:r w:rsidR="00E416A2" w:rsidRPr="007B7455">
        <w:rPr>
          <w:rFonts w:ascii="Arial" w:hAnsi="Arial" w:cs="Arial"/>
        </w:rPr>
        <w:t xml:space="preserve"> </w:t>
      </w:r>
    </w:p>
    <w:p w:rsidR="00B92F9D" w:rsidRDefault="00B92F9D" w:rsidP="007B7455">
      <w:pPr>
        <w:spacing w:after="0"/>
        <w:ind w:firstLine="0"/>
        <w:jc w:val="center"/>
        <w:rPr>
          <w:rFonts w:ascii="Arial" w:hAnsi="Arial" w:cs="Arial"/>
        </w:rPr>
      </w:pPr>
    </w:p>
    <w:tbl>
      <w:tblPr>
        <w:tblW w:w="5000" w:type="pct"/>
        <w:tblCellMar>
          <w:left w:w="70" w:type="dxa"/>
          <w:right w:w="70" w:type="dxa"/>
        </w:tblCellMar>
        <w:tblLook w:val="04A0" w:firstRow="1" w:lastRow="0" w:firstColumn="1" w:lastColumn="0" w:noHBand="0" w:noVBand="1"/>
      </w:tblPr>
      <w:tblGrid>
        <w:gridCol w:w="387"/>
        <w:gridCol w:w="2095"/>
        <w:gridCol w:w="1041"/>
        <w:gridCol w:w="1041"/>
        <w:gridCol w:w="326"/>
        <w:gridCol w:w="62"/>
        <w:gridCol w:w="2320"/>
        <w:gridCol w:w="1041"/>
        <w:gridCol w:w="1041"/>
      </w:tblGrid>
      <w:tr w:rsidR="00B92F9D" w:rsidRPr="00B92F9D" w:rsidTr="00F557DF">
        <w:trPr>
          <w:trHeight w:val="300"/>
        </w:trPr>
        <w:tc>
          <w:tcPr>
            <w:tcW w:w="207" w:type="pct"/>
            <w:tcBorders>
              <w:top w:val="single" w:sz="4" w:space="0" w:color="auto"/>
              <w:left w:val="nil"/>
              <w:bottom w:val="single" w:sz="4" w:space="0" w:color="auto"/>
              <w:right w:val="nil"/>
            </w:tcBorders>
            <w:shd w:val="clear" w:color="000000" w:fill="FABF8F"/>
            <w:noWrap/>
            <w:vAlign w:val="center"/>
            <w:hideMark/>
          </w:tcPr>
          <w:p w:rsidR="00B92F9D" w:rsidRPr="00B92F9D" w:rsidRDefault="00B92F9D" w:rsidP="00B92F9D">
            <w:pPr>
              <w:spacing w:after="0"/>
              <w:ind w:firstLine="0"/>
              <w:jc w:val="center"/>
              <w:rPr>
                <w:rFonts w:ascii="Arial" w:hAnsi="Arial" w:cs="Arial"/>
                <w:color w:val="000000"/>
                <w:sz w:val="18"/>
                <w:szCs w:val="18"/>
                <w:lang w:val="es-ES" w:eastAsia="es-ES"/>
              </w:rPr>
            </w:pPr>
            <w:r w:rsidRPr="00B92F9D">
              <w:rPr>
                <w:rFonts w:ascii="Arial" w:hAnsi="Arial" w:cs="Arial"/>
                <w:color w:val="000000"/>
                <w:sz w:val="18"/>
                <w:szCs w:val="18"/>
                <w:lang w:val="es-ES" w:eastAsia="es-ES"/>
              </w:rPr>
              <w:t> </w:t>
            </w:r>
          </w:p>
        </w:tc>
        <w:tc>
          <w:tcPr>
            <w:tcW w:w="1120" w:type="pct"/>
            <w:tcBorders>
              <w:top w:val="single" w:sz="4" w:space="0" w:color="auto"/>
              <w:left w:val="nil"/>
              <w:bottom w:val="single" w:sz="4" w:space="0" w:color="auto"/>
              <w:right w:val="nil"/>
            </w:tcBorders>
            <w:shd w:val="clear" w:color="000000" w:fill="FABF8F"/>
            <w:noWrap/>
            <w:vAlign w:val="center"/>
            <w:hideMark/>
          </w:tcPr>
          <w:p w:rsidR="00B92F9D" w:rsidRPr="00B92F9D" w:rsidRDefault="00B92F9D" w:rsidP="00B92F9D">
            <w:pPr>
              <w:spacing w:after="0"/>
              <w:ind w:firstLine="0"/>
              <w:jc w:val="left"/>
              <w:rPr>
                <w:rFonts w:ascii="Arial" w:hAnsi="Arial" w:cs="Arial"/>
                <w:color w:val="000000"/>
                <w:sz w:val="18"/>
                <w:szCs w:val="18"/>
                <w:lang w:val="es-ES" w:eastAsia="es-ES"/>
              </w:rPr>
            </w:pPr>
            <w:r w:rsidRPr="00B92F9D">
              <w:rPr>
                <w:rFonts w:ascii="Arial" w:hAnsi="Arial" w:cs="Arial"/>
                <w:color w:val="000000"/>
                <w:sz w:val="18"/>
                <w:szCs w:val="18"/>
                <w:lang w:val="es-ES" w:eastAsia="es-ES"/>
              </w:rPr>
              <w:t>Debe</w:t>
            </w:r>
          </w:p>
        </w:tc>
        <w:tc>
          <w:tcPr>
            <w:tcW w:w="556" w:type="pct"/>
            <w:tcBorders>
              <w:top w:val="single" w:sz="4" w:space="0" w:color="auto"/>
              <w:left w:val="nil"/>
              <w:bottom w:val="single" w:sz="4" w:space="0" w:color="auto"/>
              <w:right w:val="nil"/>
            </w:tcBorders>
            <w:shd w:val="clear" w:color="000000" w:fill="FABF8F"/>
            <w:noWrap/>
            <w:vAlign w:val="center"/>
            <w:hideMark/>
          </w:tcPr>
          <w:p w:rsidR="00B92F9D" w:rsidRPr="00B92F9D" w:rsidRDefault="00B92F9D" w:rsidP="00F557DF">
            <w:pPr>
              <w:spacing w:after="0"/>
              <w:ind w:firstLine="0"/>
              <w:jc w:val="right"/>
              <w:rPr>
                <w:rFonts w:ascii="Arial" w:hAnsi="Arial" w:cs="Arial"/>
                <w:color w:val="000000"/>
                <w:sz w:val="18"/>
                <w:szCs w:val="18"/>
                <w:lang w:val="es-ES" w:eastAsia="es-ES"/>
              </w:rPr>
            </w:pPr>
            <w:r w:rsidRPr="00B92F9D">
              <w:rPr>
                <w:rFonts w:ascii="Arial" w:hAnsi="Arial" w:cs="Arial"/>
                <w:color w:val="000000"/>
                <w:sz w:val="18"/>
                <w:szCs w:val="18"/>
                <w:lang w:val="es-ES" w:eastAsia="es-ES"/>
              </w:rPr>
              <w:t>2018*</w:t>
            </w:r>
          </w:p>
        </w:tc>
        <w:tc>
          <w:tcPr>
            <w:tcW w:w="556" w:type="pct"/>
            <w:tcBorders>
              <w:top w:val="single" w:sz="4" w:space="0" w:color="auto"/>
              <w:left w:val="nil"/>
              <w:bottom w:val="single" w:sz="4" w:space="0" w:color="auto"/>
              <w:right w:val="nil"/>
            </w:tcBorders>
            <w:shd w:val="clear" w:color="000000" w:fill="FABF8F"/>
            <w:noWrap/>
            <w:vAlign w:val="center"/>
            <w:hideMark/>
          </w:tcPr>
          <w:p w:rsidR="00B92F9D" w:rsidRPr="00B92F9D" w:rsidRDefault="00B92F9D" w:rsidP="00F557DF">
            <w:pPr>
              <w:spacing w:after="0"/>
              <w:ind w:firstLine="0"/>
              <w:jc w:val="right"/>
              <w:rPr>
                <w:rFonts w:ascii="Arial" w:hAnsi="Arial" w:cs="Arial"/>
                <w:color w:val="000000"/>
                <w:sz w:val="18"/>
                <w:szCs w:val="18"/>
                <w:lang w:val="es-ES" w:eastAsia="es-ES"/>
              </w:rPr>
            </w:pPr>
            <w:r w:rsidRPr="00B92F9D">
              <w:rPr>
                <w:rFonts w:ascii="Arial" w:hAnsi="Arial" w:cs="Arial"/>
                <w:color w:val="000000"/>
                <w:sz w:val="18"/>
                <w:szCs w:val="18"/>
                <w:lang w:val="es-ES" w:eastAsia="es-ES"/>
              </w:rPr>
              <w:t>2019</w:t>
            </w:r>
          </w:p>
        </w:tc>
        <w:tc>
          <w:tcPr>
            <w:tcW w:w="174" w:type="pct"/>
            <w:tcBorders>
              <w:top w:val="single" w:sz="4" w:space="0" w:color="auto"/>
              <w:left w:val="single" w:sz="4" w:space="0" w:color="auto"/>
              <w:bottom w:val="single" w:sz="4" w:space="0" w:color="auto"/>
              <w:right w:val="nil"/>
            </w:tcBorders>
            <w:shd w:val="clear" w:color="000000" w:fill="FABF8F"/>
            <w:noWrap/>
            <w:vAlign w:val="center"/>
            <w:hideMark/>
          </w:tcPr>
          <w:p w:rsidR="00B92F9D" w:rsidRPr="00B92F9D" w:rsidRDefault="00B92F9D" w:rsidP="00B92F9D">
            <w:pPr>
              <w:spacing w:after="0"/>
              <w:ind w:firstLine="0"/>
              <w:jc w:val="center"/>
              <w:rPr>
                <w:rFonts w:ascii="Arial" w:hAnsi="Arial" w:cs="Arial"/>
                <w:color w:val="000000"/>
                <w:sz w:val="18"/>
                <w:szCs w:val="18"/>
                <w:lang w:val="es-ES" w:eastAsia="es-ES"/>
              </w:rPr>
            </w:pPr>
            <w:r w:rsidRPr="00B92F9D">
              <w:rPr>
                <w:rFonts w:ascii="Arial" w:hAnsi="Arial" w:cs="Arial"/>
                <w:color w:val="000000"/>
                <w:sz w:val="18"/>
                <w:szCs w:val="18"/>
                <w:lang w:val="es-ES" w:eastAsia="es-ES"/>
              </w:rPr>
              <w:t> </w:t>
            </w:r>
          </w:p>
        </w:tc>
        <w:tc>
          <w:tcPr>
            <w:tcW w:w="1273" w:type="pct"/>
            <w:gridSpan w:val="2"/>
            <w:tcBorders>
              <w:top w:val="single" w:sz="4" w:space="0" w:color="auto"/>
              <w:left w:val="nil"/>
              <w:bottom w:val="single" w:sz="4" w:space="0" w:color="auto"/>
              <w:right w:val="nil"/>
            </w:tcBorders>
            <w:shd w:val="clear" w:color="000000" w:fill="FABF8F"/>
            <w:noWrap/>
            <w:vAlign w:val="center"/>
            <w:hideMark/>
          </w:tcPr>
          <w:p w:rsidR="00B92F9D" w:rsidRPr="00B92F9D" w:rsidRDefault="00B92F9D" w:rsidP="00B92F9D">
            <w:pPr>
              <w:spacing w:after="0"/>
              <w:ind w:firstLine="0"/>
              <w:rPr>
                <w:rFonts w:ascii="Arial" w:hAnsi="Arial" w:cs="Arial"/>
                <w:color w:val="000000"/>
                <w:sz w:val="18"/>
                <w:szCs w:val="18"/>
                <w:lang w:val="es-ES" w:eastAsia="es-ES"/>
              </w:rPr>
            </w:pPr>
            <w:r w:rsidRPr="00B92F9D">
              <w:rPr>
                <w:rFonts w:ascii="Arial" w:hAnsi="Arial" w:cs="Arial"/>
                <w:color w:val="000000"/>
                <w:sz w:val="18"/>
                <w:szCs w:val="18"/>
                <w:lang w:val="es-ES" w:eastAsia="es-ES"/>
              </w:rPr>
              <w:t>Haber</w:t>
            </w:r>
          </w:p>
        </w:tc>
        <w:tc>
          <w:tcPr>
            <w:tcW w:w="556" w:type="pct"/>
            <w:tcBorders>
              <w:top w:val="single" w:sz="4" w:space="0" w:color="auto"/>
              <w:left w:val="nil"/>
              <w:bottom w:val="single" w:sz="4" w:space="0" w:color="auto"/>
              <w:right w:val="nil"/>
            </w:tcBorders>
            <w:shd w:val="clear" w:color="000000" w:fill="FABF8F"/>
            <w:noWrap/>
            <w:vAlign w:val="center"/>
            <w:hideMark/>
          </w:tcPr>
          <w:p w:rsidR="00B92F9D" w:rsidRPr="00B92F9D" w:rsidRDefault="00B92F9D" w:rsidP="00B92F9D">
            <w:pPr>
              <w:spacing w:after="0"/>
              <w:ind w:firstLine="0"/>
              <w:jc w:val="right"/>
              <w:rPr>
                <w:rFonts w:ascii="Arial" w:hAnsi="Arial" w:cs="Arial"/>
                <w:color w:val="000000"/>
                <w:sz w:val="18"/>
                <w:szCs w:val="18"/>
                <w:lang w:val="es-ES" w:eastAsia="es-ES"/>
              </w:rPr>
            </w:pPr>
            <w:r w:rsidRPr="00B92F9D">
              <w:rPr>
                <w:rFonts w:ascii="Arial" w:hAnsi="Arial" w:cs="Arial"/>
                <w:color w:val="000000"/>
                <w:sz w:val="18"/>
                <w:szCs w:val="18"/>
                <w:lang w:val="es-ES" w:eastAsia="es-ES"/>
              </w:rPr>
              <w:t>2018*</w:t>
            </w:r>
          </w:p>
        </w:tc>
        <w:tc>
          <w:tcPr>
            <w:tcW w:w="556" w:type="pct"/>
            <w:tcBorders>
              <w:top w:val="single" w:sz="4" w:space="0" w:color="auto"/>
              <w:left w:val="nil"/>
              <w:bottom w:val="single" w:sz="4" w:space="0" w:color="auto"/>
              <w:right w:val="nil"/>
            </w:tcBorders>
            <w:shd w:val="clear" w:color="000000" w:fill="FABF8F"/>
            <w:noWrap/>
            <w:vAlign w:val="center"/>
            <w:hideMark/>
          </w:tcPr>
          <w:p w:rsidR="00B92F9D" w:rsidRPr="00B92F9D" w:rsidRDefault="00B92F9D" w:rsidP="00B92F9D">
            <w:pPr>
              <w:spacing w:after="0"/>
              <w:ind w:firstLine="0"/>
              <w:jc w:val="right"/>
              <w:rPr>
                <w:rFonts w:ascii="Arial" w:hAnsi="Arial" w:cs="Arial"/>
                <w:color w:val="000000"/>
                <w:sz w:val="18"/>
                <w:szCs w:val="18"/>
                <w:lang w:val="es-ES" w:eastAsia="es-ES"/>
              </w:rPr>
            </w:pPr>
            <w:r w:rsidRPr="00B92F9D">
              <w:rPr>
                <w:rFonts w:ascii="Arial" w:hAnsi="Arial" w:cs="Arial"/>
                <w:color w:val="000000"/>
                <w:sz w:val="18"/>
                <w:szCs w:val="18"/>
                <w:lang w:val="es-ES" w:eastAsia="es-ES"/>
              </w:rPr>
              <w:t>2019</w:t>
            </w:r>
          </w:p>
        </w:tc>
      </w:tr>
      <w:tr w:rsidR="00B92F9D" w:rsidRPr="00B92F9D" w:rsidTr="00BC4A9E">
        <w:trPr>
          <w:trHeight w:val="285"/>
        </w:trPr>
        <w:tc>
          <w:tcPr>
            <w:tcW w:w="207"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center"/>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61</w:t>
            </w:r>
          </w:p>
        </w:tc>
        <w:tc>
          <w:tcPr>
            <w:tcW w:w="1120"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lef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Gastos personal</w:t>
            </w:r>
          </w:p>
        </w:tc>
        <w:tc>
          <w:tcPr>
            <w:tcW w:w="556"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5.440.627</w:t>
            </w:r>
          </w:p>
        </w:tc>
        <w:tc>
          <w:tcPr>
            <w:tcW w:w="556"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6.243.401</w:t>
            </w:r>
          </w:p>
        </w:tc>
        <w:tc>
          <w:tcPr>
            <w:tcW w:w="207" w:type="pct"/>
            <w:gridSpan w:val="2"/>
            <w:tcBorders>
              <w:top w:val="nil"/>
              <w:left w:val="single" w:sz="4" w:space="0" w:color="auto"/>
              <w:bottom w:val="single" w:sz="4" w:space="0" w:color="auto"/>
              <w:right w:val="nil"/>
            </w:tcBorders>
            <w:shd w:val="clear" w:color="auto" w:fill="auto"/>
            <w:vAlign w:val="center"/>
            <w:hideMark/>
          </w:tcPr>
          <w:p w:rsidR="00B92F9D" w:rsidRPr="00B92F9D" w:rsidRDefault="00B92F9D" w:rsidP="00B92F9D">
            <w:pPr>
              <w:spacing w:after="0"/>
              <w:ind w:firstLine="0"/>
              <w:jc w:val="center"/>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70</w:t>
            </w:r>
          </w:p>
        </w:tc>
        <w:tc>
          <w:tcPr>
            <w:tcW w:w="1240"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Ventas</w:t>
            </w:r>
          </w:p>
        </w:tc>
        <w:tc>
          <w:tcPr>
            <w:tcW w:w="556"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1.455.173</w:t>
            </w:r>
          </w:p>
        </w:tc>
        <w:tc>
          <w:tcPr>
            <w:tcW w:w="556"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1.433.934</w:t>
            </w:r>
          </w:p>
        </w:tc>
      </w:tr>
      <w:tr w:rsidR="00B92F9D" w:rsidRPr="00B92F9D" w:rsidTr="00BC4A9E">
        <w:trPr>
          <w:trHeight w:val="285"/>
        </w:trPr>
        <w:tc>
          <w:tcPr>
            <w:tcW w:w="207"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center"/>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62</w:t>
            </w:r>
          </w:p>
        </w:tc>
        <w:tc>
          <w:tcPr>
            <w:tcW w:w="1120"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lef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Gastos Financieros</w:t>
            </w:r>
          </w:p>
        </w:tc>
        <w:tc>
          <w:tcPr>
            <w:tcW w:w="556"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15</w:t>
            </w:r>
          </w:p>
        </w:tc>
        <w:tc>
          <w:tcPr>
            <w:tcW w:w="556"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0</w:t>
            </w:r>
          </w:p>
        </w:tc>
        <w:tc>
          <w:tcPr>
            <w:tcW w:w="207" w:type="pct"/>
            <w:gridSpan w:val="2"/>
            <w:tcBorders>
              <w:top w:val="nil"/>
              <w:left w:val="single" w:sz="4" w:space="0" w:color="auto"/>
              <w:bottom w:val="single" w:sz="4" w:space="0" w:color="auto"/>
              <w:right w:val="nil"/>
            </w:tcBorders>
            <w:shd w:val="clear" w:color="auto" w:fill="auto"/>
            <w:vAlign w:val="center"/>
            <w:hideMark/>
          </w:tcPr>
          <w:p w:rsidR="00B92F9D" w:rsidRPr="00B92F9D" w:rsidRDefault="00B92F9D" w:rsidP="00B92F9D">
            <w:pPr>
              <w:spacing w:after="0"/>
              <w:ind w:firstLine="0"/>
              <w:jc w:val="center"/>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71</w:t>
            </w:r>
          </w:p>
        </w:tc>
        <w:tc>
          <w:tcPr>
            <w:tcW w:w="1240" w:type="pct"/>
            <w:tcBorders>
              <w:top w:val="nil"/>
              <w:left w:val="nil"/>
              <w:bottom w:val="single" w:sz="4" w:space="0" w:color="auto"/>
              <w:right w:val="nil"/>
            </w:tcBorders>
            <w:shd w:val="clear" w:color="auto" w:fill="auto"/>
            <w:vAlign w:val="center"/>
            <w:hideMark/>
          </w:tcPr>
          <w:p w:rsidR="00B92F9D" w:rsidRPr="00B92F9D" w:rsidRDefault="00B92F9D" w:rsidP="00A53520">
            <w:pPr>
              <w:spacing w:after="0"/>
              <w:ind w:firstLine="0"/>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Renta propiedad y empresa</w:t>
            </w:r>
          </w:p>
        </w:tc>
        <w:tc>
          <w:tcPr>
            <w:tcW w:w="556"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681.181</w:t>
            </w:r>
          </w:p>
        </w:tc>
        <w:tc>
          <w:tcPr>
            <w:tcW w:w="556"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1.355.038</w:t>
            </w:r>
          </w:p>
        </w:tc>
      </w:tr>
      <w:tr w:rsidR="00B92F9D" w:rsidRPr="00B92F9D" w:rsidTr="00BC4A9E">
        <w:trPr>
          <w:trHeight w:val="285"/>
        </w:trPr>
        <w:tc>
          <w:tcPr>
            <w:tcW w:w="207"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center"/>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63</w:t>
            </w:r>
          </w:p>
        </w:tc>
        <w:tc>
          <w:tcPr>
            <w:tcW w:w="1120"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lef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Tributos</w:t>
            </w:r>
          </w:p>
        </w:tc>
        <w:tc>
          <w:tcPr>
            <w:tcW w:w="556"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0</w:t>
            </w:r>
          </w:p>
        </w:tc>
        <w:tc>
          <w:tcPr>
            <w:tcW w:w="556"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0</w:t>
            </w:r>
          </w:p>
        </w:tc>
        <w:tc>
          <w:tcPr>
            <w:tcW w:w="207" w:type="pct"/>
            <w:gridSpan w:val="2"/>
            <w:tcBorders>
              <w:top w:val="nil"/>
              <w:left w:val="single" w:sz="4" w:space="0" w:color="auto"/>
              <w:bottom w:val="single" w:sz="4" w:space="0" w:color="auto"/>
              <w:right w:val="nil"/>
            </w:tcBorders>
            <w:shd w:val="clear" w:color="auto" w:fill="auto"/>
            <w:vAlign w:val="center"/>
            <w:hideMark/>
          </w:tcPr>
          <w:p w:rsidR="00B92F9D" w:rsidRPr="00B92F9D" w:rsidRDefault="00B92F9D" w:rsidP="00B92F9D">
            <w:pPr>
              <w:spacing w:after="0"/>
              <w:ind w:firstLine="0"/>
              <w:jc w:val="center"/>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72</w:t>
            </w:r>
          </w:p>
        </w:tc>
        <w:tc>
          <w:tcPr>
            <w:tcW w:w="1240" w:type="pct"/>
            <w:tcBorders>
              <w:top w:val="nil"/>
              <w:left w:val="nil"/>
              <w:bottom w:val="single" w:sz="4" w:space="0" w:color="auto"/>
              <w:right w:val="nil"/>
            </w:tcBorders>
            <w:shd w:val="clear" w:color="auto" w:fill="auto"/>
            <w:vAlign w:val="center"/>
            <w:hideMark/>
          </w:tcPr>
          <w:p w:rsidR="00B92F9D" w:rsidRPr="00B92F9D" w:rsidRDefault="00B92F9D" w:rsidP="00F557DF">
            <w:pPr>
              <w:spacing w:after="0"/>
              <w:ind w:firstLine="0"/>
              <w:rPr>
                <w:rFonts w:ascii="Arial Narrow" w:hAnsi="Arial Narrow"/>
                <w:color w:val="000000"/>
                <w:sz w:val="18"/>
                <w:szCs w:val="18"/>
                <w:lang w:val="es-ES" w:eastAsia="es-ES"/>
              </w:rPr>
            </w:pPr>
            <w:proofErr w:type="spellStart"/>
            <w:r w:rsidRPr="00B92F9D">
              <w:rPr>
                <w:rFonts w:ascii="Arial Narrow" w:hAnsi="Arial Narrow"/>
                <w:color w:val="000000"/>
                <w:sz w:val="18"/>
                <w:szCs w:val="18"/>
                <w:lang w:val="es-ES" w:eastAsia="es-ES"/>
              </w:rPr>
              <w:t>Tribut</w:t>
            </w:r>
            <w:proofErr w:type="spellEnd"/>
            <w:r w:rsidR="00A53520">
              <w:rPr>
                <w:rFonts w:ascii="Arial Narrow" w:hAnsi="Arial Narrow"/>
                <w:color w:val="000000"/>
                <w:sz w:val="18"/>
                <w:szCs w:val="18"/>
                <w:lang w:val="es-ES" w:eastAsia="es-ES"/>
              </w:rPr>
              <w:t>.</w:t>
            </w:r>
            <w:r w:rsidRPr="00B92F9D">
              <w:rPr>
                <w:rFonts w:ascii="Arial Narrow" w:hAnsi="Arial Narrow"/>
                <w:color w:val="000000"/>
                <w:sz w:val="18"/>
                <w:szCs w:val="18"/>
                <w:lang w:val="es-ES" w:eastAsia="es-ES"/>
              </w:rPr>
              <w:t xml:space="preserve"> </w:t>
            </w:r>
            <w:proofErr w:type="gramStart"/>
            <w:r w:rsidR="000E3A52">
              <w:rPr>
                <w:rFonts w:ascii="Arial Narrow" w:hAnsi="Arial Narrow"/>
                <w:color w:val="000000"/>
                <w:sz w:val="18"/>
                <w:szCs w:val="18"/>
                <w:lang w:val="es-ES" w:eastAsia="es-ES"/>
              </w:rPr>
              <w:t>l</w:t>
            </w:r>
            <w:r w:rsidRPr="00B92F9D">
              <w:rPr>
                <w:rFonts w:ascii="Arial Narrow" w:hAnsi="Arial Narrow"/>
                <w:color w:val="000000"/>
                <w:sz w:val="18"/>
                <w:szCs w:val="18"/>
                <w:lang w:val="es-ES" w:eastAsia="es-ES"/>
              </w:rPr>
              <w:t>igados</w:t>
            </w:r>
            <w:proofErr w:type="gramEnd"/>
            <w:r w:rsidR="000E3A52">
              <w:rPr>
                <w:rFonts w:ascii="Arial Narrow" w:hAnsi="Arial Narrow"/>
                <w:color w:val="000000"/>
                <w:sz w:val="18"/>
                <w:szCs w:val="18"/>
                <w:lang w:val="es-ES" w:eastAsia="es-ES"/>
              </w:rPr>
              <w:t xml:space="preserve"> </w:t>
            </w:r>
            <w:r w:rsidRPr="00B92F9D">
              <w:rPr>
                <w:rFonts w:ascii="Arial Narrow" w:hAnsi="Arial Narrow"/>
                <w:color w:val="000000"/>
                <w:sz w:val="18"/>
                <w:szCs w:val="18"/>
                <w:lang w:val="es-ES" w:eastAsia="es-ES"/>
              </w:rPr>
              <w:t>a</w:t>
            </w:r>
            <w:r w:rsidR="00A53520">
              <w:rPr>
                <w:rFonts w:ascii="Arial Narrow" w:hAnsi="Arial Narrow"/>
                <w:color w:val="000000"/>
                <w:sz w:val="18"/>
                <w:szCs w:val="18"/>
                <w:lang w:val="es-ES" w:eastAsia="es-ES"/>
              </w:rPr>
              <w:t xml:space="preserve"> </w:t>
            </w:r>
            <w:proofErr w:type="spellStart"/>
            <w:r w:rsidR="00F557DF">
              <w:rPr>
                <w:rFonts w:ascii="Arial Narrow" w:hAnsi="Arial Narrow"/>
                <w:color w:val="000000"/>
                <w:sz w:val="18"/>
                <w:szCs w:val="18"/>
                <w:lang w:val="es-ES" w:eastAsia="es-ES"/>
              </w:rPr>
              <w:t>prod</w:t>
            </w:r>
            <w:proofErr w:type="spellEnd"/>
            <w:r w:rsidR="00A53520">
              <w:rPr>
                <w:rFonts w:ascii="Arial Narrow" w:hAnsi="Arial Narrow"/>
                <w:color w:val="000000"/>
                <w:sz w:val="18"/>
                <w:szCs w:val="18"/>
                <w:lang w:val="es-ES" w:eastAsia="es-ES"/>
              </w:rPr>
              <w:t>.</w:t>
            </w:r>
            <w:r w:rsidRPr="00B92F9D">
              <w:rPr>
                <w:rFonts w:ascii="Arial Narrow" w:hAnsi="Arial Narrow"/>
                <w:color w:val="000000"/>
                <w:sz w:val="18"/>
                <w:szCs w:val="18"/>
                <w:lang w:val="es-ES" w:eastAsia="es-ES"/>
              </w:rPr>
              <w:t xml:space="preserve"> </w:t>
            </w:r>
            <w:proofErr w:type="gramStart"/>
            <w:r w:rsidRPr="00B92F9D">
              <w:rPr>
                <w:rFonts w:ascii="Arial Narrow" w:hAnsi="Arial Narrow"/>
                <w:color w:val="000000"/>
                <w:sz w:val="18"/>
                <w:szCs w:val="18"/>
                <w:lang w:val="es-ES" w:eastAsia="es-ES"/>
              </w:rPr>
              <w:t>e</w:t>
            </w:r>
            <w:proofErr w:type="gramEnd"/>
            <w:r w:rsidRPr="00B92F9D">
              <w:rPr>
                <w:rFonts w:ascii="Arial Narrow" w:hAnsi="Arial Narrow"/>
                <w:color w:val="000000"/>
                <w:sz w:val="18"/>
                <w:szCs w:val="18"/>
                <w:lang w:val="es-ES" w:eastAsia="es-ES"/>
              </w:rPr>
              <w:t xml:space="preserve"> </w:t>
            </w:r>
            <w:proofErr w:type="spellStart"/>
            <w:r w:rsidRPr="00B92F9D">
              <w:rPr>
                <w:rFonts w:ascii="Arial Narrow" w:hAnsi="Arial Narrow"/>
                <w:color w:val="000000"/>
                <w:sz w:val="18"/>
                <w:szCs w:val="18"/>
                <w:lang w:val="es-ES" w:eastAsia="es-ES"/>
              </w:rPr>
              <w:t>impor</w:t>
            </w:r>
            <w:proofErr w:type="spellEnd"/>
            <w:r w:rsidRPr="00B92F9D">
              <w:rPr>
                <w:rFonts w:ascii="Arial Narrow" w:hAnsi="Arial Narrow"/>
                <w:color w:val="000000"/>
                <w:sz w:val="18"/>
                <w:szCs w:val="18"/>
                <w:lang w:val="es-ES" w:eastAsia="es-ES"/>
              </w:rPr>
              <w:t>.</w:t>
            </w:r>
          </w:p>
        </w:tc>
        <w:tc>
          <w:tcPr>
            <w:tcW w:w="556"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4.845.001</w:t>
            </w:r>
          </w:p>
        </w:tc>
        <w:tc>
          <w:tcPr>
            <w:tcW w:w="556"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4.286.360</w:t>
            </w:r>
          </w:p>
        </w:tc>
      </w:tr>
      <w:tr w:rsidR="00B92F9D" w:rsidRPr="00B92F9D" w:rsidTr="00BC4A9E">
        <w:trPr>
          <w:trHeight w:val="285"/>
        </w:trPr>
        <w:tc>
          <w:tcPr>
            <w:tcW w:w="207"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center"/>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64</w:t>
            </w:r>
          </w:p>
        </w:tc>
        <w:tc>
          <w:tcPr>
            <w:tcW w:w="1120" w:type="pct"/>
            <w:tcBorders>
              <w:top w:val="nil"/>
              <w:left w:val="nil"/>
              <w:bottom w:val="single" w:sz="4" w:space="0" w:color="auto"/>
              <w:right w:val="nil"/>
            </w:tcBorders>
            <w:shd w:val="clear" w:color="auto" w:fill="auto"/>
            <w:vAlign w:val="center"/>
            <w:hideMark/>
          </w:tcPr>
          <w:p w:rsidR="00B92F9D" w:rsidRPr="00B92F9D" w:rsidRDefault="00B92F9D" w:rsidP="00A53520">
            <w:pPr>
              <w:spacing w:after="0"/>
              <w:ind w:firstLine="0"/>
              <w:jc w:val="lef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 xml:space="preserve">Trabajos, </w:t>
            </w:r>
            <w:proofErr w:type="spellStart"/>
            <w:r w:rsidRPr="00B92F9D">
              <w:rPr>
                <w:rFonts w:ascii="Arial Narrow" w:hAnsi="Arial Narrow"/>
                <w:color w:val="000000"/>
                <w:sz w:val="18"/>
                <w:szCs w:val="18"/>
                <w:lang w:val="es-ES" w:eastAsia="es-ES"/>
              </w:rPr>
              <w:t>sumini</w:t>
            </w:r>
            <w:proofErr w:type="spellEnd"/>
            <w:r w:rsidR="00A53520">
              <w:rPr>
                <w:rFonts w:ascii="Arial Narrow" w:hAnsi="Arial Narrow"/>
                <w:color w:val="000000"/>
                <w:sz w:val="18"/>
                <w:szCs w:val="18"/>
                <w:lang w:val="es-ES" w:eastAsia="es-ES"/>
              </w:rPr>
              <w:t>.</w:t>
            </w:r>
            <w:r w:rsidRPr="00B92F9D">
              <w:rPr>
                <w:rFonts w:ascii="Arial Narrow" w:hAnsi="Arial Narrow"/>
                <w:color w:val="000000"/>
                <w:sz w:val="18"/>
                <w:szCs w:val="18"/>
                <w:lang w:val="es-ES" w:eastAsia="es-ES"/>
              </w:rPr>
              <w:t xml:space="preserve"> </w:t>
            </w:r>
            <w:proofErr w:type="gramStart"/>
            <w:r w:rsidRPr="00B92F9D">
              <w:rPr>
                <w:rFonts w:ascii="Arial Narrow" w:hAnsi="Arial Narrow"/>
                <w:color w:val="000000"/>
                <w:sz w:val="18"/>
                <w:szCs w:val="18"/>
                <w:lang w:val="es-ES" w:eastAsia="es-ES"/>
              </w:rPr>
              <w:t>y</w:t>
            </w:r>
            <w:proofErr w:type="gramEnd"/>
            <w:r w:rsidRPr="00B92F9D">
              <w:rPr>
                <w:rFonts w:ascii="Arial Narrow" w:hAnsi="Arial Narrow"/>
                <w:color w:val="000000"/>
                <w:sz w:val="18"/>
                <w:szCs w:val="18"/>
                <w:lang w:val="es-ES" w:eastAsia="es-ES"/>
              </w:rPr>
              <w:t xml:space="preserve"> </w:t>
            </w:r>
            <w:proofErr w:type="spellStart"/>
            <w:r w:rsidRPr="00B92F9D">
              <w:rPr>
                <w:rFonts w:ascii="Arial Narrow" w:hAnsi="Arial Narrow"/>
                <w:color w:val="000000"/>
                <w:sz w:val="18"/>
                <w:szCs w:val="18"/>
                <w:lang w:val="es-ES" w:eastAsia="es-ES"/>
              </w:rPr>
              <w:t>serv</w:t>
            </w:r>
            <w:proofErr w:type="spellEnd"/>
            <w:r w:rsidRPr="00B92F9D">
              <w:rPr>
                <w:rFonts w:ascii="Arial Narrow" w:hAnsi="Arial Narrow"/>
                <w:color w:val="000000"/>
                <w:sz w:val="18"/>
                <w:szCs w:val="18"/>
                <w:lang w:val="es-ES" w:eastAsia="es-ES"/>
              </w:rPr>
              <w:t xml:space="preserve">. </w:t>
            </w:r>
            <w:proofErr w:type="gramStart"/>
            <w:r w:rsidRPr="00B92F9D">
              <w:rPr>
                <w:rFonts w:ascii="Arial Narrow" w:hAnsi="Arial Narrow"/>
                <w:color w:val="000000"/>
                <w:sz w:val="18"/>
                <w:szCs w:val="18"/>
                <w:lang w:val="es-ES" w:eastAsia="es-ES"/>
              </w:rPr>
              <w:t>ext</w:t>
            </w:r>
            <w:proofErr w:type="gramEnd"/>
            <w:r w:rsidRPr="00B92F9D">
              <w:rPr>
                <w:rFonts w:ascii="Arial Narrow" w:hAnsi="Arial Narrow"/>
                <w:color w:val="000000"/>
                <w:sz w:val="18"/>
                <w:szCs w:val="18"/>
                <w:lang w:val="es-ES" w:eastAsia="es-ES"/>
              </w:rPr>
              <w:t>.</w:t>
            </w:r>
          </w:p>
        </w:tc>
        <w:tc>
          <w:tcPr>
            <w:tcW w:w="556"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2.566.638</w:t>
            </w:r>
          </w:p>
        </w:tc>
        <w:tc>
          <w:tcPr>
            <w:tcW w:w="556"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2.625.607</w:t>
            </w:r>
          </w:p>
        </w:tc>
        <w:tc>
          <w:tcPr>
            <w:tcW w:w="207" w:type="pct"/>
            <w:gridSpan w:val="2"/>
            <w:tcBorders>
              <w:top w:val="nil"/>
              <w:left w:val="single" w:sz="4" w:space="0" w:color="auto"/>
              <w:bottom w:val="single" w:sz="4" w:space="0" w:color="auto"/>
              <w:right w:val="nil"/>
            </w:tcBorders>
            <w:shd w:val="clear" w:color="auto" w:fill="auto"/>
            <w:vAlign w:val="center"/>
            <w:hideMark/>
          </w:tcPr>
          <w:p w:rsidR="00B92F9D" w:rsidRPr="00B92F9D" w:rsidRDefault="00B92F9D" w:rsidP="00B92F9D">
            <w:pPr>
              <w:spacing w:after="0"/>
              <w:ind w:firstLine="0"/>
              <w:jc w:val="center"/>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73</w:t>
            </w:r>
          </w:p>
        </w:tc>
        <w:tc>
          <w:tcPr>
            <w:tcW w:w="1240" w:type="pct"/>
            <w:tcBorders>
              <w:top w:val="nil"/>
              <w:left w:val="nil"/>
              <w:bottom w:val="single" w:sz="4" w:space="0" w:color="auto"/>
              <w:right w:val="nil"/>
            </w:tcBorders>
            <w:shd w:val="clear" w:color="auto" w:fill="auto"/>
            <w:vAlign w:val="center"/>
            <w:hideMark/>
          </w:tcPr>
          <w:p w:rsidR="00B92F9D" w:rsidRPr="00B92F9D" w:rsidRDefault="00B92F9D" w:rsidP="00A53520">
            <w:pPr>
              <w:spacing w:after="0"/>
              <w:ind w:firstLine="0"/>
              <w:rPr>
                <w:rFonts w:ascii="Arial Narrow" w:hAnsi="Arial Narrow"/>
                <w:color w:val="000000"/>
                <w:sz w:val="18"/>
                <w:szCs w:val="18"/>
                <w:lang w:val="es-ES" w:eastAsia="es-ES"/>
              </w:rPr>
            </w:pPr>
            <w:proofErr w:type="spellStart"/>
            <w:r w:rsidRPr="00B92F9D">
              <w:rPr>
                <w:rFonts w:ascii="Arial Narrow" w:hAnsi="Arial Narrow"/>
                <w:color w:val="000000"/>
                <w:sz w:val="18"/>
                <w:szCs w:val="18"/>
                <w:lang w:val="es-ES" w:eastAsia="es-ES"/>
              </w:rPr>
              <w:t>Imptos</w:t>
            </w:r>
            <w:proofErr w:type="spellEnd"/>
            <w:r w:rsidR="00A53520">
              <w:rPr>
                <w:rFonts w:ascii="Arial Narrow" w:hAnsi="Arial Narrow"/>
                <w:color w:val="000000"/>
                <w:sz w:val="18"/>
                <w:szCs w:val="18"/>
                <w:lang w:val="es-ES" w:eastAsia="es-ES"/>
              </w:rPr>
              <w:t>.</w:t>
            </w:r>
            <w:r w:rsidRPr="00B92F9D">
              <w:rPr>
                <w:rFonts w:ascii="Arial Narrow" w:hAnsi="Arial Narrow"/>
                <w:color w:val="000000"/>
                <w:sz w:val="18"/>
                <w:szCs w:val="18"/>
                <w:lang w:val="es-ES" w:eastAsia="es-ES"/>
              </w:rPr>
              <w:t xml:space="preserve"> </w:t>
            </w:r>
            <w:proofErr w:type="spellStart"/>
            <w:r w:rsidRPr="00B92F9D">
              <w:rPr>
                <w:rFonts w:ascii="Arial Narrow" w:hAnsi="Arial Narrow"/>
                <w:color w:val="000000"/>
                <w:sz w:val="18"/>
                <w:szCs w:val="18"/>
                <w:lang w:val="es-ES" w:eastAsia="es-ES"/>
              </w:rPr>
              <w:t>corr</w:t>
            </w:r>
            <w:proofErr w:type="spellEnd"/>
            <w:r w:rsidRPr="00B92F9D">
              <w:rPr>
                <w:rFonts w:ascii="Arial Narrow" w:hAnsi="Arial Narrow"/>
                <w:color w:val="000000"/>
                <w:sz w:val="18"/>
                <w:szCs w:val="18"/>
                <w:lang w:val="es-ES" w:eastAsia="es-ES"/>
              </w:rPr>
              <w:t xml:space="preserve">.  </w:t>
            </w:r>
            <w:proofErr w:type="gramStart"/>
            <w:r w:rsidRPr="00B92F9D">
              <w:rPr>
                <w:rFonts w:ascii="Arial Narrow" w:hAnsi="Arial Narrow"/>
                <w:color w:val="000000"/>
                <w:sz w:val="18"/>
                <w:szCs w:val="18"/>
                <w:lang w:val="es-ES" w:eastAsia="es-ES"/>
              </w:rPr>
              <w:t>renta</w:t>
            </w:r>
            <w:proofErr w:type="gramEnd"/>
            <w:r w:rsidRPr="00B92F9D">
              <w:rPr>
                <w:rFonts w:ascii="Arial Narrow" w:hAnsi="Arial Narrow"/>
                <w:color w:val="000000"/>
                <w:sz w:val="18"/>
                <w:szCs w:val="18"/>
                <w:lang w:val="es-ES" w:eastAsia="es-ES"/>
              </w:rPr>
              <w:t xml:space="preserve"> y </w:t>
            </w:r>
            <w:proofErr w:type="spellStart"/>
            <w:r w:rsidRPr="00B92F9D">
              <w:rPr>
                <w:rFonts w:ascii="Arial Narrow" w:hAnsi="Arial Narrow"/>
                <w:color w:val="000000"/>
                <w:sz w:val="18"/>
                <w:szCs w:val="18"/>
                <w:lang w:val="es-ES" w:eastAsia="es-ES"/>
              </w:rPr>
              <w:t>patrim</w:t>
            </w:r>
            <w:proofErr w:type="spellEnd"/>
            <w:r w:rsidRPr="00B92F9D">
              <w:rPr>
                <w:rFonts w:ascii="Arial Narrow" w:hAnsi="Arial Narrow"/>
                <w:color w:val="000000"/>
                <w:sz w:val="18"/>
                <w:szCs w:val="18"/>
                <w:lang w:val="es-ES" w:eastAsia="es-ES"/>
              </w:rPr>
              <w:t>.</w:t>
            </w:r>
          </w:p>
        </w:tc>
        <w:tc>
          <w:tcPr>
            <w:tcW w:w="556"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880.241</w:t>
            </w:r>
          </w:p>
        </w:tc>
        <w:tc>
          <w:tcPr>
            <w:tcW w:w="556"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921.988</w:t>
            </w:r>
          </w:p>
        </w:tc>
      </w:tr>
      <w:tr w:rsidR="00B92F9D" w:rsidRPr="00B92F9D" w:rsidTr="00BC4A9E">
        <w:trPr>
          <w:trHeight w:val="285"/>
        </w:trPr>
        <w:tc>
          <w:tcPr>
            <w:tcW w:w="207"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center"/>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65</w:t>
            </w:r>
          </w:p>
        </w:tc>
        <w:tc>
          <w:tcPr>
            <w:tcW w:w="1120"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lef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Prestaciones sociales</w:t>
            </w:r>
          </w:p>
        </w:tc>
        <w:tc>
          <w:tcPr>
            <w:tcW w:w="556"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0</w:t>
            </w:r>
          </w:p>
        </w:tc>
        <w:tc>
          <w:tcPr>
            <w:tcW w:w="556"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0</w:t>
            </w:r>
          </w:p>
        </w:tc>
        <w:tc>
          <w:tcPr>
            <w:tcW w:w="207" w:type="pct"/>
            <w:gridSpan w:val="2"/>
            <w:tcBorders>
              <w:top w:val="nil"/>
              <w:left w:val="single" w:sz="4" w:space="0" w:color="auto"/>
              <w:bottom w:val="single" w:sz="4" w:space="0" w:color="auto"/>
              <w:right w:val="nil"/>
            </w:tcBorders>
            <w:shd w:val="clear" w:color="auto" w:fill="auto"/>
            <w:vAlign w:val="center"/>
            <w:hideMark/>
          </w:tcPr>
          <w:p w:rsidR="00B92F9D" w:rsidRPr="00B92F9D" w:rsidRDefault="00B92F9D" w:rsidP="00B92F9D">
            <w:pPr>
              <w:spacing w:after="0"/>
              <w:ind w:firstLine="0"/>
              <w:jc w:val="center"/>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75</w:t>
            </w:r>
          </w:p>
        </w:tc>
        <w:tc>
          <w:tcPr>
            <w:tcW w:w="1240"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Subvenciones de explotación</w:t>
            </w:r>
          </w:p>
        </w:tc>
        <w:tc>
          <w:tcPr>
            <w:tcW w:w="556"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9.064</w:t>
            </w:r>
          </w:p>
        </w:tc>
        <w:tc>
          <w:tcPr>
            <w:tcW w:w="556"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9.535</w:t>
            </w:r>
          </w:p>
        </w:tc>
      </w:tr>
      <w:tr w:rsidR="00B92F9D" w:rsidRPr="00B92F9D" w:rsidTr="00BC4A9E">
        <w:trPr>
          <w:trHeight w:val="285"/>
        </w:trPr>
        <w:tc>
          <w:tcPr>
            <w:tcW w:w="207"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center"/>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66</w:t>
            </w:r>
          </w:p>
        </w:tc>
        <w:tc>
          <w:tcPr>
            <w:tcW w:w="1120" w:type="pct"/>
            <w:tcBorders>
              <w:top w:val="nil"/>
              <w:left w:val="nil"/>
              <w:bottom w:val="single" w:sz="4" w:space="0" w:color="auto"/>
              <w:right w:val="nil"/>
            </w:tcBorders>
            <w:shd w:val="clear" w:color="auto" w:fill="auto"/>
            <w:vAlign w:val="center"/>
            <w:hideMark/>
          </w:tcPr>
          <w:p w:rsidR="00B92F9D" w:rsidRPr="00B92F9D" w:rsidRDefault="00B92F9D" w:rsidP="00F557DF">
            <w:pPr>
              <w:spacing w:after="0"/>
              <w:ind w:firstLine="0"/>
              <w:jc w:val="left"/>
              <w:rPr>
                <w:rFonts w:ascii="Arial Narrow" w:hAnsi="Arial Narrow"/>
                <w:color w:val="000000"/>
                <w:sz w:val="18"/>
                <w:szCs w:val="18"/>
                <w:lang w:val="es-ES" w:eastAsia="es-ES"/>
              </w:rPr>
            </w:pPr>
            <w:proofErr w:type="spellStart"/>
            <w:r w:rsidRPr="00B92F9D">
              <w:rPr>
                <w:rFonts w:ascii="Arial Narrow" w:hAnsi="Arial Narrow"/>
                <w:color w:val="000000"/>
                <w:sz w:val="18"/>
                <w:szCs w:val="18"/>
                <w:lang w:val="es-ES" w:eastAsia="es-ES"/>
              </w:rPr>
              <w:t>Subvenc</w:t>
            </w:r>
            <w:proofErr w:type="spellEnd"/>
            <w:r w:rsidR="00F557DF">
              <w:rPr>
                <w:rFonts w:ascii="Arial Narrow" w:hAnsi="Arial Narrow"/>
                <w:color w:val="000000"/>
                <w:sz w:val="18"/>
                <w:szCs w:val="18"/>
                <w:lang w:val="es-ES" w:eastAsia="es-ES"/>
              </w:rPr>
              <w:t>.</w:t>
            </w:r>
            <w:r w:rsidRPr="00B92F9D">
              <w:rPr>
                <w:rFonts w:ascii="Arial Narrow" w:hAnsi="Arial Narrow"/>
                <w:color w:val="000000"/>
                <w:sz w:val="18"/>
                <w:szCs w:val="18"/>
                <w:lang w:val="es-ES" w:eastAsia="es-ES"/>
              </w:rPr>
              <w:t xml:space="preserve"> de explotación</w:t>
            </w:r>
          </w:p>
        </w:tc>
        <w:tc>
          <w:tcPr>
            <w:tcW w:w="556"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0</w:t>
            </w:r>
          </w:p>
        </w:tc>
        <w:tc>
          <w:tcPr>
            <w:tcW w:w="556"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0</w:t>
            </w:r>
          </w:p>
        </w:tc>
        <w:tc>
          <w:tcPr>
            <w:tcW w:w="207" w:type="pct"/>
            <w:gridSpan w:val="2"/>
            <w:tcBorders>
              <w:top w:val="nil"/>
              <w:left w:val="single" w:sz="4" w:space="0" w:color="auto"/>
              <w:bottom w:val="single" w:sz="4" w:space="0" w:color="auto"/>
              <w:right w:val="nil"/>
            </w:tcBorders>
            <w:shd w:val="clear" w:color="auto" w:fill="auto"/>
            <w:vAlign w:val="center"/>
            <w:hideMark/>
          </w:tcPr>
          <w:p w:rsidR="00B92F9D" w:rsidRPr="00B92F9D" w:rsidRDefault="00B92F9D" w:rsidP="00B92F9D">
            <w:pPr>
              <w:spacing w:after="0"/>
              <w:ind w:firstLine="0"/>
              <w:jc w:val="center"/>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76</w:t>
            </w:r>
          </w:p>
        </w:tc>
        <w:tc>
          <w:tcPr>
            <w:tcW w:w="1240"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lef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Transferencias corrientes</w:t>
            </w:r>
          </w:p>
        </w:tc>
        <w:tc>
          <w:tcPr>
            <w:tcW w:w="556"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5.121.905</w:t>
            </w:r>
          </w:p>
        </w:tc>
        <w:tc>
          <w:tcPr>
            <w:tcW w:w="556"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5.607.342</w:t>
            </w:r>
          </w:p>
        </w:tc>
      </w:tr>
      <w:tr w:rsidR="00B92F9D" w:rsidRPr="00B92F9D" w:rsidTr="00BC4A9E">
        <w:trPr>
          <w:trHeight w:val="285"/>
        </w:trPr>
        <w:tc>
          <w:tcPr>
            <w:tcW w:w="207"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center"/>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67</w:t>
            </w:r>
          </w:p>
        </w:tc>
        <w:tc>
          <w:tcPr>
            <w:tcW w:w="1120"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lef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Transferencias corrientes</w:t>
            </w:r>
          </w:p>
        </w:tc>
        <w:tc>
          <w:tcPr>
            <w:tcW w:w="556"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2.740.130</w:t>
            </w:r>
          </w:p>
        </w:tc>
        <w:tc>
          <w:tcPr>
            <w:tcW w:w="556"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2.765.201</w:t>
            </w:r>
          </w:p>
        </w:tc>
        <w:tc>
          <w:tcPr>
            <w:tcW w:w="207" w:type="pct"/>
            <w:gridSpan w:val="2"/>
            <w:tcBorders>
              <w:top w:val="nil"/>
              <w:left w:val="single" w:sz="4" w:space="0" w:color="auto"/>
              <w:bottom w:val="single" w:sz="4" w:space="0" w:color="auto"/>
              <w:right w:val="nil"/>
            </w:tcBorders>
            <w:shd w:val="clear" w:color="auto" w:fill="auto"/>
            <w:vAlign w:val="center"/>
            <w:hideMark/>
          </w:tcPr>
          <w:p w:rsidR="00B92F9D" w:rsidRPr="00B92F9D" w:rsidRDefault="00B92F9D" w:rsidP="00B92F9D">
            <w:pPr>
              <w:spacing w:after="0"/>
              <w:ind w:firstLine="0"/>
              <w:jc w:val="center"/>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77</w:t>
            </w:r>
          </w:p>
        </w:tc>
        <w:tc>
          <w:tcPr>
            <w:tcW w:w="1240"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Impuestos sobre el capital</w:t>
            </w:r>
          </w:p>
        </w:tc>
        <w:tc>
          <w:tcPr>
            <w:tcW w:w="556"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287.570</w:t>
            </w:r>
          </w:p>
        </w:tc>
        <w:tc>
          <w:tcPr>
            <w:tcW w:w="556"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507.283</w:t>
            </w:r>
          </w:p>
        </w:tc>
      </w:tr>
      <w:tr w:rsidR="00B92F9D" w:rsidRPr="00B92F9D" w:rsidTr="00BC4A9E">
        <w:trPr>
          <w:trHeight w:val="285"/>
        </w:trPr>
        <w:tc>
          <w:tcPr>
            <w:tcW w:w="207"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center"/>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68</w:t>
            </w:r>
          </w:p>
        </w:tc>
        <w:tc>
          <w:tcPr>
            <w:tcW w:w="1120"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lef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Transferencias de capital</w:t>
            </w:r>
          </w:p>
        </w:tc>
        <w:tc>
          <w:tcPr>
            <w:tcW w:w="556"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39.044</w:t>
            </w:r>
          </w:p>
        </w:tc>
        <w:tc>
          <w:tcPr>
            <w:tcW w:w="556"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14.622</w:t>
            </w:r>
          </w:p>
        </w:tc>
        <w:tc>
          <w:tcPr>
            <w:tcW w:w="207" w:type="pct"/>
            <w:gridSpan w:val="2"/>
            <w:tcBorders>
              <w:top w:val="nil"/>
              <w:left w:val="single" w:sz="4" w:space="0" w:color="auto"/>
              <w:bottom w:val="single" w:sz="4" w:space="0" w:color="auto"/>
              <w:right w:val="nil"/>
            </w:tcBorders>
            <w:shd w:val="clear" w:color="auto" w:fill="auto"/>
            <w:vAlign w:val="center"/>
            <w:hideMark/>
          </w:tcPr>
          <w:p w:rsidR="00B92F9D" w:rsidRPr="00B92F9D" w:rsidRDefault="00B92F9D" w:rsidP="00B92F9D">
            <w:pPr>
              <w:spacing w:after="0"/>
              <w:ind w:firstLine="0"/>
              <w:jc w:val="center"/>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78</w:t>
            </w:r>
          </w:p>
        </w:tc>
        <w:tc>
          <w:tcPr>
            <w:tcW w:w="1240"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Otros ingresos</w:t>
            </w:r>
          </w:p>
        </w:tc>
        <w:tc>
          <w:tcPr>
            <w:tcW w:w="556"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233.217</w:t>
            </w:r>
          </w:p>
        </w:tc>
        <w:tc>
          <w:tcPr>
            <w:tcW w:w="556"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67.355</w:t>
            </w:r>
          </w:p>
        </w:tc>
      </w:tr>
      <w:tr w:rsidR="00B92F9D" w:rsidRPr="00B92F9D" w:rsidTr="00BC4A9E">
        <w:trPr>
          <w:trHeight w:val="285"/>
        </w:trPr>
        <w:tc>
          <w:tcPr>
            <w:tcW w:w="207"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center"/>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69</w:t>
            </w:r>
          </w:p>
        </w:tc>
        <w:tc>
          <w:tcPr>
            <w:tcW w:w="1120" w:type="pct"/>
            <w:tcBorders>
              <w:top w:val="nil"/>
              <w:left w:val="nil"/>
              <w:bottom w:val="single" w:sz="4" w:space="0" w:color="auto"/>
              <w:right w:val="nil"/>
            </w:tcBorders>
            <w:shd w:val="clear" w:color="auto" w:fill="auto"/>
            <w:vAlign w:val="center"/>
            <w:hideMark/>
          </w:tcPr>
          <w:p w:rsidR="00B92F9D" w:rsidRPr="00B92F9D" w:rsidRDefault="00B92F9D" w:rsidP="00BC4A9E">
            <w:pPr>
              <w:spacing w:after="0"/>
              <w:ind w:firstLine="0"/>
              <w:jc w:val="lef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 xml:space="preserve">Dotación </w:t>
            </w:r>
            <w:proofErr w:type="spellStart"/>
            <w:r w:rsidRPr="00B92F9D">
              <w:rPr>
                <w:rFonts w:ascii="Arial Narrow" w:hAnsi="Arial Narrow"/>
                <w:color w:val="000000"/>
                <w:sz w:val="18"/>
                <w:szCs w:val="18"/>
                <w:lang w:val="es-ES" w:eastAsia="es-ES"/>
              </w:rPr>
              <w:t>amortiza</w:t>
            </w:r>
            <w:r w:rsidR="00BC4A9E">
              <w:rPr>
                <w:rFonts w:ascii="Arial Narrow" w:hAnsi="Arial Narrow"/>
                <w:color w:val="000000"/>
                <w:sz w:val="18"/>
                <w:szCs w:val="18"/>
                <w:lang w:val="es-ES" w:eastAsia="es-ES"/>
              </w:rPr>
              <w:t>.</w:t>
            </w:r>
            <w:r w:rsidRPr="00B92F9D">
              <w:rPr>
                <w:rFonts w:ascii="Arial Narrow" w:hAnsi="Arial Narrow"/>
                <w:color w:val="000000"/>
                <w:sz w:val="18"/>
                <w:szCs w:val="18"/>
                <w:lang w:val="es-ES" w:eastAsia="es-ES"/>
              </w:rPr>
              <w:t>y</w:t>
            </w:r>
            <w:proofErr w:type="spellEnd"/>
            <w:r w:rsidRPr="00B92F9D">
              <w:rPr>
                <w:rFonts w:ascii="Arial Narrow" w:hAnsi="Arial Narrow"/>
                <w:color w:val="000000"/>
                <w:sz w:val="18"/>
                <w:szCs w:val="18"/>
                <w:lang w:val="es-ES" w:eastAsia="es-ES"/>
              </w:rPr>
              <w:t xml:space="preserve"> </w:t>
            </w:r>
            <w:proofErr w:type="spellStart"/>
            <w:r w:rsidRPr="00B92F9D">
              <w:rPr>
                <w:rFonts w:ascii="Arial Narrow" w:hAnsi="Arial Narrow"/>
                <w:color w:val="000000"/>
                <w:sz w:val="18"/>
                <w:szCs w:val="18"/>
                <w:lang w:val="es-ES" w:eastAsia="es-ES"/>
              </w:rPr>
              <w:t>provis</w:t>
            </w:r>
            <w:proofErr w:type="spellEnd"/>
            <w:r w:rsidRPr="00B92F9D">
              <w:rPr>
                <w:rFonts w:ascii="Arial Narrow" w:hAnsi="Arial Narrow"/>
                <w:color w:val="000000"/>
                <w:sz w:val="18"/>
                <w:szCs w:val="18"/>
                <w:lang w:val="es-ES" w:eastAsia="es-ES"/>
              </w:rPr>
              <w:t>.</w:t>
            </w:r>
          </w:p>
        </w:tc>
        <w:tc>
          <w:tcPr>
            <w:tcW w:w="556"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1.803.007</w:t>
            </w:r>
          </w:p>
        </w:tc>
        <w:tc>
          <w:tcPr>
            <w:tcW w:w="556"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1.934.392</w:t>
            </w:r>
          </w:p>
        </w:tc>
        <w:tc>
          <w:tcPr>
            <w:tcW w:w="207" w:type="pct"/>
            <w:gridSpan w:val="2"/>
            <w:tcBorders>
              <w:top w:val="nil"/>
              <w:left w:val="single" w:sz="4" w:space="0" w:color="auto"/>
              <w:bottom w:val="single" w:sz="4" w:space="0" w:color="auto"/>
              <w:right w:val="nil"/>
            </w:tcBorders>
            <w:shd w:val="clear" w:color="auto" w:fill="auto"/>
            <w:vAlign w:val="center"/>
            <w:hideMark/>
          </w:tcPr>
          <w:p w:rsidR="00B92F9D" w:rsidRPr="00B92F9D" w:rsidRDefault="00B92F9D" w:rsidP="00B92F9D">
            <w:pPr>
              <w:spacing w:after="0"/>
              <w:ind w:firstLine="0"/>
              <w:jc w:val="center"/>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79</w:t>
            </w:r>
          </w:p>
        </w:tc>
        <w:tc>
          <w:tcPr>
            <w:tcW w:w="1240" w:type="pct"/>
            <w:tcBorders>
              <w:top w:val="nil"/>
              <w:left w:val="nil"/>
              <w:bottom w:val="single" w:sz="4" w:space="0" w:color="auto"/>
              <w:right w:val="nil"/>
            </w:tcBorders>
            <w:shd w:val="clear" w:color="auto" w:fill="auto"/>
            <w:vAlign w:val="center"/>
            <w:hideMark/>
          </w:tcPr>
          <w:p w:rsidR="00B92F9D" w:rsidRPr="00B92F9D" w:rsidRDefault="00B92F9D" w:rsidP="00BC4A9E">
            <w:pPr>
              <w:spacing w:after="0"/>
              <w:ind w:firstLine="0"/>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 xml:space="preserve">Provisiones </w:t>
            </w:r>
            <w:proofErr w:type="spellStart"/>
            <w:r w:rsidRPr="00B92F9D">
              <w:rPr>
                <w:rFonts w:ascii="Arial Narrow" w:hAnsi="Arial Narrow"/>
                <w:color w:val="000000"/>
                <w:sz w:val="18"/>
                <w:szCs w:val="18"/>
                <w:lang w:val="es-ES" w:eastAsia="es-ES"/>
              </w:rPr>
              <w:t>aplic</w:t>
            </w:r>
            <w:r w:rsidR="00BC4A9E">
              <w:rPr>
                <w:rFonts w:ascii="Arial Narrow" w:hAnsi="Arial Narrow"/>
                <w:color w:val="000000"/>
                <w:sz w:val="18"/>
                <w:szCs w:val="18"/>
                <w:lang w:val="es-ES" w:eastAsia="es-ES"/>
              </w:rPr>
              <w:t>.</w:t>
            </w:r>
            <w:r w:rsidRPr="00B92F9D">
              <w:rPr>
                <w:rFonts w:ascii="Arial Narrow" w:hAnsi="Arial Narrow"/>
                <w:color w:val="000000"/>
                <w:sz w:val="18"/>
                <w:szCs w:val="18"/>
                <w:lang w:val="es-ES" w:eastAsia="es-ES"/>
              </w:rPr>
              <w:t>a</w:t>
            </w:r>
            <w:proofErr w:type="spellEnd"/>
            <w:r w:rsidRPr="00B92F9D">
              <w:rPr>
                <w:rFonts w:ascii="Arial Narrow" w:hAnsi="Arial Narrow"/>
                <w:color w:val="000000"/>
                <w:sz w:val="18"/>
                <w:szCs w:val="18"/>
                <w:lang w:val="es-ES" w:eastAsia="es-ES"/>
              </w:rPr>
              <w:t xml:space="preserve"> su finalidad</w:t>
            </w:r>
          </w:p>
        </w:tc>
        <w:tc>
          <w:tcPr>
            <w:tcW w:w="556"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0</w:t>
            </w:r>
          </w:p>
        </w:tc>
        <w:tc>
          <w:tcPr>
            <w:tcW w:w="556"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0</w:t>
            </w:r>
          </w:p>
        </w:tc>
      </w:tr>
      <w:tr w:rsidR="00B92F9D" w:rsidRPr="00B92F9D" w:rsidTr="00BC4A9E">
        <w:trPr>
          <w:trHeight w:val="285"/>
        </w:trPr>
        <w:tc>
          <w:tcPr>
            <w:tcW w:w="207"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center"/>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800</w:t>
            </w:r>
          </w:p>
        </w:tc>
        <w:tc>
          <w:tcPr>
            <w:tcW w:w="1120"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lef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Resultado cte. del ejercicio</w:t>
            </w:r>
          </w:p>
        </w:tc>
        <w:tc>
          <w:tcPr>
            <w:tcW w:w="556"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923.891</w:t>
            </w:r>
          </w:p>
        </w:tc>
        <w:tc>
          <w:tcPr>
            <w:tcW w:w="556"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605.611</w:t>
            </w:r>
          </w:p>
        </w:tc>
        <w:tc>
          <w:tcPr>
            <w:tcW w:w="207" w:type="pct"/>
            <w:gridSpan w:val="2"/>
            <w:tcBorders>
              <w:top w:val="nil"/>
              <w:left w:val="single" w:sz="4" w:space="0" w:color="auto"/>
              <w:bottom w:val="single" w:sz="4" w:space="0" w:color="auto"/>
              <w:right w:val="nil"/>
            </w:tcBorders>
            <w:shd w:val="clear" w:color="auto" w:fill="auto"/>
            <w:vAlign w:val="center"/>
            <w:hideMark/>
          </w:tcPr>
          <w:p w:rsidR="00B92F9D" w:rsidRPr="00B92F9D" w:rsidRDefault="00B92F9D" w:rsidP="00B92F9D">
            <w:pPr>
              <w:spacing w:after="0"/>
              <w:ind w:firstLine="0"/>
              <w:jc w:val="center"/>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800</w:t>
            </w:r>
          </w:p>
        </w:tc>
        <w:tc>
          <w:tcPr>
            <w:tcW w:w="1240" w:type="pct"/>
            <w:tcBorders>
              <w:top w:val="nil"/>
              <w:left w:val="nil"/>
              <w:bottom w:val="single" w:sz="4" w:space="0" w:color="auto"/>
              <w:right w:val="nil"/>
            </w:tcBorders>
            <w:shd w:val="clear" w:color="auto" w:fill="auto"/>
            <w:vAlign w:val="center"/>
            <w:hideMark/>
          </w:tcPr>
          <w:p w:rsidR="00B92F9D" w:rsidRPr="00B92F9D" w:rsidRDefault="00923423" w:rsidP="000E3A52">
            <w:pPr>
              <w:spacing w:after="0"/>
              <w:ind w:firstLine="0"/>
              <w:jc w:val="left"/>
              <w:rPr>
                <w:rFonts w:ascii="Arial Narrow" w:hAnsi="Arial Narrow"/>
                <w:color w:val="000000"/>
                <w:sz w:val="18"/>
                <w:szCs w:val="18"/>
                <w:lang w:val="es-ES" w:eastAsia="es-ES"/>
              </w:rPr>
            </w:pPr>
            <w:proofErr w:type="spellStart"/>
            <w:r>
              <w:rPr>
                <w:rFonts w:ascii="Arial Narrow" w:hAnsi="Arial Narrow"/>
                <w:color w:val="000000"/>
                <w:sz w:val="18"/>
                <w:szCs w:val="18"/>
                <w:lang w:val="es-ES" w:eastAsia="es-ES"/>
              </w:rPr>
              <w:t>R</w:t>
            </w:r>
            <w:r w:rsidR="00BC4A9E">
              <w:rPr>
                <w:rFonts w:ascii="Arial Narrow" w:hAnsi="Arial Narrow"/>
                <w:color w:val="000000"/>
                <w:sz w:val="18"/>
                <w:szCs w:val="18"/>
                <w:lang w:val="es-ES" w:eastAsia="es-ES"/>
              </w:rPr>
              <w:t>tdo</w:t>
            </w:r>
            <w:proofErr w:type="spellEnd"/>
            <w:r w:rsidR="00BC4A9E">
              <w:rPr>
                <w:rFonts w:ascii="Arial Narrow" w:hAnsi="Arial Narrow"/>
                <w:color w:val="000000"/>
                <w:sz w:val="18"/>
                <w:szCs w:val="18"/>
                <w:lang w:val="es-ES" w:eastAsia="es-ES"/>
              </w:rPr>
              <w:t>. cte.</w:t>
            </w:r>
            <w:r w:rsidR="000E3A52">
              <w:rPr>
                <w:rFonts w:ascii="Arial Narrow" w:hAnsi="Arial Narrow"/>
                <w:color w:val="000000"/>
                <w:sz w:val="18"/>
                <w:szCs w:val="18"/>
                <w:lang w:val="es-ES" w:eastAsia="es-ES"/>
              </w:rPr>
              <w:t xml:space="preserve"> </w:t>
            </w:r>
            <w:proofErr w:type="spellStart"/>
            <w:r w:rsidR="000E3A52">
              <w:rPr>
                <w:rFonts w:ascii="Arial Narrow" w:hAnsi="Arial Narrow"/>
                <w:color w:val="000000"/>
                <w:sz w:val="18"/>
                <w:szCs w:val="18"/>
                <w:lang w:val="es-ES" w:eastAsia="es-ES"/>
              </w:rPr>
              <w:t>e</w:t>
            </w:r>
            <w:r w:rsidR="00B92F9D" w:rsidRPr="00B92F9D">
              <w:rPr>
                <w:rFonts w:ascii="Arial Narrow" w:hAnsi="Arial Narrow"/>
                <w:color w:val="000000"/>
                <w:sz w:val="18"/>
                <w:szCs w:val="18"/>
                <w:lang w:val="es-ES" w:eastAsia="es-ES"/>
              </w:rPr>
              <w:t>j</w:t>
            </w:r>
            <w:r w:rsidR="000E3A52">
              <w:rPr>
                <w:rFonts w:ascii="Arial Narrow" w:hAnsi="Arial Narrow"/>
                <w:color w:val="000000"/>
                <w:sz w:val="18"/>
                <w:szCs w:val="18"/>
                <w:lang w:val="es-ES" w:eastAsia="es-ES"/>
              </w:rPr>
              <w:t>º</w:t>
            </w:r>
            <w:proofErr w:type="spellEnd"/>
            <w:r w:rsidR="000E3A52">
              <w:rPr>
                <w:rFonts w:ascii="Arial Narrow" w:hAnsi="Arial Narrow"/>
                <w:color w:val="000000"/>
                <w:sz w:val="18"/>
                <w:szCs w:val="18"/>
                <w:lang w:val="es-ES" w:eastAsia="es-ES"/>
              </w:rPr>
              <w:t xml:space="preserve"> </w:t>
            </w:r>
            <w:r w:rsidR="00B92F9D" w:rsidRPr="00B92F9D">
              <w:rPr>
                <w:rFonts w:ascii="Arial Narrow" w:hAnsi="Arial Narrow"/>
                <w:color w:val="000000"/>
                <w:sz w:val="18"/>
                <w:szCs w:val="18"/>
                <w:lang w:val="es-ES" w:eastAsia="es-ES"/>
              </w:rPr>
              <w:t>(saldo deudor)</w:t>
            </w:r>
          </w:p>
        </w:tc>
        <w:tc>
          <w:tcPr>
            <w:tcW w:w="556"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0</w:t>
            </w:r>
          </w:p>
        </w:tc>
        <w:tc>
          <w:tcPr>
            <w:tcW w:w="556"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0</w:t>
            </w:r>
          </w:p>
        </w:tc>
      </w:tr>
      <w:tr w:rsidR="00B92F9D" w:rsidRPr="00B92F9D" w:rsidTr="00065CFC">
        <w:trPr>
          <w:trHeight w:val="301"/>
        </w:trPr>
        <w:tc>
          <w:tcPr>
            <w:tcW w:w="207" w:type="pct"/>
            <w:tcBorders>
              <w:top w:val="nil"/>
              <w:left w:val="nil"/>
              <w:bottom w:val="single" w:sz="4" w:space="0" w:color="auto"/>
              <w:right w:val="nil"/>
            </w:tcBorders>
            <w:shd w:val="clear" w:color="000000" w:fill="FABF8F"/>
            <w:vAlign w:val="center"/>
            <w:hideMark/>
          </w:tcPr>
          <w:p w:rsidR="00B92F9D" w:rsidRPr="00B92F9D" w:rsidRDefault="00B92F9D" w:rsidP="00B92F9D">
            <w:pPr>
              <w:spacing w:after="0"/>
              <w:ind w:firstLine="0"/>
              <w:jc w:val="center"/>
              <w:rPr>
                <w:rFonts w:ascii="Arial" w:hAnsi="Arial" w:cs="Arial"/>
                <w:color w:val="000000"/>
                <w:sz w:val="18"/>
                <w:szCs w:val="18"/>
                <w:lang w:val="es-ES" w:eastAsia="es-ES"/>
              </w:rPr>
            </w:pPr>
            <w:r w:rsidRPr="00B92F9D">
              <w:rPr>
                <w:rFonts w:ascii="Arial" w:hAnsi="Arial" w:cs="Arial"/>
                <w:color w:val="000000"/>
                <w:sz w:val="18"/>
                <w:szCs w:val="18"/>
                <w:lang w:val="es-ES" w:eastAsia="es-ES"/>
              </w:rPr>
              <w:t> </w:t>
            </w:r>
          </w:p>
        </w:tc>
        <w:tc>
          <w:tcPr>
            <w:tcW w:w="1120" w:type="pct"/>
            <w:tcBorders>
              <w:top w:val="nil"/>
              <w:left w:val="nil"/>
              <w:bottom w:val="single" w:sz="4" w:space="0" w:color="auto"/>
              <w:right w:val="nil"/>
            </w:tcBorders>
            <w:shd w:val="clear" w:color="000000" w:fill="FABF8F"/>
            <w:vAlign w:val="center"/>
            <w:hideMark/>
          </w:tcPr>
          <w:p w:rsidR="00B92F9D" w:rsidRPr="00B92F9D" w:rsidRDefault="00B92F9D" w:rsidP="00B92F9D">
            <w:pPr>
              <w:spacing w:after="0"/>
              <w:ind w:firstLine="0"/>
              <w:jc w:val="left"/>
              <w:rPr>
                <w:rFonts w:ascii="Arial" w:hAnsi="Arial" w:cs="Arial"/>
                <w:color w:val="000000"/>
                <w:sz w:val="18"/>
                <w:szCs w:val="18"/>
                <w:lang w:val="es-ES" w:eastAsia="es-ES"/>
              </w:rPr>
            </w:pPr>
            <w:r w:rsidRPr="00B92F9D">
              <w:rPr>
                <w:rFonts w:ascii="Arial" w:hAnsi="Arial" w:cs="Arial"/>
                <w:color w:val="000000"/>
                <w:sz w:val="18"/>
                <w:szCs w:val="18"/>
                <w:lang w:val="es-ES" w:eastAsia="es-ES"/>
              </w:rPr>
              <w:t>Total</w:t>
            </w:r>
          </w:p>
        </w:tc>
        <w:tc>
          <w:tcPr>
            <w:tcW w:w="556" w:type="pct"/>
            <w:tcBorders>
              <w:top w:val="nil"/>
              <w:left w:val="nil"/>
              <w:bottom w:val="single" w:sz="4" w:space="0" w:color="auto"/>
              <w:right w:val="nil"/>
            </w:tcBorders>
            <w:shd w:val="clear" w:color="000000" w:fill="FABF8F"/>
            <w:vAlign w:val="center"/>
            <w:hideMark/>
          </w:tcPr>
          <w:p w:rsidR="00B92F9D" w:rsidRPr="00B92F9D" w:rsidRDefault="00B92F9D" w:rsidP="00B92F9D">
            <w:pPr>
              <w:spacing w:after="0"/>
              <w:ind w:firstLine="0"/>
              <w:jc w:val="right"/>
              <w:rPr>
                <w:rFonts w:ascii="Arial" w:hAnsi="Arial" w:cs="Arial"/>
                <w:color w:val="000000"/>
                <w:sz w:val="18"/>
                <w:szCs w:val="18"/>
                <w:lang w:val="es-ES" w:eastAsia="es-ES"/>
              </w:rPr>
            </w:pPr>
            <w:r w:rsidRPr="00B92F9D">
              <w:rPr>
                <w:rFonts w:ascii="Arial" w:hAnsi="Arial" w:cs="Arial"/>
                <w:color w:val="000000"/>
                <w:sz w:val="18"/>
                <w:szCs w:val="18"/>
                <w:lang w:val="es-ES" w:eastAsia="es-ES"/>
              </w:rPr>
              <w:t>13.513.352</w:t>
            </w:r>
          </w:p>
        </w:tc>
        <w:tc>
          <w:tcPr>
            <w:tcW w:w="556" w:type="pct"/>
            <w:tcBorders>
              <w:top w:val="nil"/>
              <w:left w:val="nil"/>
              <w:bottom w:val="single" w:sz="4" w:space="0" w:color="auto"/>
              <w:right w:val="nil"/>
            </w:tcBorders>
            <w:shd w:val="clear" w:color="000000" w:fill="FABF8F"/>
            <w:vAlign w:val="center"/>
            <w:hideMark/>
          </w:tcPr>
          <w:p w:rsidR="00B92F9D" w:rsidRPr="00B92F9D" w:rsidRDefault="00B92F9D" w:rsidP="00B92F9D">
            <w:pPr>
              <w:spacing w:after="0"/>
              <w:ind w:firstLine="0"/>
              <w:jc w:val="right"/>
              <w:rPr>
                <w:rFonts w:ascii="Arial" w:hAnsi="Arial" w:cs="Arial"/>
                <w:color w:val="000000"/>
                <w:sz w:val="18"/>
                <w:szCs w:val="18"/>
                <w:lang w:val="es-ES" w:eastAsia="es-ES"/>
              </w:rPr>
            </w:pPr>
            <w:r w:rsidRPr="00B92F9D">
              <w:rPr>
                <w:rFonts w:ascii="Arial" w:hAnsi="Arial" w:cs="Arial"/>
                <w:color w:val="000000"/>
                <w:sz w:val="18"/>
                <w:szCs w:val="18"/>
                <w:lang w:val="es-ES" w:eastAsia="es-ES"/>
              </w:rPr>
              <w:t>14.188.835</w:t>
            </w:r>
          </w:p>
        </w:tc>
        <w:tc>
          <w:tcPr>
            <w:tcW w:w="207" w:type="pct"/>
            <w:gridSpan w:val="2"/>
            <w:tcBorders>
              <w:top w:val="nil"/>
              <w:left w:val="single" w:sz="4" w:space="0" w:color="auto"/>
              <w:bottom w:val="single" w:sz="4" w:space="0" w:color="auto"/>
              <w:right w:val="nil"/>
            </w:tcBorders>
            <w:shd w:val="clear" w:color="000000" w:fill="FABF8F"/>
            <w:vAlign w:val="center"/>
            <w:hideMark/>
          </w:tcPr>
          <w:p w:rsidR="00B92F9D" w:rsidRPr="00B92F9D" w:rsidRDefault="00B92F9D" w:rsidP="00B92F9D">
            <w:pPr>
              <w:spacing w:after="0"/>
              <w:ind w:firstLine="0"/>
              <w:jc w:val="center"/>
              <w:rPr>
                <w:rFonts w:ascii="Arial" w:hAnsi="Arial" w:cs="Arial"/>
                <w:color w:val="000000"/>
                <w:sz w:val="18"/>
                <w:szCs w:val="18"/>
                <w:lang w:val="es-ES" w:eastAsia="es-ES"/>
              </w:rPr>
            </w:pPr>
            <w:r w:rsidRPr="00B92F9D">
              <w:rPr>
                <w:rFonts w:ascii="Arial" w:hAnsi="Arial" w:cs="Arial"/>
                <w:color w:val="000000"/>
                <w:sz w:val="18"/>
                <w:szCs w:val="18"/>
                <w:lang w:val="es-ES" w:eastAsia="es-ES"/>
              </w:rPr>
              <w:t> </w:t>
            </w:r>
          </w:p>
        </w:tc>
        <w:tc>
          <w:tcPr>
            <w:tcW w:w="1240" w:type="pct"/>
            <w:tcBorders>
              <w:top w:val="nil"/>
              <w:left w:val="nil"/>
              <w:bottom w:val="single" w:sz="4" w:space="0" w:color="auto"/>
              <w:right w:val="nil"/>
            </w:tcBorders>
            <w:shd w:val="clear" w:color="000000" w:fill="FABF8F"/>
            <w:vAlign w:val="center"/>
            <w:hideMark/>
          </w:tcPr>
          <w:p w:rsidR="00B92F9D" w:rsidRPr="00B92F9D" w:rsidRDefault="00B92F9D" w:rsidP="00B92F9D">
            <w:pPr>
              <w:spacing w:after="0"/>
              <w:ind w:firstLine="0"/>
              <w:jc w:val="left"/>
              <w:rPr>
                <w:rFonts w:ascii="Arial" w:hAnsi="Arial" w:cs="Arial"/>
                <w:color w:val="000000"/>
                <w:sz w:val="18"/>
                <w:szCs w:val="18"/>
                <w:lang w:val="es-ES" w:eastAsia="es-ES"/>
              </w:rPr>
            </w:pPr>
            <w:r w:rsidRPr="00B92F9D">
              <w:rPr>
                <w:rFonts w:ascii="Arial" w:hAnsi="Arial" w:cs="Arial"/>
                <w:color w:val="000000"/>
                <w:sz w:val="18"/>
                <w:szCs w:val="18"/>
                <w:lang w:val="es-ES" w:eastAsia="es-ES"/>
              </w:rPr>
              <w:t xml:space="preserve"> Total</w:t>
            </w:r>
          </w:p>
        </w:tc>
        <w:tc>
          <w:tcPr>
            <w:tcW w:w="556" w:type="pct"/>
            <w:tcBorders>
              <w:top w:val="nil"/>
              <w:left w:val="nil"/>
              <w:bottom w:val="single" w:sz="4" w:space="0" w:color="auto"/>
              <w:right w:val="nil"/>
            </w:tcBorders>
            <w:shd w:val="clear" w:color="000000" w:fill="FABF8F"/>
            <w:vAlign w:val="center"/>
            <w:hideMark/>
          </w:tcPr>
          <w:p w:rsidR="00B92F9D" w:rsidRPr="00B92F9D" w:rsidRDefault="00B92F9D" w:rsidP="00B92F9D">
            <w:pPr>
              <w:spacing w:after="0"/>
              <w:ind w:firstLine="0"/>
              <w:jc w:val="right"/>
              <w:rPr>
                <w:rFonts w:ascii="Arial" w:hAnsi="Arial" w:cs="Arial"/>
                <w:color w:val="000000"/>
                <w:sz w:val="18"/>
                <w:szCs w:val="18"/>
                <w:lang w:val="es-ES" w:eastAsia="es-ES"/>
              </w:rPr>
            </w:pPr>
            <w:r w:rsidRPr="00B92F9D">
              <w:rPr>
                <w:rFonts w:ascii="Arial" w:hAnsi="Arial" w:cs="Arial"/>
                <w:color w:val="000000"/>
                <w:sz w:val="18"/>
                <w:szCs w:val="18"/>
                <w:lang w:val="es-ES" w:eastAsia="es-ES"/>
              </w:rPr>
              <w:t>13.513.352</w:t>
            </w:r>
          </w:p>
        </w:tc>
        <w:tc>
          <w:tcPr>
            <w:tcW w:w="556" w:type="pct"/>
            <w:tcBorders>
              <w:top w:val="nil"/>
              <w:left w:val="nil"/>
              <w:bottom w:val="single" w:sz="4" w:space="0" w:color="auto"/>
              <w:right w:val="nil"/>
            </w:tcBorders>
            <w:shd w:val="clear" w:color="000000" w:fill="FABF8F"/>
            <w:vAlign w:val="center"/>
            <w:hideMark/>
          </w:tcPr>
          <w:p w:rsidR="00B92F9D" w:rsidRPr="00B92F9D" w:rsidRDefault="00B92F9D" w:rsidP="00B92F9D">
            <w:pPr>
              <w:spacing w:after="0"/>
              <w:ind w:firstLine="0"/>
              <w:jc w:val="right"/>
              <w:rPr>
                <w:rFonts w:ascii="Arial" w:hAnsi="Arial" w:cs="Arial"/>
                <w:color w:val="000000"/>
                <w:sz w:val="18"/>
                <w:szCs w:val="18"/>
                <w:lang w:val="es-ES" w:eastAsia="es-ES"/>
              </w:rPr>
            </w:pPr>
            <w:r w:rsidRPr="00B92F9D">
              <w:rPr>
                <w:rFonts w:ascii="Arial" w:hAnsi="Arial" w:cs="Arial"/>
                <w:color w:val="000000"/>
                <w:sz w:val="18"/>
                <w:szCs w:val="18"/>
                <w:lang w:val="es-ES" w:eastAsia="es-ES"/>
              </w:rPr>
              <w:t>14.188.835</w:t>
            </w:r>
          </w:p>
        </w:tc>
      </w:tr>
    </w:tbl>
    <w:p w:rsidR="00B92F9D" w:rsidRPr="003B43B0" w:rsidRDefault="00B92F9D" w:rsidP="00167AE7">
      <w:pPr>
        <w:spacing w:before="60" w:after="0"/>
        <w:ind w:left="42" w:firstLine="0"/>
        <w:rPr>
          <w:rFonts w:ascii="Arial Narrow" w:hAnsi="Arial Narrow"/>
          <w:sz w:val="16"/>
          <w:szCs w:val="16"/>
        </w:rPr>
      </w:pPr>
      <w:r w:rsidRPr="003B43B0">
        <w:rPr>
          <w:rFonts w:ascii="Arial Narrow" w:hAnsi="Arial Narrow"/>
          <w:sz w:val="16"/>
          <w:szCs w:val="16"/>
        </w:rPr>
        <w:t>* Ejercicio no auditado</w:t>
      </w:r>
    </w:p>
    <w:p w:rsidR="00B92F9D" w:rsidRDefault="00B92F9D" w:rsidP="00B92F9D">
      <w:pPr>
        <w:tabs>
          <w:tab w:val="left" w:pos="195"/>
        </w:tabs>
        <w:spacing w:after="0"/>
        <w:ind w:firstLine="0"/>
        <w:rPr>
          <w:rFonts w:ascii="Arial" w:hAnsi="Arial" w:cs="Arial"/>
        </w:rPr>
      </w:pPr>
    </w:p>
    <w:p w:rsidR="00B92F9D" w:rsidRDefault="00B92F9D" w:rsidP="007B7455">
      <w:pPr>
        <w:spacing w:after="0"/>
        <w:ind w:firstLine="0"/>
        <w:jc w:val="center"/>
        <w:rPr>
          <w:rFonts w:ascii="Arial" w:hAnsi="Arial" w:cs="Arial"/>
        </w:rPr>
      </w:pPr>
    </w:p>
    <w:p w:rsidR="00E416A2" w:rsidRPr="003B43B0" w:rsidRDefault="00E416A2" w:rsidP="00690D3D">
      <w:pPr>
        <w:pStyle w:val="texto"/>
        <w:spacing w:after="60"/>
        <w:ind w:right="-284" w:hanging="28"/>
        <w:jc w:val="left"/>
        <w:rPr>
          <w:rFonts w:ascii="Arial" w:eastAsia="Arial" w:hAnsi="Arial" w:cs="Arial"/>
          <w:sz w:val="24"/>
        </w:rPr>
      </w:pPr>
    </w:p>
    <w:p w:rsidR="00690D3D" w:rsidRDefault="00690D3D" w:rsidP="00690D3D">
      <w:pPr>
        <w:spacing w:after="0"/>
        <w:ind w:firstLine="0"/>
        <w:jc w:val="center"/>
        <w:rPr>
          <w:sz w:val="24"/>
          <w:szCs w:val="24"/>
        </w:rPr>
      </w:pPr>
    </w:p>
    <w:p w:rsidR="009F0368" w:rsidRDefault="009F0368" w:rsidP="00690D3D">
      <w:pPr>
        <w:spacing w:after="0"/>
        <w:ind w:firstLine="0"/>
        <w:jc w:val="center"/>
        <w:rPr>
          <w:rFonts w:ascii="Arial" w:hAnsi="Arial" w:cs="Arial"/>
        </w:rPr>
      </w:pPr>
      <w:r w:rsidRPr="007B7455">
        <w:rPr>
          <w:rFonts w:ascii="Arial" w:hAnsi="Arial" w:cs="Arial"/>
        </w:rPr>
        <w:t>Resultados del ejercicio</w:t>
      </w:r>
    </w:p>
    <w:p w:rsidR="00B92F9D" w:rsidRDefault="00B92F9D" w:rsidP="00690D3D">
      <w:pPr>
        <w:spacing w:after="0"/>
        <w:ind w:firstLine="0"/>
        <w:jc w:val="center"/>
        <w:rPr>
          <w:rFonts w:ascii="Arial" w:hAnsi="Arial" w:cs="Arial"/>
        </w:rPr>
      </w:pPr>
    </w:p>
    <w:tbl>
      <w:tblPr>
        <w:tblW w:w="5000" w:type="pct"/>
        <w:tblCellMar>
          <w:left w:w="70" w:type="dxa"/>
          <w:right w:w="70" w:type="dxa"/>
        </w:tblCellMar>
        <w:tblLook w:val="04A0" w:firstRow="1" w:lastRow="0" w:firstColumn="1" w:lastColumn="0" w:noHBand="0" w:noVBand="1"/>
      </w:tblPr>
      <w:tblGrid>
        <w:gridCol w:w="350"/>
        <w:gridCol w:w="2381"/>
        <w:gridCol w:w="941"/>
        <w:gridCol w:w="933"/>
        <w:gridCol w:w="350"/>
        <w:gridCol w:w="2449"/>
        <w:gridCol w:w="974"/>
        <w:gridCol w:w="976"/>
      </w:tblGrid>
      <w:tr w:rsidR="00B92F9D" w:rsidRPr="00B92F9D" w:rsidTr="00B92F9D">
        <w:trPr>
          <w:trHeight w:val="300"/>
        </w:trPr>
        <w:tc>
          <w:tcPr>
            <w:tcW w:w="196" w:type="pct"/>
            <w:tcBorders>
              <w:top w:val="single" w:sz="4" w:space="0" w:color="auto"/>
              <w:left w:val="nil"/>
              <w:bottom w:val="single" w:sz="4" w:space="0" w:color="auto"/>
              <w:right w:val="nil"/>
            </w:tcBorders>
            <w:shd w:val="clear" w:color="000000" w:fill="FABF8F"/>
            <w:noWrap/>
            <w:vAlign w:val="center"/>
            <w:hideMark/>
          </w:tcPr>
          <w:p w:rsidR="00B92F9D" w:rsidRPr="00B92F9D" w:rsidRDefault="00B92F9D" w:rsidP="00B92F9D">
            <w:pPr>
              <w:spacing w:after="0"/>
              <w:ind w:firstLine="0"/>
              <w:jc w:val="center"/>
              <w:rPr>
                <w:rFonts w:ascii="Arial" w:hAnsi="Arial" w:cs="Arial"/>
                <w:color w:val="000000"/>
                <w:sz w:val="18"/>
                <w:szCs w:val="18"/>
                <w:lang w:val="es-ES" w:eastAsia="es-ES"/>
              </w:rPr>
            </w:pPr>
            <w:r w:rsidRPr="00B92F9D">
              <w:rPr>
                <w:rFonts w:ascii="Arial" w:hAnsi="Arial" w:cs="Arial"/>
                <w:color w:val="000000"/>
                <w:sz w:val="18"/>
                <w:szCs w:val="18"/>
                <w:lang w:val="es-ES" w:eastAsia="es-ES"/>
              </w:rPr>
              <w:t> </w:t>
            </w:r>
          </w:p>
        </w:tc>
        <w:tc>
          <w:tcPr>
            <w:tcW w:w="1211" w:type="pct"/>
            <w:tcBorders>
              <w:top w:val="single" w:sz="4" w:space="0" w:color="auto"/>
              <w:left w:val="nil"/>
              <w:bottom w:val="single" w:sz="4" w:space="0" w:color="auto"/>
              <w:right w:val="nil"/>
            </w:tcBorders>
            <w:shd w:val="clear" w:color="000000" w:fill="FABF8F"/>
            <w:vAlign w:val="center"/>
            <w:hideMark/>
          </w:tcPr>
          <w:p w:rsidR="00B92F9D" w:rsidRPr="00B92F9D" w:rsidRDefault="00B92F9D" w:rsidP="00B92F9D">
            <w:pPr>
              <w:spacing w:after="0"/>
              <w:ind w:firstLine="0"/>
              <w:jc w:val="left"/>
              <w:rPr>
                <w:rFonts w:ascii="Arial" w:hAnsi="Arial" w:cs="Arial"/>
                <w:color w:val="000000"/>
                <w:sz w:val="18"/>
                <w:szCs w:val="18"/>
                <w:lang w:val="es-ES" w:eastAsia="es-ES"/>
              </w:rPr>
            </w:pPr>
            <w:r w:rsidRPr="00B92F9D">
              <w:rPr>
                <w:rFonts w:ascii="Arial" w:hAnsi="Arial" w:cs="Arial"/>
                <w:color w:val="000000"/>
                <w:sz w:val="18"/>
                <w:szCs w:val="18"/>
                <w:lang w:val="es-ES" w:eastAsia="es-ES"/>
              </w:rPr>
              <w:t>Descripción</w:t>
            </w:r>
          </w:p>
        </w:tc>
        <w:tc>
          <w:tcPr>
            <w:tcW w:w="510" w:type="pct"/>
            <w:tcBorders>
              <w:top w:val="single" w:sz="4" w:space="0" w:color="auto"/>
              <w:left w:val="nil"/>
              <w:bottom w:val="single" w:sz="4" w:space="0" w:color="auto"/>
              <w:right w:val="nil"/>
            </w:tcBorders>
            <w:shd w:val="clear" w:color="000000" w:fill="FABF8F"/>
            <w:noWrap/>
            <w:vAlign w:val="center"/>
            <w:hideMark/>
          </w:tcPr>
          <w:p w:rsidR="00B92F9D" w:rsidRPr="00B92F9D" w:rsidRDefault="00B92F9D" w:rsidP="00B92F9D">
            <w:pPr>
              <w:spacing w:after="0"/>
              <w:ind w:firstLine="0"/>
              <w:jc w:val="right"/>
              <w:rPr>
                <w:rFonts w:ascii="Arial" w:hAnsi="Arial" w:cs="Arial"/>
                <w:color w:val="000000"/>
                <w:sz w:val="18"/>
                <w:szCs w:val="18"/>
                <w:lang w:val="es-ES" w:eastAsia="es-ES"/>
              </w:rPr>
            </w:pPr>
            <w:r w:rsidRPr="00B92F9D">
              <w:rPr>
                <w:rFonts w:ascii="Arial" w:hAnsi="Arial" w:cs="Arial"/>
                <w:color w:val="000000"/>
                <w:sz w:val="18"/>
                <w:szCs w:val="18"/>
                <w:lang w:val="es-ES" w:eastAsia="es-ES"/>
              </w:rPr>
              <w:t>2018*</w:t>
            </w:r>
          </w:p>
        </w:tc>
        <w:tc>
          <w:tcPr>
            <w:tcW w:w="510" w:type="pct"/>
            <w:tcBorders>
              <w:top w:val="single" w:sz="4" w:space="0" w:color="auto"/>
              <w:left w:val="nil"/>
              <w:bottom w:val="single" w:sz="4" w:space="0" w:color="auto"/>
              <w:right w:val="nil"/>
            </w:tcBorders>
            <w:shd w:val="clear" w:color="000000" w:fill="FABF8F"/>
            <w:noWrap/>
            <w:vAlign w:val="center"/>
            <w:hideMark/>
          </w:tcPr>
          <w:p w:rsidR="00B92F9D" w:rsidRPr="00B92F9D" w:rsidRDefault="00B92F9D" w:rsidP="00B92F9D">
            <w:pPr>
              <w:spacing w:after="0"/>
              <w:ind w:firstLine="0"/>
              <w:jc w:val="right"/>
              <w:rPr>
                <w:rFonts w:ascii="Arial" w:hAnsi="Arial" w:cs="Arial"/>
                <w:color w:val="000000"/>
                <w:sz w:val="18"/>
                <w:szCs w:val="18"/>
                <w:lang w:val="es-ES" w:eastAsia="es-ES"/>
              </w:rPr>
            </w:pPr>
            <w:r w:rsidRPr="00B92F9D">
              <w:rPr>
                <w:rFonts w:ascii="Arial" w:hAnsi="Arial" w:cs="Arial"/>
                <w:color w:val="000000"/>
                <w:sz w:val="18"/>
                <w:szCs w:val="18"/>
                <w:lang w:val="es-ES" w:eastAsia="es-ES"/>
              </w:rPr>
              <w:t>2019</w:t>
            </w:r>
          </w:p>
        </w:tc>
        <w:tc>
          <w:tcPr>
            <w:tcW w:w="196" w:type="pct"/>
            <w:tcBorders>
              <w:top w:val="single" w:sz="4" w:space="0" w:color="auto"/>
              <w:left w:val="single" w:sz="4" w:space="0" w:color="auto"/>
              <w:bottom w:val="single" w:sz="4" w:space="0" w:color="auto"/>
              <w:right w:val="nil"/>
            </w:tcBorders>
            <w:shd w:val="clear" w:color="000000" w:fill="FABF8F"/>
            <w:noWrap/>
            <w:vAlign w:val="center"/>
            <w:hideMark/>
          </w:tcPr>
          <w:p w:rsidR="00B92F9D" w:rsidRPr="00B92F9D" w:rsidRDefault="00B92F9D" w:rsidP="00B92F9D">
            <w:pPr>
              <w:spacing w:after="0"/>
              <w:ind w:firstLine="0"/>
              <w:jc w:val="center"/>
              <w:rPr>
                <w:rFonts w:ascii="Arial" w:hAnsi="Arial" w:cs="Arial"/>
                <w:color w:val="000000"/>
                <w:sz w:val="18"/>
                <w:szCs w:val="18"/>
                <w:lang w:val="es-ES" w:eastAsia="es-ES"/>
              </w:rPr>
            </w:pPr>
            <w:r w:rsidRPr="00B92F9D">
              <w:rPr>
                <w:rFonts w:ascii="Arial" w:hAnsi="Arial" w:cs="Arial"/>
                <w:color w:val="000000"/>
                <w:sz w:val="18"/>
                <w:szCs w:val="18"/>
                <w:lang w:val="es-ES" w:eastAsia="es-ES"/>
              </w:rPr>
              <w:t> </w:t>
            </w:r>
          </w:p>
        </w:tc>
        <w:tc>
          <w:tcPr>
            <w:tcW w:w="1318" w:type="pct"/>
            <w:tcBorders>
              <w:top w:val="single" w:sz="4" w:space="0" w:color="auto"/>
              <w:left w:val="nil"/>
              <w:bottom w:val="single" w:sz="4" w:space="0" w:color="auto"/>
              <w:right w:val="nil"/>
            </w:tcBorders>
            <w:shd w:val="clear" w:color="000000" w:fill="FABF8F"/>
            <w:vAlign w:val="center"/>
            <w:hideMark/>
          </w:tcPr>
          <w:p w:rsidR="00B92F9D" w:rsidRPr="00B92F9D" w:rsidRDefault="00B92F9D" w:rsidP="00B92F9D">
            <w:pPr>
              <w:spacing w:after="0"/>
              <w:ind w:firstLine="0"/>
              <w:jc w:val="left"/>
              <w:rPr>
                <w:rFonts w:ascii="Arial" w:hAnsi="Arial" w:cs="Arial"/>
                <w:color w:val="000000"/>
                <w:sz w:val="18"/>
                <w:szCs w:val="18"/>
                <w:lang w:val="es-ES" w:eastAsia="es-ES"/>
              </w:rPr>
            </w:pPr>
            <w:r w:rsidRPr="00B92F9D">
              <w:rPr>
                <w:rFonts w:ascii="Arial" w:hAnsi="Arial" w:cs="Arial"/>
                <w:color w:val="000000"/>
                <w:sz w:val="18"/>
                <w:szCs w:val="18"/>
                <w:lang w:val="es-ES" w:eastAsia="es-ES"/>
              </w:rPr>
              <w:t>Descripción</w:t>
            </w:r>
          </w:p>
        </w:tc>
        <w:tc>
          <w:tcPr>
            <w:tcW w:w="529" w:type="pct"/>
            <w:tcBorders>
              <w:top w:val="single" w:sz="4" w:space="0" w:color="auto"/>
              <w:left w:val="nil"/>
              <w:bottom w:val="single" w:sz="4" w:space="0" w:color="auto"/>
              <w:right w:val="nil"/>
            </w:tcBorders>
            <w:shd w:val="clear" w:color="000000" w:fill="FABF8F"/>
            <w:noWrap/>
            <w:vAlign w:val="center"/>
            <w:hideMark/>
          </w:tcPr>
          <w:p w:rsidR="00B92F9D" w:rsidRPr="00B92F9D" w:rsidRDefault="00B92F9D" w:rsidP="00B92F9D">
            <w:pPr>
              <w:spacing w:after="0"/>
              <w:ind w:firstLine="0"/>
              <w:jc w:val="right"/>
              <w:rPr>
                <w:rFonts w:ascii="Arial" w:hAnsi="Arial" w:cs="Arial"/>
                <w:color w:val="000000"/>
                <w:sz w:val="18"/>
                <w:szCs w:val="18"/>
                <w:lang w:val="es-ES" w:eastAsia="es-ES"/>
              </w:rPr>
            </w:pPr>
            <w:r w:rsidRPr="00B92F9D">
              <w:rPr>
                <w:rFonts w:ascii="Arial" w:hAnsi="Arial" w:cs="Arial"/>
                <w:color w:val="000000"/>
                <w:sz w:val="18"/>
                <w:szCs w:val="18"/>
                <w:lang w:val="es-ES" w:eastAsia="es-ES"/>
              </w:rPr>
              <w:t>2018*</w:t>
            </w:r>
          </w:p>
        </w:tc>
        <w:tc>
          <w:tcPr>
            <w:tcW w:w="530" w:type="pct"/>
            <w:tcBorders>
              <w:top w:val="single" w:sz="4" w:space="0" w:color="auto"/>
              <w:left w:val="nil"/>
              <w:bottom w:val="single" w:sz="4" w:space="0" w:color="auto"/>
              <w:right w:val="nil"/>
            </w:tcBorders>
            <w:shd w:val="clear" w:color="000000" w:fill="FABF8F"/>
            <w:noWrap/>
            <w:vAlign w:val="center"/>
            <w:hideMark/>
          </w:tcPr>
          <w:p w:rsidR="00B92F9D" w:rsidRPr="00B92F9D" w:rsidRDefault="00B92F9D" w:rsidP="00B92F9D">
            <w:pPr>
              <w:spacing w:after="0"/>
              <w:ind w:firstLine="0"/>
              <w:jc w:val="right"/>
              <w:rPr>
                <w:rFonts w:ascii="Arial" w:hAnsi="Arial" w:cs="Arial"/>
                <w:color w:val="000000"/>
                <w:sz w:val="18"/>
                <w:szCs w:val="18"/>
                <w:lang w:val="es-ES" w:eastAsia="es-ES"/>
              </w:rPr>
            </w:pPr>
            <w:r w:rsidRPr="00B92F9D">
              <w:rPr>
                <w:rFonts w:ascii="Arial" w:hAnsi="Arial" w:cs="Arial"/>
                <w:color w:val="000000"/>
                <w:sz w:val="18"/>
                <w:szCs w:val="18"/>
                <w:lang w:val="es-ES" w:eastAsia="es-ES"/>
              </w:rPr>
              <w:t>2019</w:t>
            </w:r>
          </w:p>
        </w:tc>
      </w:tr>
      <w:tr w:rsidR="00B92F9D" w:rsidRPr="00B92F9D" w:rsidTr="00705CC5">
        <w:trPr>
          <w:trHeight w:val="284"/>
        </w:trPr>
        <w:tc>
          <w:tcPr>
            <w:tcW w:w="196" w:type="pct"/>
            <w:tcBorders>
              <w:top w:val="nil"/>
              <w:left w:val="nil"/>
              <w:bottom w:val="single" w:sz="4" w:space="0" w:color="auto"/>
              <w:right w:val="nil"/>
            </w:tcBorders>
            <w:shd w:val="clear" w:color="auto" w:fill="auto"/>
            <w:noWrap/>
            <w:vAlign w:val="center"/>
            <w:hideMark/>
          </w:tcPr>
          <w:p w:rsidR="00B92F9D" w:rsidRPr="00B92F9D" w:rsidRDefault="00B92F9D" w:rsidP="00B92F9D">
            <w:pPr>
              <w:spacing w:after="0"/>
              <w:ind w:firstLine="0"/>
              <w:jc w:val="center"/>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80</w:t>
            </w:r>
          </w:p>
        </w:tc>
        <w:tc>
          <w:tcPr>
            <w:tcW w:w="1211" w:type="pct"/>
            <w:tcBorders>
              <w:top w:val="nil"/>
              <w:left w:val="nil"/>
              <w:bottom w:val="single" w:sz="4" w:space="0" w:color="auto"/>
              <w:right w:val="nil"/>
            </w:tcBorders>
            <w:shd w:val="clear" w:color="auto" w:fill="auto"/>
            <w:vAlign w:val="center"/>
            <w:hideMark/>
          </w:tcPr>
          <w:p w:rsidR="00B92F9D" w:rsidRPr="00B92F9D" w:rsidRDefault="00B92F9D" w:rsidP="000E3A52">
            <w:pPr>
              <w:spacing w:after="0"/>
              <w:ind w:firstLine="0"/>
              <w:rPr>
                <w:rFonts w:ascii="Arial Narrow" w:hAnsi="Arial Narrow"/>
                <w:color w:val="000000"/>
                <w:sz w:val="18"/>
                <w:szCs w:val="18"/>
                <w:lang w:val="es-ES" w:eastAsia="es-ES"/>
              </w:rPr>
            </w:pPr>
            <w:proofErr w:type="spellStart"/>
            <w:r w:rsidRPr="00B92F9D">
              <w:rPr>
                <w:rFonts w:ascii="Arial Narrow" w:hAnsi="Arial Narrow"/>
                <w:color w:val="000000"/>
                <w:sz w:val="18"/>
                <w:szCs w:val="18"/>
                <w:lang w:val="es-ES" w:eastAsia="es-ES"/>
              </w:rPr>
              <w:t>R</w:t>
            </w:r>
            <w:r w:rsidR="000E3A52">
              <w:rPr>
                <w:rFonts w:ascii="Arial Narrow" w:hAnsi="Arial Narrow"/>
                <w:color w:val="000000"/>
                <w:sz w:val="18"/>
                <w:szCs w:val="18"/>
                <w:lang w:val="es-ES" w:eastAsia="es-ES"/>
              </w:rPr>
              <w:t>tdos.</w:t>
            </w:r>
            <w:r w:rsidRPr="00B92F9D">
              <w:rPr>
                <w:rFonts w:ascii="Arial Narrow" w:hAnsi="Arial Narrow"/>
                <w:color w:val="000000"/>
                <w:sz w:val="18"/>
                <w:szCs w:val="18"/>
                <w:lang w:val="es-ES" w:eastAsia="es-ES"/>
              </w:rPr>
              <w:t>corr</w:t>
            </w:r>
            <w:proofErr w:type="spellEnd"/>
            <w:r w:rsidR="000E3A52">
              <w:rPr>
                <w:rFonts w:ascii="Arial Narrow" w:hAnsi="Arial Narrow"/>
                <w:color w:val="000000"/>
                <w:sz w:val="18"/>
                <w:szCs w:val="18"/>
                <w:lang w:val="es-ES" w:eastAsia="es-ES"/>
              </w:rPr>
              <w:t xml:space="preserve"> </w:t>
            </w:r>
            <w:proofErr w:type="spellStart"/>
            <w:r w:rsidRPr="00B92F9D">
              <w:rPr>
                <w:rFonts w:ascii="Arial Narrow" w:hAnsi="Arial Narrow"/>
                <w:color w:val="000000"/>
                <w:sz w:val="18"/>
                <w:szCs w:val="18"/>
                <w:lang w:val="es-ES" w:eastAsia="es-ES"/>
              </w:rPr>
              <w:t>ej</w:t>
            </w:r>
            <w:r w:rsidR="000E3A52">
              <w:rPr>
                <w:rFonts w:ascii="Arial Narrow" w:hAnsi="Arial Narrow"/>
                <w:color w:val="000000"/>
                <w:sz w:val="18"/>
                <w:szCs w:val="18"/>
                <w:lang w:val="es-ES" w:eastAsia="es-ES"/>
              </w:rPr>
              <w:t>.º</w:t>
            </w:r>
            <w:proofErr w:type="spellEnd"/>
            <w:r w:rsidRPr="00B92F9D">
              <w:rPr>
                <w:rFonts w:ascii="Arial Narrow" w:hAnsi="Arial Narrow"/>
                <w:color w:val="000000"/>
                <w:sz w:val="18"/>
                <w:szCs w:val="18"/>
                <w:lang w:val="es-ES" w:eastAsia="es-ES"/>
              </w:rPr>
              <w:t xml:space="preserve"> (</w:t>
            </w:r>
            <w:r w:rsidR="000E3A52">
              <w:rPr>
                <w:rFonts w:ascii="Arial Narrow" w:hAnsi="Arial Narrow"/>
                <w:color w:val="000000"/>
                <w:sz w:val="18"/>
                <w:szCs w:val="18"/>
                <w:lang w:val="es-ES" w:eastAsia="es-ES"/>
              </w:rPr>
              <w:t>s</w:t>
            </w:r>
            <w:r w:rsidRPr="00B92F9D">
              <w:rPr>
                <w:rFonts w:ascii="Arial Narrow" w:hAnsi="Arial Narrow"/>
                <w:color w:val="000000"/>
                <w:sz w:val="18"/>
                <w:szCs w:val="18"/>
                <w:lang w:val="es-ES" w:eastAsia="es-ES"/>
              </w:rPr>
              <w:t>aldo deudor)</w:t>
            </w:r>
          </w:p>
        </w:tc>
        <w:tc>
          <w:tcPr>
            <w:tcW w:w="510"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0</w:t>
            </w:r>
          </w:p>
        </w:tc>
        <w:tc>
          <w:tcPr>
            <w:tcW w:w="510" w:type="pct"/>
            <w:tcBorders>
              <w:top w:val="nil"/>
              <w:left w:val="nil"/>
              <w:bottom w:val="single" w:sz="4" w:space="0" w:color="auto"/>
              <w:right w:val="nil"/>
            </w:tcBorders>
            <w:shd w:val="clear" w:color="auto" w:fill="auto"/>
            <w:noWrap/>
            <w:vAlign w:val="center"/>
            <w:hideMark/>
          </w:tcPr>
          <w:p w:rsidR="00B92F9D" w:rsidRPr="00B92F9D" w:rsidRDefault="00B92F9D" w:rsidP="00B92F9D">
            <w:pPr>
              <w:spacing w:after="0"/>
              <w:ind w:firstLine="0"/>
              <w:jc w:val="righ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0</w:t>
            </w:r>
          </w:p>
        </w:tc>
        <w:tc>
          <w:tcPr>
            <w:tcW w:w="196" w:type="pct"/>
            <w:tcBorders>
              <w:top w:val="nil"/>
              <w:left w:val="single" w:sz="4" w:space="0" w:color="auto"/>
              <w:bottom w:val="single" w:sz="4" w:space="0" w:color="auto"/>
              <w:right w:val="nil"/>
            </w:tcBorders>
            <w:shd w:val="clear" w:color="auto" w:fill="auto"/>
            <w:noWrap/>
            <w:vAlign w:val="center"/>
            <w:hideMark/>
          </w:tcPr>
          <w:p w:rsidR="00B92F9D" w:rsidRPr="00B92F9D" w:rsidRDefault="00B92F9D" w:rsidP="00B92F9D">
            <w:pPr>
              <w:spacing w:after="0"/>
              <w:ind w:firstLine="0"/>
              <w:jc w:val="center"/>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80</w:t>
            </w:r>
          </w:p>
        </w:tc>
        <w:tc>
          <w:tcPr>
            <w:tcW w:w="1318" w:type="pct"/>
            <w:tcBorders>
              <w:top w:val="nil"/>
              <w:left w:val="nil"/>
              <w:bottom w:val="single" w:sz="4" w:space="0" w:color="auto"/>
              <w:right w:val="nil"/>
            </w:tcBorders>
            <w:shd w:val="clear" w:color="auto" w:fill="auto"/>
            <w:vAlign w:val="center"/>
            <w:hideMark/>
          </w:tcPr>
          <w:p w:rsidR="00B92F9D" w:rsidRPr="00B92F9D" w:rsidRDefault="00B92F9D" w:rsidP="000E3A52">
            <w:pPr>
              <w:spacing w:after="0"/>
              <w:ind w:firstLine="0"/>
              <w:rPr>
                <w:rFonts w:ascii="Arial Narrow" w:hAnsi="Arial Narrow"/>
                <w:color w:val="000000"/>
                <w:sz w:val="18"/>
                <w:szCs w:val="18"/>
                <w:lang w:val="es-ES" w:eastAsia="es-ES"/>
              </w:rPr>
            </w:pPr>
            <w:proofErr w:type="spellStart"/>
            <w:r w:rsidRPr="00B92F9D">
              <w:rPr>
                <w:rFonts w:ascii="Arial Narrow" w:hAnsi="Arial Narrow"/>
                <w:color w:val="000000"/>
                <w:sz w:val="18"/>
                <w:szCs w:val="18"/>
                <w:lang w:val="es-ES" w:eastAsia="es-ES"/>
              </w:rPr>
              <w:t>R</w:t>
            </w:r>
            <w:r w:rsidR="000E3A52">
              <w:rPr>
                <w:rFonts w:ascii="Arial Narrow" w:hAnsi="Arial Narrow"/>
                <w:color w:val="000000"/>
                <w:sz w:val="18"/>
                <w:szCs w:val="18"/>
                <w:lang w:val="es-ES" w:eastAsia="es-ES"/>
              </w:rPr>
              <w:t>tdos.</w:t>
            </w:r>
            <w:r w:rsidRPr="00B92F9D">
              <w:rPr>
                <w:rFonts w:ascii="Arial Narrow" w:hAnsi="Arial Narrow"/>
                <w:color w:val="000000"/>
                <w:sz w:val="18"/>
                <w:szCs w:val="18"/>
                <w:lang w:val="es-ES" w:eastAsia="es-ES"/>
              </w:rPr>
              <w:t>corr</w:t>
            </w:r>
            <w:proofErr w:type="spellEnd"/>
            <w:r w:rsidR="000E3A52">
              <w:rPr>
                <w:rFonts w:ascii="Arial Narrow" w:hAnsi="Arial Narrow"/>
                <w:color w:val="000000"/>
                <w:sz w:val="18"/>
                <w:szCs w:val="18"/>
                <w:lang w:val="es-ES" w:eastAsia="es-ES"/>
              </w:rPr>
              <w:t>.</w:t>
            </w:r>
            <w:r w:rsidRPr="00B92F9D">
              <w:rPr>
                <w:rFonts w:ascii="Arial Narrow" w:hAnsi="Arial Narrow"/>
                <w:color w:val="000000"/>
                <w:sz w:val="18"/>
                <w:szCs w:val="18"/>
                <w:lang w:val="es-ES" w:eastAsia="es-ES"/>
              </w:rPr>
              <w:t xml:space="preserve"> </w:t>
            </w:r>
            <w:proofErr w:type="spellStart"/>
            <w:r w:rsidRPr="00B92F9D">
              <w:rPr>
                <w:rFonts w:ascii="Arial Narrow" w:hAnsi="Arial Narrow"/>
                <w:color w:val="000000"/>
                <w:sz w:val="18"/>
                <w:szCs w:val="18"/>
                <w:lang w:val="es-ES" w:eastAsia="es-ES"/>
              </w:rPr>
              <w:t>ej</w:t>
            </w:r>
            <w:r w:rsidR="000E3A52">
              <w:rPr>
                <w:rFonts w:ascii="Arial Narrow" w:hAnsi="Arial Narrow"/>
                <w:color w:val="000000"/>
                <w:sz w:val="18"/>
                <w:szCs w:val="18"/>
                <w:lang w:val="es-ES" w:eastAsia="es-ES"/>
              </w:rPr>
              <w:t>.º</w:t>
            </w:r>
            <w:proofErr w:type="spellEnd"/>
            <w:r w:rsidRPr="00B92F9D">
              <w:rPr>
                <w:rFonts w:ascii="Arial Narrow" w:hAnsi="Arial Narrow"/>
                <w:color w:val="000000"/>
                <w:sz w:val="18"/>
                <w:szCs w:val="18"/>
                <w:lang w:val="es-ES" w:eastAsia="es-ES"/>
              </w:rPr>
              <w:t xml:space="preserve"> (</w:t>
            </w:r>
            <w:r w:rsidR="000E3A52">
              <w:rPr>
                <w:rFonts w:ascii="Arial Narrow" w:hAnsi="Arial Narrow"/>
                <w:color w:val="000000"/>
                <w:sz w:val="18"/>
                <w:szCs w:val="18"/>
                <w:lang w:val="es-ES" w:eastAsia="es-ES"/>
              </w:rPr>
              <w:t>s</w:t>
            </w:r>
            <w:r w:rsidRPr="00B92F9D">
              <w:rPr>
                <w:rFonts w:ascii="Arial Narrow" w:hAnsi="Arial Narrow"/>
                <w:color w:val="000000"/>
                <w:sz w:val="18"/>
                <w:szCs w:val="18"/>
                <w:lang w:val="es-ES" w:eastAsia="es-ES"/>
              </w:rPr>
              <w:t>aldo acreedor)</w:t>
            </w:r>
          </w:p>
        </w:tc>
        <w:tc>
          <w:tcPr>
            <w:tcW w:w="529"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923.891</w:t>
            </w:r>
          </w:p>
        </w:tc>
        <w:tc>
          <w:tcPr>
            <w:tcW w:w="530" w:type="pct"/>
            <w:tcBorders>
              <w:top w:val="nil"/>
              <w:left w:val="nil"/>
              <w:bottom w:val="single" w:sz="4" w:space="0" w:color="auto"/>
              <w:right w:val="nil"/>
            </w:tcBorders>
            <w:shd w:val="clear" w:color="auto" w:fill="auto"/>
            <w:noWrap/>
            <w:vAlign w:val="center"/>
            <w:hideMark/>
          </w:tcPr>
          <w:p w:rsidR="00B92F9D" w:rsidRPr="00B92F9D" w:rsidRDefault="00B92F9D" w:rsidP="00B92F9D">
            <w:pPr>
              <w:spacing w:after="0"/>
              <w:ind w:firstLine="0"/>
              <w:jc w:val="righ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605.611</w:t>
            </w:r>
          </w:p>
        </w:tc>
      </w:tr>
      <w:tr w:rsidR="00B92F9D" w:rsidRPr="00B92F9D" w:rsidTr="00705CC5">
        <w:trPr>
          <w:trHeight w:val="284"/>
        </w:trPr>
        <w:tc>
          <w:tcPr>
            <w:tcW w:w="196" w:type="pct"/>
            <w:tcBorders>
              <w:top w:val="nil"/>
              <w:left w:val="nil"/>
              <w:bottom w:val="single" w:sz="4" w:space="0" w:color="auto"/>
              <w:right w:val="nil"/>
            </w:tcBorders>
            <w:shd w:val="clear" w:color="auto" w:fill="auto"/>
            <w:noWrap/>
            <w:vAlign w:val="center"/>
            <w:hideMark/>
          </w:tcPr>
          <w:p w:rsidR="00B92F9D" w:rsidRPr="00B92F9D" w:rsidRDefault="00B92F9D" w:rsidP="00B92F9D">
            <w:pPr>
              <w:spacing w:after="0"/>
              <w:ind w:firstLine="0"/>
              <w:jc w:val="center"/>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82</w:t>
            </w:r>
          </w:p>
        </w:tc>
        <w:tc>
          <w:tcPr>
            <w:tcW w:w="1211" w:type="pct"/>
            <w:tcBorders>
              <w:top w:val="nil"/>
              <w:left w:val="nil"/>
              <w:bottom w:val="single" w:sz="4" w:space="0" w:color="auto"/>
              <w:right w:val="nil"/>
            </w:tcBorders>
            <w:shd w:val="clear" w:color="auto" w:fill="auto"/>
            <w:vAlign w:val="center"/>
            <w:hideMark/>
          </w:tcPr>
          <w:p w:rsidR="00B92F9D" w:rsidRPr="00B92F9D" w:rsidRDefault="00B92F9D" w:rsidP="000E3A52">
            <w:pPr>
              <w:spacing w:after="0"/>
              <w:ind w:firstLine="0"/>
              <w:rPr>
                <w:rFonts w:ascii="Arial Narrow" w:hAnsi="Arial Narrow"/>
                <w:color w:val="000000"/>
                <w:sz w:val="18"/>
                <w:szCs w:val="18"/>
                <w:lang w:val="es-ES" w:eastAsia="es-ES"/>
              </w:rPr>
            </w:pPr>
            <w:proofErr w:type="spellStart"/>
            <w:r w:rsidRPr="00B92F9D">
              <w:rPr>
                <w:rFonts w:ascii="Arial Narrow" w:hAnsi="Arial Narrow"/>
                <w:color w:val="000000"/>
                <w:sz w:val="18"/>
                <w:szCs w:val="18"/>
                <w:lang w:val="es-ES" w:eastAsia="es-ES"/>
              </w:rPr>
              <w:t>R</w:t>
            </w:r>
            <w:r w:rsidR="000E3A52">
              <w:rPr>
                <w:rFonts w:ascii="Arial Narrow" w:hAnsi="Arial Narrow"/>
                <w:color w:val="000000"/>
                <w:sz w:val="18"/>
                <w:szCs w:val="18"/>
                <w:lang w:val="es-ES" w:eastAsia="es-ES"/>
              </w:rPr>
              <w:t>tdos.</w:t>
            </w:r>
            <w:r w:rsidRPr="00B92F9D">
              <w:rPr>
                <w:rFonts w:ascii="Arial Narrow" w:hAnsi="Arial Narrow"/>
                <w:color w:val="000000"/>
                <w:sz w:val="18"/>
                <w:szCs w:val="18"/>
                <w:lang w:val="es-ES" w:eastAsia="es-ES"/>
              </w:rPr>
              <w:t>extraordin</w:t>
            </w:r>
            <w:proofErr w:type="spellEnd"/>
            <w:r w:rsidR="000E3A52">
              <w:rPr>
                <w:rFonts w:ascii="Arial Narrow" w:hAnsi="Arial Narrow"/>
                <w:color w:val="000000"/>
                <w:sz w:val="18"/>
                <w:szCs w:val="18"/>
                <w:lang w:val="es-ES" w:eastAsia="es-ES"/>
              </w:rPr>
              <w:t>.</w:t>
            </w:r>
            <w:r w:rsidRPr="00B92F9D">
              <w:rPr>
                <w:rFonts w:ascii="Arial Narrow" w:hAnsi="Arial Narrow"/>
                <w:color w:val="000000"/>
                <w:sz w:val="18"/>
                <w:szCs w:val="18"/>
                <w:lang w:val="es-ES" w:eastAsia="es-ES"/>
              </w:rPr>
              <w:t xml:space="preserve"> (saldo deudor)</w:t>
            </w:r>
          </w:p>
        </w:tc>
        <w:tc>
          <w:tcPr>
            <w:tcW w:w="510"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0</w:t>
            </w:r>
          </w:p>
        </w:tc>
        <w:tc>
          <w:tcPr>
            <w:tcW w:w="510" w:type="pct"/>
            <w:tcBorders>
              <w:top w:val="nil"/>
              <w:left w:val="nil"/>
              <w:bottom w:val="single" w:sz="4" w:space="0" w:color="auto"/>
              <w:right w:val="nil"/>
            </w:tcBorders>
            <w:shd w:val="clear" w:color="auto" w:fill="auto"/>
            <w:noWrap/>
            <w:vAlign w:val="center"/>
            <w:hideMark/>
          </w:tcPr>
          <w:p w:rsidR="00B92F9D" w:rsidRPr="00B92F9D" w:rsidRDefault="00B92F9D" w:rsidP="00B92F9D">
            <w:pPr>
              <w:spacing w:after="0"/>
              <w:ind w:firstLine="0"/>
              <w:jc w:val="righ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0</w:t>
            </w:r>
          </w:p>
        </w:tc>
        <w:tc>
          <w:tcPr>
            <w:tcW w:w="196" w:type="pct"/>
            <w:tcBorders>
              <w:top w:val="nil"/>
              <w:left w:val="single" w:sz="4" w:space="0" w:color="auto"/>
              <w:bottom w:val="single" w:sz="4" w:space="0" w:color="auto"/>
              <w:right w:val="nil"/>
            </w:tcBorders>
            <w:shd w:val="clear" w:color="auto" w:fill="auto"/>
            <w:noWrap/>
            <w:vAlign w:val="center"/>
            <w:hideMark/>
          </w:tcPr>
          <w:p w:rsidR="00B92F9D" w:rsidRPr="00B92F9D" w:rsidRDefault="00B92F9D" w:rsidP="00B92F9D">
            <w:pPr>
              <w:spacing w:after="0"/>
              <w:ind w:firstLine="0"/>
              <w:jc w:val="center"/>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82</w:t>
            </w:r>
          </w:p>
        </w:tc>
        <w:tc>
          <w:tcPr>
            <w:tcW w:w="1318" w:type="pct"/>
            <w:tcBorders>
              <w:top w:val="nil"/>
              <w:left w:val="nil"/>
              <w:bottom w:val="single" w:sz="4" w:space="0" w:color="auto"/>
              <w:right w:val="nil"/>
            </w:tcBorders>
            <w:shd w:val="clear" w:color="auto" w:fill="auto"/>
            <w:vAlign w:val="center"/>
            <w:hideMark/>
          </w:tcPr>
          <w:p w:rsidR="00B92F9D" w:rsidRPr="00B92F9D" w:rsidRDefault="00B92F9D" w:rsidP="000E3A52">
            <w:pPr>
              <w:spacing w:after="0"/>
              <w:ind w:firstLine="0"/>
              <w:rPr>
                <w:rFonts w:ascii="Arial Narrow" w:hAnsi="Arial Narrow"/>
                <w:color w:val="000000"/>
                <w:sz w:val="18"/>
                <w:szCs w:val="18"/>
                <w:lang w:val="es-ES" w:eastAsia="es-ES"/>
              </w:rPr>
            </w:pPr>
            <w:proofErr w:type="spellStart"/>
            <w:r w:rsidRPr="00B92F9D">
              <w:rPr>
                <w:rFonts w:ascii="Arial Narrow" w:hAnsi="Arial Narrow"/>
                <w:color w:val="000000"/>
                <w:sz w:val="18"/>
                <w:szCs w:val="18"/>
                <w:lang w:val="es-ES" w:eastAsia="es-ES"/>
              </w:rPr>
              <w:t>R</w:t>
            </w:r>
            <w:r w:rsidR="000E3A52">
              <w:rPr>
                <w:rFonts w:ascii="Arial Narrow" w:hAnsi="Arial Narrow"/>
                <w:color w:val="000000"/>
                <w:sz w:val="18"/>
                <w:szCs w:val="18"/>
                <w:lang w:val="es-ES" w:eastAsia="es-ES"/>
              </w:rPr>
              <w:t>tdos.</w:t>
            </w:r>
            <w:r w:rsidRPr="00B92F9D">
              <w:rPr>
                <w:rFonts w:ascii="Arial Narrow" w:hAnsi="Arial Narrow"/>
                <w:color w:val="000000"/>
                <w:sz w:val="18"/>
                <w:szCs w:val="18"/>
                <w:lang w:val="es-ES" w:eastAsia="es-ES"/>
              </w:rPr>
              <w:t>extraordin</w:t>
            </w:r>
            <w:proofErr w:type="spellEnd"/>
            <w:r w:rsidR="000E3A52">
              <w:rPr>
                <w:rFonts w:ascii="Arial Narrow" w:hAnsi="Arial Narrow"/>
                <w:color w:val="000000"/>
                <w:sz w:val="18"/>
                <w:szCs w:val="18"/>
                <w:lang w:val="es-ES" w:eastAsia="es-ES"/>
              </w:rPr>
              <w:t>.</w:t>
            </w:r>
            <w:r w:rsidRPr="00B92F9D">
              <w:rPr>
                <w:rFonts w:ascii="Arial Narrow" w:hAnsi="Arial Narrow"/>
                <w:color w:val="000000"/>
                <w:sz w:val="18"/>
                <w:szCs w:val="18"/>
                <w:lang w:val="es-ES" w:eastAsia="es-ES"/>
              </w:rPr>
              <w:t xml:space="preserve"> (saldo acreedor)</w:t>
            </w:r>
          </w:p>
        </w:tc>
        <w:tc>
          <w:tcPr>
            <w:tcW w:w="529"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552.177</w:t>
            </w:r>
          </w:p>
        </w:tc>
        <w:tc>
          <w:tcPr>
            <w:tcW w:w="530" w:type="pct"/>
            <w:tcBorders>
              <w:top w:val="nil"/>
              <w:left w:val="nil"/>
              <w:bottom w:val="single" w:sz="4" w:space="0" w:color="auto"/>
              <w:right w:val="nil"/>
            </w:tcBorders>
            <w:shd w:val="clear" w:color="auto" w:fill="auto"/>
            <w:noWrap/>
            <w:vAlign w:val="center"/>
            <w:hideMark/>
          </w:tcPr>
          <w:p w:rsidR="00B92F9D" w:rsidRPr="00B92F9D" w:rsidRDefault="00B92F9D" w:rsidP="00B92F9D">
            <w:pPr>
              <w:spacing w:after="0"/>
              <w:ind w:firstLine="0"/>
              <w:jc w:val="righ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1.171</w:t>
            </w:r>
          </w:p>
        </w:tc>
      </w:tr>
      <w:tr w:rsidR="00B92F9D" w:rsidRPr="00B92F9D" w:rsidTr="00705CC5">
        <w:trPr>
          <w:trHeight w:val="284"/>
        </w:trPr>
        <w:tc>
          <w:tcPr>
            <w:tcW w:w="196" w:type="pct"/>
            <w:tcBorders>
              <w:top w:val="nil"/>
              <w:left w:val="nil"/>
              <w:bottom w:val="single" w:sz="4" w:space="0" w:color="auto"/>
              <w:right w:val="nil"/>
            </w:tcBorders>
            <w:shd w:val="clear" w:color="auto" w:fill="auto"/>
            <w:noWrap/>
            <w:vAlign w:val="center"/>
            <w:hideMark/>
          </w:tcPr>
          <w:p w:rsidR="00B92F9D" w:rsidRPr="00B92F9D" w:rsidRDefault="00B92F9D" w:rsidP="00B92F9D">
            <w:pPr>
              <w:spacing w:after="0"/>
              <w:ind w:firstLine="0"/>
              <w:jc w:val="center"/>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84</w:t>
            </w:r>
          </w:p>
        </w:tc>
        <w:tc>
          <w:tcPr>
            <w:tcW w:w="1211" w:type="pct"/>
            <w:tcBorders>
              <w:top w:val="nil"/>
              <w:left w:val="nil"/>
              <w:bottom w:val="single" w:sz="4" w:space="0" w:color="auto"/>
              <w:right w:val="nil"/>
            </w:tcBorders>
            <w:shd w:val="clear" w:color="auto" w:fill="auto"/>
            <w:vAlign w:val="center"/>
            <w:hideMark/>
          </w:tcPr>
          <w:p w:rsidR="00B92F9D" w:rsidRPr="00B92F9D" w:rsidRDefault="00B92F9D" w:rsidP="000E3A52">
            <w:pPr>
              <w:spacing w:after="0"/>
              <w:ind w:firstLine="0"/>
              <w:rPr>
                <w:rFonts w:ascii="Arial Narrow" w:hAnsi="Arial Narrow"/>
                <w:color w:val="000000"/>
                <w:sz w:val="18"/>
                <w:szCs w:val="18"/>
                <w:lang w:val="es-ES" w:eastAsia="es-ES"/>
              </w:rPr>
            </w:pPr>
            <w:proofErr w:type="spellStart"/>
            <w:r w:rsidRPr="00B92F9D">
              <w:rPr>
                <w:rFonts w:ascii="Arial Narrow" w:hAnsi="Arial Narrow"/>
                <w:color w:val="000000"/>
                <w:sz w:val="18"/>
                <w:szCs w:val="18"/>
                <w:lang w:val="es-ES" w:eastAsia="es-ES"/>
              </w:rPr>
              <w:t>Modifi</w:t>
            </w:r>
            <w:proofErr w:type="spellEnd"/>
            <w:r w:rsidR="000E3A52">
              <w:rPr>
                <w:rFonts w:ascii="Arial Narrow" w:hAnsi="Arial Narrow"/>
                <w:color w:val="000000"/>
                <w:sz w:val="18"/>
                <w:szCs w:val="18"/>
                <w:lang w:val="es-ES" w:eastAsia="es-ES"/>
              </w:rPr>
              <w:t xml:space="preserve">. </w:t>
            </w:r>
            <w:proofErr w:type="gramStart"/>
            <w:r w:rsidRPr="00B92F9D">
              <w:rPr>
                <w:rFonts w:ascii="Arial Narrow" w:hAnsi="Arial Narrow"/>
                <w:color w:val="000000"/>
                <w:sz w:val="18"/>
                <w:szCs w:val="18"/>
                <w:lang w:val="es-ES" w:eastAsia="es-ES"/>
              </w:rPr>
              <w:t>derechos</w:t>
            </w:r>
            <w:proofErr w:type="gramEnd"/>
            <w:r w:rsidRPr="00B92F9D">
              <w:rPr>
                <w:rFonts w:ascii="Arial Narrow" w:hAnsi="Arial Narrow"/>
                <w:color w:val="000000"/>
                <w:sz w:val="18"/>
                <w:szCs w:val="18"/>
                <w:lang w:val="es-ES" w:eastAsia="es-ES"/>
              </w:rPr>
              <w:t xml:space="preserve"> y </w:t>
            </w:r>
            <w:proofErr w:type="spellStart"/>
            <w:r w:rsidRPr="00B92F9D">
              <w:rPr>
                <w:rFonts w:ascii="Arial Narrow" w:hAnsi="Arial Narrow"/>
                <w:color w:val="000000"/>
                <w:sz w:val="18"/>
                <w:szCs w:val="18"/>
                <w:lang w:val="es-ES" w:eastAsia="es-ES"/>
              </w:rPr>
              <w:t>oblig</w:t>
            </w:r>
            <w:proofErr w:type="spellEnd"/>
            <w:r w:rsidRPr="00B92F9D">
              <w:rPr>
                <w:rFonts w:ascii="Arial Narrow" w:hAnsi="Arial Narrow"/>
                <w:color w:val="000000"/>
                <w:sz w:val="18"/>
                <w:szCs w:val="18"/>
                <w:lang w:val="es-ES" w:eastAsia="es-ES"/>
              </w:rPr>
              <w:t xml:space="preserve">. </w:t>
            </w:r>
            <w:proofErr w:type="gramStart"/>
            <w:r w:rsidR="000E3A52">
              <w:rPr>
                <w:rFonts w:ascii="Arial Narrow" w:hAnsi="Arial Narrow"/>
                <w:color w:val="000000"/>
                <w:sz w:val="18"/>
                <w:szCs w:val="18"/>
                <w:lang w:val="es-ES" w:eastAsia="es-ES"/>
              </w:rPr>
              <w:t>de</w:t>
            </w:r>
            <w:proofErr w:type="gramEnd"/>
            <w:r w:rsidRPr="00B92F9D">
              <w:rPr>
                <w:rFonts w:ascii="Arial Narrow" w:hAnsi="Arial Narrow"/>
                <w:color w:val="000000"/>
                <w:sz w:val="18"/>
                <w:szCs w:val="18"/>
                <w:lang w:val="es-ES" w:eastAsia="es-ES"/>
              </w:rPr>
              <w:t xml:space="preserve"> </w:t>
            </w:r>
            <w:proofErr w:type="spellStart"/>
            <w:r w:rsidRPr="00B92F9D">
              <w:rPr>
                <w:rFonts w:ascii="Arial Narrow" w:hAnsi="Arial Narrow"/>
                <w:color w:val="000000"/>
                <w:sz w:val="18"/>
                <w:szCs w:val="18"/>
                <w:lang w:val="es-ES" w:eastAsia="es-ES"/>
              </w:rPr>
              <w:t>Pptos</w:t>
            </w:r>
            <w:proofErr w:type="spellEnd"/>
            <w:r w:rsidRPr="00B92F9D">
              <w:rPr>
                <w:rFonts w:ascii="Arial Narrow" w:hAnsi="Arial Narrow"/>
                <w:color w:val="000000"/>
                <w:sz w:val="18"/>
                <w:szCs w:val="18"/>
                <w:lang w:val="es-ES" w:eastAsia="es-ES"/>
              </w:rPr>
              <w:t>. Cerrados</w:t>
            </w:r>
          </w:p>
        </w:tc>
        <w:tc>
          <w:tcPr>
            <w:tcW w:w="510"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23.966</w:t>
            </w:r>
          </w:p>
        </w:tc>
        <w:tc>
          <w:tcPr>
            <w:tcW w:w="510" w:type="pct"/>
            <w:tcBorders>
              <w:top w:val="nil"/>
              <w:left w:val="nil"/>
              <w:bottom w:val="single" w:sz="4" w:space="0" w:color="auto"/>
              <w:right w:val="nil"/>
            </w:tcBorders>
            <w:shd w:val="clear" w:color="auto" w:fill="auto"/>
            <w:noWrap/>
            <w:vAlign w:val="center"/>
            <w:hideMark/>
          </w:tcPr>
          <w:p w:rsidR="00B92F9D" w:rsidRPr="00B92F9D" w:rsidRDefault="00B92F9D" w:rsidP="00B92F9D">
            <w:pPr>
              <w:spacing w:after="0"/>
              <w:ind w:firstLine="0"/>
              <w:jc w:val="righ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16.253</w:t>
            </w:r>
          </w:p>
        </w:tc>
        <w:tc>
          <w:tcPr>
            <w:tcW w:w="196" w:type="pct"/>
            <w:tcBorders>
              <w:top w:val="nil"/>
              <w:left w:val="single" w:sz="4" w:space="0" w:color="auto"/>
              <w:bottom w:val="single" w:sz="4" w:space="0" w:color="auto"/>
              <w:right w:val="nil"/>
            </w:tcBorders>
            <w:shd w:val="clear" w:color="auto" w:fill="auto"/>
            <w:noWrap/>
            <w:vAlign w:val="center"/>
            <w:hideMark/>
          </w:tcPr>
          <w:p w:rsidR="00B92F9D" w:rsidRPr="00B92F9D" w:rsidRDefault="00B92F9D" w:rsidP="00B92F9D">
            <w:pPr>
              <w:spacing w:after="0"/>
              <w:ind w:firstLine="0"/>
              <w:jc w:val="center"/>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84</w:t>
            </w:r>
          </w:p>
        </w:tc>
        <w:tc>
          <w:tcPr>
            <w:tcW w:w="1318" w:type="pct"/>
            <w:tcBorders>
              <w:top w:val="nil"/>
              <w:left w:val="nil"/>
              <w:bottom w:val="single" w:sz="4" w:space="0" w:color="auto"/>
              <w:right w:val="nil"/>
            </w:tcBorders>
            <w:shd w:val="clear" w:color="auto" w:fill="auto"/>
            <w:vAlign w:val="center"/>
            <w:hideMark/>
          </w:tcPr>
          <w:p w:rsidR="000E3A52" w:rsidRDefault="00B92F9D" w:rsidP="000E3A52">
            <w:pPr>
              <w:spacing w:after="0"/>
              <w:ind w:firstLine="0"/>
              <w:rPr>
                <w:rFonts w:ascii="Arial Narrow" w:hAnsi="Arial Narrow"/>
                <w:color w:val="000000"/>
                <w:sz w:val="18"/>
                <w:szCs w:val="18"/>
                <w:lang w:val="es-ES" w:eastAsia="es-ES"/>
              </w:rPr>
            </w:pPr>
            <w:proofErr w:type="spellStart"/>
            <w:r w:rsidRPr="00B92F9D">
              <w:rPr>
                <w:rFonts w:ascii="Arial Narrow" w:hAnsi="Arial Narrow"/>
                <w:color w:val="000000"/>
                <w:sz w:val="18"/>
                <w:szCs w:val="18"/>
                <w:lang w:val="es-ES" w:eastAsia="es-ES"/>
              </w:rPr>
              <w:t>Modifi</w:t>
            </w:r>
            <w:proofErr w:type="spellEnd"/>
            <w:r w:rsidR="000E3A52">
              <w:rPr>
                <w:rFonts w:ascii="Arial Narrow" w:hAnsi="Arial Narrow"/>
                <w:color w:val="000000"/>
                <w:sz w:val="18"/>
                <w:szCs w:val="18"/>
                <w:lang w:val="es-ES" w:eastAsia="es-ES"/>
              </w:rPr>
              <w:t>.</w:t>
            </w:r>
            <w:r w:rsidRPr="00B92F9D">
              <w:rPr>
                <w:rFonts w:ascii="Arial Narrow" w:hAnsi="Arial Narrow"/>
                <w:color w:val="000000"/>
                <w:sz w:val="18"/>
                <w:szCs w:val="18"/>
                <w:lang w:val="es-ES" w:eastAsia="es-ES"/>
              </w:rPr>
              <w:t xml:space="preserve"> </w:t>
            </w:r>
            <w:proofErr w:type="gramStart"/>
            <w:r w:rsidRPr="00B92F9D">
              <w:rPr>
                <w:rFonts w:ascii="Arial Narrow" w:hAnsi="Arial Narrow"/>
                <w:color w:val="000000"/>
                <w:sz w:val="18"/>
                <w:szCs w:val="18"/>
                <w:lang w:val="es-ES" w:eastAsia="es-ES"/>
              </w:rPr>
              <w:t>derechos</w:t>
            </w:r>
            <w:proofErr w:type="gramEnd"/>
            <w:r w:rsidRPr="00B92F9D">
              <w:rPr>
                <w:rFonts w:ascii="Arial Narrow" w:hAnsi="Arial Narrow"/>
                <w:color w:val="000000"/>
                <w:sz w:val="18"/>
                <w:szCs w:val="18"/>
                <w:lang w:val="es-ES" w:eastAsia="es-ES"/>
              </w:rPr>
              <w:t xml:space="preserve"> y </w:t>
            </w:r>
            <w:proofErr w:type="spellStart"/>
            <w:r w:rsidRPr="00B92F9D">
              <w:rPr>
                <w:rFonts w:ascii="Arial Narrow" w:hAnsi="Arial Narrow"/>
                <w:color w:val="000000"/>
                <w:sz w:val="18"/>
                <w:szCs w:val="18"/>
                <w:lang w:val="es-ES" w:eastAsia="es-ES"/>
              </w:rPr>
              <w:t>oblig</w:t>
            </w:r>
            <w:proofErr w:type="spellEnd"/>
            <w:r w:rsidRPr="00B92F9D">
              <w:rPr>
                <w:rFonts w:ascii="Arial Narrow" w:hAnsi="Arial Narrow"/>
                <w:color w:val="000000"/>
                <w:sz w:val="18"/>
                <w:szCs w:val="18"/>
                <w:lang w:val="es-ES" w:eastAsia="es-ES"/>
              </w:rPr>
              <w:t xml:space="preserve">. </w:t>
            </w:r>
            <w:r w:rsidR="000E3A52">
              <w:rPr>
                <w:rFonts w:ascii="Arial Narrow" w:hAnsi="Arial Narrow"/>
                <w:color w:val="000000"/>
                <w:sz w:val="18"/>
                <w:szCs w:val="18"/>
                <w:lang w:val="es-ES" w:eastAsia="es-ES"/>
              </w:rPr>
              <w:t>d</w:t>
            </w:r>
            <w:r w:rsidRPr="00B92F9D">
              <w:rPr>
                <w:rFonts w:ascii="Arial Narrow" w:hAnsi="Arial Narrow"/>
                <w:color w:val="000000"/>
                <w:sz w:val="18"/>
                <w:szCs w:val="18"/>
                <w:lang w:val="es-ES" w:eastAsia="es-ES"/>
              </w:rPr>
              <w:t>e</w:t>
            </w:r>
          </w:p>
          <w:p w:rsidR="00B92F9D" w:rsidRPr="00B92F9D" w:rsidRDefault="00B92F9D" w:rsidP="000E3A52">
            <w:pPr>
              <w:spacing w:after="0"/>
              <w:ind w:firstLine="0"/>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 xml:space="preserve"> </w:t>
            </w:r>
            <w:proofErr w:type="spellStart"/>
            <w:r w:rsidRPr="00B92F9D">
              <w:rPr>
                <w:rFonts w:ascii="Arial Narrow" w:hAnsi="Arial Narrow"/>
                <w:color w:val="000000"/>
                <w:sz w:val="18"/>
                <w:szCs w:val="18"/>
                <w:lang w:val="es-ES" w:eastAsia="es-ES"/>
              </w:rPr>
              <w:t>Pptos</w:t>
            </w:r>
            <w:proofErr w:type="spellEnd"/>
            <w:r w:rsidRPr="00B92F9D">
              <w:rPr>
                <w:rFonts w:ascii="Arial Narrow" w:hAnsi="Arial Narrow"/>
                <w:color w:val="000000"/>
                <w:sz w:val="18"/>
                <w:szCs w:val="18"/>
                <w:lang w:val="es-ES" w:eastAsia="es-ES"/>
              </w:rPr>
              <w:t>. Cerrados</w:t>
            </w:r>
          </w:p>
        </w:tc>
        <w:tc>
          <w:tcPr>
            <w:tcW w:w="529"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0</w:t>
            </w:r>
          </w:p>
        </w:tc>
        <w:tc>
          <w:tcPr>
            <w:tcW w:w="530" w:type="pct"/>
            <w:tcBorders>
              <w:top w:val="nil"/>
              <w:left w:val="nil"/>
              <w:bottom w:val="single" w:sz="4" w:space="0" w:color="auto"/>
              <w:right w:val="nil"/>
            </w:tcBorders>
            <w:shd w:val="clear" w:color="auto" w:fill="auto"/>
            <w:noWrap/>
            <w:vAlign w:val="center"/>
            <w:hideMark/>
          </w:tcPr>
          <w:p w:rsidR="00B92F9D" w:rsidRPr="00B92F9D" w:rsidRDefault="00B92F9D" w:rsidP="00B92F9D">
            <w:pPr>
              <w:spacing w:after="0"/>
              <w:ind w:firstLine="0"/>
              <w:jc w:val="righ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0</w:t>
            </w:r>
          </w:p>
        </w:tc>
      </w:tr>
      <w:tr w:rsidR="00B92F9D" w:rsidRPr="00B92F9D" w:rsidTr="00B92F9D">
        <w:trPr>
          <w:trHeight w:val="300"/>
        </w:trPr>
        <w:tc>
          <w:tcPr>
            <w:tcW w:w="196" w:type="pct"/>
            <w:tcBorders>
              <w:top w:val="nil"/>
              <w:left w:val="nil"/>
              <w:bottom w:val="single" w:sz="4" w:space="0" w:color="auto"/>
              <w:right w:val="nil"/>
            </w:tcBorders>
            <w:shd w:val="clear" w:color="auto" w:fill="auto"/>
            <w:noWrap/>
            <w:vAlign w:val="center"/>
            <w:hideMark/>
          </w:tcPr>
          <w:p w:rsidR="00B92F9D" w:rsidRPr="00B92F9D" w:rsidRDefault="00B92F9D" w:rsidP="00B92F9D">
            <w:pPr>
              <w:spacing w:after="0"/>
              <w:ind w:firstLine="0"/>
              <w:jc w:val="center"/>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89</w:t>
            </w:r>
          </w:p>
        </w:tc>
        <w:tc>
          <w:tcPr>
            <w:tcW w:w="1211" w:type="pct"/>
            <w:tcBorders>
              <w:top w:val="nil"/>
              <w:left w:val="nil"/>
              <w:bottom w:val="single" w:sz="4" w:space="0" w:color="auto"/>
              <w:right w:val="nil"/>
            </w:tcBorders>
            <w:shd w:val="clear" w:color="auto" w:fill="auto"/>
            <w:noWrap/>
            <w:vAlign w:val="center"/>
            <w:hideMark/>
          </w:tcPr>
          <w:p w:rsidR="00B92F9D" w:rsidRPr="00B92F9D" w:rsidRDefault="00B92F9D" w:rsidP="00B92F9D">
            <w:pPr>
              <w:spacing w:after="0"/>
              <w:ind w:firstLine="0"/>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Beneficio neto total (s</w:t>
            </w:r>
            <w:r w:rsidR="000E3A52">
              <w:rPr>
                <w:rFonts w:ascii="Arial Narrow" w:hAnsi="Arial Narrow"/>
                <w:color w:val="000000"/>
                <w:sz w:val="18"/>
                <w:szCs w:val="18"/>
                <w:lang w:val="es-ES" w:eastAsia="es-ES"/>
              </w:rPr>
              <w:t>al</w:t>
            </w:r>
            <w:r w:rsidRPr="00B92F9D">
              <w:rPr>
                <w:rFonts w:ascii="Arial Narrow" w:hAnsi="Arial Narrow"/>
                <w:color w:val="000000"/>
                <w:sz w:val="18"/>
                <w:szCs w:val="18"/>
                <w:lang w:val="es-ES" w:eastAsia="es-ES"/>
              </w:rPr>
              <w:t xml:space="preserve">do </w:t>
            </w:r>
            <w:proofErr w:type="spellStart"/>
            <w:r w:rsidRPr="00B92F9D">
              <w:rPr>
                <w:rFonts w:ascii="Arial Narrow" w:hAnsi="Arial Narrow"/>
                <w:color w:val="000000"/>
                <w:sz w:val="18"/>
                <w:szCs w:val="18"/>
                <w:lang w:val="es-ES" w:eastAsia="es-ES"/>
              </w:rPr>
              <w:t>acreed</w:t>
            </w:r>
            <w:proofErr w:type="spellEnd"/>
            <w:r w:rsidRPr="00B92F9D">
              <w:rPr>
                <w:rFonts w:ascii="Arial Narrow" w:hAnsi="Arial Narrow"/>
                <w:color w:val="000000"/>
                <w:sz w:val="18"/>
                <w:szCs w:val="18"/>
                <w:lang w:val="es-ES" w:eastAsia="es-ES"/>
              </w:rPr>
              <w:t>)</w:t>
            </w:r>
          </w:p>
        </w:tc>
        <w:tc>
          <w:tcPr>
            <w:tcW w:w="510"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1.452.101</w:t>
            </w:r>
          </w:p>
        </w:tc>
        <w:tc>
          <w:tcPr>
            <w:tcW w:w="510" w:type="pct"/>
            <w:tcBorders>
              <w:top w:val="nil"/>
              <w:left w:val="nil"/>
              <w:bottom w:val="single" w:sz="4" w:space="0" w:color="auto"/>
              <w:right w:val="nil"/>
            </w:tcBorders>
            <w:shd w:val="clear" w:color="auto" w:fill="auto"/>
            <w:noWrap/>
            <w:vAlign w:val="center"/>
            <w:hideMark/>
          </w:tcPr>
          <w:p w:rsidR="00B92F9D" w:rsidRPr="00B92F9D" w:rsidRDefault="00B92F9D" w:rsidP="00B92F9D">
            <w:pPr>
              <w:spacing w:after="0"/>
              <w:ind w:firstLine="0"/>
              <w:jc w:val="righ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590.529</w:t>
            </w:r>
          </w:p>
        </w:tc>
        <w:tc>
          <w:tcPr>
            <w:tcW w:w="196" w:type="pct"/>
            <w:tcBorders>
              <w:top w:val="nil"/>
              <w:left w:val="single" w:sz="4" w:space="0" w:color="auto"/>
              <w:bottom w:val="single" w:sz="4" w:space="0" w:color="auto"/>
              <w:right w:val="nil"/>
            </w:tcBorders>
            <w:shd w:val="clear" w:color="auto" w:fill="auto"/>
            <w:noWrap/>
            <w:vAlign w:val="center"/>
            <w:hideMark/>
          </w:tcPr>
          <w:p w:rsidR="00B92F9D" w:rsidRPr="00B92F9D" w:rsidRDefault="00B92F9D" w:rsidP="00B92F9D">
            <w:pPr>
              <w:spacing w:after="0"/>
              <w:ind w:firstLine="0"/>
              <w:jc w:val="center"/>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89</w:t>
            </w:r>
          </w:p>
        </w:tc>
        <w:tc>
          <w:tcPr>
            <w:tcW w:w="1318" w:type="pct"/>
            <w:tcBorders>
              <w:top w:val="nil"/>
              <w:left w:val="nil"/>
              <w:bottom w:val="single" w:sz="4" w:space="0" w:color="auto"/>
              <w:right w:val="nil"/>
            </w:tcBorders>
            <w:shd w:val="clear" w:color="auto" w:fill="auto"/>
            <w:noWrap/>
            <w:vAlign w:val="center"/>
            <w:hideMark/>
          </w:tcPr>
          <w:p w:rsidR="00B92F9D" w:rsidRPr="00B92F9D" w:rsidRDefault="00B92F9D" w:rsidP="00B92F9D">
            <w:pPr>
              <w:spacing w:after="0"/>
              <w:ind w:firstLine="0"/>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Pérdida neta total (s</w:t>
            </w:r>
            <w:r w:rsidR="000E3A52">
              <w:rPr>
                <w:rFonts w:ascii="Arial Narrow" w:hAnsi="Arial Narrow"/>
                <w:color w:val="000000"/>
                <w:sz w:val="18"/>
                <w:szCs w:val="18"/>
                <w:lang w:val="es-ES" w:eastAsia="es-ES"/>
              </w:rPr>
              <w:t>al</w:t>
            </w:r>
            <w:r w:rsidRPr="00B92F9D">
              <w:rPr>
                <w:rFonts w:ascii="Arial Narrow" w:hAnsi="Arial Narrow"/>
                <w:color w:val="000000"/>
                <w:sz w:val="18"/>
                <w:szCs w:val="18"/>
                <w:lang w:val="es-ES" w:eastAsia="es-ES"/>
              </w:rPr>
              <w:t>do deudor)</w:t>
            </w:r>
          </w:p>
        </w:tc>
        <w:tc>
          <w:tcPr>
            <w:tcW w:w="529" w:type="pct"/>
            <w:tcBorders>
              <w:top w:val="nil"/>
              <w:left w:val="nil"/>
              <w:bottom w:val="single" w:sz="4" w:space="0" w:color="auto"/>
              <w:right w:val="nil"/>
            </w:tcBorders>
            <w:shd w:val="clear" w:color="auto" w:fill="auto"/>
            <w:vAlign w:val="center"/>
            <w:hideMark/>
          </w:tcPr>
          <w:p w:rsidR="00B92F9D" w:rsidRPr="00B92F9D" w:rsidRDefault="00B92F9D" w:rsidP="00B92F9D">
            <w:pPr>
              <w:spacing w:after="0"/>
              <w:ind w:firstLine="0"/>
              <w:jc w:val="righ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0</w:t>
            </w:r>
          </w:p>
        </w:tc>
        <w:tc>
          <w:tcPr>
            <w:tcW w:w="530" w:type="pct"/>
            <w:tcBorders>
              <w:top w:val="nil"/>
              <w:left w:val="nil"/>
              <w:bottom w:val="single" w:sz="4" w:space="0" w:color="auto"/>
              <w:right w:val="nil"/>
            </w:tcBorders>
            <w:shd w:val="clear" w:color="auto" w:fill="auto"/>
            <w:noWrap/>
            <w:vAlign w:val="center"/>
            <w:hideMark/>
          </w:tcPr>
          <w:p w:rsidR="00B92F9D" w:rsidRPr="00B92F9D" w:rsidRDefault="00B92F9D" w:rsidP="00B92F9D">
            <w:pPr>
              <w:spacing w:after="0"/>
              <w:ind w:firstLine="0"/>
              <w:jc w:val="right"/>
              <w:rPr>
                <w:rFonts w:ascii="Arial Narrow" w:hAnsi="Arial Narrow"/>
                <w:color w:val="000000"/>
                <w:sz w:val="18"/>
                <w:szCs w:val="18"/>
                <w:lang w:val="es-ES" w:eastAsia="es-ES"/>
              </w:rPr>
            </w:pPr>
            <w:r w:rsidRPr="00B92F9D">
              <w:rPr>
                <w:rFonts w:ascii="Arial Narrow" w:hAnsi="Arial Narrow"/>
                <w:color w:val="000000"/>
                <w:sz w:val="18"/>
                <w:szCs w:val="18"/>
                <w:lang w:val="es-ES" w:eastAsia="es-ES"/>
              </w:rPr>
              <w:t>0</w:t>
            </w:r>
          </w:p>
        </w:tc>
      </w:tr>
      <w:tr w:rsidR="00B92F9D" w:rsidRPr="00B92F9D" w:rsidTr="00B92F9D">
        <w:trPr>
          <w:trHeight w:val="300"/>
        </w:trPr>
        <w:tc>
          <w:tcPr>
            <w:tcW w:w="196" w:type="pct"/>
            <w:tcBorders>
              <w:top w:val="nil"/>
              <w:left w:val="nil"/>
              <w:bottom w:val="single" w:sz="4" w:space="0" w:color="auto"/>
              <w:right w:val="nil"/>
            </w:tcBorders>
            <w:shd w:val="clear" w:color="000000" w:fill="FABF8F"/>
            <w:noWrap/>
            <w:vAlign w:val="center"/>
            <w:hideMark/>
          </w:tcPr>
          <w:p w:rsidR="00B92F9D" w:rsidRPr="00B92F9D" w:rsidRDefault="00B92F9D" w:rsidP="00B92F9D">
            <w:pPr>
              <w:spacing w:after="0"/>
              <w:ind w:firstLine="0"/>
              <w:jc w:val="center"/>
              <w:rPr>
                <w:rFonts w:ascii="Arial" w:hAnsi="Arial" w:cs="Arial"/>
                <w:color w:val="000000"/>
                <w:sz w:val="18"/>
                <w:szCs w:val="18"/>
                <w:lang w:val="es-ES" w:eastAsia="es-ES"/>
              </w:rPr>
            </w:pPr>
            <w:r w:rsidRPr="00B92F9D">
              <w:rPr>
                <w:rFonts w:ascii="Arial" w:hAnsi="Arial" w:cs="Arial"/>
                <w:color w:val="000000"/>
                <w:sz w:val="18"/>
                <w:szCs w:val="18"/>
                <w:lang w:val="es-ES" w:eastAsia="es-ES"/>
              </w:rPr>
              <w:t> </w:t>
            </w:r>
          </w:p>
        </w:tc>
        <w:tc>
          <w:tcPr>
            <w:tcW w:w="1211" w:type="pct"/>
            <w:tcBorders>
              <w:top w:val="nil"/>
              <w:left w:val="nil"/>
              <w:bottom w:val="single" w:sz="4" w:space="0" w:color="auto"/>
              <w:right w:val="nil"/>
            </w:tcBorders>
            <w:shd w:val="clear" w:color="000000" w:fill="FABF8F"/>
            <w:vAlign w:val="center"/>
            <w:hideMark/>
          </w:tcPr>
          <w:p w:rsidR="00B92F9D" w:rsidRPr="00B92F9D" w:rsidRDefault="00B92F9D" w:rsidP="00B92F9D">
            <w:pPr>
              <w:spacing w:after="0"/>
              <w:ind w:firstLine="0"/>
              <w:rPr>
                <w:rFonts w:ascii="Arial" w:hAnsi="Arial" w:cs="Arial"/>
                <w:color w:val="000000"/>
                <w:sz w:val="18"/>
                <w:szCs w:val="18"/>
                <w:lang w:val="es-ES" w:eastAsia="es-ES"/>
              </w:rPr>
            </w:pPr>
            <w:r w:rsidRPr="00B92F9D">
              <w:rPr>
                <w:rFonts w:ascii="Arial" w:hAnsi="Arial" w:cs="Arial"/>
                <w:color w:val="000000"/>
                <w:sz w:val="18"/>
                <w:szCs w:val="18"/>
                <w:lang w:val="es-ES" w:eastAsia="es-ES"/>
              </w:rPr>
              <w:t>Total</w:t>
            </w:r>
          </w:p>
        </w:tc>
        <w:tc>
          <w:tcPr>
            <w:tcW w:w="510" w:type="pct"/>
            <w:tcBorders>
              <w:top w:val="nil"/>
              <w:left w:val="nil"/>
              <w:bottom w:val="single" w:sz="4" w:space="0" w:color="auto"/>
              <w:right w:val="nil"/>
            </w:tcBorders>
            <w:shd w:val="clear" w:color="000000" w:fill="FABF8F"/>
            <w:vAlign w:val="center"/>
            <w:hideMark/>
          </w:tcPr>
          <w:p w:rsidR="00B92F9D" w:rsidRPr="00B92F9D" w:rsidRDefault="00B92F9D" w:rsidP="00B92F9D">
            <w:pPr>
              <w:spacing w:after="0"/>
              <w:ind w:firstLine="0"/>
              <w:jc w:val="right"/>
              <w:rPr>
                <w:rFonts w:ascii="Arial" w:hAnsi="Arial" w:cs="Arial"/>
                <w:color w:val="000000"/>
                <w:sz w:val="18"/>
                <w:szCs w:val="18"/>
                <w:lang w:val="es-ES" w:eastAsia="es-ES"/>
              </w:rPr>
            </w:pPr>
            <w:r w:rsidRPr="00B92F9D">
              <w:rPr>
                <w:rFonts w:ascii="Arial" w:hAnsi="Arial" w:cs="Arial"/>
                <w:color w:val="000000"/>
                <w:sz w:val="18"/>
                <w:szCs w:val="18"/>
                <w:lang w:val="es-ES" w:eastAsia="es-ES"/>
              </w:rPr>
              <w:t>1.476.068</w:t>
            </w:r>
          </w:p>
        </w:tc>
        <w:tc>
          <w:tcPr>
            <w:tcW w:w="510" w:type="pct"/>
            <w:tcBorders>
              <w:top w:val="nil"/>
              <w:left w:val="nil"/>
              <w:bottom w:val="single" w:sz="4" w:space="0" w:color="auto"/>
              <w:right w:val="nil"/>
            </w:tcBorders>
            <w:shd w:val="clear" w:color="000000" w:fill="FABF8F"/>
            <w:noWrap/>
            <w:vAlign w:val="center"/>
            <w:hideMark/>
          </w:tcPr>
          <w:p w:rsidR="00B92F9D" w:rsidRPr="00B92F9D" w:rsidRDefault="00B92F9D" w:rsidP="00B92F9D">
            <w:pPr>
              <w:spacing w:after="0"/>
              <w:ind w:firstLine="0"/>
              <w:jc w:val="right"/>
              <w:rPr>
                <w:rFonts w:ascii="Arial" w:hAnsi="Arial" w:cs="Arial"/>
                <w:color w:val="000000"/>
                <w:sz w:val="18"/>
                <w:szCs w:val="18"/>
                <w:lang w:val="es-ES" w:eastAsia="es-ES"/>
              </w:rPr>
            </w:pPr>
            <w:r w:rsidRPr="00B92F9D">
              <w:rPr>
                <w:rFonts w:ascii="Arial" w:hAnsi="Arial" w:cs="Arial"/>
                <w:color w:val="000000"/>
                <w:sz w:val="18"/>
                <w:szCs w:val="18"/>
                <w:lang w:val="es-ES" w:eastAsia="es-ES"/>
              </w:rPr>
              <w:t>606.782</w:t>
            </w:r>
          </w:p>
        </w:tc>
        <w:tc>
          <w:tcPr>
            <w:tcW w:w="196" w:type="pct"/>
            <w:tcBorders>
              <w:top w:val="nil"/>
              <w:left w:val="single" w:sz="4" w:space="0" w:color="auto"/>
              <w:bottom w:val="single" w:sz="4" w:space="0" w:color="auto"/>
              <w:right w:val="nil"/>
            </w:tcBorders>
            <w:shd w:val="clear" w:color="000000" w:fill="FABF8F"/>
            <w:noWrap/>
            <w:vAlign w:val="center"/>
            <w:hideMark/>
          </w:tcPr>
          <w:p w:rsidR="00B92F9D" w:rsidRPr="00B92F9D" w:rsidRDefault="00B92F9D" w:rsidP="00B92F9D">
            <w:pPr>
              <w:spacing w:after="0"/>
              <w:ind w:firstLine="0"/>
              <w:jc w:val="center"/>
              <w:rPr>
                <w:rFonts w:ascii="Arial" w:hAnsi="Arial" w:cs="Arial"/>
                <w:color w:val="000000"/>
                <w:sz w:val="18"/>
                <w:szCs w:val="18"/>
                <w:lang w:val="es-ES" w:eastAsia="es-ES"/>
              </w:rPr>
            </w:pPr>
            <w:r w:rsidRPr="00B92F9D">
              <w:rPr>
                <w:rFonts w:ascii="Arial" w:hAnsi="Arial" w:cs="Arial"/>
                <w:color w:val="000000"/>
                <w:sz w:val="18"/>
                <w:szCs w:val="18"/>
                <w:lang w:val="es-ES" w:eastAsia="es-ES"/>
              </w:rPr>
              <w:t> </w:t>
            </w:r>
          </w:p>
        </w:tc>
        <w:tc>
          <w:tcPr>
            <w:tcW w:w="1318" w:type="pct"/>
            <w:tcBorders>
              <w:top w:val="nil"/>
              <w:left w:val="nil"/>
              <w:bottom w:val="single" w:sz="4" w:space="0" w:color="auto"/>
              <w:right w:val="nil"/>
            </w:tcBorders>
            <w:shd w:val="clear" w:color="000000" w:fill="FABF8F"/>
            <w:vAlign w:val="center"/>
            <w:hideMark/>
          </w:tcPr>
          <w:p w:rsidR="00B92F9D" w:rsidRPr="00B92F9D" w:rsidRDefault="00B92F9D" w:rsidP="00B92F9D">
            <w:pPr>
              <w:spacing w:after="0"/>
              <w:ind w:firstLine="0"/>
              <w:rPr>
                <w:rFonts w:ascii="Arial" w:hAnsi="Arial" w:cs="Arial"/>
                <w:color w:val="000000"/>
                <w:sz w:val="18"/>
                <w:szCs w:val="18"/>
                <w:lang w:val="es-ES" w:eastAsia="es-ES"/>
              </w:rPr>
            </w:pPr>
            <w:r w:rsidRPr="00B92F9D">
              <w:rPr>
                <w:rFonts w:ascii="Arial" w:hAnsi="Arial" w:cs="Arial"/>
                <w:color w:val="000000"/>
                <w:sz w:val="18"/>
                <w:szCs w:val="18"/>
                <w:lang w:val="es-ES" w:eastAsia="es-ES"/>
              </w:rPr>
              <w:t>Total</w:t>
            </w:r>
          </w:p>
        </w:tc>
        <w:tc>
          <w:tcPr>
            <w:tcW w:w="529" w:type="pct"/>
            <w:tcBorders>
              <w:top w:val="nil"/>
              <w:left w:val="nil"/>
              <w:bottom w:val="single" w:sz="4" w:space="0" w:color="auto"/>
              <w:right w:val="nil"/>
            </w:tcBorders>
            <w:shd w:val="clear" w:color="000000" w:fill="FABF8F"/>
            <w:vAlign w:val="center"/>
            <w:hideMark/>
          </w:tcPr>
          <w:p w:rsidR="00B92F9D" w:rsidRPr="00B92F9D" w:rsidRDefault="00B92F9D" w:rsidP="00B92F9D">
            <w:pPr>
              <w:spacing w:after="0"/>
              <w:ind w:firstLine="0"/>
              <w:jc w:val="right"/>
              <w:rPr>
                <w:rFonts w:ascii="Arial" w:hAnsi="Arial" w:cs="Arial"/>
                <w:color w:val="000000"/>
                <w:sz w:val="18"/>
                <w:szCs w:val="18"/>
                <w:lang w:val="es-ES" w:eastAsia="es-ES"/>
              </w:rPr>
            </w:pPr>
            <w:r w:rsidRPr="00B92F9D">
              <w:rPr>
                <w:rFonts w:ascii="Arial" w:hAnsi="Arial" w:cs="Arial"/>
                <w:color w:val="000000"/>
                <w:sz w:val="18"/>
                <w:szCs w:val="18"/>
                <w:lang w:val="es-ES" w:eastAsia="es-ES"/>
              </w:rPr>
              <w:t>1.476.068</w:t>
            </w:r>
          </w:p>
        </w:tc>
        <w:tc>
          <w:tcPr>
            <w:tcW w:w="530" w:type="pct"/>
            <w:tcBorders>
              <w:top w:val="nil"/>
              <w:left w:val="nil"/>
              <w:bottom w:val="single" w:sz="4" w:space="0" w:color="auto"/>
              <w:right w:val="nil"/>
            </w:tcBorders>
            <w:shd w:val="clear" w:color="000000" w:fill="FABF8F"/>
            <w:noWrap/>
            <w:vAlign w:val="center"/>
            <w:hideMark/>
          </w:tcPr>
          <w:p w:rsidR="00B92F9D" w:rsidRPr="00B92F9D" w:rsidRDefault="00B92F9D" w:rsidP="00B92F9D">
            <w:pPr>
              <w:spacing w:after="0"/>
              <w:ind w:firstLine="0"/>
              <w:jc w:val="right"/>
              <w:rPr>
                <w:rFonts w:ascii="Arial" w:hAnsi="Arial" w:cs="Arial"/>
                <w:color w:val="000000"/>
                <w:sz w:val="18"/>
                <w:szCs w:val="18"/>
                <w:lang w:val="es-ES" w:eastAsia="es-ES"/>
              </w:rPr>
            </w:pPr>
            <w:r w:rsidRPr="00B92F9D">
              <w:rPr>
                <w:rFonts w:ascii="Arial" w:hAnsi="Arial" w:cs="Arial"/>
                <w:color w:val="000000"/>
                <w:sz w:val="18"/>
                <w:szCs w:val="18"/>
                <w:lang w:val="es-ES" w:eastAsia="es-ES"/>
              </w:rPr>
              <w:t>606.782</w:t>
            </w:r>
          </w:p>
        </w:tc>
      </w:tr>
    </w:tbl>
    <w:p w:rsidR="00B92F9D" w:rsidRPr="003B43B0" w:rsidRDefault="00B92F9D" w:rsidP="00167AE7">
      <w:pPr>
        <w:spacing w:before="60" w:after="0"/>
        <w:ind w:left="28" w:firstLine="0"/>
        <w:rPr>
          <w:rFonts w:ascii="Arial Narrow" w:hAnsi="Arial Narrow"/>
          <w:sz w:val="16"/>
          <w:szCs w:val="16"/>
        </w:rPr>
      </w:pPr>
      <w:r w:rsidRPr="003B43B0">
        <w:rPr>
          <w:rFonts w:ascii="Arial Narrow" w:hAnsi="Arial Narrow"/>
          <w:sz w:val="16"/>
          <w:szCs w:val="16"/>
        </w:rPr>
        <w:t>* Ejercicio no auditado</w:t>
      </w:r>
    </w:p>
    <w:p w:rsidR="00B92F9D" w:rsidRDefault="00B92F9D" w:rsidP="00B92F9D">
      <w:pPr>
        <w:spacing w:after="0"/>
        <w:ind w:firstLine="0"/>
        <w:rPr>
          <w:rFonts w:ascii="Arial" w:hAnsi="Arial" w:cs="Arial"/>
        </w:rPr>
      </w:pPr>
    </w:p>
    <w:p w:rsidR="00B92F9D" w:rsidRDefault="00B92F9D" w:rsidP="00B92F9D">
      <w:pPr>
        <w:spacing w:after="0"/>
        <w:ind w:firstLine="0"/>
        <w:jc w:val="left"/>
        <w:rPr>
          <w:rFonts w:ascii="Arial" w:hAnsi="Arial" w:cs="Arial"/>
        </w:rPr>
      </w:pPr>
    </w:p>
    <w:p w:rsidR="00B92F9D" w:rsidRDefault="00B92F9D" w:rsidP="00690D3D">
      <w:pPr>
        <w:spacing w:after="0"/>
        <w:ind w:firstLine="0"/>
        <w:jc w:val="center"/>
        <w:rPr>
          <w:rFonts w:ascii="Arial" w:hAnsi="Arial" w:cs="Arial"/>
        </w:rPr>
      </w:pPr>
    </w:p>
    <w:p w:rsidR="00B92F9D" w:rsidRPr="007B7455" w:rsidRDefault="00B92F9D" w:rsidP="00690D3D">
      <w:pPr>
        <w:spacing w:after="0"/>
        <w:ind w:firstLine="0"/>
        <w:jc w:val="center"/>
        <w:rPr>
          <w:rFonts w:ascii="Arial" w:hAnsi="Arial" w:cs="Arial"/>
        </w:rPr>
      </w:pPr>
    </w:p>
    <w:p w:rsidR="009F0368" w:rsidRDefault="009F0368" w:rsidP="00690D3D">
      <w:pPr>
        <w:spacing w:after="0"/>
        <w:ind w:firstLine="0"/>
        <w:jc w:val="center"/>
      </w:pPr>
    </w:p>
    <w:p w:rsidR="009F0368" w:rsidRDefault="009F0368" w:rsidP="009F0368">
      <w:pPr>
        <w:spacing w:after="0"/>
        <w:ind w:firstLine="0"/>
        <w:jc w:val="left"/>
      </w:pPr>
    </w:p>
    <w:p w:rsidR="009F0368" w:rsidRDefault="009F0368" w:rsidP="009F0368">
      <w:pPr>
        <w:spacing w:after="0"/>
        <w:ind w:firstLine="0"/>
        <w:jc w:val="left"/>
      </w:pPr>
    </w:p>
    <w:p w:rsidR="009F0368" w:rsidRDefault="009F0368" w:rsidP="009F0368">
      <w:pPr>
        <w:spacing w:after="0"/>
        <w:ind w:firstLine="0"/>
        <w:jc w:val="left"/>
      </w:pPr>
    </w:p>
    <w:p w:rsidR="0094579E" w:rsidRDefault="0094579E">
      <w:pPr>
        <w:spacing w:after="0"/>
        <w:ind w:firstLine="0"/>
        <w:jc w:val="left"/>
      </w:pPr>
      <w:r>
        <w:br w:type="page"/>
      </w:r>
    </w:p>
    <w:p w:rsidR="0067725A" w:rsidRPr="00CB2DA8" w:rsidRDefault="0067725A" w:rsidP="0012143D">
      <w:pPr>
        <w:pStyle w:val="atitulo1"/>
        <w:spacing w:after="200"/>
        <w:rPr>
          <w:rFonts w:cs="Arial"/>
          <w:szCs w:val="25"/>
        </w:rPr>
      </w:pPr>
      <w:bookmarkStart w:id="65" w:name="_Toc430935366"/>
      <w:bookmarkStart w:id="66" w:name="_Toc22495440"/>
      <w:bookmarkStart w:id="67" w:name="_Toc50018584"/>
      <w:r w:rsidRPr="00CB2DA8">
        <w:rPr>
          <w:rFonts w:cs="Arial"/>
          <w:szCs w:val="25"/>
        </w:rPr>
        <w:lastRenderedPageBreak/>
        <w:t xml:space="preserve">VI. </w:t>
      </w:r>
      <w:bookmarkEnd w:id="65"/>
      <w:r w:rsidRPr="00CB2DA8">
        <w:rPr>
          <w:rFonts w:cs="Arial"/>
          <w:szCs w:val="25"/>
        </w:rPr>
        <w:t>Conclusiones y recomendaciones</w:t>
      </w:r>
      <w:bookmarkEnd w:id="66"/>
      <w:bookmarkEnd w:id="67"/>
    </w:p>
    <w:p w:rsidR="00F77863" w:rsidRPr="001338B5" w:rsidRDefault="00F77863" w:rsidP="005D3ABF">
      <w:pPr>
        <w:pStyle w:val="texto"/>
        <w:spacing w:after="100"/>
      </w:pPr>
      <w:r w:rsidRPr="001338B5">
        <w:t>Como parte de la fiscalización realizada, a continuación se incluyen aquellas o</w:t>
      </w:r>
      <w:r w:rsidRPr="001338B5">
        <w:t>b</w:t>
      </w:r>
      <w:r w:rsidRPr="001338B5">
        <w:t>servaciones y comentarios junto con determinada información adicional que esta Cámara considera que puede ser de interés a los destinatarios y usuarios del prese</w:t>
      </w:r>
      <w:r w:rsidRPr="001338B5">
        <w:t>n</w:t>
      </w:r>
      <w:r w:rsidRPr="001338B5">
        <w:t>te informe de fiscalización.</w:t>
      </w:r>
    </w:p>
    <w:p w:rsidR="00F77863" w:rsidRPr="001338B5" w:rsidRDefault="00F77863" w:rsidP="005D3ABF">
      <w:pPr>
        <w:pStyle w:val="texto"/>
        <w:spacing w:after="100"/>
      </w:pPr>
      <w:r w:rsidRPr="0023658E">
        <w:t xml:space="preserve">También comprende </w:t>
      </w:r>
      <w:r w:rsidR="0023658E" w:rsidRPr="0023658E">
        <w:t xml:space="preserve">información detallada sobre la </w:t>
      </w:r>
      <w:r w:rsidRPr="0023658E">
        <w:t>salvedad</w:t>
      </w:r>
      <w:r w:rsidR="0023658E" w:rsidRPr="0023658E">
        <w:t xml:space="preserve"> de</w:t>
      </w:r>
      <w:r w:rsidRPr="0023658E">
        <w:t xml:space="preserve"> la opini</w:t>
      </w:r>
      <w:r w:rsidR="001E55F9" w:rsidRPr="0023658E">
        <w:t>ón del informe de fiscalización.</w:t>
      </w:r>
    </w:p>
    <w:p w:rsidR="00F77863" w:rsidRPr="001338B5" w:rsidRDefault="00F77863" w:rsidP="005D3ABF">
      <w:pPr>
        <w:pStyle w:val="texto"/>
        <w:spacing w:after="120"/>
      </w:pPr>
      <w:r w:rsidRPr="001338B5">
        <w:t>Incluye, igualmente, las recomendaciones que esta Cámara considera precisas para una mejora de la gestión económico-administrativa</w:t>
      </w:r>
      <w:r>
        <w:t xml:space="preserve"> del </w:t>
      </w:r>
      <w:r w:rsidR="00CB2DA8">
        <w:t>a</w:t>
      </w:r>
      <w:r w:rsidR="00D426D2">
        <w:t>yuntamiento</w:t>
      </w:r>
      <w:r w:rsidR="00E75AA1">
        <w:t xml:space="preserve"> y su</w:t>
      </w:r>
      <w:r w:rsidR="00CB2DA8">
        <w:t xml:space="preserve"> </w:t>
      </w:r>
      <w:r w:rsidR="000D765D">
        <w:t>ente dependiente</w:t>
      </w:r>
      <w:r w:rsidR="00E75AA1">
        <w:t>.</w:t>
      </w:r>
      <w:r w:rsidRPr="001338B5">
        <w:t xml:space="preserve"> </w:t>
      </w:r>
    </w:p>
    <w:p w:rsidR="0067725A" w:rsidRPr="00C801EE" w:rsidRDefault="0067725A" w:rsidP="00C801EE">
      <w:pPr>
        <w:pStyle w:val="atitulo2"/>
        <w:spacing w:before="240"/>
        <w:rPr>
          <w:spacing w:val="2"/>
        </w:rPr>
      </w:pPr>
      <w:bookmarkStart w:id="68" w:name="_Toc461588448"/>
      <w:bookmarkStart w:id="69" w:name="_Toc461590590"/>
      <w:bookmarkStart w:id="70" w:name="_Toc461591110"/>
      <w:bookmarkStart w:id="71" w:name="_Toc461592241"/>
      <w:bookmarkStart w:id="72" w:name="_Toc461593661"/>
      <w:bookmarkStart w:id="73" w:name="_Toc461593794"/>
      <w:bookmarkStart w:id="74" w:name="_Toc461594096"/>
      <w:bookmarkStart w:id="75" w:name="_Toc461594693"/>
      <w:bookmarkStart w:id="76" w:name="_Toc461595086"/>
      <w:bookmarkStart w:id="77" w:name="_Toc461595678"/>
      <w:bookmarkStart w:id="78" w:name="_Toc461601747"/>
      <w:bookmarkStart w:id="79" w:name="_Toc461602534"/>
      <w:bookmarkStart w:id="80" w:name="_Toc462124223"/>
      <w:bookmarkStart w:id="81" w:name="_Toc462124303"/>
      <w:bookmarkStart w:id="82" w:name="_Toc462803278"/>
      <w:bookmarkStart w:id="83" w:name="_Toc463680850"/>
      <w:bookmarkStart w:id="84" w:name="_Toc463680930"/>
      <w:bookmarkStart w:id="85" w:name="_Toc463681087"/>
      <w:bookmarkStart w:id="86" w:name="_Toc464619342"/>
      <w:bookmarkStart w:id="87" w:name="_Toc464870764"/>
      <w:bookmarkStart w:id="88" w:name="_Toc496503483"/>
      <w:bookmarkStart w:id="89" w:name="_Toc69801029"/>
      <w:bookmarkStart w:id="90" w:name="_Toc93816327"/>
      <w:bookmarkStart w:id="91" w:name="_Toc93817014"/>
      <w:bookmarkStart w:id="92" w:name="_Toc120335778"/>
      <w:bookmarkStart w:id="93" w:name="_Toc120335700"/>
      <w:bookmarkStart w:id="94" w:name="_Toc120335533"/>
      <w:bookmarkStart w:id="95" w:name="_Toc318960028"/>
      <w:bookmarkStart w:id="96" w:name="_Toc430935363"/>
      <w:bookmarkStart w:id="97" w:name="_Toc50018585"/>
      <w:bookmarkStart w:id="98" w:name="_Toc22495441"/>
      <w:r w:rsidRPr="00C801EE">
        <w:rPr>
          <w:spacing w:val="2"/>
        </w:rPr>
        <w:t xml:space="preserve">VI.1. </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C801EE">
        <w:rPr>
          <w:spacing w:val="2"/>
        </w:rPr>
        <w:t>Presupuesto General</w:t>
      </w:r>
      <w:bookmarkEnd w:id="97"/>
      <w:r w:rsidRPr="00C801EE">
        <w:rPr>
          <w:spacing w:val="2"/>
        </w:rPr>
        <w:t xml:space="preserve"> </w:t>
      </w:r>
      <w:bookmarkEnd w:id="98"/>
    </w:p>
    <w:p w:rsidR="0067725A" w:rsidRPr="00D356CE" w:rsidRDefault="0067725A" w:rsidP="005D3ABF">
      <w:pPr>
        <w:pStyle w:val="texto"/>
        <w:spacing w:after="100"/>
        <w:rPr>
          <w:spacing w:val="4"/>
        </w:rPr>
      </w:pPr>
      <w:r w:rsidRPr="00D356CE">
        <w:rPr>
          <w:spacing w:val="4"/>
        </w:rPr>
        <w:t>El presu</w:t>
      </w:r>
      <w:r w:rsidR="005D5933">
        <w:rPr>
          <w:spacing w:val="4"/>
        </w:rPr>
        <w:t xml:space="preserve">puesto inicial del </w:t>
      </w:r>
      <w:r w:rsidR="00996B35">
        <w:rPr>
          <w:spacing w:val="4"/>
        </w:rPr>
        <w:t>a</w:t>
      </w:r>
      <w:r w:rsidR="00D426D2">
        <w:rPr>
          <w:spacing w:val="4"/>
        </w:rPr>
        <w:t>yuntamiento</w:t>
      </w:r>
      <w:r w:rsidRPr="00D356CE">
        <w:rPr>
          <w:spacing w:val="4"/>
        </w:rPr>
        <w:t xml:space="preserve"> para </w:t>
      </w:r>
      <w:r w:rsidR="00996B35">
        <w:rPr>
          <w:spacing w:val="4"/>
        </w:rPr>
        <w:t>2019</w:t>
      </w:r>
      <w:r w:rsidRPr="00D356CE">
        <w:rPr>
          <w:spacing w:val="4"/>
        </w:rPr>
        <w:t xml:space="preserve">, presentaba unas previsiones iniciales de ingresos y gastos de </w:t>
      </w:r>
      <w:r w:rsidR="000D765D">
        <w:rPr>
          <w:spacing w:val="4"/>
        </w:rPr>
        <w:t>13,80</w:t>
      </w:r>
      <w:r w:rsidRPr="00D356CE">
        <w:rPr>
          <w:spacing w:val="4"/>
        </w:rPr>
        <w:t xml:space="preserve"> millones de euros respectivamente. </w:t>
      </w:r>
    </w:p>
    <w:p w:rsidR="0067725A" w:rsidRPr="004B617A" w:rsidRDefault="0067725A" w:rsidP="005D3ABF">
      <w:pPr>
        <w:pStyle w:val="texto"/>
        <w:spacing w:after="100"/>
        <w:rPr>
          <w:strike/>
          <w:spacing w:val="4"/>
        </w:rPr>
      </w:pPr>
      <w:r w:rsidRPr="00D356CE">
        <w:rPr>
          <w:spacing w:val="4"/>
        </w:rPr>
        <w:t xml:space="preserve">Tras las modificaciones presupuestarias de </w:t>
      </w:r>
      <w:r w:rsidR="000D765D">
        <w:rPr>
          <w:spacing w:val="4"/>
        </w:rPr>
        <w:t>6,83</w:t>
      </w:r>
      <w:r w:rsidRPr="00D356CE">
        <w:rPr>
          <w:spacing w:val="4"/>
        </w:rPr>
        <w:t xml:space="preserve"> millones de euros, que suponen un </w:t>
      </w:r>
      <w:r w:rsidR="000D765D">
        <w:rPr>
          <w:spacing w:val="4"/>
        </w:rPr>
        <w:t>50</w:t>
      </w:r>
      <w:r w:rsidRPr="00D356CE">
        <w:rPr>
          <w:spacing w:val="4"/>
        </w:rPr>
        <w:t xml:space="preserve"> por ciento de los créditos in</w:t>
      </w:r>
      <w:r w:rsidR="000D765D">
        <w:rPr>
          <w:spacing w:val="4"/>
        </w:rPr>
        <w:t xml:space="preserve">iciales, las previsiones definitivas </w:t>
      </w:r>
      <w:r w:rsidRPr="00D356CE">
        <w:rPr>
          <w:spacing w:val="4"/>
        </w:rPr>
        <w:t xml:space="preserve">ascendieron a </w:t>
      </w:r>
      <w:r w:rsidR="000D765D">
        <w:rPr>
          <w:spacing w:val="4"/>
        </w:rPr>
        <w:t>20,63</w:t>
      </w:r>
      <w:r w:rsidRPr="00D356CE">
        <w:rPr>
          <w:spacing w:val="4"/>
        </w:rPr>
        <w:t xml:space="preserve"> millones de euros.</w:t>
      </w:r>
      <w:r w:rsidR="00B45CA5">
        <w:rPr>
          <w:spacing w:val="4"/>
        </w:rPr>
        <w:t xml:space="preserve"> </w:t>
      </w:r>
      <w:r w:rsidR="004D5553" w:rsidRPr="009F5A89">
        <w:rPr>
          <w:color w:val="000000" w:themeColor="text1"/>
          <w:spacing w:val="4"/>
        </w:rPr>
        <w:t>El 90 por ciento del importe total de modificaciones corre</w:t>
      </w:r>
      <w:r w:rsidR="004D5553" w:rsidRPr="009F5A89">
        <w:rPr>
          <w:color w:val="000000" w:themeColor="text1"/>
          <w:spacing w:val="4"/>
        </w:rPr>
        <w:t>s</w:t>
      </w:r>
      <w:r w:rsidR="004D5553" w:rsidRPr="009F5A89">
        <w:rPr>
          <w:color w:val="000000" w:themeColor="text1"/>
          <w:spacing w:val="4"/>
        </w:rPr>
        <w:t>ponden al capítulo 6 de inversiones reales</w:t>
      </w:r>
      <w:r w:rsidR="004D5553">
        <w:rPr>
          <w:spacing w:val="4"/>
        </w:rPr>
        <w:t xml:space="preserve">. </w:t>
      </w:r>
    </w:p>
    <w:p w:rsidR="0067725A" w:rsidRPr="00D356CE" w:rsidRDefault="0067725A" w:rsidP="005D3ABF">
      <w:pPr>
        <w:spacing w:before="200"/>
        <w:ind w:firstLine="284"/>
        <w:jc w:val="left"/>
        <w:rPr>
          <w:rFonts w:ascii="Arial" w:hAnsi="Arial"/>
          <w:i/>
          <w:iCs/>
          <w:color w:val="000000"/>
          <w:spacing w:val="10"/>
          <w:kern w:val="28"/>
          <w:sz w:val="24"/>
          <w:szCs w:val="24"/>
          <w:lang w:val="es-ES"/>
        </w:rPr>
      </w:pPr>
      <w:r w:rsidRPr="00D356CE">
        <w:rPr>
          <w:rFonts w:ascii="Arial" w:hAnsi="Arial"/>
          <w:i/>
          <w:iCs/>
          <w:color w:val="000000"/>
          <w:spacing w:val="10"/>
          <w:kern w:val="28"/>
          <w:sz w:val="24"/>
          <w:szCs w:val="24"/>
          <w:lang w:val="es-ES"/>
        </w:rPr>
        <w:t>Liquidación presupuestaria</w:t>
      </w:r>
    </w:p>
    <w:p w:rsidR="0067725A" w:rsidRPr="00D356CE" w:rsidRDefault="0067725A" w:rsidP="005D3ABF">
      <w:pPr>
        <w:pStyle w:val="texto"/>
        <w:spacing w:after="100"/>
        <w:rPr>
          <w:spacing w:val="4"/>
        </w:rPr>
      </w:pPr>
      <w:r w:rsidRPr="00D356CE">
        <w:rPr>
          <w:spacing w:val="4"/>
        </w:rPr>
        <w:t xml:space="preserve">En </w:t>
      </w:r>
      <w:r w:rsidR="00996B35">
        <w:rPr>
          <w:spacing w:val="4"/>
        </w:rPr>
        <w:t>2019</w:t>
      </w:r>
      <w:r w:rsidR="002B1F77">
        <w:rPr>
          <w:spacing w:val="4"/>
        </w:rPr>
        <w:t>,</w:t>
      </w:r>
      <w:r w:rsidRPr="00D356CE">
        <w:rPr>
          <w:spacing w:val="4"/>
        </w:rPr>
        <w:t xml:space="preserve"> los gastos alcanzaron </w:t>
      </w:r>
      <w:r w:rsidR="000D765D">
        <w:rPr>
          <w:spacing w:val="4"/>
        </w:rPr>
        <w:t>14,77</w:t>
      </w:r>
      <w:r w:rsidRPr="00D356CE">
        <w:rPr>
          <w:spacing w:val="4"/>
        </w:rPr>
        <w:t xml:space="preserve"> millones de euros con un grado de ejecución del </w:t>
      </w:r>
      <w:r w:rsidR="00D55CDF">
        <w:rPr>
          <w:spacing w:val="4"/>
        </w:rPr>
        <w:t>7</w:t>
      </w:r>
      <w:r w:rsidR="000D765D">
        <w:rPr>
          <w:spacing w:val="4"/>
        </w:rPr>
        <w:t>2</w:t>
      </w:r>
      <w:r w:rsidRPr="00D356CE">
        <w:rPr>
          <w:spacing w:val="4"/>
        </w:rPr>
        <w:t xml:space="preserve"> por </w:t>
      </w:r>
      <w:r w:rsidR="00D55CDF">
        <w:rPr>
          <w:spacing w:val="4"/>
        </w:rPr>
        <w:t>ciento</w:t>
      </w:r>
      <w:r w:rsidRPr="00D356CE">
        <w:rPr>
          <w:spacing w:val="4"/>
        </w:rPr>
        <w:t xml:space="preserve">. </w:t>
      </w:r>
      <w:r w:rsidR="003767BE">
        <w:rPr>
          <w:spacing w:val="4"/>
        </w:rPr>
        <w:t>Dichos</w:t>
      </w:r>
      <w:r w:rsidR="009A6CBF">
        <w:rPr>
          <w:spacing w:val="4"/>
        </w:rPr>
        <w:t xml:space="preserve"> gastos f</w:t>
      </w:r>
      <w:r w:rsidRPr="00D356CE">
        <w:rPr>
          <w:spacing w:val="4"/>
        </w:rPr>
        <w:t xml:space="preserve">ueron un </w:t>
      </w:r>
      <w:r w:rsidR="00371192">
        <w:rPr>
          <w:spacing w:val="4"/>
        </w:rPr>
        <w:t>ocho</w:t>
      </w:r>
      <w:r w:rsidR="009A6CBF">
        <w:rPr>
          <w:spacing w:val="4"/>
        </w:rPr>
        <w:t xml:space="preserve"> </w:t>
      </w:r>
      <w:r w:rsidRPr="00D356CE">
        <w:rPr>
          <w:spacing w:val="4"/>
        </w:rPr>
        <w:t>por ciento superiores a los de 201</w:t>
      </w:r>
      <w:r w:rsidR="00371192">
        <w:rPr>
          <w:spacing w:val="4"/>
        </w:rPr>
        <w:t>8</w:t>
      </w:r>
      <w:r w:rsidRPr="00D356CE">
        <w:rPr>
          <w:spacing w:val="4"/>
        </w:rPr>
        <w:t>.</w:t>
      </w:r>
    </w:p>
    <w:p w:rsidR="0067725A" w:rsidRPr="00D0456C" w:rsidRDefault="0067725A" w:rsidP="005D3ABF">
      <w:pPr>
        <w:pStyle w:val="texto"/>
        <w:spacing w:after="100"/>
        <w:rPr>
          <w:spacing w:val="4"/>
        </w:rPr>
      </w:pPr>
      <w:r w:rsidRPr="00D356CE">
        <w:rPr>
          <w:spacing w:val="4"/>
        </w:rPr>
        <w:t xml:space="preserve">En cuanto a los ingresos, en </w:t>
      </w:r>
      <w:r w:rsidR="00996B35">
        <w:rPr>
          <w:spacing w:val="4"/>
        </w:rPr>
        <w:t>2019</w:t>
      </w:r>
      <w:r w:rsidRPr="00D356CE">
        <w:rPr>
          <w:spacing w:val="4"/>
        </w:rPr>
        <w:t xml:space="preserve"> se reconocieron derechos por </w:t>
      </w:r>
      <w:r w:rsidR="00321F55">
        <w:rPr>
          <w:spacing w:val="4"/>
        </w:rPr>
        <w:t>14,6</w:t>
      </w:r>
      <w:r w:rsidRPr="00D356CE">
        <w:rPr>
          <w:spacing w:val="4"/>
        </w:rPr>
        <w:t xml:space="preserve"> millones de euros con un grado de ejecución </w:t>
      </w:r>
      <w:r w:rsidR="009A7ECB">
        <w:rPr>
          <w:spacing w:val="4"/>
        </w:rPr>
        <w:t xml:space="preserve">del </w:t>
      </w:r>
      <w:r w:rsidR="00371192">
        <w:rPr>
          <w:spacing w:val="4"/>
        </w:rPr>
        <w:t>71</w:t>
      </w:r>
      <w:r w:rsidRPr="00D356CE">
        <w:rPr>
          <w:spacing w:val="4"/>
        </w:rPr>
        <w:t xml:space="preserve"> por ciento. </w:t>
      </w:r>
      <w:r w:rsidR="00371192">
        <w:rPr>
          <w:spacing w:val="4"/>
        </w:rPr>
        <w:t>Con respecto al ejercicio prec</w:t>
      </w:r>
      <w:r w:rsidR="00371192">
        <w:rPr>
          <w:spacing w:val="4"/>
        </w:rPr>
        <w:t>e</w:t>
      </w:r>
      <w:r w:rsidR="00371192">
        <w:rPr>
          <w:spacing w:val="4"/>
        </w:rPr>
        <w:t>dente, los ingresos han aumentado en un</w:t>
      </w:r>
      <w:r w:rsidRPr="00D356CE">
        <w:rPr>
          <w:spacing w:val="4"/>
        </w:rPr>
        <w:t xml:space="preserve"> </w:t>
      </w:r>
      <w:r w:rsidR="00371192">
        <w:rPr>
          <w:spacing w:val="4"/>
        </w:rPr>
        <w:t>cinco</w:t>
      </w:r>
      <w:r w:rsidRPr="00D356CE">
        <w:rPr>
          <w:spacing w:val="4"/>
        </w:rPr>
        <w:t xml:space="preserve"> por</w:t>
      </w:r>
      <w:r w:rsidRPr="00D0456C">
        <w:rPr>
          <w:spacing w:val="4"/>
        </w:rPr>
        <w:t xml:space="preserve"> ciento.</w:t>
      </w:r>
    </w:p>
    <w:p w:rsidR="0067725A" w:rsidRPr="00D356CE" w:rsidRDefault="0067725A" w:rsidP="005D3ABF">
      <w:pPr>
        <w:pStyle w:val="texto"/>
        <w:spacing w:after="180"/>
        <w:rPr>
          <w:spacing w:val="4"/>
        </w:rPr>
      </w:pPr>
      <w:r w:rsidRPr="00D356CE">
        <w:rPr>
          <w:spacing w:val="4"/>
        </w:rPr>
        <w:t xml:space="preserve">En </w:t>
      </w:r>
      <w:r w:rsidR="00CB2DA8">
        <w:rPr>
          <w:spacing w:val="4"/>
        </w:rPr>
        <w:t>el siguiente cuadro se muestra el destino y financiación, en porcentaje, de los gastos del ayuntamiento:</w:t>
      </w:r>
    </w:p>
    <w:tbl>
      <w:tblPr>
        <w:tblW w:w="0" w:type="auto"/>
        <w:jc w:val="center"/>
        <w:tblCellMar>
          <w:left w:w="70" w:type="dxa"/>
          <w:right w:w="70" w:type="dxa"/>
        </w:tblCellMar>
        <w:tblLook w:val="04A0" w:firstRow="1" w:lastRow="0" w:firstColumn="1" w:lastColumn="0" w:noHBand="0" w:noVBand="1"/>
      </w:tblPr>
      <w:tblGrid>
        <w:gridCol w:w="2630"/>
        <w:gridCol w:w="2074"/>
        <w:gridCol w:w="2694"/>
        <w:gridCol w:w="1759"/>
      </w:tblGrid>
      <w:tr w:rsidR="0067725A" w:rsidRPr="007747F2" w:rsidTr="0010713E">
        <w:trPr>
          <w:trHeight w:val="255"/>
          <w:jc w:val="center"/>
        </w:trPr>
        <w:tc>
          <w:tcPr>
            <w:tcW w:w="2630" w:type="dxa"/>
            <w:tcBorders>
              <w:top w:val="single" w:sz="4" w:space="0" w:color="auto"/>
              <w:left w:val="nil"/>
              <w:bottom w:val="single" w:sz="4" w:space="0" w:color="auto"/>
              <w:right w:val="nil"/>
            </w:tcBorders>
            <w:shd w:val="clear" w:color="auto" w:fill="FABF8F" w:themeFill="accent6" w:themeFillTint="99"/>
            <w:vAlign w:val="center"/>
            <w:hideMark/>
          </w:tcPr>
          <w:p w:rsidR="0067725A" w:rsidRPr="007747F2" w:rsidRDefault="0067725A" w:rsidP="004D712A">
            <w:pPr>
              <w:spacing w:after="0"/>
              <w:ind w:firstLine="0"/>
              <w:jc w:val="left"/>
              <w:rPr>
                <w:rFonts w:ascii="Arial Narrow" w:hAnsi="Arial Narrow" w:cs="Arial"/>
                <w:sz w:val="18"/>
                <w:szCs w:val="18"/>
                <w:lang w:val="es-ES" w:eastAsia="es-ES"/>
              </w:rPr>
            </w:pPr>
            <w:r w:rsidRPr="007747F2">
              <w:rPr>
                <w:rFonts w:ascii="Arial Narrow" w:hAnsi="Arial Narrow" w:cs="Arial"/>
                <w:sz w:val="18"/>
                <w:szCs w:val="18"/>
                <w:lang w:eastAsia="es-ES"/>
              </w:rPr>
              <w:t>Naturaleza del gasto</w:t>
            </w:r>
          </w:p>
        </w:tc>
        <w:tc>
          <w:tcPr>
            <w:tcW w:w="2074" w:type="dxa"/>
            <w:tcBorders>
              <w:top w:val="single" w:sz="4" w:space="0" w:color="auto"/>
              <w:left w:val="nil"/>
              <w:bottom w:val="single" w:sz="4" w:space="0" w:color="auto"/>
              <w:right w:val="single" w:sz="4" w:space="0" w:color="auto"/>
            </w:tcBorders>
            <w:shd w:val="clear" w:color="auto" w:fill="FABF8F" w:themeFill="accent6" w:themeFillTint="99"/>
            <w:vAlign w:val="center"/>
            <w:hideMark/>
          </w:tcPr>
          <w:p w:rsidR="0067725A" w:rsidRPr="007747F2" w:rsidRDefault="00566C13" w:rsidP="00566C13">
            <w:pPr>
              <w:spacing w:after="0"/>
              <w:ind w:firstLine="0"/>
              <w:jc w:val="right"/>
              <w:rPr>
                <w:rFonts w:ascii="Arial Narrow" w:hAnsi="Arial Narrow" w:cs="Arial"/>
                <w:sz w:val="18"/>
                <w:szCs w:val="18"/>
                <w:lang w:val="es-ES" w:eastAsia="es-ES"/>
              </w:rPr>
            </w:pPr>
            <w:r w:rsidRPr="007747F2">
              <w:rPr>
                <w:rFonts w:ascii="Arial Narrow" w:hAnsi="Arial Narrow" w:cs="Arial"/>
                <w:sz w:val="18"/>
                <w:szCs w:val="18"/>
                <w:lang w:eastAsia="es-ES"/>
              </w:rPr>
              <w:t>Porcentaje</w:t>
            </w:r>
          </w:p>
        </w:tc>
        <w:tc>
          <w:tcPr>
            <w:tcW w:w="2694" w:type="dxa"/>
            <w:tcBorders>
              <w:top w:val="single" w:sz="4" w:space="0" w:color="auto"/>
              <w:left w:val="single" w:sz="4" w:space="0" w:color="auto"/>
              <w:bottom w:val="single" w:sz="4" w:space="0" w:color="auto"/>
              <w:right w:val="nil"/>
            </w:tcBorders>
            <w:shd w:val="clear" w:color="auto" w:fill="FABF8F" w:themeFill="accent6" w:themeFillTint="99"/>
            <w:vAlign w:val="center"/>
            <w:hideMark/>
          </w:tcPr>
          <w:p w:rsidR="0067725A" w:rsidRPr="007747F2" w:rsidRDefault="0067725A" w:rsidP="004D712A">
            <w:pPr>
              <w:spacing w:after="0"/>
              <w:ind w:firstLineChars="100" w:firstLine="180"/>
              <w:jc w:val="left"/>
              <w:rPr>
                <w:rFonts w:ascii="Arial Narrow" w:hAnsi="Arial Narrow" w:cs="Arial"/>
                <w:sz w:val="18"/>
                <w:szCs w:val="18"/>
                <w:lang w:val="es-ES" w:eastAsia="es-ES"/>
              </w:rPr>
            </w:pPr>
            <w:r w:rsidRPr="007747F2">
              <w:rPr>
                <w:rFonts w:ascii="Arial Narrow" w:hAnsi="Arial Narrow" w:cs="Arial"/>
                <w:sz w:val="18"/>
                <w:szCs w:val="18"/>
                <w:lang w:eastAsia="es-ES"/>
              </w:rPr>
              <w:t>Fuente de financiación</w:t>
            </w:r>
          </w:p>
        </w:tc>
        <w:tc>
          <w:tcPr>
            <w:tcW w:w="1759" w:type="dxa"/>
            <w:tcBorders>
              <w:top w:val="single" w:sz="4" w:space="0" w:color="auto"/>
              <w:left w:val="nil"/>
              <w:bottom w:val="single" w:sz="4" w:space="0" w:color="auto"/>
              <w:right w:val="nil"/>
            </w:tcBorders>
            <w:shd w:val="clear" w:color="auto" w:fill="FABF8F" w:themeFill="accent6" w:themeFillTint="99"/>
            <w:vAlign w:val="center"/>
            <w:hideMark/>
          </w:tcPr>
          <w:p w:rsidR="0067725A" w:rsidRPr="007747F2" w:rsidRDefault="00566C13" w:rsidP="004D712A">
            <w:pPr>
              <w:spacing w:after="0"/>
              <w:ind w:firstLine="0"/>
              <w:jc w:val="right"/>
              <w:rPr>
                <w:rFonts w:ascii="Arial Narrow" w:hAnsi="Arial Narrow" w:cs="Arial"/>
                <w:sz w:val="18"/>
                <w:szCs w:val="18"/>
                <w:lang w:val="es-ES" w:eastAsia="es-ES"/>
              </w:rPr>
            </w:pPr>
            <w:r w:rsidRPr="007747F2">
              <w:rPr>
                <w:rFonts w:ascii="Arial Narrow" w:hAnsi="Arial Narrow" w:cs="Arial"/>
                <w:sz w:val="18"/>
                <w:szCs w:val="18"/>
                <w:lang w:eastAsia="es-ES"/>
              </w:rPr>
              <w:t>Porcentaje</w:t>
            </w:r>
          </w:p>
        </w:tc>
      </w:tr>
      <w:tr w:rsidR="0067725A" w:rsidRPr="00637DCD" w:rsidTr="0010713E">
        <w:trPr>
          <w:trHeight w:val="198"/>
          <w:jc w:val="center"/>
        </w:trPr>
        <w:tc>
          <w:tcPr>
            <w:tcW w:w="2630" w:type="dxa"/>
            <w:tcBorders>
              <w:top w:val="single" w:sz="4" w:space="0" w:color="auto"/>
              <w:left w:val="nil"/>
              <w:bottom w:val="single" w:sz="2" w:space="0" w:color="auto"/>
              <w:right w:val="nil"/>
            </w:tcBorders>
            <w:shd w:val="clear" w:color="auto" w:fill="auto"/>
            <w:vAlign w:val="center"/>
            <w:hideMark/>
          </w:tcPr>
          <w:p w:rsidR="0067725A" w:rsidRPr="00637DCD" w:rsidRDefault="0067725A" w:rsidP="004D712A">
            <w:pPr>
              <w:spacing w:after="0"/>
              <w:ind w:firstLine="0"/>
              <w:jc w:val="left"/>
              <w:rPr>
                <w:rFonts w:ascii="Arial Narrow" w:hAnsi="Arial Narrow"/>
                <w:lang w:val="es-ES" w:eastAsia="es-ES"/>
              </w:rPr>
            </w:pPr>
            <w:r w:rsidRPr="00637DCD">
              <w:rPr>
                <w:rFonts w:ascii="Arial Narrow" w:hAnsi="Arial Narrow"/>
                <w:lang w:eastAsia="es-ES"/>
              </w:rPr>
              <w:t>Personal</w:t>
            </w:r>
          </w:p>
        </w:tc>
        <w:tc>
          <w:tcPr>
            <w:tcW w:w="2074" w:type="dxa"/>
            <w:tcBorders>
              <w:top w:val="single" w:sz="4" w:space="0" w:color="auto"/>
              <w:left w:val="nil"/>
              <w:bottom w:val="single" w:sz="2" w:space="0" w:color="auto"/>
              <w:right w:val="single" w:sz="4" w:space="0" w:color="auto"/>
            </w:tcBorders>
            <w:shd w:val="clear" w:color="auto" w:fill="auto"/>
            <w:vAlign w:val="center"/>
          </w:tcPr>
          <w:p w:rsidR="0067725A" w:rsidRPr="00637DCD" w:rsidRDefault="00020B0A" w:rsidP="00221F74">
            <w:pPr>
              <w:spacing w:after="0"/>
              <w:ind w:firstLine="0"/>
              <w:jc w:val="right"/>
              <w:rPr>
                <w:rFonts w:ascii="Arial Narrow" w:hAnsi="Arial Narrow"/>
                <w:lang w:val="es-ES" w:eastAsia="es-ES"/>
              </w:rPr>
            </w:pPr>
            <w:r>
              <w:rPr>
                <w:rFonts w:ascii="Arial Narrow" w:hAnsi="Arial Narrow"/>
                <w:lang w:val="es-ES" w:eastAsia="es-ES"/>
              </w:rPr>
              <w:t>42</w:t>
            </w:r>
          </w:p>
        </w:tc>
        <w:tc>
          <w:tcPr>
            <w:tcW w:w="2694" w:type="dxa"/>
            <w:tcBorders>
              <w:top w:val="single" w:sz="4" w:space="0" w:color="auto"/>
              <w:left w:val="single" w:sz="4" w:space="0" w:color="auto"/>
              <w:bottom w:val="single" w:sz="2" w:space="0" w:color="auto"/>
              <w:right w:val="nil"/>
            </w:tcBorders>
            <w:shd w:val="clear" w:color="auto" w:fill="auto"/>
            <w:vAlign w:val="center"/>
            <w:hideMark/>
          </w:tcPr>
          <w:p w:rsidR="0067725A" w:rsidRPr="00DB4260" w:rsidRDefault="0067725A" w:rsidP="00076A71">
            <w:pPr>
              <w:spacing w:after="0"/>
              <w:ind w:firstLineChars="80" w:firstLine="160"/>
              <w:jc w:val="left"/>
              <w:rPr>
                <w:rFonts w:ascii="Arial Narrow" w:hAnsi="Arial Narrow"/>
                <w:lang w:val="es-ES" w:eastAsia="es-ES"/>
              </w:rPr>
            </w:pPr>
            <w:r w:rsidRPr="00DB4260">
              <w:rPr>
                <w:rFonts w:ascii="Arial Narrow" w:hAnsi="Arial Narrow"/>
                <w:lang w:eastAsia="es-ES"/>
              </w:rPr>
              <w:t>Ingresos tributarios</w:t>
            </w:r>
          </w:p>
        </w:tc>
        <w:tc>
          <w:tcPr>
            <w:tcW w:w="1759" w:type="dxa"/>
            <w:tcBorders>
              <w:top w:val="single" w:sz="4" w:space="0" w:color="auto"/>
              <w:left w:val="nil"/>
              <w:bottom w:val="single" w:sz="2" w:space="0" w:color="auto"/>
              <w:right w:val="nil"/>
            </w:tcBorders>
            <w:shd w:val="clear" w:color="auto" w:fill="auto"/>
            <w:vAlign w:val="center"/>
          </w:tcPr>
          <w:p w:rsidR="0067725A" w:rsidRPr="00DB4260" w:rsidRDefault="009A7ECB" w:rsidP="004D712A">
            <w:pPr>
              <w:spacing w:after="0"/>
              <w:ind w:firstLine="0"/>
              <w:jc w:val="right"/>
              <w:rPr>
                <w:rFonts w:ascii="Arial Narrow" w:hAnsi="Arial Narrow"/>
                <w:lang w:val="es-ES" w:eastAsia="es-ES"/>
              </w:rPr>
            </w:pPr>
            <w:r>
              <w:rPr>
                <w:rFonts w:ascii="Arial Narrow" w:hAnsi="Arial Narrow"/>
                <w:lang w:val="es-ES" w:eastAsia="es-ES"/>
              </w:rPr>
              <w:t>43</w:t>
            </w:r>
          </w:p>
        </w:tc>
      </w:tr>
      <w:tr w:rsidR="0067725A" w:rsidRPr="00637DCD" w:rsidTr="0010713E">
        <w:trPr>
          <w:trHeight w:val="198"/>
          <w:jc w:val="center"/>
        </w:trPr>
        <w:tc>
          <w:tcPr>
            <w:tcW w:w="2630" w:type="dxa"/>
            <w:tcBorders>
              <w:top w:val="single" w:sz="2" w:space="0" w:color="auto"/>
              <w:left w:val="nil"/>
              <w:bottom w:val="single" w:sz="2" w:space="0" w:color="auto"/>
              <w:right w:val="nil"/>
            </w:tcBorders>
            <w:shd w:val="clear" w:color="auto" w:fill="auto"/>
            <w:vAlign w:val="center"/>
            <w:hideMark/>
          </w:tcPr>
          <w:p w:rsidR="0067725A" w:rsidRPr="00637DCD" w:rsidRDefault="0067725A" w:rsidP="004D712A">
            <w:pPr>
              <w:spacing w:after="0"/>
              <w:ind w:firstLine="0"/>
              <w:jc w:val="left"/>
              <w:rPr>
                <w:rFonts w:ascii="Arial Narrow" w:hAnsi="Arial Narrow"/>
                <w:lang w:val="es-ES" w:eastAsia="es-ES"/>
              </w:rPr>
            </w:pPr>
            <w:r w:rsidRPr="00637DCD">
              <w:rPr>
                <w:rFonts w:ascii="Arial Narrow" w:hAnsi="Arial Narrow"/>
                <w:lang w:eastAsia="es-ES"/>
              </w:rPr>
              <w:t>Otros gastos corrientes</w:t>
            </w:r>
          </w:p>
        </w:tc>
        <w:tc>
          <w:tcPr>
            <w:tcW w:w="2074" w:type="dxa"/>
            <w:tcBorders>
              <w:top w:val="single" w:sz="2" w:space="0" w:color="auto"/>
              <w:left w:val="nil"/>
              <w:bottom w:val="single" w:sz="2" w:space="0" w:color="auto"/>
              <w:right w:val="single" w:sz="4" w:space="0" w:color="auto"/>
            </w:tcBorders>
            <w:shd w:val="clear" w:color="auto" w:fill="auto"/>
            <w:vAlign w:val="center"/>
          </w:tcPr>
          <w:p w:rsidR="0067725A" w:rsidRPr="00637DCD" w:rsidRDefault="009A7ECB" w:rsidP="00020B0A">
            <w:pPr>
              <w:spacing w:after="0"/>
              <w:ind w:firstLine="0"/>
              <w:jc w:val="right"/>
              <w:rPr>
                <w:rFonts w:ascii="Arial Narrow" w:hAnsi="Arial Narrow"/>
                <w:lang w:val="es-ES" w:eastAsia="es-ES"/>
              </w:rPr>
            </w:pPr>
            <w:r>
              <w:rPr>
                <w:rFonts w:ascii="Arial Narrow" w:hAnsi="Arial Narrow"/>
                <w:lang w:val="es-ES" w:eastAsia="es-ES"/>
              </w:rPr>
              <w:t>3</w:t>
            </w:r>
            <w:r w:rsidR="00020B0A">
              <w:rPr>
                <w:rFonts w:ascii="Arial Narrow" w:hAnsi="Arial Narrow"/>
                <w:lang w:val="es-ES" w:eastAsia="es-ES"/>
              </w:rPr>
              <w:t>7</w:t>
            </w:r>
          </w:p>
        </w:tc>
        <w:tc>
          <w:tcPr>
            <w:tcW w:w="2694" w:type="dxa"/>
            <w:tcBorders>
              <w:top w:val="single" w:sz="2" w:space="0" w:color="auto"/>
              <w:left w:val="single" w:sz="4" w:space="0" w:color="auto"/>
              <w:bottom w:val="single" w:sz="2" w:space="0" w:color="auto"/>
              <w:right w:val="nil"/>
            </w:tcBorders>
            <w:shd w:val="clear" w:color="auto" w:fill="auto"/>
            <w:vAlign w:val="center"/>
            <w:hideMark/>
          </w:tcPr>
          <w:p w:rsidR="0067725A" w:rsidRPr="00DB4260" w:rsidRDefault="0067725A" w:rsidP="00076A71">
            <w:pPr>
              <w:spacing w:after="0"/>
              <w:ind w:firstLineChars="80" w:firstLine="160"/>
              <w:jc w:val="left"/>
              <w:rPr>
                <w:rFonts w:ascii="Arial Narrow" w:hAnsi="Arial Narrow"/>
                <w:lang w:val="es-ES" w:eastAsia="es-ES"/>
              </w:rPr>
            </w:pPr>
            <w:r w:rsidRPr="00DB4260">
              <w:rPr>
                <w:rFonts w:ascii="Arial Narrow" w:hAnsi="Arial Narrow"/>
                <w:lang w:eastAsia="es-ES"/>
              </w:rPr>
              <w:t>Transferencias</w:t>
            </w:r>
          </w:p>
        </w:tc>
        <w:tc>
          <w:tcPr>
            <w:tcW w:w="1759" w:type="dxa"/>
            <w:tcBorders>
              <w:top w:val="single" w:sz="2" w:space="0" w:color="auto"/>
              <w:left w:val="nil"/>
              <w:bottom w:val="single" w:sz="2" w:space="0" w:color="auto"/>
              <w:right w:val="nil"/>
            </w:tcBorders>
            <w:shd w:val="clear" w:color="auto" w:fill="auto"/>
            <w:vAlign w:val="center"/>
          </w:tcPr>
          <w:p w:rsidR="0067725A" w:rsidRPr="00DB4260" w:rsidRDefault="00C73BAC" w:rsidP="004D712A">
            <w:pPr>
              <w:spacing w:after="0"/>
              <w:ind w:firstLine="0"/>
              <w:jc w:val="right"/>
              <w:rPr>
                <w:rFonts w:ascii="Arial Narrow" w:hAnsi="Arial Narrow"/>
                <w:lang w:val="es-ES" w:eastAsia="es-ES"/>
              </w:rPr>
            </w:pPr>
            <w:r>
              <w:rPr>
                <w:rFonts w:ascii="Arial Narrow" w:hAnsi="Arial Narrow"/>
                <w:lang w:val="es-ES" w:eastAsia="es-ES"/>
              </w:rPr>
              <w:t>41</w:t>
            </w:r>
          </w:p>
        </w:tc>
      </w:tr>
      <w:tr w:rsidR="0067725A" w:rsidRPr="00BC5987" w:rsidTr="0010713E">
        <w:trPr>
          <w:trHeight w:val="198"/>
          <w:jc w:val="center"/>
        </w:trPr>
        <w:tc>
          <w:tcPr>
            <w:tcW w:w="2630" w:type="dxa"/>
            <w:tcBorders>
              <w:top w:val="single" w:sz="2" w:space="0" w:color="auto"/>
              <w:left w:val="nil"/>
              <w:bottom w:val="single" w:sz="2" w:space="0" w:color="auto"/>
              <w:right w:val="nil"/>
            </w:tcBorders>
            <w:shd w:val="clear" w:color="auto" w:fill="auto"/>
            <w:vAlign w:val="center"/>
            <w:hideMark/>
          </w:tcPr>
          <w:p w:rsidR="0067725A" w:rsidRPr="00637DCD" w:rsidRDefault="0067725A" w:rsidP="004D712A">
            <w:pPr>
              <w:spacing w:after="0"/>
              <w:ind w:firstLine="0"/>
              <w:jc w:val="left"/>
              <w:rPr>
                <w:rFonts w:ascii="Arial Narrow" w:hAnsi="Arial Narrow"/>
                <w:lang w:val="es-ES" w:eastAsia="es-ES"/>
              </w:rPr>
            </w:pPr>
            <w:r w:rsidRPr="00637DCD">
              <w:rPr>
                <w:rFonts w:ascii="Arial Narrow" w:hAnsi="Arial Narrow"/>
                <w:lang w:eastAsia="es-ES"/>
              </w:rPr>
              <w:t>Inversiones reales</w:t>
            </w:r>
          </w:p>
        </w:tc>
        <w:tc>
          <w:tcPr>
            <w:tcW w:w="2074" w:type="dxa"/>
            <w:tcBorders>
              <w:top w:val="single" w:sz="2" w:space="0" w:color="auto"/>
              <w:left w:val="nil"/>
              <w:bottom w:val="single" w:sz="2" w:space="0" w:color="auto"/>
              <w:right w:val="single" w:sz="4" w:space="0" w:color="auto"/>
            </w:tcBorders>
            <w:shd w:val="clear" w:color="auto" w:fill="auto"/>
            <w:vAlign w:val="center"/>
          </w:tcPr>
          <w:p w:rsidR="0067725A" w:rsidRPr="00637DCD" w:rsidRDefault="00020B0A" w:rsidP="00020B0A">
            <w:pPr>
              <w:spacing w:after="0"/>
              <w:ind w:firstLine="0"/>
              <w:jc w:val="right"/>
              <w:rPr>
                <w:rFonts w:ascii="Arial Narrow" w:hAnsi="Arial Narrow"/>
                <w:lang w:val="es-ES" w:eastAsia="es-ES"/>
              </w:rPr>
            </w:pPr>
            <w:r>
              <w:rPr>
                <w:rFonts w:ascii="Arial Narrow" w:hAnsi="Arial Narrow"/>
                <w:lang w:val="es-ES" w:eastAsia="es-ES"/>
              </w:rPr>
              <w:t>20</w:t>
            </w:r>
          </w:p>
        </w:tc>
        <w:tc>
          <w:tcPr>
            <w:tcW w:w="2694" w:type="dxa"/>
            <w:tcBorders>
              <w:top w:val="single" w:sz="2" w:space="0" w:color="auto"/>
              <w:left w:val="single" w:sz="4" w:space="0" w:color="auto"/>
              <w:bottom w:val="single" w:sz="2" w:space="0" w:color="auto"/>
              <w:right w:val="nil"/>
            </w:tcBorders>
            <w:shd w:val="clear" w:color="auto" w:fill="auto"/>
            <w:vAlign w:val="center"/>
            <w:hideMark/>
          </w:tcPr>
          <w:p w:rsidR="0067725A" w:rsidRPr="00DB4260" w:rsidRDefault="0067725A" w:rsidP="00076A71">
            <w:pPr>
              <w:spacing w:after="0"/>
              <w:ind w:left="160" w:firstLine="0"/>
              <w:jc w:val="left"/>
              <w:rPr>
                <w:rFonts w:ascii="Arial Narrow" w:hAnsi="Arial Narrow"/>
                <w:lang w:val="es-ES" w:eastAsia="es-ES"/>
              </w:rPr>
            </w:pPr>
            <w:r w:rsidRPr="00DB4260">
              <w:rPr>
                <w:rFonts w:ascii="Arial Narrow" w:hAnsi="Arial Narrow"/>
                <w:lang w:eastAsia="es-ES"/>
              </w:rPr>
              <w:t>Ingresos patrimoniales</w:t>
            </w:r>
            <w:r w:rsidR="00076A71">
              <w:rPr>
                <w:rFonts w:ascii="Arial Narrow" w:hAnsi="Arial Narrow"/>
                <w:lang w:eastAsia="es-ES"/>
              </w:rPr>
              <w:t xml:space="preserve">,                      </w:t>
            </w:r>
            <w:proofErr w:type="spellStart"/>
            <w:r w:rsidR="00076A71">
              <w:rPr>
                <w:rFonts w:ascii="Arial Narrow" w:hAnsi="Arial Narrow"/>
                <w:lang w:eastAsia="es-ES"/>
              </w:rPr>
              <w:t>p.públicos</w:t>
            </w:r>
            <w:proofErr w:type="spellEnd"/>
            <w:r w:rsidRPr="00DB4260">
              <w:rPr>
                <w:rFonts w:ascii="Arial Narrow" w:hAnsi="Arial Narrow"/>
                <w:lang w:eastAsia="es-ES"/>
              </w:rPr>
              <w:t xml:space="preserve"> y </w:t>
            </w:r>
            <w:r w:rsidRPr="009F5A89">
              <w:rPr>
                <w:rFonts w:ascii="Arial Narrow" w:hAnsi="Arial Narrow"/>
                <w:color w:val="000000" w:themeColor="text1"/>
                <w:lang w:eastAsia="es-ES"/>
              </w:rPr>
              <w:t>otros</w:t>
            </w:r>
            <w:r w:rsidR="00FC21A1" w:rsidRPr="009F5A89">
              <w:rPr>
                <w:rFonts w:ascii="Arial Narrow" w:hAnsi="Arial Narrow"/>
                <w:color w:val="000000" w:themeColor="text1"/>
                <w:lang w:eastAsia="es-ES"/>
              </w:rPr>
              <w:t xml:space="preserve"> ingresos</w:t>
            </w:r>
          </w:p>
        </w:tc>
        <w:tc>
          <w:tcPr>
            <w:tcW w:w="1759" w:type="dxa"/>
            <w:tcBorders>
              <w:top w:val="single" w:sz="2" w:space="0" w:color="auto"/>
              <w:left w:val="nil"/>
              <w:bottom w:val="single" w:sz="2" w:space="0" w:color="auto"/>
              <w:right w:val="nil"/>
            </w:tcBorders>
            <w:shd w:val="clear" w:color="auto" w:fill="auto"/>
            <w:vAlign w:val="center"/>
          </w:tcPr>
          <w:p w:rsidR="0067725A" w:rsidRPr="00DB4260" w:rsidRDefault="00076A71" w:rsidP="004D712A">
            <w:pPr>
              <w:spacing w:after="0"/>
              <w:ind w:firstLine="0"/>
              <w:jc w:val="right"/>
              <w:rPr>
                <w:rFonts w:ascii="Arial Narrow" w:hAnsi="Arial Narrow"/>
                <w:lang w:val="es-ES" w:eastAsia="es-ES"/>
              </w:rPr>
            </w:pPr>
            <w:r>
              <w:rPr>
                <w:rFonts w:ascii="Arial Narrow" w:hAnsi="Arial Narrow"/>
                <w:lang w:val="es-ES" w:eastAsia="es-ES"/>
              </w:rPr>
              <w:t>16</w:t>
            </w:r>
          </w:p>
        </w:tc>
      </w:tr>
      <w:tr w:rsidR="0067725A" w:rsidRPr="00637DCD" w:rsidTr="0010713E">
        <w:trPr>
          <w:trHeight w:val="198"/>
          <w:jc w:val="center"/>
        </w:trPr>
        <w:tc>
          <w:tcPr>
            <w:tcW w:w="2630" w:type="dxa"/>
            <w:tcBorders>
              <w:top w:val="single" w:sz="2" w:space="0" w:color="auto"/>
              <w:left w:val="nil"/>
              <w:bottom w:val="single" w:sz="4" w:space="0" w:color="auto"/>
              <w:right w:val="nil"/>
            </w:tcBorders>
            <w:shd w:val="clear" w:color="auto" w:fill="auto"/>
            <w:vAlign w:val="center"/>
            <w:hideMark/>
          </w:tcPr>
          <w:p w:rsidR="0067725A" w:rsidRPr="00637DCD" w:rsidRDefault="0067725A" w:rsidP="00076A71">
            <w:pPr>
              <w:spacing w:after="0"/>
              <w:ind w:firstLine="0"/>
              <w:jc w:val="left"/>
              <w:rPr>
                <w:rFonts w:ascii="Arial Narrow" w:hAnsi="Arial Narrow"/>
                <w:lang w:val="es-ES" w:eastAsia="es-ES"/>
              </w:rPr>
            </w:pPr>
            <w:r w:rsidRPr="00637DCD">
              <w:rPr>
                <w:rFonts w:ascii="Arial Narrow" w:hAnsi="Arial Narrow"/>
                <w:lang w:eastAsia="es-ES"/>
              </w:rPr>
              <w:t>Pasivos financieros</w:t>
            </w:r>
          </w:p>
        </w:tc>
        <w:tc>
          <w:tcPr>
            <w:tcW w:w="2074" w:type="dxa"/>
            <w:tcBorders>
              <w:top w:val="single" w:sz="2" w:space="0" w:color="auto"/>
              <w:left w:val="nil"/>
              <w:bottom w:val="single" w:sz="4" w:space="0" w:color="auto"/>
              <w:right w:val="single" w:sz="4" w:space="0" w:color="auto"/>
            </w:tcBorders>
            <w:shd w:val="clear" w:color="auto" w:fill="auto"/>
            <w:vAlign w:val="center"/>
          </w:tcPr>
          <w:p w:rsidR="0067725A" w:rsidRPr="00637DCD" w:rsidRDefault="00020B0A" w:rsidP="004D712A">
            <w:pPr>
              <w:spacing w:after="0"/>
              <w:ind w:firstLine="0"/>
              <w:jc w:val="right"/>
              <w:rPr>
                <w:rFonts w:ascii="Arial Narrow" w:hAnsi="Arial Narrow"/>
                <w:lang w:val="es-ES" w:eastAsia="es-ES"/>
              </w:rPr>
            </w:pPr>
            <w:r>
              <w:rPr>
                <w:rFonts w:ascii="Arial Narrow" w:hAnsi="Arial Narrow"/>
                <w:lang w:val="es-ES" w:eastAsia="es-ES"/>
              </w:rPr>
              <w:t>1</w:t>
            </w:r>
          </w:p>
        </w:tc>
        <w:tc>
          <w:tcPr>
            <w:tcW w:w="2694" w:type="dxa"/>
            <w:tcBorders>
              <w:top w:val="single" w:sz="2" w:space="0" w:color="auto"/>
              <w:left w:val="single" w:sz="4" w:space="0" w:color="auto"/>
              <w:bottom w:val="single" w:sz="4" w:space="0" w:color="auto"/>
              <w:right w:val="nil"/>
            </w:tcBorders>
            <w:shd w:val="clear" w:color="auto" w:fill="auto"/>
            <w:vAlign w:val="center"/>
            <w:hideMark/>
          </w:tcPr>
          <w:p w:rsidR="0067725A" w:rsidRPr="00637DCD" w:rsidRDefault="0067725A" w:rsidP="004D712A">
            <w:pPr>
              <w:spacing w:after="0"/>
              <w:ind w:firstLineChars="100" w:firstLine="200"/>
              <w:jc w:val="left"/>
              <w:rPr>
                <w:rFonts w:ascii="Arial Narrow" w:hAnsi="Arial Narrow"/>
                <w:lang w:val="es-ES" w:eastAsia="es-ES"/>
              </w:rPr>
            </w:pPr>
            <w:r w:rsidRPr="00637DCD">
              <w:rPr>
                <w:rFonts w:ascii="Arial Narrow" w:hAnsi="Arial Narrow"/>
                <w:lang w:eastAsia="es-ES"/>
              </w:rPr>
              <w:t> </w:t>
            </w:r>
          </w:p>
        </w:tc>
        <w:tc>
          <w:tcPr>
            <w:tcW w:w="1759" w:type="dxa"/>
            <w:tcBorders>
              <w:top w:val="single" w:sz="2" w:space="0" w:color="auto"/>
              <w:left w:val="nil"/>
              <w:bottom w:val="single" w:sz="4" w:space="0" w:color="auto"/>
              <w:right w:val="nil"/>
            </w:tcBorders>
            <w:shd w:val="clear" w:color="auto" w:fill="auto"/>
            <w:vAlign w:val="center"/>
            <w:hideMark/>
          </w:tcPr>
          <w:p w:rsidR="0067725A" w:rsidRPr="00637DCD" w:rsidRDefault="0067725A" w:rsidP="004D712A">
            <w:pPr>
              <w:spacing w:after="0"/>
              <w:ind w:firstLine="0"/>
              <w:jc w:val="left"/>
              <w:rPr>
                <w:rFonts w:ascii="Arial Narrow" w:hAnsi="Arial Narrow"/>
                <w:lang w:val="es-ES" w:eastAsia="es-ES"/>
              </w:rPr>
            </w:pPr>
            <w:r w:rsidRPr="00637DCD">
              <w:rPr>
                <w:rFonts w:ascii="Arial Narrow" w:hAnsi="Arial Narrow"/>
                <w:lang w:eastAsia="es-ES"/>
              </w:rPr>
              <w:t> </w:t>
            </w:r>
          </w:p>
        </w:tc>
      </w:tr>
    </w:tbl>
    <w:p w:rsidR="00297114" w:rsidRDefault="005D259C" w:rsidP="006E2801">
      <w:pPr>
        <w:pStyle w:val="texto"/>
        <w:tabs>
          <w:tab w:val="clear" w:pos="2835"/>
          <w:tab w:val="clear" w:pos="3969"/>
          <w:tab w:val="clear" w:pos="5103"/>
          <w:tab w:val="clear" w:pos="6237"/>
          <w:tab w:val="clear" w:pos="7371"/>
        </w:tabs>
        <w:spacing w:before="240"/>
        <w:rPr>
          <w:spacing w:val="4"/>
        </w:rPr>
      </w:pPr>
      <w:r>
        <w:rPr>
          <w:spacing w:val="4"/>
        </w:rPr>
        <w:t>Los gastos corrientes suponen un 79 por ciento del total de gastos. De estos, los gastos de personal representan el 42 por ciento del total gastado, l</w:t>
      </w:r>
      <w:r w:rsidR="00297114">
        <w:rPr>
          <w:spacing w:val="4"/>
        </w:rPr>
        <w:t>as inversiones han supuesto un</w:t>
      </w:r>
      <w:r w:rsidR="00076A71">
        <w:rPr>
          <w:spacing w:val="4"/>
        </w:rPr>
        <w:t xml:space="preserve"> veinte</w:t>
      </w:r>
      <w:r w:rsidR="00297114">
        <w:rPr>
          <w:spacing w:val="4"/>
        </w:rPr>
        <w:t xml:space="preserve"> por ciento y el restante </w:t>
      </w:r>
      <w:r w:rsidR="00076A71">
        <w:rPr>
          <w:spacing w:val="4"/>
        </w:rPr>
        <w:t>uno</w:t>
      </w:r>
      <w:r w:rsidR="00297114">
        <w:rPr>
          <w:spacing w:val="4"/>
        </w:rPr>
        <w:t xml:space="preserve"> por ciento corresponde a </w:t>
      </w:r>
      <w:r w:rsidR="00076A71">
        <w:rPr>
          <w:spacing w:val="4"/>
        </w:rPr>
        <w:t>pasivos f</w:t>
      </w:r>
      <w:r w:rsidR="00076A71">
        <w:rPr>
          <w:spacing w:val="4"/>
        </w:rPr>
        <w:t>i</w:t>
      </w:r>
      <w:r w:rsidR="00076A71">
        <w:rPr>
          <w:spacing w:val="4"/>
        </w:rPr>
        <w:t>nancieros</w:t>
      </w:r>
      <w:r w:rsidR="00297114">
        <w:rPr>
          <w:spacing w:val="4"/>
        </w:rPr>
        <w:t>.</w:t>
      </w:r>
    </w:p>
    <w:p w:rsidR="00297114" w:rsidRDefault="00297114" w:rsidP="003300CA">
      <w:pPr>
        <w:pStyle w:val="texto"/>
        <w:tabs>
          <w:tab w:val="clear" w:pos="2835"/>
          <w:tab w:val="clear" w:pos="3969"/>
          <w:tab w:val="clear" w:pos="5103"/>
          <w:tab w:val="clear" w:pos="6237"/>
          <w:tab w:val="clear" w:pos="7371"/>
        </w:tabs>
        <w:spacing w:before="160"/>
        <w:rPr>
          <w:spacing w:val="4"/>
        </w:rPr>
      </w:pPr>
      <w:r>
        <w:rPr>
          <w:spacing w:val="4"/>
        </w:rPr>
        <w:t>En relación a los ingresos, los de origen tributario suponen el 43 por ciento del t</w:t>
      </w:r>
      <w:r>
        <w:rPr>
          <w:spacing w:val="4"/>
        </w:rPr>
        <w:t>o</w:t>
      </w:r>
      <w:r>
        <w:rPr>
          <w:spacing w:val="4"/>
        </w:rPr>
        <w:t xml:space="preserve">tal y las transferencias un </w:t>
      </w:r>
      <w:r w:rsidR="00076A71">
        <w:rPr>
          <w:spacing w:val="4"/>
        </w:rPr>
        <w:t>41</w:t>
      </w:r>
      <w:r>
        <w:rPr>
          <w:spacing w:val="4"/>
        </w:rPr>
        <w:t xml:space="preserve"> por ciento. Del restante </w:t>
      </w:r>
      <w:r w:rsidR="00076A71">
        <w:rPr>
          <w:spacing w:val="4"/>
        </w:rPr>
        <w:t>16</w:t>
      </w:r>
      <w:r>
        <w:rPr>
          <w:spacing w:val="4"/>
        </w:rPr>
        <w:t xml:space="preserve"> por ciento</w:t>
      </w:r>
      <w:r w:rsidR="002A2271">
        <w:rPr>
          <w:spacing w:val="4"/>
        </w:rPr>
        <w:t>,</w:t>
      </w:r>
      <w:r>
        <w:rPr>
          <w:spacing w:val="4"/>
        </w:rPr>
        <w:t xml:space="preserve"> el mayor porce</w:t>
      </w:r>
      <w:r>
        <w:rPr>
          <w:spacing w:val="4"/>
        </w:rPr>
        <w:t>n</w:t>
      </w:r>
      <w:r>
        <w:rPr>
          <w:spacing w:val="4"/>
        </w:rPr>
        <w:lastRenderedPageBreak/>
        <w:t xml:space="preserve">taje corresponde a </w:t>
      </w:r>
      <w:r w:rsidR="00076A71">
        <w:rPr>
          <w:spacing w:val="4"/>
        </w:rPr>
        <w:t>precios públicos y otros ingresos con un nueve p</w:t>
      </w:r>
      <w:r>
        <w:rPr>
          <w:spacing w:val="4"/>
        </w:rPr>
        <w:t>or ciento del total de ingresos.</w:t>
      </w:r>
    </w:p>
    <w:p w:rsidR="003300CA" w:rsidRDefault="0067725A" w:rsidP="007563E1">
      <w:pPr>
        <w:pStyle w:val="texto"/>
        <w:tabs>
          <w:tab w:val="clear" w:pos="2835"/>
          <w:tab w:val="clear" w:pos="3969"/>
          <w:tab w:val="clear" w:pos="5103"/>
          <w:tab w:val="clear" w:pos="6237"/>
          <w:tab w:val="clear" w:pos="7371"/>
        </w:tabs>
        <w:spacing w:before="160" w:after="240"/>
        <w:rPr>
          <w:i/>
        </w:rPr>
      </w:pPr>
      <w:r w:rsidRPr="007563E1">
        <w:t>Most</w:t>
      </w:r>
      <w:r w:rsidR="005D259C">
        <w:t>ramos a continuación la comparativa</w:t>
      </w:r>
      <w:r w:rsidRPr="007563E1">
        <w:t xml:space="preserve"> de un conjunto de indicadores relaci</w:t>
      </w:r>
      <w:r w:rsidRPr="007563E1">
        <w:t>o</w:t>
      </w:r>
      <w:r w:rsidRPr="007563E1">
        <w:t>nados con la liquidación presu</w:t>
      </w:r>
      <w:r w:rsidR="00334B37">
        <w:t>puestaria de los ejercicios 2018</w:t>
      </w:r>
      <w:r w:rsidRPr="007563E1">
        <w:t xml:space="preserve"> y </w:t>
      </w:r>
      <w:r w:rsidR="00996B35">
        <w:t>2019</w:t>
      </w:r>
      <w:r w:rsidRPr="007563E1">
        <w:t>:</w:t>
      </w:r>
      <w:r w:rsidR="003300CA" w:rsidRPr="007563E1">
        <w:rPr>
          <w:i/>
        </w:rPr>
        <w:t xml:space="preserve"> </w:t>
      </w:r>
    </w:p>
    <w:tbl>
      <w:tblPr>
        <w:tblW w:w="5000" w:type="pct"/>
        <w:tblCellMar>
          <w:left w:w="70" w:type="dxa"/>
          <w:right w:w="70" w:type="dxa"/>
        </w:tblCellMar>
        <w:tblLook w:val="04A0" w:firstRow="1" w:lastRow="0" w:firstColumn="1" w:lastColumn="0" w:noHBand="0" w:noVBand="1"/>
      </w:tblPr>
      <w:tblGrid>
        <w:gridCol w:w="3852"/>
        <w:gridCol w:w="1996"/>
        <w:gridCol w:w="1996"/>
        <w:gridCol w:w="1510"/>
      </w:tblGrid>
      <w:tr w:rsidR="00076A71" w:rsidRPr="007747F2" w:rsidTr="00065CFC">
        <w:trPr>
          <w:trHeight w:val="315"/>
        </w:trPr>
        <w:tc>
          <w:tcPr>
            <w:tcW w:w="2059" w:type="pct"/>
            <w:tcBorders>
              <w:top w:val="single" w:sz="4" w:space="0" w:color="auto"/>
              <w:left w:val="nil"/>
              <w:bottom w:val="single" w:sz="4" w:space="0" w:color="auto"/>
              <w:right w:val="nil"/>
            </w:tcBorders>
            <w:shd w:val="clear" w:color="000000" w:fill="FABF8F"/>
            <w:vAlign w:val="center"/>
            <w:hideMark/>
          </w:tcPr>
          <w:p w:rsidR="00076A71" w:rsidRPr="007747F2" w:rsidRDefault="00076A71" w:rsidP="005B1D27">
            <w:pPr>
              <w:tabs>
                <w:tab w:val="left" w:pos="142"/>
              </w:tabs>
              <w:spacing w:after="0"/>
              <w:ind w:firstLine="0"/>
              <w:jc w:val="left"/>
              <w:rPr>
                <w:rFonts w:ascii="Arial" w:hAnsi="Arial" w:cs="Arial"/>
                <w:color w:val="000000"/>
                <w:sz w:val="18"/>
                <w:szCs w:val="18"/>
                <w:lang w:val="es-ES" w:eastAsia="es-ES"/>
              </w:rPr>
            </w:pPr>
            <w:r w:rsidRPr="007747F2">
              <w:rPr>
                <w:rFonts w:ascii="Arial" w:hAnsi="Arial" w:cs="Arial"/>
                <w:color w:val="000000"/>
                <w:sz w:val="18"/>
                <w:szCs w:val="18"/>
                <w:lang w:val="es-ES" w:eastAsia="es-ES"/>
              </w:rPr>
              <w:t>Indicadores</w:t>
            </w:r>
          </w:p>
        </w:tc>
        <w:tc>
          <w:tcPr>
            <w:tcW w:w="1067" w:type="pct"/>
            <w:tcBorders>
              <w:top w:val="single" w:sz="4" w:space="0" w:color="auto"/>
              <w:left w:val="nil"/>
              <w:bottom w:val="single" w:sz="4" w:space="0" w:color="auto"/>
              <w:right w:val="nil"/>
            </w:tcBorders>
            <w:shd w:val="clear" w:color="000000" w:fill="FABF8F"/>
            <w:vAlign w:val="center"/>
          </w:tcPr>
          <w:p w:rsidR="00076A71" w:rsidRPr="007747F2" w:rsidRDefault="00076A71" w:rsidP="005B1D27">
            <w:pPr>
              <w:tabs>
                <w:tab w:val="left" w:pos="142"/>
              </w:tabs>
              <w:spacing w:after="0"/>
              <w:ind w:firstLine="0"/>
              <w:jc w:val="right"/>
              <w:rPr>
                <w:rFonts w:ascii="Arial" w:hAnsi="Arial" w:cs="Arial"/>
                <w:color w:val="000000"/>
                <w:sz w:val="18"/>
                <w:szCs w:val="18"/>
                <w:lang w:val="es-ES" w:eastAsia="es-ES"/>
              </w:rPr>
            </w:pPr>
            <w:r w:rsidRPr="007747F2">
              <w:rPr>
                <w:rFonts w:ascii="Arial" w:hAnsi="Arial" w:cs="Arial"/>
                <w:color w:val="000000"/>
                <w:sz w:val="18"/>
                <w:szCs w:val="18"/>
                <w:lang w:val="es-ES" w:eastAsia="es-ES"/>
              </w:rPr>
              <w:t>2018</w:t>
            </w:r>
          </w:p>
        </w:tc>
        <w:tc>
          <w:tcPr>
            <w:tcW w:w="1067" w:type="pct"/>
            <w:tcBorders>
              <w:top w:val="single" w:sz="4" w:space="0" w:color="auto"/>
              <w:left w:val="nil"/>
              <w:bottom w:val="single" w:sz="4" w:space="0" w:color="auto"/>
              <w:right w:val="nil"/>
            </w:tcBorders>
            <w:shd w:val="clear" w:color="000000" w:fill="FABF8F"/>
            <w:vAlign w:val="center"/>
            <w:hideMark/>
          </w:tcPr>
          <w:p w:rsidR="00076A71" w:rsidRPr="007747F2" w:rsidRDefault="00076A71" w:rsidP="005B1D27">
            <w:pPr>
              <w:tabs>
                <w:tab w:val="left" w:pos="142"/>
              </w:tabs>
              <w:spacing w:after="0"/>
              <w:ind w:firstLine="0"/>
              <w:jc w:val="right"/>
              <w:rPr>
                <w:rFonts w:ascii="Arial" w:hAnsi="Arial" w:cs="Arial"/>
                <w:color w:val="000000"/>
                <w:sz w:val="18"/>
                <w:szCs w:val="18"/>
                <w:lang w:val="es-ES" w:eastAsia="es-ES"/>
              </w:rPr>
            </w:pPr>
            <w:r w:rsidRPr="007747F2">
              <w:rPr>
                <w:rFonts w:ascii="Arial" w:hAnsi="Arial" w:cs="Arial"/>
                <w:color w:val="000000"/>
                <w:sz w:val="18"/>
                <w:szCs w:val="18"/>
                <w:lang w:val="es-ES" w:eastAsia="es-ES"/>
              </w:rPr>
              <w:t>2019</w:t>
            </w:r>
          </w:p>
        </w:tc>
        <w:tc>
          <w:tcPr>
            <w:tcW w:w="807" w:type="pct"/>
            <w:tcBorders>
              <w:top w:val="single" w:sz="4" w:space="0" w:color="auto"/>
              <w:left w:val="nil"/>
              <w:bottom w:val="single" w:sz="4" w:space="0" w:color="auto"/>
              <w:right w:val="nil"/>
            </w:tcBorders>
            <w:shd w:val="clear" w:color="000000" w:fill="FABF8F"/>
            <w:vAlign w:val="center"/>
            <w:hideMark/>
          </w:tcPr>
          <w:p w:rsidR="00076A71" w:rsidRPr="007747F2" w:rsidRDefault="00076A71" w:rsidP="00065CFC">
            <w:pPr>
              <w:tabs>
                <w:tab w:val="left" w:pos="142"/>
              </w:tabs>
              <w:spacing w:after="0"/>
              <w:ind w:firstLine="0"/>
              <w:jc w:val="right"/>
              <w:rPr>
                <w:rFonts w:ascii="Arial" w:hAnsi="Arial" w:cs="Arial"/>
                <w:color w:val="000000"/>
                <w:sz w:val="18"/>
                <w:szCs w:val="18"/>
                <w:lang w:val="es-ES" w:eastAsia="es-ES"/>
              </w:rPr>
            </w:pPr>
            <w:r w:rsidRPr="007747F2">
              <w:rPr>
                <w:rFonts w:ascii="Arial" w:hAnsi="Arial" w:cs="Arial"/>
                <w:color w:val="000000"/>
                <w:sz w:val="18"/>
                <w:szCs w:val="18"/>
                <w:lang w:val="es-ES" w:eastAsia="es-ES"/>
              </w:rPr>
              <w:t>%</w:t>
            </w:r>
            <w:r w:rsidR="00065CFC">
              <w:rPr>
                <w:rFonts w:ascii="Arial" w:hAnsi="Arial" w:cs="Arial"/>
                <w:color w:val="000000"/>
                <w:sz w:val="18"/>
                <w:szCs w:val="18"/>
                <w:lang w:val="es-ES" w:eastAsia="es-ES"/>
              </w:rPr>
              <w:t xml:space="preserve"> </w:t>
            </w:r>
            <w:r w:rsidRPr="007747F2">
              <w:rPr>
                <w:rFonts w:ascii="Arial" w:hAnsi="Arial" w:cs="Arial"/>
                <w:color w:val="000000"/>
                <w:sz w:val="18"/>
                <w:szCs w:val="18"/>
                <w:lang w:val="es-ES" w:eastAsia="es-ES"/>
              </w:rPr>
              <w:t>Variación</w:t>
            </w:r>
          </w:p>
        </w:tc>
      </w:tr>
      <w:tr w:rsidR="00076A71" w:rsidRPr="007747F2" w:rsidTr="00FF2EC4">
        <w:trPr>
          <w:trHeight w:val="255"/>
        </w:trPr>
        <w:tc>
          <w:tcPr>
            <w:tcW w:w="2059" w:type="pct"/>
            <w:tcBorders>
              <w:top w:val="nil"/>
              <w:left w:val="nil"/>
              <w:bottom w:val="single" w:sz="4" w:space="0" w:color="auto"/>
              <w:right w:val="nil"/>
            </w:tcBorders>
            <w:shd w:val="clear" w:color="auto" w:fill="auto"/>
            <w:vAlign w:val="center"/>
            <w:hideMark/>
          </w:tcPr>
          <w:p w:rsidR="00076A71" w:rsidRPr="007747F2" w:rsidRDefault="00076A71" w:rsidP="005B1D27">
            <w:pPr>
              <w:tabs>
                <w:tab w:val="left" w:pos="142"/>
              </w:tabs>
              <w:spacing w:after="0"/>
              <w:ind w:firstLine="0"/>
              <w:rPr>
                <w:rFonts w:ascii="Arial Narrow" w:hAnsi="Arial Narrow"/>
                <w:color w:val="000000"/>
                <w:lang w:eastAsia="es-ES"/>
              </w:rPr>
            </w:pPr>
            <w:r w:rsidRPr="007747F2">
              <w:rPr>
                <w:rFonts w:ascii="Arial Narrow" w:hAnsi="Arial Narrow"/>
                <w:color w:val="000000"/>
                <w:lang w:eastAsia="es-ES"/>
              </w:rPr>
              <w:t>Total derechos reconocidos</w:t>
            </w:r>
          </w:p>
        </w:tc>
        <w:tc>
          <w:tcPr>
            <w:tcW w:w="1067" w:type="pct"/>
            <w:tcBorders>
              <w:top w:val="nil"/>
              <w:left w:val="nil"/>
              <w:bottom w:val="single" w:sz="4" w:space="0" w:color="auto"/>
              <w:right w:val="nil"/>
            </w:tcBorders>
            <w:vAlign w:val="center"/>
          </w:tcPr>
          <w:p w:rsidR="00076A71" w:rsidRPr="007747F2" w:rsidRDefault="00076A71" w:rsidP="00B45CA5">
            <w:pPr>
              <w:tabs>
                <w:tab w:val="left" w:pos="142"/>
              </w:tabs>
              <w:spacing w:after="0"/>
              <w:ind w:firstLine="0"/>
              <w:jc w:val="right"/>
              <w:rPr>
                <w:rFonts w:ascii="Arial Narrow" w:hAnsi="Arial Narrow"/>
                <w:color w:val="000000"/>
                <w:lang w:eastAsia="es-ES"/>
              </w:rPr>
            </w:pPr>
            <w:r w:rsidRPr="007747F2">
              <w:rPr>
                <w:rFonts w:ascii="Arial Narrow" w:hAnsi="Arial Narrow"/>
                <w:color w:val="000000"/>
                <w:lang w:eastAsia="es-ES"/>
              </w:rPr>
              <w:t>13.861.215</w:t>
            </w:r>
          </w:p>
        </w:tc>
        <w:tc>
          <w:tcPr>
            <w:tcW w:w="1067" w:type="pct"/>
            <w:tcBorders>
              <w:top w:val="nil"/>
              <w:left w:val="nil"/>
              <w:bottom w:val="single" w:sz="4" w:space="0" w:color="auto"/>
              <w:right w:val="nil"/>
            </w:tcBorders>
            <w:shd w:val="clear" w:color="auto" w:fill="auto"/>
            <w:vAlign w:val="center"/>
            <w:hideMark/>
          </w:tcPr>
          <w:p w:rsidR="00076A71" w:rsidRPr="007747F2" w:rsidRDefault="00076A71" w:rsidP="00B45CA5">
            <w:pPr>
              <w:tabs>
                <w:tab w:val="left" w:pos="142"/>
              </w:tabs>
              <w:spacing w:after="0"/>
              <w:ind w:firstLine="0"/>
              <w:jc w:val="right"/>
              <w:rPr>
                <w:rFonts w:ascii="Arial Narrow" w:hAnsi="Arial Narrow"/>
                <w:color w:val="000000"/>
                <w:lang w:eastAsia="es-ES"/>
              </w:rPr>
            </w:pPr>
            <w:r w:rsidRPr="007747F2">
              <w:rPr>
                <w:rFonts w:ascii="Arial Narrow" w:hAnsi="Arial Narrow"/>
                <w:color w:val="000000"/>
                <w:lang w:eastAsia="es-ES"/>
              </w:rPr>
              <w:t>14.595.647</w:t>
            </w:r>
          </w:p>
        </w:tc>
        <w:tc>
          <w:tcPr>
            <w:tcW w:w="807" w:type="pct"/>
            <w:tcBorders>
              <w:top w:val="nil"/>
              <w:left w:val="nil"/>
              <w:bottom w:val="single" w:sz="4" w:space="0" w:color="auto"/>
              <w:right w:val="nil"/>
            </w:tcBorders>
            <w:shd w:val="clear" w:color="auto" w:fill="auto"/>
            <w:vAlign w:val="center"/>
            <w:hideMark/>
          </w:tcPr>
          <w:p w:rsidR="00076A71" w:rsidRPr="007747F2" w:rsidRDefault="00076A71" w:rsidP="00B45CA5">
            <w:pPr>
              <w:tabs>
                <w:tab w:val="left" w:pos="142"/>
              </w:tabs>
              <w:spacing w:after="0"/>
              <w:ind w:firstLine="0"/>
              <w:jc w:val="right"/>
              <w:rPr>
                <w:rFonts w:ascii="Arial Narrow" w:hAnsi="Arial Narrow"/>
                <w:color w:val="000000"/>
                <w:lang w:eastAsia="es-ES"/>
              </w:rPr>
            </w:pPr>
            <w:r w:rsidRPr="007747F2">
              <w:rPr>
                <w:rFonts w:ascii="Arial Narrow" w:hAnsi="Arial Narrow"/>
                <w:color w:val="000000"/>
                <w:lang w:eastAsia="es-ES"/>
              </w:rPr>
              <w:t>5</w:t>
            </w:r>
          </w:p>
        </w:tc>
      </w:tr>
      <w:tr w:rsidR="00076A71" w:rsidRPr="007747F2" w:rsidTr="00FF2EC4">
        <w:trPr>
          <w:trHeight w:val="255"/>
        </w:trPr>
        <w:tc>
          <w:tcPr>
            <w:tcW w:w="2059" w:type="pct"/>
            <w:tcBorders>
              <w:top w:val="nil"/>
              <w:left w:val="nil"/>
              <w:bottom w:val="single" w:sz="4" w:space="0" w:color="auto"/>
              <w:right w:val="nil"/>
            </w:tcBorders>
            <w:shd w:val="clear" w:color="auto" w:fill="auto"/>
            <w:vAlign w:val="center"/>
            <w:hideMark/>
          </w:tcPr>
          <w:p w:rsidR="00076A71" w:rsidRPr="007747F2" w:rsidRDefault="00076A71" w:rsidP="005B1D27">
            <w:pPr>
              <w:tabs>
                <w:tab w:val="left" w:pos="142"/>
              </w:tabs>
              <w:spacing w:after="0"/>
              <w:ind w:firstLine="0"/>
              <w:rPr>
                <w:rFonts w:ascii="Arial Narrow" w:hAnsi="Arial Narrow"/>
                <w:color w:val="000000"/>
                <w:lang w:val="es-ES" w:eastAsia="es-ES"/>
              </w:rPr>
            </w:pPr>
            <w:r w:rsidRPr="007747F2">
              <w:rPr>
                <w:rFonts w:ascii="Arial Narrow" w:hAnsi="Arial Narrow"/>
                <w:color w:val="000000"/>
                <w:lang w:eastAsia="es-ES"/>
              </w:rPr>
              <w:t>Total obligaciones reconocidas</w:t>
            </w:r>
          </w:p>
        </w:tc>
        <w:tc>
          <w:tcPr>
            <w:tcW w:w="1067" w:type="pct"/>
            <w:tcBorders>
              <w:top w:val="nil"/>
              <w:left w:val="nil"/>
              <w:bottom w:val="single" w:sz="4" w:space="0" w:color="auto"/>
              <w:right w:val="nil"/>
            </w:tcBorders>
            <w:vAlign w:val="center"/>
          </w:tcPr>
          <w:p w:rsidR="00076A71" w:rsidRPr="007747F2" w:rsidRDefault="00076A71" w:rsidP="005B1D27">
            <w:pPr>
              <w:tabs>
                <w:tab w:val="left" w:pos="142"/>
              </w:tabs>
              <w:spacing w:after="0"/>
              <w:ind w:firstLine="0"/>
              <w:jc w:val="right"/>
              <w:rPr>
                <w:rFonts w:ascii="Arial Narrow" w:hAnsi="Arial Narrow"/>
                <w:color w:val="000000"/>
                <w:lang w:val="es-ES" w:eastAsia="es-ES"/>
              </w:rPr>
            </w:pPr>
            <w:r w:rsidRPr="007747F2">
              <w:rPr>
                <w:rFonts w:ascii="Arial Narrow" w:hAnsi="Arial Narrow"/>
                <w:color w:val="000000"/>
                <w:lang w:val="es-ES" w:eastAsia="es-ES"/>
              </w:rPr>
              <w:t>13.690.776</w:t>
            </w:r>
          </w:p>
        </w:tc>
        <w:tc>
          <w:tcPr>
            <w:tcW w:w="1067" w:type="pct"/>
            <w:tcBorders>
              <w:top w:val="nil"/>
              <w:left w:val="nil"/>
              <w:bottom w:val="single" w:sz="4" w:space="0" w:color="auto"/>
              <w:right w:val="nil"/>
            </w:tcBorders>
            <w:shd w:val="clear" w:color="auto" w:fill="auto"/>
            <w:vAlign w:val="center"/>
            <w:hideMark/>
          </w:tcPr>
          <w:p w:rsidR="00076A71" w:rsidRPr="007747F2" w:rsidRDefault="00076A71" w:rsidP="005B1D27">
            <w:pPr>
              <w:tabs>
                <w:tab w:val="left" w:pos="142"/>
              </w:tabs>
              <w:spacing w:after="0"/>
              <w:ind w:firstLine="0"/>
              <w:jc w:val="right"/>
              <w:rPr>
                <w:rFonts w:ascii="Arial Narrow" w:hAnsi="Arial Narrow"/>
                <w:color w:val="000000"/>
                <w:lang w:val="es-ES" w:eastAsia="es-ES"/>
              </w:rPr>
            </w:pPr>
            <w:r w:rsidRPr="007747F2">
              <w:rPr>
                <w:rFonts w:ascii="Arial Narrow" w:hAnsi="Arial Narrow"/>
                <w:color w:val="000000"/>
                <w:lang w:eastAsia="es-ES"/>
              </w:rPr>
              <w:t>14.770.534</w:t>
            </w:r>
          </w:p>
        </w:tc>
        <w:tc>
          <w:tcPr>
            <w:tcW w:w="807" w:type="pct"/>
            <w:tcBorders>
              <w:top w:val="nil"/>
              <w:left w:val="nil"/>
              <w:bottom w:val="single" w:sz="4" w:space="0" w:color="auto"/>
              <w:right w:val="nil"/>
            </w:tcBorders>
            <w:shd w:val="clear" w:color="auto" w:fill="auto"/>
            <w:vAlign w:val="center"/>
            <w:hideMark/>
          </w:tcPr>
          <w:p w:rsidR="00076A71" w:rsidRPr="007747F2" w:rsidRDefault="00076A71" w:rsidP="005B1D27">
            <w:pPr>
              <w:tabs>
                <w:tab w:val="left" w:pos="142"/>
              </w:tabs>
              <w:spacing w:after="0"/>
              <w:ind w:firstLine="0"/>
              <w:jc w:val="right"/>
              <w:rPr>
                <w:rFonts w:ascii="Arial Narrow" w:hAnsi="Arial Narrow"/>
                <w:color w:val="000000"/>
                <w:lang w:val="es-ES" w:eastAsia="es-ES"/>
              </w:rPr>
            </w:pPr>
            <w:r w:rsidRPr="007747F2">
              <w:rPr>
                <w:rFonts w:ascii="Arial Narrow" w:hAnsi="Arial Narrow"/>
                <w:color w:val="000000"/>
                <w:lang w:val="es-ES" w:eastAsia="es-ES"/>
              </w:rPr>
              <w:t>8</w:t>
            </w:r>
          </w:p>
        </w:tc>
      </w:tr>
      <w:tr w:rsidR="00076A71" w:rsidRPr="007747F2" w:rsidTr="00FF2EC4">
        <w:trPr>
          <w:trHeight w:val="255"/>
        </w:trPr>
        <w:tc>
          <w:tcPr>
            <w:tcW w:w="2059" w:type="pct"/>
            <w:tcBorders>
              <w:top w:val="nil"/>
              <w:left w:val="nil"/>
              <w:bottom w:val="single" w:sz="4" w:space="0" w:color="auto"/>
              <w:right w:val="nil"/>
            </w:tcBorders>
            <w:shd w:val="clear" w:color="auto" w:fill="auto"/>
            <w:vAlign w:val="center"/>
            <w:hideMark/>
          </w:tcPr>
          <w:p w:rsidR="00076A71" w:rsidRPr="007747F2" w:rsidRDefault="00076A71" w:rsidP="005B1D27">
            <w:pPr>
              <w:tabs>
                <w:tab w:val="left" w:pos="142"/>
              </w:tabs>
              <w:spacing w:after="0"/>
              <w:ind w:firstLine="0"/>
              <w:rPr>
                <w:rFonts w:ascii="Arial Narrow" w:hAnsi="Arial Narrow"/>
                <w:color w:val="000000"/>
                <w:lang w:val="es-ES" w:eastAsia="es-ES"/>
              </w:rPr>
            </w:pPr>
            <w:r w:rsidRPr="007747F2">
              <w:rPr>
                <w:rFonts w:ascii="Arial Narrow" w:hAnsi="Arial Narrow"/>
                <w:color w:val="000000"/>
                <w:lang w:eastAsia="es-ES"/>
              </w:rPr>
              <w:t xml:space="preserve">Ingresos corrientes </w:t>
            </w:r>
          </w:p>
        </w:tc>
        <w:tc>
          <w:tcPr>
            <w:tcW w:w="1067" w:type="pct"/>
            <w:tcBorders>
              <w:top w:val="nil"/>
              <w:left w:val="nil"/>
              <w:bottom w:val="single" w:sz="4" w:space="0" w:color="auto"/>
              <w:right w:val="nil"/>
            </w:tcBorders>
            <w:vAlign w:val="center"/>
          </w:tcPr>
          <w:p w:rsidR="00076A71" w:rsidRPr="007747F2" w:rsidRDefault="00076A71" w:rsidP="005B1D27">
            <w:pPr>
              <w:tabs>
                <w:tab w:val="left" w:pos="142"/>
              </w:tabs>
              <w:spacing w:after="0"/>
              <w:ind w:firstLine="0"/>
              <w:jc w:val="right"/>
              <w:rPr>
                <w:rFonts w:ascii="Arial Narrow" w:hAnsi="Arial Narrow"/>
                <w:color w:val="000000"/>
                <w:lang w:val="es-ES" w:eastAsia="es-ES"/>
              </w:rPr>
            </w:pPr>
            <w:r w:rsidRPr="007747F2">
              <w:rPr>
                <w:rFonts w:ascii="Arial Narrow" w:hAnsi="Arial Narrow"/>
                <w:color w:val="000000"/>
                <w:lang w:val="es-ES" w:eastAsia="es-ES"/>
              </w:rPr>
              <w:t>13.340.243</w:t>
            </w:r>
          </w:p>
        </w:tc>
        <w:tc>
          <w:tcPr>
            <w:tcW w:w="1067" w:type="pct"/>
            <w:tcBorders>
              <w:top w:val="nil"/>
              <w:left w:val="nil"/>
              <w:bottom w:val="single" w:sz="4" w:space="0" w:color="auto"/>
              <w:right w:val="nil"/>
            </w:tcBorders>
            <w:shd w:val="clear" w:color="auto" w:fill="auto"/>
            <w:vAlign w:val="center"/>
            <w:hideMark/>
          </w:tcPr>
          <w:p w:rsidR="00076A71" w:rsidRPr="007747F2" w:rsidRDefault="00076A71" w:rsidP="005B1D27">
            <w:pPr>
              <w:tabs>
                <w:tab w:val="left" w:pos="142"/>
              </w:tabs>
              <w:spacing w:after="0"/>
              <w:ind w:firstLine="0"/>
              <w:jc w:val="right"/>
              <w:rPr>
                <w:rFonts w:ascii="Arial Narrow" w:hAnsi="Arial Narrow"/>
                <w:color w:val="000000"/>
                <w:lang w:val="es-ES" w:eastAsia="es-ES"/>
              </w:rPr>
            </w:pPr>
            <w:r w:rsidRPr="007747F2">
              <w:rPr>
                <w:rFonts w:ascii="Arial Narrow" w:hAnsi="Arial Narrow"/>
                <w:color w:val="000000"/>
                <w:lang w:val="es-ES" w:eastAsia="es-ES"/>
              </w:rPr>
              <w:t>14.188.835</w:t>
            </w:r>
          </w:p>
        </w:tc>
        <w:tc>
          <w:tcPr>
            <w:tcW w:w="807" w:type="pct"/>
            <w:tcBorders>
              <w:top w:val="nil"/>
              <w:left w:val="nil"/>
              <w:bottom w:val="single" w:sz="4" w:space="0" w:color="auto"/>
              <w:right w:val="nil"/>
            </w:tcBorders>
            <w:shd w:val="clear" w:color="auto" w:fill="auto"/>
            <w:vAlign w:val="center"/>
            <w:hideMark/>
          </w:tcPr>
          <w:p w:rsidR="00076A71" w:rsidRPr="007747F2" w:rsidRDefault="00076A71" w:rsidP="005B1D27">
            <w:pPr>
              <w:tabs>
                <w:tab w:val="left" w:pos="142"/>
              </w:tabs>
              <w:spacing w:after="0"/>
              <w:ind w:firstLine="0"/>
              <w:jc w:val="right"/>
              <w:rPr>
                <w:rFonts w:ascii="Arial Narrow" w:hAnsi="Arial Narrow"/>
                <w:color w:val="000000"/>
                <w:lang w:val="es-ES" w:eastAsia="es-ES"/>
              </w:rPr>
            </w:pPr>
            <w:r w:rsidRPr="007747F2">
              <w:rPr>
                <w:rFonts w:ascii="Arial Narrow" w:hAnsi="Arial Narrow"/>
                <w:color w:val="000000"/>
                <w:lang w:val="es-ES" w:eastAsia="es-ES"/>
              </w:rPr>
              <w:t>6</w:t>
            </w:r>
          </w:p>
        </w:tc>
      </w:tr>
      <w:tr w:rsidR="00076A71" w:rsidRPr="007747F2" w:rsidTr="00FF2EC4">
        <w:trPr>
          <w:trHeight w:val="255"/>
        </w:trPr>
        <w:tc>
          <w:tcPr>
            <w:tcW w:w="2059" w:type="pct"/>
            <w:tcBorders>
              <w:top w:val="nil"/>
              <w:left w:val="nil"/>
              <w:bottom w:val="single" w:sz="4" w:space="0" w:color="auto"/>
              <w:right w:val="nil"/>
            </w:tcBorders>
            <w:shd w:val="clear" w:color="auto" w:fill="auto"/>
            <w:vAlign w:val="center"/>
            <w:hideMark/>
          </w:tcPr>
          <w:p w:rsidR="00076A71" w:rsidRPr="007747F2" w:rsidRDefault="00076A71" w:rsidP="005B1D27">
            <w:pPr>
              <w:tabs>
                <w:tab w:val="left" w:pos="142"/>
              </w:tabs>
              <w:spacing w:after="0"/>
              <w:ind w:firstLine="0"/>
              <w:rPr>
                <w:rFonts w:ascii="Arial Narrow" w:hAnsi="Arial Narrow"/>
                <w:color w:val="000000"/>
                <w:lang w:val="es-ES" w:eastAsia="es-ES"/>
              </w:rPr>
            </w:pPr>
            <w:r w:rsidRPr="007747F2">
              <w:rPr>
                <w:rFonts w:ascii="Arial Narrow" w:hAnsi="Arial Narrow"/>
                <w:color w:val="000000"/>
                <w:lang w:eastAsia="es-ES"/>
              </w:rPr>
              <w:t xml:space="preserve">Gastos de funcionamiento </w:t>
            </w:r>
          </w:p>
        </w:tc>
        <w:tc>
          <w:tcPr>
            <w:tcW w:w="1067" w:type="pct"/>
            <w:tcBorders>
              <w:top w:val="nil"/>
              <w:left w:val="nil"/>
              <w:bottom w:val="single" w:sz="4" w:space="0" w:color="auto"/>
              <w:right w:val="nil"/>
            </w:tcBorders>
            <w:vAlign w:val="center"/>
          </w:tcPr>
          <w:p w:rsidR="00076A71" w:rsidRPr="007747F2" w:rsidRDefault="00076A71" w:rsidP="005B1D27">
            <w:pPr>
              <w:tabs>
                <w:tab w:val="left" w:pos="142"/>
              </w:tabs>
              <w:spacing w:after="0"/>
              <w:ind w:firstLine="0"/>
              <w:jc w:val="right"/>
              <w:rPr>
                <w:rFonts w:ascii="Arial Narrow" w:hAnsi="Arial Narrow"/>
                <w:color w:val="000000"/>
                <w:lang w:val="es-ES" w:eastAsia="es-ES"/>
              </w:rPr>
            </w:pPr>
            <w:r w:rsidRPr="007747F2">
              <w:rPr>
                <w:rFonts w:ascii="Arial Narrow" w:hAnsi="Arial Narrow"/>
                <w:color w:val="000000"/>
                <w:lang w:val="es-ES" w:eastAsia="es-ES"/>
              </w:rPr>
              <w:t>10.747.395</w:t>
            </w:r>
          </w:p>
        </w:tc>
        <w:tc>
          <w:tcPr>
            <w:tcW w:w="1067" w:type="pct"/>
            <w:tcBorders>
              <w:top w:val="nil"/>
              <w:left w:val="nil"/>
              <w:bottom w:val="single" w:sz="4" w:space="0" w:color="auto"/>
              <w:right w:val="nil"/>
            </w:tcBorders>
            <w:shd w:val="clear" w:color="auto" w:fill="auto"/>
            <w:vAlign w:val="center"/>
            <w:hideMark/>
          </w:tcPr>
          <w:p w:rsidR="00076A71" w:rsidRPr="007747F2" w:rsidRDefault="00076A71" w:rsidP="005B1D27">
            <w:pPr>
              <w:tabs>
                <w:tab w:val="left" w:pos="142"/>
              </w:tabs>
              <w:spacing w:after="0"/>
              <w:ind w:firstLine="0"/>
              <w:jc w:val="right"/>
              <w:rPr>
                <w:rFonts w:ascii="Arial Narrow" w:hAnsi="Arial Narrow"/>
                <w:color w:val="000000"/>
                <w:lang w:val="es-ES" w:eastAsia="es-ES"/>
              </w:rPr>
            </w:pPr>
            <w:r w:rsidRPr="007747F2">
              <w:rPr>
                <w:rFonts w:ascii="Arial Narrow" w:hAnsi="Arial Narrow"/>
                <w:color w:val="000000"/>
                <w:lang w:val="es-ES" w:eastAsia="es-ES"/>
              </w:rPr>
              <w:t>11.634.209</w:t>
            </w:r>
          </w:p>
        </w:tc>
        <w:tc>
          <w:tcPr>
            <w:tcW w:w="807" w:type="pct"/>
            <w:tcBorders>
              <w:top w:val="nil"/>
              <w:left w:val="nil"/>
              <w:bottom w:val="single" w:sz="4" w:space="0" w:color="auto"/>
              <w:right w:val="nil"/>
            </w:tcBorders>
            <w:shd w:val="clear" w:color="auto" w:fill="auto"/>
            <w:vAlign w:val="center"/>
            <w:hideMark/>
          </w:tcPr>
          <w:p w:rsidR="00076A71" w:rsidRPr="007747F2" w:rsidRDefault="00076A71" w:rsidP="005B1D27">
            <w:pPr>
              <w:tabs>
                <w:tab w:val="left" w:pos="142"/>
              </w:tabs>
              <w:spacing w:after="0"/>
              <w:ind w:firstLine="0"/>
              <w:jc w:val="right"/>
              <w:rPr>
                <w:rFonts w:ascii="Arial Narrow" w:hAnsi="Arial Narrow"/>
                <w:color w:val="000000"/>
                <w:lang w:val="es-ES" w:eastAsia="es-ES"/>
              </w:rPr>
            </w:pPr>
            <w:r w:rsidRPr="007747F2">
              <w:rPr>
                <w:rFonts w:ascii="Arial Narrow" w:hAnsi="Arial Narrow"/>
                <w:color w:val="000000"/>
                <w:lang w:val="es-ES" w:eastAsia="es-ES"/>
              </w:rPr>
              <w:t>8</w:t>
            </w:r>
          </w:p>
        </w:tc>
      </w:tr>
      <w:tr w:rsidR="00076A71" w:rsidRPr="007747F2" w:rsidTr="00FF2EC4">
        <w:trPr>
          <w:trHeight w:val="255"/>
        </w:trPr>
        <w:tc>
          <w:tcPr>
            <w:tcW w:w="2059" w:type="pct"/>
            <w:tcBorders>
              <w:top w:val="nil"/>
              <w:left w:val="nil"/>
              <w:bottom w:val="single" w:sz="4" w:space="0" w:color="auto"/>
              <w:right w:val="nil"/>
            </w:tcBorders>
            <w:shd w:val="clear" w:color="auto" w:fill="auto"/>
            <w:vAlign w:val="center"/>
            <w:hideMark/>
          </w:tcPr>
          <w:p w:rsidR="00076A71" w:rsidRPr="007747F2" w:rsidRDefault="00076A71" w:rsidP="005B1D27">
            <w:pPr>
              <w:tabs>
                <w:tab w:val="left" w:pos="142"/>
              </w:tabs>
              <w:spacing w:after="0"/>
              <w:ind w:firstLine="0"/>
              <w:rPr>
                <w:rFonts w:ascii="Arial Narrow" w:hAnsi="Arial Narrow"/>
                <w:color w:val="000000"/>
                <w:lang w:val="es-ES" w:eastAsia="es-ES"/>
              </w:rPr>
            </w:pPr>
            <w:r w:rsidRPr="007747F2">
              <w:rPr>
                <w:rFonts w:ascii="Arial Narrow" w:hAnsi="Arial Narrow"/>
                <w:color w:val="000000"/>
                <w:lang w:eastAsia="es-ES"/>
              </w:rPr>
              <w:t>Ingresos de capital</w:t>
            </w:r>
          </w:p>
        </w:tc>
        <w:tc>
          <w:tcPr>
            <w:tcW w:w="1067" w:type="pct"/>
            <w:tcBorders>
              <w:top w:val="nil"/>
              <w:left w:val="nil"/>
              <w:bottom w:val="single" w:sz="4" w:space="0" w:color="auto"/>
              <w:right w:val="nil"/>
            </w:tcBorders>
            <w:vAlign w:val="center"/>
          </w:tcPr>
          <w:p w:rsidR="00076A71" w:rsidRPr="007747F2" w:rsidRDefault="00076A71" w:rsidP="005B1D27">
            <w:pPr>
              <w:tabs>
                <w:tab w:val="left" w:pos="142"/>
              </w:tabs>
              <w:spacing w:after="0"/>
              <w:ind w:firstLine="0"/>
              <w:jc w:val="right"/>
              <w:rPr>
                <w:rFonts w:ascii="Arial Narrow" w:hAnsi="Arial Narrow"/>
                <w:color w:val="000000"/>
                <w:lang w:val="es-ES" w:eastAsia="es-ES"/>
              </w:rPr>
            </w:pPr>
            <w:r w:rsidRPr="007747F2">
              <w:rPr>
                <w:rFonts w:ascii="Arial Narrow" w:hAnsi="Arial Narrow"/>
                <w:color w:val="000000"/>
                <w:lang w:val="es-ES" w:eastAsia="es-ES"/>
              </w:rPr>
              <w:t>520.972</w:t>
            </w:r>
          </w:p>
        </w:tc>
        <w:tc>
          <w:tcPr>
            <w:tcW w:w="1067" w:type="pct"/>
            <w:tcBorders>
              <w:top w:val="nil"/>
              <w:left w:val="nil"/>
              <w:bottom w:val="single" w:sz="4" w:space="0" w:color="auto"/>
              <w:right w:val="nil"/>
            </w:tcBorders>
            <w:shd w:val="clear" w:color="auto" w:fill="auto"/>
            <w:vAlign w:val="center"/>
            <w:hideMark/>
          </w:tcPr>
          <w:p w:rsidR="00076A71" w:rsidRPr="007747F2" w:rsidRDefault="00076A71" w:rsidP="005B1D27">
            <w:pPr>
              <w:tabs>
                <w:tab w:val="left" w:pos="142"/>
              </w:tabs>
              <w:spacing w:after="0"/>
              <w:ind w:firstLine="0"/>
              <w:jc w:val="right"/>
              <w:rPr>
                <w:rFonts w:ascii="Arial Narrow" w:hAnsi="Arial Narrow"/>
                <w:color w:val="000000"/>
                <w:lang w:val="es-ES" w:eastAsia="es-ES"/>
              </w:rPr>
            </w:pPr>
            <w:r w:rsidRPr="007747F2">
              <w:rPr>
                <w:rFonts w:ascii="Arial Narrow" w:hAnsi="Arial Narrow"/>
                <w:color w:val="000000"/>
                <w:lang w:val="es-ES" w:eastAsia="es-ES"/>
              </w:rPr>
              <w:t>406.813</w:t>
            </w:r>
          </w:p>
        </w:tc>
        <w:tc>
          <w:tcPr>
            <w:tcW w:w="807" w:type="pct"/>
            <w:tcBorders>
              <w:top w:val="nil"/>
              <w:left w:val="nil"/>
              <w:bottom w:val="single" w:sz="4" w:space="0" w:color="auto"/>
              <w:right w:val="nil"/>
            </w:tcBorders>
            <w:shd w:val="clear" w:color="auto" w:fill="auto"/>
            <w:vAlign w:val="center"/>
            <w:hideMark/>
          </w:tcPr>
          <w:p w:rsidR="00076A71" w:rsidRPr="007747F2" w:rsidRDefault="00076A71" w:rsidP="005B1D27">
            <w:pPr>
              <w:tabs>
                <w:tab w:val="left" w:pos="142"/>
              </w:tabs>
              <w:spacing w:after="0"/>
              <w:ind w:firstLine="0"/>
              <w:jc w:val="right"/>
              <w:rPr>
                <w:rFonts w:ascii="Arial Narrow" w:hAnsi="Arial Narrow"/>
                <w:color w:val="000000"/>
                <w:lang w:val="es-ES" w:eastAsia="es-ES"/>
              </w:rPr>
            </w:pPr>
            <w:r w:rsidRPr="007747F2">
              <w:rPr>
                <w:rFonts w:ascii="Arial Narrow" w:hAnsi="Arial Narrow"/>
                <w:color w:val="000000"/>
                <w:lang w:val="es-ES" w:eastAsia="es-ES"/>
              </w:rPr>
              <w:t>-22</w:t>
            </w:r>
          </w:p>
        </w:tc>
      </w:tr>
      <w:tr w:rsidR="00076A71" w:rsidRPr="007747F2" w:rsidTr="00FF2EC4">
        <w:trPr>
          <w:trHeight w:val="255"/>
        </w:trPr>
        <w:tc>
          <w:tcPr>
            <w:tcW w:w="2059" w:type="pct"/>
            <w:tcBorders>
              <w:top w:val="nil"/>
              <w:left w:val="nil"/>
              <w:bottom w:val="single" w:sz="4" w:space="0" w:color="auto"/>
              <w:right w:val="nil"/>
            </w:tcBorders>
            <w:shd w:val="clear" w:color="auto" w:fill="auto"/>
            <w:vAlign w:val="center"/>
            <w:hideMark/>
          </w:tcPr>
          <w:p w:rsidR="00076A71" w:rsidRPr="007747F2" w:rsidRDefault="00076A71" w:rsidP="005B1D27">
            <w:pPr>
              <w:tabs>
                <w:tab w:val="left" w:pos="142"/>
              </w:tabs>
              <w:spacing w:after="0"/>
              <w:ind w:firstLine="0"/>
              <w:rPr>
                <w:rFonts w:ascii="Arial Narrow" w:hAnsi="Arial Narrow"/>
                <w:color w:val="000000"/>
                <w:lang w:val="es-ES" w:eastAsia="es-ES"/>
              </w:rPr>
            </w:pPr>
            <w:r w:rsidRPr="007747F2">
              <w:rPr>
                <w:rFonts w:ascii="Arial Narrow" w:hAnsi="Arial Narrow"/>
                <w:color w:val="000000"/>
                <w:lang w:eastAsia="es-ES"/>
              </w:rPr>
              <w:t>Gastos de capital</w:t>
            </w:r>
          </w:p>
        </w:tc>
        <w:tc>
          <w:tcPr>
            <w:tcW w:w="1067" w:type="pct"/>
            <w:tcBorders>
              <w:top w:val="nil"/>
              <w:left w:val="nil"/>
              <w:bottom w:val="single" w:sz="4" w:space="0" w:color="auto"/>
              <w:right w:val="nil"/>
            </w:tcBorders>
            <w:vAlign w:val="center"/>
          </w:tcPr>
          <w:p w:rsidR="00076A71" w:rsidRPr="007747F2" w:rsidRDefault="00076A71" w:rsidP="005B1D27">
            <w:pPr>
              <w:tabs>
                <w:tab w:val="left" w:pos="142"/>
              </w:tabs>
              <w:spacing w:after="0"/>
              <w:ind w:firstLine="0"/>
              <w:jc w:val="right"/>
              <w:rPr>
                <w:rFonts w:ascii="Arial Narrow" w:hAnsi="Arial Narrow"/>
                <w:color w:val="000000"/>
                <w:lang w:val="es-ES" w:eastAsia="es-ES"/>
              </w:rPr>
            </w:pPr>
            <w:r w:rsidRPr="007747F2">
              <w:rPr>
                <w:rFonts w:ascii="Arial Narrow" w:hAnsi="Arial Narrow"/>
                <w:color w:val="000000"/>
                <w:lang w:val="es-ES" w:eastAsia="es-ES"/>
              </w:rPr>
              <w:t>2.799.574</w:t>
            </w:r>
          </w:p>
        </w:tc>
        <w:tc>
          <w:tcPr>
            <w:tcW w:w="1067" w:type="pct"/>
            <w:tcBorders>
              <w:top w:val="nil"/>
              <w:left w:val="nil"/>
              <w:bottom w:val="single" w:sz="4" w:space="0" w:color="auto"/>
              <w:right w:val="nil"/>
            </w:tcBorders>
            <w:shd w:val="clear" w:color="auto" w:fill="auto"/>
            <w:vAlign w:val="center"/>
            <w:hideMark/>
          </w:tcPr>
          <w:p w:rsidR="00076A71" w:rsidRPr="007747F2" w:rsidRDefault="00076A71" w:rsidP="005B1D27">
            <w:pPr>
              <w:tabs>
                <w:tab w:val="left" w:pos="142"/>
              </w:tabs>
              <w:spacing w:after="0"/>
              <w:ind w:firstLine="0"/>
              <w:jc w:val="right"/>
              <w:rPr>
                <w:rFonts w:ascii="Arial Narrow" w:hAnsi="Arial Narrow"/>
                <w:color w:val="000000"/>
                <w:lang w:val="es-ES" w:eastAsia="es-ES"/>
              </w:rPr>
            </w:pPr>
            <w:r w:rsidRPr="007747F2">
              <w:rPr>
                <w:rFonts w:ascii="Arial Narrow" w:hAnsi="Arial Narrow"/>
                <w:color w:val="000000"/>
                <w:lang w:val="es-ES" w:eastAsia="es-ES"/>
              </w:rPr>
              <w:t>2.944.601</w:t>
            </w:r>
          </w:p>
        </w:tc>
        <w:tc>
          <w:tcPr>
            <w:tcW w:w="807" w:type="pct"/>
            <w:tcBorders>
              <w:top w:val="nil"/>
              <w:left w:val="nil"/>
              <w:bottom w:val="single" w:sz="4" w:space="0" w:color="auto"/>
              <w:right w:val="nil"/>
            </w:tcBorders>
            <w:shd w:val="clear" w:color="auto" w:fill="auto"/>
            <w:vAlign w:val="center"/>
            <w:hideMark/>
          </w:tcPr>
          <w:p w:rsidR="00076A71" w:rsidRPr="007747F2" w:rsidRDefault="00076A71" w:rsidP="005B1D27">
            <w:pPr>
              <w:tabs>
                <w:tab w:val="left" w:pos="142"/>
              </w:tabs>
              <w:spacing w:after="0"/>
              <w:ind w:firstLine="0"/>
              <w:jc w:val="right"/>
              <w:rPr>
                <w:rFonts w:ascii="Arial Narrow" w:hAnsi="Arial Narrow"/>
                <w:color w:val="000000"/>
                <w:lang w:val="es-ES" w:eastAsia="es-ES"/>
              </w:rPr>
            </w:pPr>
            <w:r w:rsidRPr="007747F2">
              <w:rPr>
                <w:rFonts w:ascii="Arial Narrow" w:hAnsi="Arial Narrow"/>
                <w:color w:val="000000"/>
                <w:lang w:val="es-ES" w:eastAsia="es-ES"/>
              </w:rPr>
              <w:t>5</w:t>
            </w:r>
          </w:p>
        </w:tc>
      </w:tr>
      <w:tr w:rsidR="00076A71" w:rsidRPr="007747F2" w:rsidTr="00FF2EC4">
        <w:trPr>
          <w:trHeight w:val="255"/>
        </w:trPr>
        <w:tc>
          <w:tcPr>
            <w:tcW w:w="2059" w:type="pct"/>
            <w:tcBorders>
              <w:top w:val="nil"/>
              <w:left w:val="nil"/>
              <w:bottom w:val="single" w:sz="4" w:space="0" w:color="auto"/>
              <w:right w:val="nil"/>
            </w:tcBorders>
            <w:shd w:val="clear" w:color="auto" w:fill="auto"/>
            <w:vAlign w:val="center"/>
            <w:hideMark/>
          </w:tcPr>
          <w:p w:rsidR="00076A71" w:rsidRPr="007747F2" w:rsidRDefault="00076A71" w:rsidP="005B1D27">
            <w:pPr>
              <w:tabs>
                <w:tab w:val="left" w:pos="142"/>
              </w:tabs>
              <w:spacing w:after="0"/>
              <w:ind w:firstLine="0"/>
              <w:rPr>
                <w:rFonts w:ascii="Arial Narrow" w:hAnsi="Arial Narrow"/>
                <w:color w:val="000000"/>
                <w:lang w:val="es-ES" w:eastAsia="es-ES"/>
              </w:rPr>
            </w:pPr>
            <w:r w:rsidRPr="007747F2">
              <w:rPr>
                <w:rFonts w:ascii="Arial Narrow" w:hAnsi="Arial Narrow"/>
                <w:color w:val="000000"/>
                <w:lang w:eastAsia="es-ES"/>
              </w:rPr>
              <w:t>Saldo no financiero</w:t>
            </w:r>
          </w:p>
        </w:tc>
        <w:tc>
          <w:tcPr>
            <w:tcW w:w="1067" w:type="pct"/>
            <w:tcBorders>
              <w:top w:val="nil"/>
              <w:left w:val="nil"/>
              <w:bottom w:val="single" w:sz="4" w:space="0" w:color="auto"/>
              <w:right w:val="nil"/>
            </w:tcBorders>
            <w:vAlign w:val="center"/>
          </w:tcPr>
          <w:p w:rsidR="00076A71" w:rsidRPr="007747F2" w:rsidRDefault="00076A71" w:rsidP="005B1D27">
            <w:pPr>
              <w:tabs>
                <w:tab w:val="left" w:pos="142"/>
              </w:tabs>
              <w:spacing w:after="0"/>
              <w:ind w:firstLine="0"/>
              <w:jc w:val="right"/>
              <w:rPr>
                <w:rFonts w:ascii="Arial Narrow" w:hAnsi="Arial Narrow"/>
                <w:color w:val="000000"/>
                <w:lang w:val="es-ES" w:eastAsia="es-ES"/>
              </w:rPr>
            </w:pPr>
            <w:r w:rsidRPr="007747F2">
              <w:rPr>
                <w:rFonts w:ascii="Arial Narrow" w:hAnsi="Arial Narrow"/>
                <w:color w:val="000000"/>
                <w:lang w:val="es-ES" w:eastAsia="es-ES"/>
              </w:rPr>
              <w:t>314.231</w:t>
            </w:r>
          </w:p>
        </w:tc>
        <w:tc>
          <w:tcPr>
            <w:tcW w:w="1067" w:type="pct"/>
            <w:tcBorders>
              <w:top w:val="nil"/>
              <w:left w:val="nil"/>
              <w:bottom w:val="single" w:sz="4" w:space="0" w:color="auto"/>
              <w:right w:val="nil"/>
            </w:tcBorders>
            <w:shd w:val="clear" w:color="auto" w:fill="auto"/>
            <w:vAlign w:val="center"/>
            <w:hideMark/>
          </w:tcPr>
          <w:p w:rsidR="00076A71" w:rsidRPr="007747F2" w:rsidRDefault="00076A71" w:rsidP="005B1D27">
            <w:pPr>
              <w:tabs>
                <w:tab w:val="left" w:pos="142"/>
              </w:tabs>
              <w:spacing w:after="0"/>
              <w:ind w:firstLine="0"/>
              <w:jc w:val="right"/>
              <w:rPr>
                <w:rFonts w:ascii="Arial Narrow" w:hAnsi="Arial Narrow"/>
                <w:color w:val="000000"/>
                <w:lang w:val="es-ES" w:eastAsia="es-ES"/>
              </w:rPr>
            </w:pPr>
            <w:r w:rsidRPr="007747F2">
              <w:rPr>
                <w:rFonts w:ascii="Arial Narrow" w:hAnsi="Arial Narrow"/>
                <w:color w:val="000000"/>
                <w:lang w:val="es-ES" w:eastAsia="es-ES"/>
              </w:rPr>
              <w:t>16.837</w:t>
            </w:r>
          </w:p>
        </w:tc>
        <w:tc>
          <w:tcPr>
            <w:tcW w:w="807" w:type="pct"/>
            <w:tcBorders>
              <w:top w:val="nil"/>
              <w:left w:val="nil"/>
              <w:bottom w:val="single" w:sz="4" w:space="0" w:color="auto"/>
              <w:right w:val="nil"/>
            </w:tcBorders>
            <w:shd w:val="clear" w:color="auto" w:fill="auto"/>
            <w:vAlign w:val="center"/>
            <w:hideMark/>
          </w:tcPr>
          <w:p w:rsidR="00076A71" w:rsidRPr="007747F2" w:rsidRDefault="00076A71" w:rsidP="005B1D27">
            <w:pPr>
              <w:tabs>
                <w:tab w:val="left" w:pos="142"/>
              </w:tabs>
              <w:spacing w:after="0"/>
              <w:ind w:firstLine="0"/>
              <w:jc w:val="right"/>
              <w:rPr>
                <w:rFonts w:ascii="Arial Narrow" w:hAnsi="Arial Narrow"/>
                <w:color w:val="000000"/>
                <w:lang w:val="es-ES" w:eastAsia="es-ES"/>
              </w:rPr>
            </w:pPr>
            <w:r w:rsidRPr="007747F2">
              <w:rPr>
                <w:rFonts w:ascii="Arial Narrow" w:hAnsi="Arial Narrow"/>
                <w:color w:val="000000"/>
                <w:lang w:val="es-ES" w:eastAsia="es-ES"/>
              </w:rPr>
              <w:t>-95</w:t>
            </w:r>
          </w:p>
        </w:tc>
      </w:tr>
      <w:tr w:rsidR="00076A71" w:rsidRPr="007747F2" w:rsidTr="00FF2EC4">
        <w:trPr>
          <w:trHeight w:val="255"/>
        </w:trPr>
        <w:tc>
          <w:tcPr>
            <w:tcW w:w="2059" w:type="pct"/>
            <w:tcBorders>
              <w:top w:val="nil"/>
              <w:left w:val="nil"/>
              <w:bottom w:val="single" w:sz="4" w:space="0" w:color="auto"/>
              <w:right w:val="nil"/>
            </w:tcBorders>
            <w:shd w:val="clear" w:color="auto" w:fill="auto"/>
            <w:vAlign w:val="center"/>
            <w:hideMark/>
          </w:tcPr>
          <w:p w:rsidR="00076A71" w:rsidRPr="007747F2" w:rsidRDefault="00076A71" w:rsidP="005B1D27">
            <w:pPr>
              <w:tabs>
                <w:tab w:val="left" w:pos="142"/>
              </w:tabs>
              <w:spacing w:after="0"/>
              <w:ind w:firstLine="0"/>
              <w:rPr>
                <w:rFonts w:ascii="Arial Narrow" w:hAnsi="Arial Narrow"/>
                <w:color w:val="000000"/>
                <w:lang w:val="es-ES" w:eastAsia="es-ES"/>
              </w:rPr>
            </w:pPr>
            <w:r w:rsidRPr="007747F2">
              <w:rPr>
                <w:rFonts w:ascii="Arial Narrow" w:hAnsi="Arial Narrow"/>
                <w:color w:val="000000"/>
                <w:lang w:eastAsia="es-ES"/>
              </w:rPr>
              <w:t>Resultado presupuestario ajustado</w:t>
            </w:r>
          </w:p>
        </w:tc>
        <w:tc>
          <w:tcPr>
            <w:tcW w:w="1067" w:type="pct"/>
            <w:tcBorders>
              <w:top w:val="nil"/>
              <w:left w:val="nil"/>
              <w:bottom w:val="single" w:sz="4" w:space="0" w:color="auto"/>
              <w:right w:val="nil"/>
            </w:tcBorders>
            <w:vAlign w:val="center"/>
          </w:tcPr>
          <w:p w:rsidR="00076A71" w:rsidRPr="007747F2" w:rsidRDefault="00076A71" w:rsidP="005B1D27">
            <w:pPr>
              <w:tabs>
                <w:tab w:val="left" w:pos="142"/>
              </w:tabs>
              <w:spacing w:after="0"/>
              <w:ind w:firstLine="0"/>
              <w:jc w:val="right"/>
              <w:rPr>
                <w:rFonts w:ascii="Arial Narrow" w:hAnsi="Arial Narrow"/>
                <w:color w:val="000000"/>
                <w:lang w:val="es-ES" w:eastAsia="es-ES"/>
              </w:rPr>
            </w:pPr>
            <w:r w:rsidRPr="007747F2">
              <w:rPr>
                <w:rFonts w:ascii="Arial Narrow" w:hAnsi="Arial Narrow"/>
                <w:color w:val="000000"/>
                <w:lang w:val="es-ES" w:eastAsia="es-ES"/>
              </w:rPr>
              <w:t>2.043.922</w:t>
            </w:r>
          </w:p>
        </w:tc>
        <w:tc>
          <w:tcPr>
            <w:tcW w:w="1067" w:type="pct"/>
            <w:tcBorders>
              <w:top w:val="nil"/>
              <w:left w:val="nil"/>
              <w:bottom w:val="single" w:sz="4" w:space="0" w:color="auto"/>
              <w:right w:val="nil"/>
            </w:tcBorders>
            <w:shd w:val="clear" w:color="auto" w:fill="auto"/>
            <w:vAlign w:val="center"/>
            <w:hideMark/>
          </w:tcPr>
          <w:p w:rsidR="00076A71" w:rsidRPr="007747F2" w:rsidRDefault="00076A71" w:rsidP="005B1D27">
            <w:pPr>
              <w:tabs>
                <w:tab w:val="left" w:pos="142"/>
              </w:tabs>
              <w:spacing w:after="0"/>
              <w:ind w:firstLine="0"/>
              <w:jc w:val="right"/>
              <w:rPr>
                <w:rFonts w:ascii="Arial Narrow" w:hAnsi="Arial Narrow"/>
                <w:color w:val="000000"/>
                <w:lang w:val="es-ES" w:eastAsia="es-ES"/>
              </w:rPr>
            </w:pPr>
            <w:r w:rsidRPr="007747F2">
              <w:rPr>
                <w:rFonts w:ascii="Arial Narrow" w:hAnsi="Arial Narrow"/>
                <w:color w:val="000000"/>
                <w:lang w:val="es-ES" w:eastAsia="es-ES"/>
              </w:rPr>
              <w:t>899.682</w:t>
            </w:r>
          </w:p>
        </w:tc>
        <w:tc>
          <w:tcPr>
            <w:tcW w:w="807" w:type="pct"/>
            <w:tcBorders>
              <w:top w:val="nil"/>
              <w:left w:val="nil"/>
              <w:bottom w:val="single" w:sz="4" w:space="0" w:color="auto"/>
              <w:right w:val="nil"/>
            </w:tcBorders>
            <w:shd w:val="clear" w:color="auto" w:fill="auto"/>
            <w:vAlign w:val="center"/>
            <w:hideMark/>
          </w:tcPr>
          <w:p w:rsidR="00076A71" w:rsidRPr="007747F2" w:rsidRDefault="00076A71" w:rsidP="005B1D27">
            <w:pPr>
              <w:tabs>
                <w:tab w:val="left" w:pos="142"/>
              </w:tabs>
              <w:spacing w:after="0"/>
              <w:ind w:firstLine="0"/>
              <w:jc w:val="right"/>
              <w:rPr>
                <w:rFonts w:ascii="Arial Narrow" w:hAnsi="Arial Narrow"/>
                <w:color w:val="000000"/>
                <w:lang w:val="es-ES" w:eastAsia="es-ES"/>
              </w:rPr>
            </w:pPr>
            <w:r w:rsidRPr="007747F2">
              <w:rPr>
                <w:rFonts w:ascii="Arial Narrow" w:hAnsi="Arial Narrow"/>
                <w:color w:val="000000"/>
                <w:lang w:val="es-ES" w:eastAsia="es-ES"/>
              </w:rPr>
              <w:t>-56</w:t>
            </w:r>
          </w:p>
        </w:tc>
      </w:tr>
    </w:tbl>
    <w:p w:rsidR="0067725A" w:rsidRDefault="0067725A" w:rsidP="00547E70">
      <w:pPr>
        <w:pStyle w:val="texto"/>
        <w:tabs>
          <w:tab w:val="clear" w:pos="2835"/>
          <w:tab w:val="clear" w:pos="3969"/>
          <w:tab w:val="clear" w:pos="5103"/>
          <w:tab w:val="clear" w:pos="6237"/>
          <w:tab w:val="clear" w:pos="7371"/>
        </w:tabs>
        <w:spacing w:before="200" w:after="120"/>
      </w:pPr>
      <w:r>
        <w:t xml:space="preserve">De la evolución anterior </w:t>
      </w:r>
      <w:r w:rsidR="00334B37">
        <w:t>señal</w:t>
      </w:r>
      <w:r>
        <w:t>amos:</w:t>
      </w:r>
    </w:p>
    <w:p w:rsidR="0067725A" w:rsidRPr="009F5A89" w:rsidRDefault="00E75AA1" w:rsidP="00E53D9D">
      <w:pPr>
        <w:pStyle w:val="texto"/>
        <w:numPr>
          <w:ilvl w:val="0"/>
          <w:numId w:val="1"/>
        </w:numPr>
        <w:tabs>
          <w:tab w:val="clear" w:pos="2835"/>
          <w:tab w:val="clear" w:pos="3969"/>
          <w:tab w:val="clear" w:pos="5103"/>
          <w:tab w:val="clear" w:pos="6237"/>
          <w:tab w:val="clear" w:pos="7371"/>
          <w:tab w:val="left" w:pos="480"/>
          <w:tab w:val="num" w:pos="720"/>
          <w:tab w:val="num" w:pos="6597"/>
        </w:tabs>
        <w:ind w:left="0" w:firstLine="289"/>
        <w:rPr>
          <w:color w:val="000000" w:themeColor="text1"/>
          <w:szCs w:val="26"/>
        </w:rPr>
      </w:pPr>
      <w:r>
        <w:rPr>
          <w:szCs w:val="26"/>
        </w:rPr>
        <w:t>L</w:t>
      </w:r>
      <w:r w:rsidR="000B0B1F">
        <w:rPr>
          <w:szCs w:val="26"/>
        </w:rPr>
        <w:t xml:space="preserve">os ingresos corrientes han aumentado un </w:t>
      </w:r>
      <w:r w:rsidR="00076A71">
        <w:rPr>
          <w:szCs w:val="26"/>
        </w:rPr>
        <w:t>seis</w:t>
      </w:r>
      <w:r w:rsidR="000B0B1F">
        <w:rPr>
          <w:szCs w:val="26"/>
        </w:rPr>
        <w:t xml:space="preserve"> por ciento, mientras que los de capital han disminuido un </w:t>
      </w:r>
      <w:r w:rsidR="003F27B7">
        <w:rPr>
          <w:szCs w:val="26"/>
        </w:rPr>
        <w:t>2</w:t>
      </w:r>
      <w:r w:rsidR="00076A71">
        <w:rPr>
          <w:szCs w:val="26"/>
        </w:rPr>
        <w:t>2</w:t>
      </w:r>
      <w:r w:rsidR="000B0B1F">
        <w:rPr>
          <w:szCs w:val="26"/>
        </w:rPr>
        <w:t xml:space="preserve"> por ciento. No obstante, en términos absolutos es más </w:t>
      </w:r>
      <w:r w:rsidR="000B0B1F" w:rsidRPr="009F5A89">
        <w:rPr>
          <w:color w:val="000000" w:themeColor="text1"/>
          <w:szCs w:val="26"/>
        </w:rPr>
        <w:t xml:space="preserve">significativo </w:t>
      </w:r>
      <w:r w:rsidR="0067725A" w:rsidRPr="009F5A89">
        <w:rPr>
          <w:color w:val="000000" w:themeColor="text1"/>
          <w:szCs w:val="26"/>
        </w:rPr>
        <w:t xml:space="preserve">el aumento </w:t>
      </w:r>
      <w:r w:rsidR="000B0B1F" w:rsidRPr="009F5A89">
        <w:rPr>
          <w:color w:val="000000" w:themeColor="text1"/>
          <w:szCs w:val="26"/>
        </w:rPr>
        <w:t xml:space="preserve">de los ingresos corrientes que ha sido de </w:t>
      </w:r>
      <w:r w:rsidR="00FC21A1" w:rsidRPr="009F5A89">
        <w:rPr>
          <w:color w:val="000000" w:themeColor="text1"/>
          <w:szCs w:val="26"/>
        </w:rPr>
        <w:t>848.592</w:t>
      </w:r>
      <w:r w:rsidR="000B0B1F" w:rsidRPr="009F5A89">
        <w:rPr>
          <w:color w:val="000000" w:themeColor="text1"/>
          <w:szCs w:val="26"/>
        </w:rPr>
        <w:t xml:space="preserve"> euros, frente al decremento de los ingresos de capital que </w:t>
      </w:r>
      <w:r w:rsidR="00A247E1" w:rsidRPr="009F5A89">
        <w:rPr>
          <w:color w:val="000000" w:themeColor="text1"/>
          <w:szCs w:val="26"/>
        </w:rPr>
        <w:t>ha sido de</w:t>
      </w:r>
      <w:r w:rsidR="000B0B1F" w:rsidRPr="009F5A89">
        <w:rPr>
          <w:color w:val="000000" w:themeColor="text1"/>
          <w:szCs w:val="26"/>
        </w:rPr>
        <w:t xml:space="preserve"> </w:t>
      </w:r>
      <w:r w:rsidR="00FC21A1" w:rsidRPr="009F5A89">
        <w:rPr>
          <w:color w:val="000000" w:themeColor="text1"/>
          <w:szCs w:val="26"/>
        </w:rPr>
        <w:t>114.159</w:t>
      </w:r>
      <w:r w:rsidR="000B0B1F" w:rsidRPr="009F5A89">
        <w:rPr>
          <w:color w:val="000000" w:themeColor="text1"/>
          <w:szCs w:val="26"/>
        </w:rPr>
        <w:t xml:space="preserve"> euros.</w:t>
      </w:r>
    </w:p>
    <w:p w:rsidR="00A247E1" w:rsidRPr="009F5A89" w:rsidRDefault="00A247E1" w:rsidP="00A247E1">
      <w:pPr>
        <w:pStyle w:val="texto"/>
        <w:numPr>
          <w:ilvl w:val="0"/>
          <w:numId w:val="1"/>
        </w:numPr>
        <w:tabs>
          <w:tab w:val="clear" w:pos="2835"/>
          <w:tab w:val="clear" w:pos="3969"/>
          <w:tab w:val="clear" w:pos="5103"/>
          <w:tab w:val="clear" w:pos="6237"/>
          <w:tab w:val="clear" w:pos="7371"/>
          <w:tab w:val="left" w:pos="480"/>
          <w:tab w:val="num" w:pos="720"/>
          <w:tab w:val="num" w:pos="6597"/>
        </w:tabs>
        <w:ind w:left="0" w:firstLine="289"/>
        <w:rPr>
          <w:color w:val="000000" w:themeColor="text1"/>
          <w:szCs w:val="26"/>
        </w:rPr>
      </w:pPr>
      <w:r w:rsidRPr="009F5A89">
        <w:rPr>
          <w:color w:val="000000" w:themeColor="text1"/>
          <w:szCs w:val="26"/>
        </w:rPr>
        <w:t xml:space="preserve">Los gastos de funcionamiento y los gastos de capital han aumentado un </w:t>
      </w:r>
      <w:r w:rsidR="00FF2EC4" w:rsidRPr="009F5A89">
        <w:rPr>
          <w:color w:val="000000" w:themeColor="text1"/>
          <w:szCs w:val="26"/>
        </w:rPr>
        <w:t>ocho</w:t>
      </w:r>
      <w:r w:rsidRPr="009F5A89">
        <w:rPr>
          <w:color w:val="000000" w:themeColor="text1"/>
          <w:szCs w:val="26"/>
        </w:rPr>
        <w:t xml:space="preserve"> y un </w:t>
      </w:r>
      <w:r w:rsidR="00FF2EC4" w:rsidRPr="009F5A89">
        <w:rPr>
          <w:color w:val="000000" w:themeColor="text1"/>
          <w:szCs w:val="26"/>
        </w:rPr>
        <w:t>cinco</w:t>
      </w:r>
      <w:r w:rsidRPr="009F5A89">
        <w:rPr>
          <w:color w:val="000000" w:themeColor="text1"/>
          <w:szCs w:val="26"/>
        </w:rPr>
        <w:t xml:space="preserve"> por ciento respectivamente. En términos absolutos el incremento ha sido de </w:t>
      </w:r>
      <w:r w:rsidR="00FC21A1" w:rsidRPr="009F5A89">
        <w:rPr>
          <w:color w:val="000000" w:themeColor="text1"/>
          <w:szCs w:val="26"/>
        </w:rPr>
        <w:t>886.814 y 14</w:t>
      </w:r>
      <w:r w:rsidR="00FF2EC4" w:rsidRPr="009F5A89">
        <w:rPr>
          <w:color w:val="000000" w:themeColor="text1"/>
          <w:szCs w:val="26"/>
        </w:rPr>
        <w:t>5</w:t>
      </w:r>
      <w:r w:rsidR="00FC21A1" w:rsidRPr="009F5A89">
        <w:rPr>
          <w:color w:val="000000" w:themeColor="text1"/>
          <w:szCs w:val="26"/>
        </w:rPr>
        <w:t>.027</w:t>
      </w:r>
      <w:r w:rsidRPr="009F5A89">
        <w:rPr>
          <w:color w:val="000000" w:themeColor="text1"/>
          <w:szCs w:val="26"/>
        </w:rPr>
        <w:t xml:space="preserve"> euros.</w:t>
      </w:r>
    </w:p>
    <w:p w:rsidR="00586E14" w:rsidRPr="009F5A89" w:rsidRDefault="00586E14" w:rsidP="00A247E1">
      <w:pPr>
        <w:pStyle w:val="texto"/>
        <w:numPr>
          <w:ilvl w:val="0"/>
          <w:numId w:val="1"/>
        </w:numPr>
        <w:tabs>
          <w:tab w:val="clear" w:pos="2835"/>
          <w:tab w:val="clear" w:pos="3969"/>
          <w:tab w:val="clear" w:pos="5103"/>
          <w:tab w:val="clear" w:pos="6237"/>
          <w:tab w:val="clear" w:pos="7371"/>
          <w:tab w:val="left" w:pos="480"/>
          <w:tab w:val="num" w:pos="720"/>
          <w:tab w:val="num" w:pos="6597"/>
        </w:tabs>
        <w:ind w:left="0" w:firstLine="289"/>
        <w:rPr>
          <w:color w:val="000000" w:themeColor="text1"/>
          <w:szCs w:val="26"/>
        </w:rPr>
      </w:pPr>
      <w:r w:rsidRPr="009F5A89">
        <w:rPr>
          <w:color w:val="000000" w:themeColor="text1"/>
          <w:szCs w:val="26"/>
        </w:rPr>
        <w:t xml:space="preserve">El resultado presupuestario ajustado ha </w:t>
      </w:r>
      <w:r w:rsidR="00FF2EC4" w:rsidRPr="009F5A89">
        <w:rPr>
          <w:color w:val="000000" w:themeColor="text1"/>
          <w:szCs w:val="26"/>
        </w:rPr>
        <w:t>disminuido</w:t>
      </w:r>
      <w:r w:rsidRPr="009F5A89">
        <w:rPr>
          <w:color w:val="000000" w:themeColor="text1"/>
          <w:szCs w:val="26"/>
        </w:rPr>
        <w:t xml:space="preserve"> un </w:t>
      </w:r>
      <w:r w:rsidR="00FF2EC4" w:rsidRPr="009F5A89">
        <w:rPr>
          <w:color w:val="000000" w:themeColor="text1"/>
          <w:szCs w:val="26"/>
        </w:rPr>
        <w:t>56</w:t>
      </w:r>
      <w:r w:rsidRPr="009F5A89">
        <w:rPr>
          <w:color w:val="000000" w:themeColor="text1"/>
          <w:szCs w:val="26"/>
        </w:rPr>
        <w:t xml:space="preserve"> por ciento respecto a 201</w:t>
      </w:r>
      <w:r w:rsidR="00FF2EC4" w:rsidRPr="009F5A89">
        <w:rPr>
          <w:color w:val="000000" w:themeColor="text1"/>
          <w:szCs w:val="26"/>
        </w:rPr>
        <w:t>8</w:t>
      </w:r>
      <w:r w:rsidRPr="009F5A89">
        <w:rPr>
          <w:color w:val="000000" w:themeColor="text1"/>
          <w:szCs w:val="26"/>
        </w:rPr>
        <w:t xml:space="preserve"> con un </w:t>
      </w:r>
      <w:r w:rsidR="00FF2EC4" w:rsidRPr="009F5A89">
        <w:rPr>
          <w:color w:val="000000" w:themeColor="text1"/>
          <w:szCs w:val="26"/>
        </w:rPr>
        <w:t>dec</w:t>
      </w:r>
      <w:r w:rsidRPr="009F5A89">
        <w:rPr>
          <w:color w:val="000000" w:themeColor="text1"/>
          <w:szCs w:val="26"/>
        </w:rPr>
        <w:t>remento en términos absolutos de 1,</w:t>
      </w:r>
      <w:r w:rsidR="00FF2EC4" w:rsidRPr="009F5A89">
        <w:rPr>
          <w:color w:val="000000" w:themeColor="text1"/>
          <w:szCs w:val="26"/>
        </w:rPr>
        <w:t>1</w:t>
      </w:r>
      <w:r w:rsidRPr="009F5A89">
        <w:rPr>
          <w:color w:val="000000" w:themeColor="text1"/>
          <w:szCs w:val="26"/>
        </w:rPr>
        <w:t>4 millones de euros</w:t>
      </w:r>
      <w:r w:rsidR="0082252C" w:rsidRPr="009F5A89">
        <w:rPr>
          <w:color w:val="000000" w:themeColor="text1"/>
          <w:szCs w:val="26"/>
        </w:rPr>
        <w:t>.</w:t>
      </w:r>
    </w:p>
    <w:p w:rsidR="0067725A" w:rsidRPr="009F5A89" w:rsidRDefault="0067725A" w:rsidP="0067725A">
      <w:pPr>
        <w:pStyle w:val="atitulo2"/>
        <w:spacing w:before="240"/>
        <w:rPr>
          <w:color w:val="000000" w:themeColor="text1"/>
          <w:spacing w:val="2"/>
        </w:rPr>
      </w:pPr>
      <w:bookmarkStart w:id="99" w:name="_Toc22495442"/>
      <w:bookmarkStart w:id="100" w:name="_Toc50018586"/>
      <w:r w:rsidRPr="009F5A89">
        <w:rPr>
          <w:color w:val="000000" w:themeColor="text1"/>
          <w:spacing w:val="2"/>
        </w:rPr>
        <w:t xml:space="preserve">VI.2. Situación económico-financiera </w:t>
      </w:r>
      <w:r w:rsidR="000479FF">
        <w:rPr>
          <w:color w:val="000000" w:themeColor="text1"/>
          <w:spacing w:val="2"/>
        </w:rPr>
        <w:t xml:space="preserve">del ayuntamiento </w:t>
      </w:r>
      <w:r w:rsidRPr="009F5A89">
        <w:rPr>
          <w:color w:val="000000" w:themeColor="text1"/>
          <w:spacing w:val="2"/>
        </w:rPr>
        <w:t>a 31</w:t>
      </w:r>
      <w:r w:rsidR="00705CC5">
        <w:rPr>
          <w:color w:val="000000" w:themeColor="text1"/>
          <w:spacing w:val="2"/>
        </w:rPr>
        <w:t xml:space="preserve"> de diciembre de </w:t>
      </w:r>
      <w:r w:rsidR="00996B35" w:rsidRPr="009F5A89">
        <w:rPr>
          <w:color w:val="000000" w:themeColor="text1"/>
          <w:spacing w:val="2"/>
        </w:rPr>
        <w:t>2019</w:t>
      </w:r>
      <w:bookmarkEnd w:id="99"/>
      <w:bookmarkEnd w:id="100"/>
    </w:p>
    <w:p w:rsidR="0067725A" w:rsidRDefault="0082252C" w:rsidP="0067725A">
      <w:pPr>
        <w:pStyle w:val="texto"/>
        <w:spacing w:after="240"/>
      </w:pPr>
      <w:r w:rsidRPr="009F5A89">
        <w:rPr>
          <w:color w:val="000000" w:themeColor="text1"/>
        </w:rPr>
        <w:t>En el cuadro siguiente</w:t>
      </w:r>
      <w:r w:rsidR="0067725A" w:rsidRPr="009F5A89">
        <w:rPr>
          <w:color w:val="000000" w:themeColor="text1"/>
        </w:rPr>
        <w:t xml:space="preserve"> mostramo</w:t>
      </w:r>
      <w:r w:rsidR="00D81087" w:rsidRPr="009F5A89">
        <w:rPr>
          <w:color w:val="000000" w:themeColor="text1"/>
        </w:rPr>
        <w:t>s algunos indicadores económico</w:t>
      </w:r>
      <w:r w:rsidR="0067725A" w:rsidRPr="009F5A89">
        <w:rPr>
          <w:color w:val="000000" w:themeColor="text1"/>
        </w:rPr>
        <w:t xml:space="preserve">-financieros del ejercicio </w:t>
      </w:r>
      <w:r w:rsidR="00996B35" w:rsidRPr="009F5A89">
        <w:rPr>
          <w:color w:val="000000" w:themeColor="text1"/>
        </w:rPr>
        <w:t>2019</w:t>
      </w:r>
      <w:r w:rsidR="005D259C" w:rsidRPr="009F5A89">
        <w:rPr>
          <w:color w:val="000000" w:themeColor="text1"/>
        </w:rPr>
        <w:t xml:space="preserve"> y su </w:t>
      </w:r>
      <w:r w:rsidR="005D259C">
        <w:t>comparativa</w:t>
      </w:r>
      <w:r w:rsidR="0067725A">
        <w:t xml:space="preserve"> con los del ejercicio anterior:</w:t>
      </w:r>
    </w:p>
    <w:tbl>
      <w:tblPr>
        <w:tblW w:w="5000" w:type="pct"/>
        <w:tblCellMar>
          <w:left w:w="70" w:type="dxa"/>
          <w:right w:w="70" w:type="dxa"/>
        </w:tblCellMar>
        <w:tblLook w:val="04A0" w:firstRow="1" w:lastRow="0" w:firstColumn="1" w:lastColumn="0" w:noHBand="0" w:noVBand="1"/>
      </w:tblPr>
      <w:tblGrid>
        <w:gridCol w:w="4723"/>
        <w:gridCol w:w="1686"/>
        <w:gridCol w:w="1461"/>
        <w:gridCol w:w="1484"/>
      </w:tblGrid>
      <w:tr w:rsidR="00FF2EC4" w:rsidRPr="00705CC5" w:rsidTr="00065CFC">
        <w:trPr>
          <w:trHeight w:val="360"/>
        </w:trPr>
        <w:tc>
          <w:tcPr>
            <w:tcW w:w="2524" w:type="pct"/>
            <w:tcBorders>
              <w:top w:val="single" w:sz="4" w:space="0" w:color="auto"/>
              <w:left w:val="nil"/>
              <w:bottom w:val="single" w:sz="4" w:space="0" w:color="auto"/>
              <w:right w:val="nil"/>
            </w:tcBorders>
            <w:shd w:val="clear" w:color="000000" w:fill="FABF8F"/>
            <w:vAlign w:val="center"/>
            <w:hideMark/>
          </w:tcPr>
          <w:p w:rsidR="00FF2EC4" w:rsidRPr="00705CC5" w:rsidRDefault="00FF2EC4" w:rsidP="00FF2EC4">
            <w:pPr>
              <w:spacing w:after="0"/>
              <w:ind w:firstLine="0"/>
              <w:jc w:val="left"/>
              <w:rPr>
                <w:rFonts w:ascii="Arial" w:hAnsi="Arial" w:cs="Arial"/>
                <w:color w:val="000000"/>
                <w:sz w:val="18"/>
                <w:szCs w:val="18"/>
                <w:lang w:val="es-ES" w:eastAsia="es-ES"/>
              </w:rPr>
            </w:pPr>
            <w:r w:rsidRPr="00705CC5">
              <w:rPr>
                <w:rFonts w:ascii="Arial" w:hAnsi="Arial" w:cs="Arial"/>
                <w:color w:val="000000"/>
                <w:sz w:val="18"/>
                <w:szCs w:val="18"/>
                <w:lang w:val="es-ES" w:eastAsia="es-ES"/>
              </w:rPr>
              <w:t>Indicador</w:t>
            </w:r>
            <w:r w:rsidR="00B65F4E" w:rsidRPr="00705CC5">
              <w:rPr>
                <w:rFonts w:ascii="Arial" w:hAnsi="Arial" w:cs="Arial"/>
                <w:color w:val="000000"/>
                <w:sz w:val="18"/>
                <w:szCs w:val="18"/>
                <w:lang w:val="es-ES" w:eastAsia="es-ES"/>
              </w:rPr>
              <w:t>es</w:t>
            </w:r>
          </w:p>
        </w:tc>
        <w:tc>
          <w:tcPr>
            <w:tcW w:w="901" w:type="pct"/>
            <w:tcBorders>
              <w:top w:val="single" w:sz="4" w:space="0" w:color="auto"/>
              <w:left w:val="nil"/>
              <w:bottom w:val="single" w:sz="4" w:space="0" w:color="auto"/>
              <w:right w:val="nil"/>
            </w:tcBorders>
            <w:shd w:val="clear" w:color="000000" w:fill="FABF8F"/>
            <w:vAlign w:val="center"/>
            <w:hideMark/>
          </w:tcPr>
          <w:p w:rsidR="00FF2EC4" w:rsidRPr="00705CC5" w:rsidRDefault="00FF2EC4" w:rsidP="00FF2EC4">
            <w:pPr>
              <w:spacing w:after="0"/>
              <w:ind w:firstLine="0"/>
              <w:jc w:val="right"/>
              <w:rPr>
                <w:rFonts w:ascii="Arial" w:hAnsi="Arial" w:cs="Arial"/>
                <w:color w:val="000000"/>
                <w:sz w:val="18"/>
                <w:szCs w:val="18"/>
                <w:lang w:val="es-ES" w:eastAsia="es-ES"/>
              </w:rPr>
            </w:pPr>
            <w:r w:rsidRPr="00705CC5">
              <w:rPr>
                <w:rFonts w:ascii="Arial" w:hAnsi="Arial" w:cs="Arial"/>
                <w:color w:val="000000"/>
                <w:sz w:val="18"/>
                <w:szCs w:val="18"/>
                <w:lang w:val="es-ES" w:eastAsia="es-ES"/>
              </w:rPr>
              <w:t>2018</w:t>
            </w:r>
          </w:p>
        </w:tc>
        <w:tc>
          <w:tcPr>
            <w:tcW w:w="781" w:type="pct"/>
            <w:tcBorders>
              <w:top w:val="single" w:sz="4" w:space="0" w:color="auto"/>
              <w:left w:val="nil"/>
              <w:bottom w:val="single" w:sz="4" w:space="0" w:color="auto"/>
              <w:right w:val="nil"/>
            </w:tcBorders>
            <w:shd w:val="clear" w:color="000000" w:fill="FABF8F"/>
            <w:vAlign w:val="center"/>
            <w:hideMark/>
          </w:tcPr>
          <w:p w:rsidR="00FF2EC4" w:rsidRPr="00705CC5" w:rsidRDefault="00FF2EC4" w:rsidP="00FF2EC4">
            <w:pPr>
              <w:spacing w:after="0"/>
              <w:ind w:firstLine="0"/>
              <w:jc w:val="right"/>
              <w:rPr>
                <w:rFonts w:ascii="Arial" w:hAnsi="Arial" w:cs="Arial"/>
                <w:color w:val="000000"/>
                <w:sz w:val="18"/>
                <w:szCs w:val="18"/>
                <w:lang w:val="es-ES" w:eastAsia="es-ES"/>
              </w:rPr>
            </w:pPr>
            <w:r w:rsidRPr="00705CC5">
              <w:rPr>
                <w:rFonts w:ascii="Arial" w:hAnsi="Arial" w:cs="Arial"/>
                <w:color w:val="000000"/>
                <w:sz w:val="18"/>
                <w:szCs w:val="18"/>
                <w:lang w:val="es-ES" w:eastAsia="es-ES"/>
              </w:rPr>
              <w:t>2019</w:t>
            </w:r>
          </w:p>
        </w:tc>
        <w:tc>
          <w:tcPr>
            <w:tcW w:w="793" w:type="pct"/>
            <w:tcBorders>
              <w:top w:val="single" w:sz="4" w:space="0" w:color="auto"/>
              <w:left w:val="nil"/>
              <w:bottom w:val="single" w:sz="4" w:space="0" w:color="auto"/>
              <w:right w:val="nil"/>
            </w:tcBorders>
            <w:shd w:val="clear" w:color="000000" w:fill="FABF8F"/>
            <w:vAlign w:val="center"/>
            <w:hideMark/>
          </w:tcPr>
          <w:p w:rsidR="00FF2EC4" w:rsidRPr="00705CC5" w:rsidRDefault="00FF2EC4" w:rsidP="00065CFC">
            <w:pPr>
              <w:spacing w:after="0"/>
              <w:ind w:firstLine="0"/>
              <w:jc w:val="right"/>
              <w:rPr>
                <w:rFonts w:ascii="Arial" w:hAnsi="Arial" w:cs="Arial"/>
                <w:color w:val="000000"/>
                <w:sz w:val="18"/>
                <w:szCs w:val="18"/>
                <w:lang w:val="es-ES" w:eastAsia="es-ES"/>
              </w:rPr>
            </w:pPr>
            <w:r w:rsidRPr="00705CC5">
              <w:rPr>
                <w:rFonts w:ascii="Arial" w:hAnsi="Arial" w:cs="Arial"/>
                <w:color w:val="000000"/>
                <w:sz w:val="18"/>
                <w:szCs w:val="18"/>
                <w:lang w:val="es-ES" w:eastAsia="es-ES"/>
              </w:rPr>
              <w:t>%</w:t>
            </w:r>
            <w:r w:rsidR="00065CFC">
              <w:rPr>
                <w:rFonts w:ascii="Arial" w:hAnsi="Arial" w:cs="Arial"/>
                <w:color w:val="000000"/>
                <w:sz w:val="18"/>
                <w:szCs w:val="18"/>
                <w:lang w:val="es-ES" w:eastAsia="es-ES"/>
              </w:rPr>
              <w:t xml:space="preserve"> </w:t>
            </w:r>
            <w:r w:rsidRPr="00705CC5">
              <w:rPr>
                <w:rFonts w:ascii="Arial" w:hAnsi="Arial" w:cs="Arial"/>
                <w:color w:val="000000"/>
                <w:sz w:val="18"/>
                <w:szCs w:val="18"/>
                <w:lang w:val="es-ES" w:eastAsia="es-ES"/>
              </w:rPr>
              <w:t>Variación</w:t>
            </w:r>
          </w:p>
        </w:tc>
      </w:tr>
      <w:tr w:rsidR="00FF2EC4" w:rsidRPr="00FF2EC4" w:rsidTr="00FF2EC4">
        <w:trPr>
          <w:trHeight w:val="255"/>
        </w:trPr>
        <w:tc>
          <w:tcPr>
            <w:tcW w:w="2524" w:type="pct"/>
            <w:tcBorders>
              <w:top w:val="nil"/>
              <w:left w:val="nil"/>
              <w:bottom w:val="single" w:sz="4" w:space="0" w:color="auto"/>
              <w:right w:val="nil"/>
            </w:tcBorders>
            <w:shd w:val="clear" w:color="auto" w:fill="auto"/>
            <w:vAlign w:val="center"/>
            <w:hideMark/>
          </w:tcPr>
          <w:p w:rsidR="00FF2EC4" w:rsidRPr="00FF2EC4" w:rsidRDefault="00FF2EC4" w:rsidP="00FF2EC4">
            <w:pPr>
              <w:spacing w:after="0"/>
              <w:ind w:firstLine="0"/>
              <w:jc w:val="left"/>
              <w:rPr>
                <w:rFonts w:ascii="Arial Narrow" w:hAnsi="Arial Narrow"/>
                <w:color w:val="000000"/>
                <w:lang w:val="es-ES" w:eastAsia="es-ES"/>
              </w:rPr>
            </w:pPr>
            <w:r w:rsidRPr="00FF2EC4">
              <w:rPr>
                <w:rFonts w:ascii="Arial Narrow" w:hAnsi="Arial Narrow"/>
                <w:color w:val="000000"/>
                <w:lang w:val="es-ES" w:eastAsia="es-ES"/>
              </w:rPr>
              <w:t>Ahorro bruto</w:t>
            </w:r>
          </w:p>
        </w:tc>
        <w:tc>
          <w:tcPr>
            <w:tcW w:w="901" w:type="pct"/>
            <w:tcBorders>
              <w:top w:val="nil"/>
              <w:left w:val="nil"/>
              <w:bottom w:val="single" w:sz="4" w:space="0" w:color="auto"/>
              <w:right w:val="nil"/>
            </w:tcBorders>
            <w:shd w:val="clear" w:color="auto" w:fill="auto"/>
            <w:vAlign w:val="center"/>
            <w:hideMark/>
          </w:tcPr>
          <w:p w:rsidR="00FF2EC4" w:rsidRPr="00FF2EC4" w:rsidRDefault="00FF2EC4" w:rsidP="00FF2EC4">
            <w:pPr>
              <w:spacing w:after="0"/>
              <w:ind w:firstLine="0"/>
              <w:jc w:val="right"/>
              <w:rPr>
                <w:rFonts w:ascii="Arial Narrow" w:hAnsi="Arial Narrow"/>
                <w:color w:val="000000"/>
                <w:lang w:val="es-ES" w:eastAsia="es-ES"/>
              </w:rPr>
            </w:pPr>
            <w:r w:rsidRPr="00FF2EC4">
              <w:rPr>
                <w:rFonts w:ascii="Arial Narrow" w:hAnsi="Arial Narrow"/>
                <w:color w:val="000000"/>
                <w:lang w:val="es-ES" w:eastAsia="es-ES"/>
              </w:rPr>
              <w:t>2.592.848</w:t>
            </w:r>
          </w:p>
        </w:tc>
        <w:tc>
          <w:tcPr>
            <w:tcW w:w="781" w:type="pct"/>
            <w:tcBorders>
              <w:top w:val="nil"/>
              <w:left w:val="nil"/>
              <w:bottom w:val="single" w:sz="4" w:space="0" w:color="auto"/>
              <w:right w:val="nil"/>
            </w:tcBorders>
            <w:shd w:val="clear" w:color="auto" w:fill="auto"/>
            <w:vAlign w:val="center"/>
            <w:hideMark/>
          </w:tcPr>
          <w:p w:rsidR="00FF2EC4" w:rsidRPr="00FF2EC4" w:rsidRDefault="00FF2EC4" w:rsidP="00FF2EC4">
            <w:pPr>
              <w:spacing w:after="0"/>
              <w:ind w:firstLine="0"/>
              <w:jc w:val="right"/>
              <w:rPr>
                <w:rFonts w:ascii="Arial Narrow" w:hAnsi="Arial Narrow"/>
                <w:color w:val="000000"/>
                <w:lang w:val="es-ES" w:eastAsia="es-ES"/>
              </w:rPr>
            </w:pPr>
            <w:r w:rsidRPr="00FF2EC4">
              <w:rPr>
                <w:rFonts w:ascii="Arial Narrow" w:hAnsi="Arial Narrow"/>
                <w:color w:val="000000"/>
                <w:lang w:val="es-ES" w:eastAsia="es-ES"/>
              </w:rPr>
              <w:t>2.554.625</w:t>
            </w:r>
          </w:p>
        </w:tc>
        <w:tc>
          <w:tcPr>
            <w:tcW w:w="793" w:type="pct"/>
            <w:tcBorders>
              <w:top w:val="nil"/>
              <w:left w:val="nil"/>
              <w:bottom w:val="single" w:sz="4" w:space="0" w:color="auto"/>
              <w:right w:val="nil"/>
            </w:tcBorders>
            <w:shd w:val="clear" w:color="auto" w:fill="auto"/>
            <w:vAlign w:val="center"/>
            <w:hideMark/>
          </w:tcPr>
          <w:p w:rsidR="00FF2EC4" w:rsidRPr="00FF2EC4" w:rsidRDefault="00FF2EC4" w:rsidP="00FF2EC4">
            <w:pPr>
              <w:spacing w:after="0"/>
              <w:ind w:firstLine="0"/>
              <w:jc w:val="right"/>
              <w:rPr>
                <w:rFonts w:ascii="Arial Narrow" w:hAnsi="Arial Narrow"/>
                <w:color w:val="000000"/>
                <w:lang w:val="es-ES" w:eastAsia="es-ES"/>
              </w:rPr>
            </w:pPr>
            <w:r w:rsidRPr="00FF2EC4">
              <w:rPr>
                <w:rFonts w:ascii="Arial Narrow" w:hAnsi="Arial Narrow"/>
                <w:color w:val="000000"/>
                <w:lang w:val="es-ES" w:eastAsia="es-ES"/>
              </w:rPr>
              <w:t>-1,5</w:t>
            </w:r>
          </w:p>
        </w:tc>
      </w:tr>
      <w:tr w:rsidR="00FF2EC4" w:rsidRPr="00FF2EC4" w:rsidTr="00FF2EC4">
        <w:trPr>
          <w:trHeight w:val="255"/>
        </w:trPr>
        <w:tc>
          <w:tcPr>
            <w:tcW w:w="2524" w:type="pct"/>
            <w:tcBorders>
              <w:top w:val="nil"/>
              <w:left w:val="nil"/>
              <w:bottom w:val="single" w:sz="4" w:space="0" w:color="auto"/>
              <w:right w:val="nil"/>
            </w:tcBorders>
            <w:shd w:val="clear" w:color="auto" w:fill="auto"/>
            <w:vAlign w:val="center"/>
            <w:hideMark/>
          </w:tcPr>
          <w:p w:rsidR="00FF2EC4" w:rsidRPr="00FF2EC4" w:rsidRDefault="00FF2EC4" w:rsidP="00FF2EC4">
            <w:pPr>
              <w:spacing w:after="0"/>
              <w:ind w:firstLine="0"/>
              <w:jc w:val="left"/>
              <w:rPr>
                <w:rFonts w:ascii="Arial Narrow" w:hAnsi="Arial Narrow"/>
                <w:color w:val="000000"/>
                <w:lang w:val="es-ES" w:eastAsia="es-ES"/>
              </w:rPr>
            </w:pPr>
            <w:r w:rsidRPr="00FF2EC4">
              <w:rPr>
                <w:rFonts w:ascii="Arial Narrow" w:hAnsi="Arial Narrow"/>
                <w:color w:val="000000"/>
                <w:lang w:val="es-ES" w:eastAsia="es-ES"/>
              </w:rPr>
              <w:t>Carga financiera</w:t>
            </w:r>
          </w:p>
        </w:tc>
        <w:tc>
          <w:tcPr>
            <w:tcW w:w="901" w:type="pct"/>
            <w:tcBorders>
              <w:top w:val="nil"/>
              <w:left w:val="nil"/>
              <w:bottom w:val="single" w:sz="4" w:space="0" w:color="auto"/>
              <w:right w:val="nil"/>
            </w:tcBorders>
            <w:shd w:val="clear" w:color="auto" w:fill="auto"/>
            <w:vAlign w:val="center"/>
            <w:hideMark/>
          </w:tcPr>
          <w:p w:rsidR="00FF2EC4" w:rsidRPr="00FF2EC4" w:rsidRDefault="00FF2EC4" w:rsidP="00FF2EC4">
            <w:pPr>
              <w:spacing w:after="0"/>
              <w:ind w:firstLine="0"/>
              <w:jc w:val="right"/>
              <w:rPr>
                <w:rFonts w:ascii="Arial Narrow" w:hAnsi="Arial Narrow"/>
                <w:color w:val="000000"/>
                <w:lang w:val="es-ES" w:eastAsia="es-ES"/>
              </w:rPr>
            </w:pPr>
            <w:r w:rsidRPr="00FF2EC4">
              <w:rPr>
                <w:rFonts w:ascii="Arial Narrow" w:hAnsi="Arial Narrow"/>
                <w:color w:val="000000"/>
                <w:lang w:val="es-ES" w:eastAsia="es-ES"/>
              </w:rPr>
              <w:t>143.807</w:t>
            </w:r>
          </w:p>
        </w:tc>
        <w:tc>
          <w:tcPr>
            <w:tcW w:w="781" w:type="pct"/>
            <w:tcBorders>
              <w:top w:val="nil"/>
              <w:left w:val="nil"/>
              <w:bottom w:val="single" w:sz="4" w:space="0" w:color="auto"/>
              <w:right w:val="nil"/>
            </w:tcBorders>
            <w:shd w:val="clear" w:color="auto" w:fill="auto"/>
            <w:vAlign w:val="center"/>
            <w:hideMark/>
          </w:tcPr>
          <w:p w:rsidR="00FF2EC4" w:rsidRPr="00FF2EC4" w:rsidRDefault="00FF2EC4" w:rsidP="00FF2EC4">
            <w:pPr>
              <w:spacing w:after="0"/>
              <w:ind w:firstLine="0"/>
              <w:jc w:val="right"/>
              <w:rPr>
                <w:rFonts w:ascii="Arial Narrow" w:hAnsi="Arial Narrow"/>
                <w:color w:val="000000"/>
                <w:lang w:val="es-ES" w:eastAsia="es-ES"/>
              </w:rPr>
            </w:pPr>
            <w:r w:rsidRPr="00FF2EC4">
              <w:rPr>
                <w:rFonts w:ascii="Arial Narrow" w:hAnsi="Arial Narrow"/>
                <w:color w:val="000000"/>
                <w:lang w:val="es-ES" w:eastAsia="es-ES"/>
              </w:rPr>
              <w:t>191.723</w:t>
            </w:r>
          </w:p>
        </w:tc>
        <w:tc>
          <w:tcPr>
            <w:tcW w:w="793" w:type="pct"/>
            <w:tcBorders>
              <w:top w:val="nil"/>
              <w:left w:val="nil"/>
              <w:bottom w:val="single" w:sz="4" w:space="0" w:color="auto"/>
              <w:right w:val="nil"/>
            </w:tcBorders>
            <w:shd w:val="clear" w:color="auto" w:fill="auto"/>
            <w:vAlign w:val="center"/>
            <w:hideMark/>
          </w:tcPr>
          <w:p w:rsidR="00FF2EC4" w:rsidRPr="00FF2EC4" w:rsidRDefault="00FF2EC4" w:rsidP="00FF2EC4">
            <w:pPr>
              <w:spacing w:after="0"/>
              <w:ind w:firstLine="0"/>
              <w:jc w:val="right"/>
              <w:rPr>
                <w:rFonts w:ascii="Arial Narrow" w:hAnsi="Arial Narrow"/>
                <w:color w:val="000000"/>
                <w:lang w:val="es-ES" w:eastAsia="es-ES"/>
              </w:rPr>
            </w:pPr>
            <w:r w:rsidRPr="00FF2EC4">
              <w:rPr>
                <w:rFonts w:ascii="Arial Narrow" w:hAnsi="Arial Narrow"/>
                <w:color w:val="000000"/>
                <w:lang w:val="es-ES" w:eastAsia="es-ES"/>
              </w:rPr>
              <w:t>33,3</w:t>
            </w:r>
          </w:p>
        </w:tc>
      </w:tr>
      <w:tr w:rsidR="00FF2EC4" w:rsidRPr="00FF2EC4" w:rsidTr="00FF2EC4">
        <w:trPr>
          <w:trHeight w:val="255"/>
        </w:trPr>
        <w:tc>
          <w:tcPr>
            <w:tcW w:w="2524" w:type="pct"/>
            <w:tcBorders>
              <w:top w:val="nil"/>
              <w:left w:val="nil"/>
              <w:bottom w:val="nil"/>
              <w:right w:val="nil"/>
            </w:tcBorders>
            <w:shd w:val="clear" w:color="auto" w:fill="auto"/>
            <w:vAlign w:val="center"/>
            <w:hideMark/>
          </w:tcPr>
          <w:p w:rsidR="00FF2EC4" w:rsidRPr="00FF2EC4" w:rsidRDefault="00FF2EC4" w:rsidP="00FF2EC4">
            <w:pPr>
              <w:spacing w:after="0"/>
              <w:ind w:firstLine="0"/>
              <w:jc w:val="left"/>
              <w:rPr>
                <w:rFonts w:ascii="Arial Narrow" w:hAnsi="Arial Narrow"/>
                <w:color w:val="000000"/>
                <w:lang w:val="es-ES" w:eastAsia="es-ES"/>
              </w:rPr>
            </w:pPr>
            <w:r w:rsidRPr="00FF2EC4">
              <w:rPr>
                <w:rFonts w:ascii="Arial Narrow" w:hAnsi="Arial Narrow"/>
                <w:color w:val="000000"/>
                <w:lang w:val="es-ES" w:eastAsia="es-ES"/>
              </w:rPr>
              <w:t>Ahorro neto</w:t>
            </w:r>
          </w:p>
        </w:tc>
        <w:tc>
          <w:tcPr>
            <w:tcW w:w="901" w:type="pct"/>
            <w:tcBorders>
              <w:top w:val="nil"/>
              <w:left w:val="nil"/>
              <w:bottom w:val="nil"/>
              <w:right w:val="nil"/>
            </w:tcBorders>
            <w:shd w:val="clear" w:color="auto" w:fill="auto"/>
            <w:vAlign w:val="center"/>
            <w:hideMark/>
          </w:tcPr>
          <w:p w:rsidR="00FF2EC4" w:rsidRPr="00FF2EC4" w:rsidRDefault="00FF2EC4" w:rsidP="00FF2EC4">
            <w:pPr>
              <w:spacing w:after="0"/>
              <w:ind w:firstLine="0"/>
              <w:jc w:val="right"/>
              <w:rPr>
                <w:rFonts w:ascii="Arial Narrow" w:hAnsi="Arial Narrow"/>
                <w:color w:val="000000"/>
                <w:lang w:val="es-ES" w:eastAsia="es-ES"/>
              </w:rPr>
            </w:pPr>
            <w:r w:rsidRPr="00FF2EC4">
              <w:rPr>
                <w:rFonts w:ascii="Arial Narrow" w:hAnsi="Arial Narrow"/>
                <w:color w:val="000000"/>
                <w:lang w:val="es-ES" w:eastAsia="es-ES"/>
              </w:rPr>
              <w:t>2.449.041</w:t>
            </w:r>
          </w:p>
        </w:tc>
        <w:tc>
          <w:tcPr>
            <w:tcW w:w="781" w:type="pct"/>
            <w:tcBorders>
              <w:top w:val="nil"/>
              <w:left w:val="nil"/>
              <w:bottom w:val="nil"/>
              <w:right w:val="nil"/>
            </w:tcBorders>
            <w:shd w:val="clear" w:color="auto" w:fill="auto"/>
            <w:vAlign w:val="center"/>
            <w:hideMark/>
          </w:tcPr>
          <w:p w:rsidR="00FF2EC4" w:rsidRPr="00FF2EC4" w:rsidRDefault="00FF2EC4" w:rsidP="00FF2EC4">
            <w:pPr>
              <w:spacing w:after="0"/>
              <w:ind w:firstLine="0"/>
              <w:jc w:val="right"/>
              <w:rPr>
                <w:rFonts w:ascii="Arial Narrow" w:hAnsi="Arial Narrow"/>
                <w:color w:val="000000"/>
                <w:lang w:val="es-ES" w:eastAsia="es-ES"/>
              </w:rPr>
            </w:pPr>
            <w:r w:rsidRPr="00FF2EC4">
              <w:rPr>
                <w:rFonts w:ascii="Arial Narrow" w:hAnsi="Arial Narrow"/>
                <w:color w:val="000000"/>
                <w:lang w:val="es-ES" w:eastAsia="es-ES"/>
              </w:rPr>
              <w:t>2.362.902</w:t>
            </w:r>
          </w:p>
        </w:tc>
        <w:tc>
          <w:tcPr>
            <w:tcW w:w="793" w:type="pct"/>
            <w:tcBorders>
              <w:top w:val="nil"/>
              <w:left w:val="nil"/>
              <w:bottom w:val="nil"/>
              <w:right w:val="nil"/>
            </w:tcBorders>
            <w:shd w:val="clear" w:color="auto" w:fill="auto"/>
            <w:vAlign w:val="center"/>
            <w:hideMark/>
          </w:tcPr>
          <w:p w:rsidR="00FF2EC4" w:rsidRPr="00FF2EC4" w:rsidRDefault="00FF2EC4" w:rsidP="00FF2EC4">
            <w:pPr>
              <w:spacing w:after="0"/>
              <w:ind w:firstLine="0"/>
              <w:jc w:val="right"/>
              <w:rPr>
                <w:rFonts w:ascii="Arial Narrow" w:hAnsi="Arial Narrow"/>
                <w:color w:val="000000"/>
                <w:lang w:val="es-ES" w:eastAsia="es-ES"/>
              </w:rPr>
            </w:pPr>
            <w:r w:rsidRPr="00FF2EC4">
              <w:rPr>
                <w:rFonts w:ascii="Arial Narrow" w:hAnsi="Arial Narrow"/>
                <w:color w:val="000000"/>
                <w:lang w:val="es-ES" w:eastAsia="es-ES"/>
              </w:rPr>
              <w:t>-3,5</w:t>
            </w:r>
          </w:p>
        </w:tc>
      </w:tr>
      <w:tr w:rsidR="00FF2EC4" w:rsidRPr="00FF2EC4" w:rsidTr="00FF2EC4">
        <w:trPr>
          <w:trHeight w:val="255"/>
        </w:trPr>
        <w:tc>
          <w:tcPr>
            <w:tcW w:w="2524" w:type="pct"/>
            <w:tcBorders>
              <w:top w:val="single" w:sz="4" w:space="0" w:color="auto"/>
              <w:left w:val="nil"/>
              <w:bottom w:val="single" w:sz="4" w:space="0" w:color="auto"/>
              <w:right w:val="nil"/>
            </w:tcBorders>
            <w:shd w:val="clear" w:color="auto" w:fill="auto"/>
            <w:vAlign w:val="center"/>
            <w:hideMark/>
          </w:tcPr>
          <w:p w:rsidR="00FF2EC4" w:rsidRPr="00FF2EC4" w:rsidRDefault="007747F2" w:rsidP="007747F2">
            <w:pPr>
              <w:spacing w:after="0"/>
              <w:ind w:firstLine="0"/>
              <w:jc w:val="left"/>
              <w:rPr>
                <w:rFonts w:ascii="Arial Narrow" w:hAnsi="Arial Narrow"/>
                <w:color w:val="000000"/>
                <w:lang w:val="es-ES" w:eastAsia="es-ES"/>
              </w:rPr>
            </w:pPr>
            <w:r>
              <w:rPr>
                <w:rFonts w:ascii="Arial Narrow" w:hAnsi="Arial Narrow"/>
                <w:color w:val="000000"/>
                <w:lang w:val="es-ES" w:eastAsia="es-ES"/>
              </w:rPr>
              <w:t>Í</w:t>
            </w:r>
            <w:r w:rsidR="00FF2EC4" w:rsidRPr="00FF2EC4">
              <w:rPr>
                <w:rFonts w:ascii="Arial Narrow" w:hAnsi="Arial Narrow"/>
                <w:color w:val="000000"/>
                <w:lang w:val="es-ES" w:eastAsia="es-ES"/>
              </w:rPr>
              <w:t>ndice de carga financiera</w:t>
            </w:r>
          </w:p>
        </w:tc>
        <w:tc>
          <w:tcPr>
            <w:tcW w:w="901" w:type="pct"/>
            <w:tcBorders>
              <w:top w:val="single" w:sz="4" w:space="0" w:color="auto"/>
              <w:left w:val="nil"/>
              <w:bottom w:val="single" w:sz="4" w:space="0" w:color="auto"/>
              <w:right w:val="nil"/>
            </w:tcBorders>
            <w:shd w:val="clear" w:color="auto" w:fill="auto"/>
            <w:vAlign w:val="center"/>
            <w:hideMark/>
          </w:tcPr>
          <w:p w:rsidR="00FF2EC4" w:rsidRPr="00FF2EC4" w:rsidRDefault="00084DAD" w:rsidP="00FF2EC4">
            <w:pPr>
              <w:spacing w:after="0"/>
              <w:ind w:firstLine="0"/>
              <w:jc w:val="right"/>
              <w:rPr>
                <w:rFonts w:ascii="Arial Narrow" w:hAnsi="Arial Narrow"/>
                <w:color w:val="000000"/>
                <w:lang w:val="es-ES" w:eastAsia="es-ES"/>
              </w:rPr>
            </w:pPr>
            <w:r>
              <w:rPr>
                <w:rFonts w:ascii="Arial Narrow" w:hAnsi="Arial Narrow"/>
                <w:color w:val="000000"/>
                <w:lang w:val="es-ES" w:eastAsia="es-ES"/>
              </w:rPr>
              <w:t>1,08</w:t>
            </w:r>
            <w:r w:rsidR="00FF2EC4" w:rsidRPr="00FF2EC4">
              <w:rPr>
                <w:rFonts w:ascii="Arial Narrow" w:hAnsi="Arial Narrow"/>
                <w:color w:val="000000"/>
                <w:lang w:val="es-ES" w:eastAsia="es-ES"/>
              </w:rPr>
              <w:t>%</w:t>
            </w:r>
          </w:p>
        </w:tc>
        <w:tc>
          <w:tcPr>
            <w:tcW w:w="781" w:type="pct"/>
            <w:tcBorders>
              <w:top w:val="single" w:sz="4" w:space="0" w:color="auto"/>
              <w:left w:val="nil"/>
              <w:bottom w:val="single" w:sz="4" w:space="0" w:color="auto"/>
              <w:right w:val="nil"/>
            </w:tcBorders>
            <w:shd w:val="clear" w:color="auto" w:fill="auto"/>
            <w:vAlign w:val="center"/>
            <w:hideMark/>
          </w:tcPr>
          <w:p w:rsidR="00FF2EC4" w:rsidRPr="00FF2EC4" w:rsidRDefault="00FF2EC4" w:rsidP="00FF2EC4">
            <w:pPr>
              <w:spacing w:after="0"/>
              <w:ind w:firstLine="0"/>
              <w:jc w:val="right"/>
              <w:rPr>
                <w:rFonts w:ascii="Arial Narrow" w:hAnsi="Arial Narrow"/>
                <w:color w:val="000000"/>
                <w:lang w:val="es-ES" w:eastAsia="es-ES"/>
              </w:rPr>
            </w:pPr>
            <w:r w:rsidRPr="00FF2EC4">
              <w:rPr>
                <w:rFonts w:ascii="Arial Narrow" w:hAnsi="Arial Narrow"/>
                <w:color w:val="000000"/>
                <w:lang w:val="es-ES" w:eastAsia="es-ES"/>
              </w:rPr>
              <w:t>1,35%</w:t>
            </w:r>
          </w:p>
        </w:tc>
        <w:tc>
          <w:tcPr>
            <w:tcW w:w="793" w:type="pct"/>
            <w:tcBorders>
              <w:top w:val="single" w:sz="4" w:space="0" w:color="auto"/>
              <w:left w:val="nil"/>
              <w:bottom w:val="single" w:sz="4" w:space="0" w:color="auto"/>
              <w:right w:val="nil"/>
            </w:tcBorders>
            <w:shd w:val="clear" w:color="auto" w:fill="auto"/>
            <w:vAlign w:val="center"/>
            <w:hideMark/>
          </w:tcPr>
          <w:p w:rsidR="00FF2EC4" w:rsidRPr="00FF2EC4" w:rsidRDefault="00FF2EC4" w:rsidP="00FF2EC4">
            <w:pPr>
              <w:spacing w:after="0"/>
              <w:ind w:firstLine="0"/>
              <w:jc w:val="right"/>
              <w:rPr>
                <w:rFonts w:ascii="Arial Narrow" w:hAnsi="Arial Narrow"/>
                <w:color w:val="000000"/>
                <w:lang w:val="es-ES" w:eastAsia="es-ES"/>
              </w:rPr>
            </w:pPr>
            <w:r w:rsidRPr="00FF2EC4">
              <w:rPr>
                <w:rFonts w:ascii="Arial Narrow" w:hAnsi="Arial Narrow"/>
                <w:color w:val="000000"/>
                <w:lang w:val="es-ES" w:eastAsia="es-ES"/>
              </w:rPr>
              <w:t>25,3</w:t>
            </w:r>
          </w:p>
        </w:tc>
      </w:tr>
      <w:tr w:rsidR="00FF2EC4" w:rsidRPr="00FF2EC4" w:rsidTr="00FF2EC4">
        <w:trPr>
          <w:trHeight w:val="255"/>
        </w:trPr>
        <w:tc>
          <w:tcPr>
            <w:tcW w:w="2524" w:type="pct"/>
            <w:tcBorders>
              <w:top w:val="nil"/>
              <w:left w:val="nil"/>
              <w:bottom w:val="nil"/>
              <w:right w:val="nil"/>
            </w:tcBorders>
            <w:shd w:val="clear" w:color="auto" w:fill="auto"/>
            <w:vAlign w:val="center"/>
            <w:hideMark/>
          </w:tcPr>
          <w:p w:rsidR="00FF2EC4" w:rsidRPr="00FF2EC4" w:rsidRDefault="00FF2EC4" w:rsidP="00FF2EC4">
            <w:pPr>
              <w:spacing w:after="0"/>
              <w:ind w:firstLine="0"/>
              <w:jc w:val="left"/>
              <w:rPr>
                <w:rFonts w:ascii="Arial Narrow" w:hAnsi="Arial Narrow"/>
                <w:color w:val="000000"/>
                <w:lang w:val="es-ES" w:eastAsia="es-ES"/>
              </w:rPr>
            </w:pPr>
            <w:r w:rsidRPr="00FF2EC4">
              <w:rPr>
                <w:rFonts w:ascii="Arial Narrow" w:hAnsi="Arial Narrow"/>
                <w:color w:val="000000"/>
                <w:lang w:val="es-ES" w:eastAsia="es-ES"/>
              </w:rPr>
              <w:t>% de ahorro bruto sobre ingresos corrientes</w:t>
            </w:r>
          </w:p>
        </w:tc>
        <w:tc>
          <w:tcPr>
            <w:tcW w:w="901" w:type="pct"/>
            <w:tcBorders>
              <w:top w:val="nil"/>
              <w:left w:val="nil"/>
              <w:bottom w:val="nil"/>
              <w:right w:val="nil"/>
            </w:tcBorders>
            <w:shd w:val="clear" w:color="auto" w:fill="auto"/>
            <w:vAlign w:val="center"/>
            <w:hideMark/>
          </w:tcPr>
          <w:p w:rsidR="00FF2EC4" w:rsidRPr="00FF2EC4" w:rsidRDefault="00FF2EC4" w:rsidP="00FF2EC4">
            <w:pPr>
              <w:spacing w:after="0"/>
              <w:ind w:firstLine="0"/>
              <w:jc w:val="right"/>
              <w:rPr>
                <w:rFonts w:ascii="Arial Narrow" w:hAnsi="Arial Narrow"/>
                <w:color w:val="000000"/>
                <w:lang w:val="es-ES" w:eastAsia="es-ES"/>
              </w:rPr>
            </w:pPr>
            <w:r w:rsidRPr="00FF2EC4">
              <w:rPr>
                <w:rFonts w:ascii="Arial Narrow" w:hAnsi="Arial Narrow"/>
                <w:color w:val="000000"/>
                <w:lang w:val="es-ES" w:eastAsia="es-ES"/>
              </w:rPr>
              <w:t>19</w:t>
            </w:r>
          </w:p>
        </w:tc>
        <w:tc>
          <w:tcPr>
            <w:tcW w:w="781" w:type="pct"/>
            <w:tcBorders>
              <w:top w:val="nil"/>
              <w:left w:val="nil"/>
              <w:bottom w:val="nil"/>
              <w:right w:val="nil"/>
            </w:tcBorders>
            <w:shd w:val="clear" w:color="auto" w:fill="auto"/>
            <w:vAlign w:val="center"/>
            <w:hideMark/>
          </w:tcPr>
          <w:p w:rsidR="00FF2EC4" w:rsidRPr="00FF2EC4" w:rsidRDefault="00FF2EC4" w:rsidP="00FF2EC4">
            <w:pPr>
              <w:spacing w:after="0"/>
              <w:ind w:firstLine="0"/>
              <w:jc w:val="right"/>
              <w:rPr>
                <w:rFonts w:ascii="Arial Narrow" w:hAnsi="Arial Narrow"/>
                <w:color w:val="000000"/>
                <w:lang w:val="es-ES" w:eastAsia="es-ES"/>
              </w:rPr>
            </w:pPr>
            <w:r w:rsidRPr="00FF2EC4">
              <w:rPr>
                <w:rFonts w:ascii="Arial Narrow" w:hAnsi="Arial Narrow"/>
                <w:color w:val="000000"/>
                <w:lang w:val="es-ES" w:eastAsia="es-ES"/>
              </w:rPr>
              <w:t>18</w:t>
            </w:r>
          </w:p>
        </w:tc>
        <w:tc>
          <w:tcPr>
            <w:tcW w:w="793" w:type="pct"/>
            <w:tcBorders>
              <w:top w:val="nil"/>
              <w:left w:val="nil"/>
              <w:bottom w:val="nil"/>
              <w:right w:val="nil"/>
            </w:tcBorders>
            <w:shd w:val="clear" w:color="auto" w:fill="auto"/>
            <w:vAlign w:val="center"/>
            <w:hideMark/>
          </w:tcPr>
          <w:p w:rsidR="00FF2EC4" w:rsidRPr="00FF2EC4" w:rsidRDefault="00FF2EC4" w:rsidP="00FF2EC4">
            <w:pPr>
              <w:spacing w:after="0"/>
              <w:ind w:firstLine="0"/>
              <w:jc w:val="right"/>
              <w:rPr>
                <w:rFonts w:ascii="Arial Narrow" w:hAnsi="Arial Narrow"/>
                <w:color w:val="000000"/>
                <w:lang w:val="es-ES" w:eastAsia="es-ES"/>
              </w:rPr>
            </w:pPr>
            <w:r w:rsidRPr="00FF2EC4">
              <w:rPr>
                <w:rFonts w:ascii="Arial Narrow" w:hAnsi="Arial Narrow"/>
                <w:color w:val="000000"/>
                <w:lang w:val="es-ES" w:eastAsia="es-ES"/>
              </w:rPr>
              <w:t>-7,4</w:t>
            </w:r>
          </w:p>
        </w:tc>
      </w:tr>
      <w:tr w:rsidR="00FF2EC4" w:rsidRPr="00FF2EC4" w:rsidTr="00FF2EC4">
        <w:trPr>
          <w:trHeight w:val="255"/>
        </w:trPr>
        <w:tc>
          <w:tcPr>
            <w:tcW w:w="2524" w:type="pct"/>
            <w:tcBorders>
              <w:top w:val="single" w:sz="4" w:space="0" w:color="auto"/>
              <w:left w:val="nil"/>
              <w:bottom w:val="single" w:sz="4" w:space="0" w:color="auto"/>
              <w:right w:val="nil"/>
            </w:tcBorders>
            <w:shd w:val="clear" w:color="auto" w:fill="auto"/>
            <w:vAlign w:val="center"/>
            <w:hideMark/>
          </w:tcPr>
          <w:p w:rsidR="00FF2EC4" w:rsidRPr="00FF2EC4" w:rsidRDefault="00FF2EC4" w:rsidP="00FF2EC4">
            <w:pPr>
              <w:spacing w:after="0"/>
              <w:ind w:firstLine="0"/>
              <w:jc w:val="left"/>
              <w:rPr>
                <w:rFonts w:ascii="Arial Narrow" w:hAnsi="Arial Narrow"/>
                <w:color w:val="000000"/>
                <w:lang w:val="es-ES" w:eastAsia="es-ES"/>
              </w:rPr>
            </w:pPr>
            <w:r w:rsidRPr="00FF2EC4">
              <w:rPr>
                <w:rFonts w:ascii="Arial Narrow" w:hAnsi="Arial Narrow"/>
                <w:color w:val="000000"/>
                <w:lang w:val="es-ES" w:eastAsia="es-ES"/>
              </w:rPr>
              <w:t>Deuda viva</w:t>
            </w:r>
          </w:p>
        </w:tc>
        <w:tc>
          <w:tcPr>
            <w:tcW w:w="901" w:type="pct"/>
            <w:tcBorders>
              <w:top w:val="single" w:sz="4" w:space="0" w:color="auto"/>
              <w:left w:val="nil"/>
              <w:bottom w:val="single" w:sz="4" w:space="0" w:color="auto"/>
              <w:right w:val="nil"/>
            </w:tcBorders>
            <w:shd w:val="clear" w:color="auto" w:fill="auto"/>
            <w:vAlign w:val="center"/>
            <w:hideMark/>
          </w:tcPr>
          <w:p w:rsidR="00FF2EC4" w:rsidRPr="00FF2EC4" w:rsidRDefault="00FF2EC4" w:rsidP="00FF2EC4">
            <w:pPr>
              <w:spacing w:after="0"/>
              <w:ind w:firstLine="0"/>
              <w:jc w:val="right"/>
              <w:rPr>
                <w:rFonts w:ascii="Arial Narrow" w:hAnsi="Arial Narrow"/>
                <w:color w:val="000000"/>
                <w:lang w:val="es-ES" w:eastAsia="es-ES"/>
              </w:rPr>
            </w:pPr>
            <w:r w:rsidRPr="00FF2EC4">
              <w:rPr>
                <w:rFonts w:ascii="Arial Narrow" w:hAnsi="Arial Narrow"/>
                <w:color w:val="000000"/>
                <w:lang w:val="es-ES" w:eastAsia="es-ES"/>
              </w:rPr>
              <w:t>1.581.717</w:t>
            </w:r>
          </w:p>
        </w:tc>
        <w:tc>
          <w:tcPr>
            <w:tcW w:w="781" w:type="pct"/>
            <w:tcBorders>
              <w:top w:val="single" w:sz="4" w:space="0" w:color="auto"/>
              <w:left w:val="nil"/>
              <w:bottom w:val="single" w:sz="4" w:space="0" w:color="auto"/>
              <w:right w:val="nil"/>
            </w:tcBorders>
            <w:shd w:val="clear" w:color="auto" w:fill="auto"/>
            <w:vAlign w:val="center"/>
            <w:hideMark/>
          </w:tcPr>
          <w:p w:rsidR="00FF2EC4" w:rsidRPr="00FF2EC4" w:rsidRDefault="00FF2EC4" w:rsidP="00FF2EC4">
            <w:pPr>
              <w:spacing w:after="0"/>
              <w:ind w:firstLine="0"/>
              <w:jc w:val="right"/>
              <w:rPr>
                <w:rFonts w:ascii="Arial Narrow" w:hAnsi="Arial Narrow"/>
                <w:color w:val="000000"/>
                <w:lang w:val="es-ES" w:eastAsia="es-ES"/>
              </w:rPr>
            </w:pPr>
            <w:r w:rsidRPr="00FF2EC4">
              <w:rPr>
                <w:rFonts w:ascii="Arial Narrow" w:hAnsi="Arial Narrow"/>
                <w:color w:val="000000"/>
                <w:lang w:val="es-ES" w:eastAsia="es-ES"/>
              </w:rPr>
              <w:t>1.389.994</w:t>
            </w:r>
          </w:p>
        </w:tc>
        <w:tc>
          <w:tcPr>
            <w:tcW w:w="793" w:type="pct"/>
            <w:tcBorders>
              <w:top w:val="single" w:sz="4" w:space="0" w:color="auto"/>
              <w:left w:val="nil"/>
              <w:bottom w:val="single" w:sz="4" w:space="0" w:color="auto"/>
              <w:right w:val="nil"/>
            </w:tcBorders>
            <w:shd w:val="clear" w:color="auto" w:fill="auto"/>
            <w:vAlign w:val="center"/>
            <w:hideMark/>
          </w:tcPr>
          <w:p w:rsidR="00FF2EC4" w:rsidRPr="00FF2EC4" w:rsidRDefault="00FF2EC4" w:rsidP="00FF2EC4">
            <w:pPr>
              <w:spacing w:after="0"/>
              <w:ind w:firstLine="0"/>
              <w:jc w:val="right"/>
              <w:rPr>
                <w:rFonts w:ascii="Arial Narrow" w:hAnsi="Arial Narrow"/>
                <w:color w:val="000000"/>
                <w:lang w:val="es-ES" w:eastAsia="es-ES"/>
              </w:rPr>
            </w:pPr>
            <w:r w:rsidRPr="00FF2EC4">
              <w:rPr>
                <w:rFonts w:ascii="Arial Narrow" w:hAnsi="Arial Narrow"/>
                <w:color w:val="000000"/>
                <w:lang w:val="es-ES" w:eastAsia="es-ES"/>
              </w:rPr>
              <w:t>-12,1</w:t>
            </w:r>
          </w:p>
        </w:tc>
      </w:tr>
      <w:tr w:rsidR="00FF2EC4" w:rsidRPr="00FF2EC4" w:rsidTr="00FF2EC4">
        <w:trPr>
          <w:trHeight w:val="255"/>
        </w:trPr>
        <w:tc>
          <w:tcPr>
            <w:tcW w:w="2524" w:type="pct"/>
            <w:tcBorders>
              <w:top w:val="nil"/>
              <w:left w:val="nil"/>
              <w:bottom w:val="nil"/>
              <w:right w:val="nil"/>
            </w:tcBorders>
            <w:shd w:val="clear" w:color="auto" w:fill="auto"/>
            <w:vAlign w:val="center"/>
            <w:hideMark/>
          </w:tcPr>
          <w:p w:rsidR="00FF2EC4" w:rsidRPr="00FF2EC4" w:rsidRDefault="00FF2EC4" w:rsidP="00FF2EC4">
            <w:pPr>
              <w:spacing w:after="0"/>
              <w:ind w:firstLine="0"/>
              <w:jc w:val="left"/>
              <w:rPr>
                <w:rFonts w:ascii="Arial Narrow" w:hAnsi="Arial Narrow"/>
                <w:color w:val="000000"/>
                <w:lang w:val="es-ES" w:eastAsia="es-ES"/>
              </w:rPr>
            </w:pPr>
            <w:r w:rsidRPr="00FF2EC4">
              <w:rPr>
                <w:rFonts w:ascii="Arial Narrow" w:hAnsi="Arial Narrow"/>
                <w:color w:val="000000"/>
                <w:lang w:val="es-ES" w:eastAsia="es-ES"/>
              </w:rPr>
              <w:t xml:space="preserve">Nivel de endeudamiento </w:t>
            </w:r>
          </w:p>
        </w:tc>
        <w:tc>
          <w:tcPr>
            <w:tcW w:w="901" w:type="pct"/>
            <w:tcBorders>
              <w:top w:val="nil"/>
              <w:left w:val="nil"/>
              <w:bottom w:val="nil"/>
              <w:right w:val="nil"/>
            </w:tcBorders>
            <w:shd w:val="clear" w:color="auto" w:fill="auto"/>
            <w:vAlign w:val="center"/>
            <w:hideMark/>
          </w:tcPr>
          <w:p w:rsidR="00FF2EC4" w:rsidRPr="00FF2EC4" w:rsidRDefault="00FF2EC4" w:rsidP="00FF2EC4">
            <w:pPr>
              <w:spacing w:after="0"/>
              <w:ind w:firstLine="0"/>
              <w:jc w:val="right"/>
              <w:rPr>
                <w:rFonts w:ascii="Arial Narrow" w:hAnsi="Arial Narrow"/>
                <w:color w:val="000000"/>
                <w:lang w:val="es-ES" w:eastAsia="es-ES"/>
              </w:rPr>
            </w:pPr>
            <w:r w:rsidRPr="00FF2EC4">
              <w:rPr>
                <w:rFonts w:ascii="Arial Narrow" w:hAnsi="Arial Narrow"/>
                <w:color w:val="000000"/>
                <w:lang w:val="es-ES" w:eastAsia="es-ES"/>
              </w:rPr>
              <w:t>12%</w:t>
            </w:r>
          </w:p>
        </w:tc>
        <w:tc>
          <w:tcPr>
            <w:tcW w:w="781" w:type="pct"/>
            <w:tcBorders>
              <w:top w:val="nil"/>
              <w:left w:val="nil"/>
              <w:bottom w:val="nil"/>
              <w:right w:val="nil"/>
            </w:tcBorders>
            <w:shd w:val="clear" w:color="auto" w:fill="auto"/>
            <w:vAlign w:val="center"/>
            <w:hideMark/>
          </w:tcPr>
          <w:p w:rsidR="00FF2EC4" w:rsidRPr="00FF2EC4" w:rsidRDefault="00FF2EC4" w:rsidP="00FF2EC4">
            <w:pPr>
              <w:spacing w:after="0"/>
              <w:ind w:firstLine="0"/>
              <w:jc w:val="right"/>
              <w:rPr>
                <w:rFonts w:ascii="Arial Narrow" w:hAnsi="Arial Narrow"/>
                <w:color w:val="000000"/>
                <w:lang w:val="es-ES" w:eastAsia="es-ES"/>
              </w:rPr>
            </w:pPr>
            <w:r w:rsidRPr="00FF2EC4">
              <w:rPr>
                <w:rFonts w:ascii="Arial Narrow" w:hAnsi="Arial Narrow"/>
                <w:color w:val="000000"/>
                <w:lang w:val="es-ES" w:eastAsia="es-ES"/>
              </w:rPr>
              <w:t>10%</w:t>
            </w:r>
          </w:p>
        </w:tc>
        <w:tc>
          <w:tcPr>
            <w:tcW w:w="793" w:type="pct"/>
            <w:tcBorders>
              <w:top w:val="nil"/>
              <w:left w:val="nil"/>
              <w:bottom w:val="nil"/>
              <w:right w:val="nil"/>
            </w:tcBorders>
            <w:shd w:val="clear" w:color="auto" w:fill="auto"/>
            <w:vAlign w:val="center"/>
            <w:hideMark/>
          </w:tcPr>
          <w:p w:rsidR="00FF2EC4" w:rsidRPr="00FF2EC4" w:rsidRDefault="00FF2EC4" w:rsidP="00FF2EC4">
            <w:pPr>
              <w:spacing w:after="0"/>
              <w:ind w:firstLine="0"/>
              <w:jc w:val="right"/>
              <w:rPr>
                <w:rFonts w:ascii="Arial Narrow" w:hAnsi="Arial Narrow"/>
                <w:color w:val="000000"/>
                <w:lang w:val="es-ES" w:eastAsia="es-ES"/>
              </w:rPr>
            </w:pPr>
            <w:r w:rsidRPr="00FF2EC4">
              <w:rPr>
                <w:rFonts w:ascii="Arial Narrow" w:hAnsi="Arial Narrow"/>
                <w:color w:val="000000"/>
                <w:lang w:val="es-ES" w:eastAsia="es-ES"/>
              </w:rPr>
              <w:t>-17,4</w:t>
            </w:r>
          </w:p>
        </w:tc>
      </w:tr>
      <w:tr w:rsidR="00FF2EC4" w:rsidRPr="00FF2EC4" w:rsidTr="00FF2EC4">
        <w:trPr>
          <w:trHeight w:val="255"/>
        </w:trPr>
        <w:tc>
          <w:tcPr>
            <w:tcW w:w="2524" w:type="pct"/>
            <w:tcBorders>
              <w:top w:val="single" w:sz="4" w:space="0" w:color="auto"/>
              <w:left w:val="nil"/>
              <w:bottom w:val="single" w:sz="4" w:space="0" w:color="auto"/>
              <w:right w:val="nil"/>
            </w:tcBorders>
            <w:shd w:val="clear" w:color="auto" w:fill="auto"/>
            <w:vAlign w:val="center"/>
            <w:hideMark/>
          </w:tcPr>
          <w:p w:rsidR="00FF2EC4" w:rsidRPr="00FF2EC4" w:rsidRDefault="00FF2EC4" w:rsidP="00FF2EC4">
            <w:pPr>
              <w:spacing w:after="0"/>
              <w:ind w:firstLine="0"/>
              <w:jc w:val="left"/>
              <w:rPr>
                <w:rFonts w:ascii="Arial Narrow" w:hAnsi="Arial Narrow"/>
                <w:color w:val="000000"/>
                <w:lang w:val="es-ES" w:eastAsia="es-ES"/>
              </w:rPr>
            </w:pPr>
            <w:r w:rsidRPr="00FF2EC4">
              <w:rPr>
                <w:rFonts w:ascii="Arial Narrow" w:hAnsi="Arial Narrow"/>
                <w:color w:val="000000"/>
                <w:lang w:val="es-ES" w:eastAsia="es-ES"/>
              </w:rPr>
              <w:t>Remanente tesorería para gastos generales</w:t>
            </w:r>
          </w:p>
        </w:tc>
        <w:tc>
          <w:tcPr>
            <w:tcW w:w="901" w:type="pct"/>
            <w:tcBorders>
              <w:top w:val="single" w:sz="4" w:space="0" w:color="auto"/>
              <w:left w:val="nil"/>
              <w:bottom w:val="single" w:sz="4" w:space="0" w:color="auto"/>
              <w:right w:val="nil"/>
            </w:tcBorders>
            <w:shd w:val="clear" w:color="auto" w:fill="auto"/>
            <w:vAlign w:val="center"/>
            <w:hideMark/>
          </w:tcPr>
          <w:p w:rsidR="00FF2EC4" w:rsidRPr="00FF2EC4" w:rsidRDefault="00FF2EC4" w:rsidP="00FF2EC4">
            <w:pPr>
              <w:spacing w:after="0"/>
              <w:ind w:firstLine="0"/>
              <w:jc w:val="right"/>
              <w:rPr>
                <w:rFonts w:ascii="Arial Narrow" w:hAnsi="Arial Narrow"/>
                <w:color w:val="000000"/>
                <w:lang w:val="es-ES" w:eastAsia="es-ES"/>
              </w:rPr>
            </w:pPr>
            <w:r w:rsidRPr="00FF2EC4">
              <w:rPr>
                <w:rFonts w:ascii="Arial Narrow" w:hAnsi="Arial Narrow"/>
                <w:color w:val="000000"/>
                <w:lang w:val="es-ES" w:eastAsia="es-ES"/>
              </w:rPr>
              <w:t>5.524.906</w:t>
            </w:r>
          </w:p>
        </w:tc>
        <w:tc>
          <w:tcPr>
            <w:tcW w:w="781" w:type="pct"/>
            <w:tcBorders>
              <w:top w:val="single" w:sz="4" w:space="0" w:color="auto"/>
              <w:left w:val="nil"/>
              <w:bottom w:val="single" w:sz="4" w:space="0" w:color="auto"/>
              <w:right w:val="nil"/>
            </w:tcBorders>
            <w:shd w:val="clear" w:color="auto" w:fill="auto"/>
            <w:vAlign w:val="center"/>
            <w:hideMark/>
          </w:tcPr>
          <w:p w:rsidR="00FF2EC4" w:rsidRPr="00FF2EC4" w:rsidRDefault="00FF2EC4" w:rsidP="00FF2EC4">
            <w:pPr>
              <w:spacing w:after="0"/>
              <w:ind w:firstLine="0"/>
              <w:jc w:val="right"/>
              <w:rPr>
                <w:rFonts w:ascii="Arial Narrow" w:hAnsi="Arial Narrow"/>
                <w:color w:val="000000"/>
                <w:lang w:val="es-ES" w:eastAsia="es-ES"/>
              </w:rPr>
            </w:pPr>
            <w:r w:rsidRPr="00FF2EC4">
              <w:rPr>
                <w:rFonts w:ascii="Arial Narrow" w:hAnsi="Arial Narrow"/>
                <w:color w:val="000000"/>
                <w:lang w:val="es-ES" w:eastAsia="es-ES"/>
              </w:rPr>
              <w:t>4.791.072</w:t>
            </w:r>
          </w:p>
        </w:tc>
        <w:tc>
          <w:tcPr>
            <w:tcW w:w="793" w:type="pct"/>
            <w:tcBorders>
              <w:top w:val="single" w:sz="4" w:space="0" w:color="auto"/>
              <w:left w:val="nil"/>
              <w:bottom w:val="single" w:sz="4" w:space="0" w:color="auto"/>
              <w:right w:val="nil"/>
            </w:tcBorders>
            <w:shd w:val="clear" w:color="auto" w:fill="auto"/>
            <w:vAlign w:val="center"/>
            <w:hideMark/>
          </w:tcPr>
          <w:p w:rsidR="00FF2EC4" w:rsidRPr="00FF2EC4" w:rsidRDefault="00FF2EC4" w:rsidP="00FF2EC4">
            <w:pPr>
              <w:spacing w:after="0"/>
              <w:ind w:firstLine="0"/>
              <w:jc w:val="right"/>
              <w:rPr>
                <w:rFonts w:ascii="Arial Narrow" w:hAnsi="Arial Narrow"/>
                <w:color w:val="000000"/>
                <w:lang w:val="es-ES" w:eastAsia="es-ES"/>
              </w:rPr>
            </w:pPr>
            <w:r w:rsidRPr="00FF2EC4">
              <w:rPr>
                <w:rFonts w:ascii="Arial Narrow" w:hAnsi="Arial Narrow"/>
                <w:color w:val="000000"/>
                <w:lang w:val="es-ES" w:eastAsia="es-ES"/>
              </w:rPr>
              <w:t>-13,3</w:t>
            </w:r>
          </w:p>
        </w:tc>
      </w:tr>
      <w:tr w:rsidR="00FF2EC4" w:rsidRPr="00FF2EC4" w:rsidTr="00FF2EC4">
        <w:trPr>
          <w:trHeight w:val="255"/>
        </w:trPr>
        <w:tc>
          <w:tcPr>
            <w:tcW w:w="2524" w:type="pct"/>
            <w:tcBorders>
              <w:top w:val="nil"/>
              <w:left w:val="nil"/>
              <w:bottom w:val="nil"/>
              <w:right w:val="nil"/>
            </w:tcBorders>
            <w:shd w:val="clear" w:color="auto" w:fill="auto"/>
            <w:vAlign w:val="center"/>
            <w:hideMark/>
          </w:tcPr>
          <w:p w:rsidR="00FF2EC4" w:rsidRPr="00FF2EC4" w:rsidRDefault="00FF2EC4" w:rsidP="00FF2EC4">
            <w:pPr>
              <w:spacing w:after="0"/>
              <w:ind w:firstLine="0"/>
              <w:jc w:val="left"/>
              <w:rPr>
                <w:rFonts w:ascii="Arial Narrow" w:hAnsi="Arial Narrow"/>
                <w:color w:val="000000"/>
                <w:lang w:val="es-ES" w:eastAsia="es-ES"/>
              </w:rPr>
            </w:pPr>
            <w:r w:rsidRPr="00FF2EC4">
              <w:rPr>
                <w:rFonts w:ascii="Arial Narrow" w:hAnsi="Arial Narrow"/>
                <w:color w:val="000000"/>
                <w:lang w:val="es-ES" w:eastAsia="es-ES"/>
              </w:rPr>
              <w:t>Autonomía fiscal (tributos/DRN)</w:t>
            </w:r>
          </w:p>
        </w:tc>
        <w:tc>
          <w:tcPr>
            <w:tcW w:w="901" w:type="pct"/>
            <w:tcBorders>
              <w:top w:val="nil"/>
              <w:left w:val="nil"/>
              <w:bottom w:val="nil"/>
              <w:right w:val="nil"/>
            </w:tcBorders>
            <w:shd w:val="clear" w:color="auto" w:fill="auto"/>
            <w:vAlign w:val="center"/>
            <w:hideMark/>
          </w:tcPr>
          <w:p w:rsidR="00FF2EC4" w:rsidRPr="00084DAD" w:rsidRDefault="00084DAD" w:rsidP="00FF2EC4">
            <w:pPr>
              <w:spacing w:after="0"/>
              <w:ind w:firstLine="0"/>
              <w:jc w:val="right"/>
              <w:rPr>
                <w:rFonts w:ascii="Arial Narrow" w:hAnsi="Arial Narrow"/>
                <w:color w:val="000000" w:themeColor="text1"/>
                <w:lang w:val="es-ES" w:eastAsia="es-ES"/>
              </w:rPr>
            </w:pPr>
            <w:r w:rsidRPr="00084DAD">
              <w:rPr>
                <w:rFonts w:ascii="Arial Narrow" w:hAnsi="Arial Narrow"/>
                <w:color w:val="000000" w:themeColor="text1"/>
                <w:lang w:val="es-ES" w:eastAsia="es-ES"/>
              </w:rPr>
              <w:t>58</w:t>
            </w:r>
            <w:r w:rsidR="00FF2EC4" w:rsidRPr="00084DAD">
              <w:rPr>
                <w:rFonts w:ascii="Arial Narrow" w:hAnsi="Arial Narrow"/>
                <w:color w:val="000000" w:themeColor="text1"/>
                <w:lang w:val="es-ES" w:eastAsia="es-ES"/>
              </w:rPr>
              <w:t>%</w:t>
            </w:r>
          </w:p>
        </w:tc>
        <w:tc>
          <w:tcPr>
            <w:tcW w:w="781" w:type="pct"/>
            <w:tcBorders>
              <w:top w:val="nil"/>
              <w:left w:val="nil"/>
              <w:bottom w:val="nil"/>
              <w:right w:val="nil"/>
            </w:tcBorders>
            <w:shd w:val="clear" w:color="auto" w:fill="auto"/>
            <w:vAlign w:val="center"/>
            <w:hideMark/>
          </w:tcPr>
          <w:p w:rsidR="00FF2EC4" w:rsidRPr="00FF2EC4" w:rsidRDefault="00084DAD" w:rsidP="00FF2EC4">
            <w:pPr>
              <w:spacing w:after="0"/>
              <w:ind w:firstLine="0"/>
              <w:jc w:val="right"/>
              <w:rPr>
                <w:rFonts w:ascii="Arial Narrow" w:hAnsi="Arial Narrow"/>
                <w:color w:val="000000"/>
                <w:lang w:val="es-ES" w:eastAsia="es-ES"/>
              </w:rPr>
            </w:pPr>
            <w:r>
              <w:rPr>
                <w:rFonts w:ascii="Arial Narrow" w:hAnsi="Arial Narrow"/>
                <w:color w:val="000000"/>
                <w:lang w:val="es-ES" w:eastAsia="es-ES"/>
              </w:rPr>
              <w:t>51</w:t>
            </w:r>
            <w:r w:rsidR="00FF2EC4" w:rsidRPr="00FF2EC4">
              <w:rPr>
                <w:rFonts w:ascii="Arial Narrow" w:hAnsi="Arial Narrow"/>
                <w:color w:val="000000"/>
                <w:lang w:val="es-ES" w:eastAsia="es-ES"/>
              </w:rPr>
              <w:t>%</w:t>
            </w:r>
          </w:p>
        </w:tc>
        <w:tc>
          <w:tcPr>
            <w:tcW w:w="793" w:type="pct"/>
            <w:tcBorders>
              <w:top w:val="nil"/>
              <w:left w:val="nil"/>
              <w:bottom w:val="nil"/>
              <w:right w:val="nil"/>
            </w:tcBorders>
            <w:shd w:val="clear" w:color="auto" w:fill="auto"/>
            <w:vAlign w:val="center"/>
            <w:hideMark/>
          </w:tcPr>
          <w:p w:rsidR="00FF2EC4" w:rsidRPr="00FF2EC4" w:rsidRDefault="00FF2EC4" w:rsidP="00FF2EC4">
            <w:pPr>
              <w:spacing w:after="0"/>
              <w:ind w:firstLine="0"/>
              <w:jc w:val="right"/>
              <w:rPr>
                <w:rFonts w:ascii="Arial Narrow" w:hAnsi="Arial Narrow"/>
                <w:color w:val="000000"/>
                <w:lang w:val="es-ES" w:eastAsia="es-ES"/>
              </w:rPr>
            </w:pPr>
            <w:r w:rsidRPr="00FF2EC4">
              <w:rPr>
                <w:rFonts w:ascii="Arial Narrow" w:hAnsi="Arial Narrow"/>
                <w:color w:val="000000"/>
                <w:lang w:val="es-ES" w:eastAsia="es-ES"/>
              </w:rPr>
              <w:t>-10,7</w:t>
            </w:r>
          </w:p>
        </w:tc>
      </w:tr>
      <w:tr w:rsidR="00FF2EC4" w:rsidRPr="00FF2EC4" w:rsidTr="00B45CA5">
        <w:trPr>
          <w:trHeight w:val="255"/>
        </w:trPr>
        <w:tc>
          <w:tcPr>
            <w:tcW w:w="2524" w:type="pct"/>
            <w:tcBorders>
              <w:top w:val="single" w:sz="4" w:space="0" w:color="auto"/>
              <w:left w:val="nil"/>
              <w:bottom w:val="single" w:sz="4" w:space="0" w:color="auto"/>
              <w:right w:val="nil"/>
            </w:tcBorders>
            <w:shd w:val="clear" w:color="auto" w:fill="auto"/>
            <w:vAlign w:val="center"/>
            <w:hideMark/>
          </w:tcPr>
          <w:p w:rsidR="00FF2EC4" w:rsidRPr="00FF2EC4" w:rsidRDefault="00FF2EC4" w:rsidP="00B45CA5">
            <w:pPr>
              <w:spacing w:after="0"/>
              <w:ind w:firstLine="0"/>
              <w:jc w:val="left"/>
              <w:rPr>
                <w:rFonts w:ascii="Arial Narrow" w:hAnsi="Arial Narrow"/>
                <w:color w:val="000000"/>
                <w:lang w:val="es-ES" w:eastAsia="es-ES"/>
              </w:rPr>
            </w:pPr>
            <w:r w:rsidRPr="00FF2EC4">
              <w:rPr>
                <w:rFonts w:ascii="Arial Narrow" w:hAnsi="Arial Narrow"/>
                <w:color w:val="000000"/>
                <w:lang w:val="es-ES" w:eastAsia="es-ES"/>
              </w:rPr>
              <w:t xml:space="preserve">Índice deudores dudoso </w:t>
            </w:r>
            <w:r w:rsidR="00B45CA5" w:rsidRPr="00B45CA5">
              <w:rPr>
                <w:rFonts w:ascii="Arial Narrow" w:hAnsi="Arial Narrow"/>
                <w:color w:val="000000"/>
                <w:lang w:val="es-ES" w:eastAsia="es-ES"/>
              </w:rPr>
              <w:t>cobro</w:t>
            </w:r>
          </w:p>
        </w:tc>
        <w:tc>
          <w:tcPr>
            <w:tcW w:w="901" w:type="pct"/>
            <w:tcBorders>
              <w:top w:val="single" w:sz="4" w:space="0" w:color="auto"/>
              <w:left w:val="nil"/>
              <w:bottom w:val="single" w:sz="4" w:space="0" w:color="auto"/>
              <w:right w:val="nil"/>
            </w:tcBorders>
            <w:shd w:val="clear" w:color="auto" w:fill="auto"/>
            <w:vAlign w:val="center"/>
            <w:hideMark/>
          </w:tcPr>
          <w:p w:rsidR="00FF2EC4" w:rsidRPr="00084DAD" w:rsidRDefault="00084DAD" w:rsidP="00FF2EC4">
            <w:pPr>
              <w:spacing w:after="0"/>
              <w:ind w:firstLine="0"/>
              <w:jc w:val="right"/>
              <w:rPr>
                <w:rFonts w:ascii="Arial Narrow" w:hAnsi="Arial Narrow"/>
                <w:color w:val="000000" w:themeColor="text1"/>
                <w:lang w:val="es-ES" w:eastAsia="es-ES"/>
              </w:rPr>
            </w:pPr>
            <w:r w:rsidRPr="00084DAD">
              <w:rPr>
                <w:rFonts w:ascii="Arial Narrow" w:hAnsi="Arial Narrow"/>
                <w:color w:val="000000" w:themeColor="text1"/>
                <w:lang w:val="es-ES" w:eastAsia="es-ES"/>
              </w:rPr>
              <w:t>91</w:t>
            </w:r>
            <w:r w:rsidR="00FF2EC4" w:rsidRPr="00084DAD">
              <w:rPr>
                <w:rFonts w:ascii="Arial Narrow" w:hAnsi="Arial Narrow"/>
                <w:color w:val="000000" w:themeColor="text1"/>
                <w:lang w:val="es-ES" w:eastAsia="es-ES"/>
              </w:rPr>
              <w:t>%</w:t>
            </w:r>
          </w:p>
        </w:tc>
        <w:tc>
          <w:tcPr>
            <w:tcW w:w="781" w:type="pct"/>
            <w:tcBorders>
              <w:top w:val="single" w:sz="4" w:space="0" w:color="auto"/>
              <w:left w:val="nil"/>
              <w:bottom w:val="single" w:sz="4" w:space="0" w:color="auto"/>
              <w:right w:val="nil"/>
            </w:tcBorders>
            <w:shd w:val="clear" w:color="auto" w:fill="auto"/>
            <w:vAlign w:val="center"/>
            <w:hideMark/>
          </w:tcPr>
          <w:p w:rsidR="00FF2EC4" w:rsidRPr="00FF2EC4" w:rsidRDefault="00084DAD" w:rsidP="00FF2EC4">
            <w:pPr>
              <w:spacing w:after="0"/>
              <w:ind w:firstLine="0"/>
              <w:jc w:val="right"/>
              <w:rPr>
                <w:rFonts w:ascii="Arial Narrow" w:hAnsi="Arial Narrow"/>
                <w:color w:val="000000"/>
                <w:lang w:val="es-ES" w:eastAsia="es-ES"/>
              </w:rPr>
            </w:pPr>
            <w:r>
              <w:rPr>
                <w:rFonts w:ascii="Arial Narrow" w:hAnsi="Arial Narrow"/>
                <w:color w:val="000000"/>
                <w:lang w:val="es-ES" w:eastAsia="es-ES"/>
              </w:rPr>
              <w:t>70</w:t>
            </w:r>
            <w:r w:rsidR="00FF2EC4" w:rsidRPr="00FF2EC4">
              <w:rPr>
                <w:rFonts w:ascii="Arial Narrow" w:hAnsi="Arial Narrow"/>
                <w:color w:val="000000"/>
                <w:lang w:val="es-ES" w:eastAsia="es-ES"/>
              </w:rPr>
              <w:t>%</w:t>
            </w:r>
          </w:p>
        </w:tc>
        <w:tc>
          <w:tcPr>
            <w:tcW w:w="793" w:type="pct"/>
            <w:tcBorders>
              <w:top w:val="single" w:sz="4" w:space="0" w:color="auto"/>
              <w:left w:val="nil"/>
              <w:bottom w:val="single" w:sz="4" w:space="0" w:color="auto"/>
              <w:right w:val="nil"/>
            </w:tcBorders>
            <w:shd w:val="clear" w:color="auto" w:fill="auto"/>
            <w:vAlign w:val="center"/>
            <w:hideMark/>
          </w:tcPr>
          <w:p w:rsidR="00FF2EC4" w:rsidRPr="00FF2EC4" w:rsidRDefault="00FF2EC4" w:rsidP="00FF2EC4">
            <w:pPr>
              <w:spacing w:after="0"/>
              <w:ind w:firstLine="0"/>
              <w:jc w:val="right"/>
              <w:rPr>
                <w:rFonts w:ascii="Arial Narrow" w:hAnsi="Arial Narrow"/>
                <w:color w:val="000000"/>
                <w:lang w:val="es-ES" w:eastAsia="es-ES"/>
              </w:rPr>
            </w:pPr>
            <w:r w:rsidRPr="00FF2EC4">
              <w:rPr>
                <w:rFonts w:ascii="Arial Narrow" w:hAnsi="Arial Narrow"/>
                <w:color w:val="000000"/>
                <w:lang w:val="es-ES" w:eastAsia="es-ES"/>
              </w:rPr>
              <w:t>-22,5</w:t>
            </w:r>
          </w:p>
        </w:tc>
      </w:tr>
    </w:tbl>
    <w:p w:rsidR="00CA7DF8" w:rsidRDefault="00CA7DF8" w:rsidP="007563E1">
      <w:pPr>
        <w:pStyle w:val="texto"/>
        <w:spacing w:after="0"/>
      </w:pPr>
    </w:p>
    <w:p w:rsidR="00B45CA5" w:rsidRDefault="00B45CA5" w:rsidP="007563E1">
      <w:pPr>
        <w:pStyle w:val="texto"/>
      </w:pPr>
    </w:p>
    <w:p w:rsidR="000479FF" w:rsidRDefault="000479FF" w:rsidP="007563E1">
      <w:pPr>
        <w:pStyle w:val="texto"/>
      </w:pPr>
    </w:p>
    <w:p w:rsidR="0067725A" w:rsidRPr="00B851AD" w:rsidRDefault="0067725A" w:rsidP="007563E1">
      <w:pPr>
        <w:pStyle w:val="texto"/>
      </w:pPr>
      <w:r w:rsidRPr="00B851AD">
        <w:t>Del cuadro anterior, señalamos los siguientes aspectos:</w:t>
      </w:r>
    </w:p>
    <w:p w:rsidR="0067725A" w:rsidRPr="009F5A89" w:rsidRDefault="00B851AD" w:rsidP="00384FE4">
      <w:pPr>
        <w:pStyle w:val="texto"/>
        <w:tabs>
          <w:tab w:val="clear" w:pos="2835"/>
          <w:tab w:val="clear" w:pos="3969"/>
          <w:tab w:val="clear" w:pos="5103"/>
          <w:tab w:val="clear" w:pos="6237"/>
          <w:tab w:val="clear" w:pos="7371"/>
          <w:tab w:val="num" w:pos="6597"/>
        </w:tabs>
        <w:rPr>
          <w:color w:val="000000" w:themeColor="text1"/>
          <w:szCs w:val="26"/>
        </w:rPr>
      </w:pPr>
      <w:r w:rsidRPr="00B45CA5">
        <w:rPr>
          <w:szCs w:val="26"/>
        </w:rPr>
        <w:t>E</w:t>
      </w:r>
      <w:r w:rsidR="00B45CA5" w:rsidRPr="00B45CA5">
        <w:rPr>
          <w:szCs w:val="26"/>
        </w:rPr>
        <w:t xml:space="preserve">n 2019 el ahorro neto fue de 2,4 millones, siendo la carga financiera de 191.723 euros. Indica que el </w:t>
      </w:r>
      <w:r w:rsidR="00A041D7">
        <w:rPr>
          <w:szCs w:val="26"/>
        </w:rPr>
        <w:t>a</w:t>
      </w:r>
      <w:r w:rsidR="00B45CA5" w:rsidRPr="00B45CA5">
        <w:rPr>
          <w:szCs w:val="26"/>
        </w:rPr>
        <w:t>yuntamiento generó suficientes recursos para atender los gastos de funcionamiento y la carga financiera; esta última aumentó un 33 por ciento respecto al ejercicio anterior debido a que 2019 es el primer año completo de amortización del préstamo de</w:t>
      </w:r>
      <w:r w:rsidR="0082252C">
        <w:rPr>
          <w:szCs w:val="26"/>
        </w:rPr>
        <w:t xml:space="preserve">l </w:t>
      </w:r>
      <w:r w:rsidR="00B45CA5" w:rsidRPr="00B45CA5">
        <w:rPr>
          <w:szCs w:val="26"/>
          <w:shd w:val="clear" w:color="auto" w:fill="FFFFFF"/>
        </w:rPr>
        <w:t>Instituto para la Diversificación y Ahorro de la Energía</w:t>
      </w:r>
      <w:r w:rsidR="0082252C">
        <w:rPr>
          <w:szCs w:val="26"/>
          <w:shd w:val="clear" w:color="auto" w:fill="FFFFFF"/>
        </w:rPr>
        <w:t xml:space="preserve"> </w:t>
      </w:r>
      <w:r w:rsidR="0082252C" w:rsidRPr="009F5A89">
        <w:rPr>
          <w:color w:val="000000" w:themeColor="text1"/>
          <w:szCs w:val="26"/>
          <w:shd w:val="clear" w:color="auto" w:fill="FFFFFF"/>
        </w:rPr>
        <w:t>(IDEA</w:t>
      </w:r>
      <w:r w:rsidR="00B45CA5" w:rsidRPr="009F5A89">
        <w:rPr>
          <w:color w:val="000000" w:themeColor="text1"/>
          <w:szCs w:val="26"/>
          <w:shd w:val="clear" w:color="auto" w:fill="FFFFFF"/>
        </w:rPr>
        <w:t>).</w:t>
      </w:r>
    </w:p>
    <w:p w:rsidR="00B45CA5" w:rsidRPr="004B617A" w:rsidRDefault="00B45CA5" w:rsidP="00384FE4">
      <w:pPr>
        <w:pStyle w:val="texto"/>
        <w:tabs>
          <w:tab w:val="clear" w:pos="2835"/>
          <w:tab w:val="clear" w:pos="3969"/>
          <w:tab w:val="clear" w:pos="5103"/>
          <w:tab w:val="clear" w:pos="6237"/>
          <w:tab w:val="clear" w:pos="7371"/>
          <w:tab w:val="num" w:pos="6597"/>
        </w:tabs>
        <w:rPr>
          <w:color w:val="FF0000"/>
          <w:szCs w:val="26"/>
        </w:rPr>
      </w:pPr>
      <w:r>
        <w:rPr>
          <w:szCs w:val="26"/>
          <w:shd w:val="clear" w:color="auto" w:fill="FFFFFF"/>
        </w:rPr>
        <w:t>El nivel de endeudamiento se sitúa en el diez por ciento, muy por debajo del l</w:t>
      </w:r>
      <w:r>
        <w:rPr>
          <w:szCs w:val="26"/>
          <w:shd w:val="clear" w:color="auto" w:fill="FFFFFF"/>
        </w:rPr>
        <w:t>í</w:t>
      </w:r>
      <w:r>
        <w:rPr>
          <w:szCs w:val="26"/>
          <w:shd w:val="clear" w:color="auto" w:fill="FFFFFF"/>
        </w:rPr>
        <w:t>mite del 110 por ciento est</w:t>
      </w:r>
      <w:r w:rsidR="005D259C">
        <w:rPr>
          <w:szCs w:val="26"/>
          <w:shd w:val="clear" w:color="auto" w:fill="FFFFFF"/>
        </w:rPr>
        <w:t>ablecido en la normativa</w:t>
      </w:r>
      <w:r w:rsidRPr="004B617A">
        <w:rPr>
          <w:color w:val="FF0000"/>
          <w:szCs w:val="26"/>
          <w:shd w:val="clear" w:color="auto" w:fill="FFFFFF"/>
        </w:rPr>
        <w:t>.</w:t>
      </w:r>
    </w:p>
    <w:p w:rsidR="0067725A" w:rsidRDefault="0067725A" w:rsidP="00384FE4">
      <w:pPr>
        <w:pStyle w:val="texto"/>
        <w:tabs>
          <w:tab w:val="clear" w:pos="2835"/>
          <w:tab w:val="clear" w:pos="3969"/>
          <w:tab w:val="clear" w:pos="5103"/>
          <w:tab w:val="clear" w:pos="6237"/>
          <w:tab w:val="clear" w:pos="7371"/>
          <w:tab w:val="num" w:pos="6597"/>
        </w:tabs>
        <w:spacing w:after="180"/>
        <w:rPr>
          <w:szCs w:val="26"/>
        </w:rPr>
      </w:pPr>
      <w:r w:rsidRPr="00B45CA5">
        <w:rPr>
          <w:szCs w:val="26"/>
        </w:rPr>
        <w:t>E</w:t>
      </w:r>
      <w:r w:rsidR="00B851AD" w:rsidRPr="00B45CA5">
        <w:rPr>
          <w:szCs w:val="26"/>
        </w:rPr>
        <w:t>l remanente de tesorería para gastos generales, con un importe</w:t>
      </w:r>
      <w:r w:rsidR="00B851AD">
        <w:rPr>
          <w:szCs w:val="26"/>
        </w:rPr>
        <w:t xml:space="preserve"> </w:t>
      </w:r>
      <w:r w:rsidR="005D259C">
        <w:rPr>
          <w:szCs w:val="26"/>
        </w:rPr>
        <w:t>positivo de 4,8 millones</w:t>
      </w:r>
      <w:r w:rsidR="00F644EB">
        <w:rPr>
          <w:szCs w:val="26"/>
        </w:rPr>
        <w:t>,</w:t>
      </w:r>
      <w:r w:rsidR="005D259C">
        <w:rPr>
          <w:szCs w:val="26"/>
        </w:rPr>
        <w:t xml:space="preserve"> ha disminuido un 13 por ciento respecto a 2018.</w:t>
      </w:r>
    </w:p>
    <w:p w:rsidR="00B45CA5" w:rsidRPr="00EA6402" w:rsidRDefault="00B45CA5" w:rsidP="00384FE4">
      <w:pPr>
        <w:pStyle w:val="texto"/>
        <w:tabs>
          <w:tab w:val="clear" w:pos="2835"/>
          <w:tab w:val="clear" w:pos="3969"/>
          <w:tab w:val="clear" w:pos="5103"/>
          <w:tab w:val="clear" w:pos="6237"/>
          <w:tab w:val="clear" w:pos="7371"/>
          <w:tab w:val="num" w:pos="6597"/>
        </w:tabs>
        <w:spacing w:after="180"/>
        <w:rPr>
          <w:szCs w:val="26"/>
        </w:rPr>
      </w:pPr>
      <w:r w:rsidRPr="00EA6402">
        <w:rPr>
          <w:b/>
          <w:szCs w:val="26"/>
        </w:rPr>
        <w:t>En definitiva,</w:t>
      </w:r>
      <w:r w:rsidRPr="00EA6402">
        <w:rPr>
          <w:szCs w:val="26"/>
        </w:rPr>
        <w:t xml:space="preserve"> la situación financiera</w:t>
      </w:r>
      <w:r w:rsidRPr="00EA6402">
        <w:rPr>
          <w:szCs w:val="26"/>
          <w:lang w:val="es-ES"/>
        </w:rPr>
        <w:t xml:space="preserve"> del </w:t>
      </w:r>
      <w:r w:rsidR="00A041D7">
        <w:rPr>
          <w:szCs w:val="26"/>
          <w:lang w:val="es-ES"/>
        </w:rPr>
        <w:t>a</w:t>
      </w:r>
      <w:r w:rsidRPr="00EA6402">
        <w:rPr>
          <w:szCs w:val="26"/>
          <w:lang w:val="es-ES"/>
        </w:rPr>
        <w:t>yuntamiento es saneada, con unos i</w:t>
      </w:r>
      <w:r w:rsidRPr="00EA6402">
        <w:rPr>
          <w:szCs w:val="26"/>
          <w:lang w:val="es-ES"/>
        </w:rPr>
        <w:t>n</w:t>
      </w:r>
      <w:r w:rsidRPr="00EA6402">
        <w:rPr>
          <w:szCs w:val="26"/>
          <w:lang w:val="es-ES"/>
        </w:rPr>
        <w:t>dicadores de ahorro bruto y neto elevados y un nivel de endeudamiento</w:t>
      </w:r>
      <w:r w:rsidR="0081232C">
        <w:rPr>
          <w:szCs w:val="26"/>
          <w:lang w:val="es-ES"/>
        </w:rPr>
        <w:t xml:space="preserve"> </w:t>
      </w:r>
      <w:r w:rsidR="0081232C" w:rsidRPr="009F5A89">
        <w:rPr>
          <w:color w:val="000000" w:themeColor="text1"/>
          <w:szCs w:val="26"/>
          <w:lang w:val="es-ES"/>
        </w:rPr>
        <w:t>del diez por ciento</w:t>
      </w:r>
      <w:r w:rsidRPr="009F5A89">
        <w:rPr>
          <w:color w:val="000000" w:themeColor="text1"/>
          <w:szCs w:val="26"/>
          <w:lang w:val="es-ES"/>
        </w:rPr>
        <w:t xml:space="preserve">. </w:t>
      </w:r>
      <w:r w:rsidRPr="00EA6402">
        <w:rPr>
          <w:szCs w:val="26"/>
          <w:lang w:val="es-ES"/>
        </w:rPr>
        <w:t>Asimismo, el resultado ajustado y el remanente de tesorería son positivos, aunque han disminuido respecto al ejercicio precedente</w:t>
      </w:r>
      <w:r w:rsidR="007747F2">
        <w:rPr>
          <w:szCs w:val="26"/>
          <w:lang w:val="es-ES"/>
        </w:rPr>
        <w:t>.</w:t>
      </w:r>
    </w:p>
    <w:p w:rsidR="0067725A" w:rsidRPr="002E11AF" w:rsidRDefault="0067725A" w:rsidP="00123FF2">
      <w:pPr>
        <w:pStyle w:val="atitulo2"/>
        <w:spacing w:before="360" w:after="200"/>
      </w:pPr>
      <w:bookmarkStart w:id="101" w:name="_Toc22495443"/>
      <w:bookmarkStart w:id="102" w:name="_Toc50018587"/>
      <w:r>
        <w:t>VI.3. Cumplimiento de los objetivos de e</w:t>
      </w:r>
      <w:r w:rsidRPr="002E11AF">
        <w:t>stabilidad presupuestaria</w:t>
      </w:r>
      <w:r>
        <w:t xml:space="preserve"> y sosten</w:t>
      </w:r>
      <w:r>
        <w:t>i</w:t>
      </w:r>
      <w:r>
        <w:t>bilidad financiera</w:t>
      </w:r>
      <w:bookmarkEnd w:id="101"/>
      <w:bookmarkEnd w:id="102"/>
    </w:p>
    <w:p w:rsidR="0067725A" w:rsidRDefault="0067725A" w:rsidP="00577E4E">
      <w:pPr>
        <w:pStyle w:val="texto"/>
        <w:spacing w:after="180"/>
      </w:pPr>
      <w:r w:rsidRPr="00C2109C">
        <w:t>A efectos de la aplicación de la Ley Orgánica 2/2012, de 27 de abril, de Estab</w:t>
      </w:r>
      <w:r w:rsidRPr="00C2109C">
        <w:t>i</w:t>
      </w:r>
      <w:r w:rsidRPr="00C2109C">
        <w:t>lidad Presupuestaria y Sostenibilidad Financiera</w:t>
      </w:r>
      <w:r w:rsidR="00CA24CE">
        <w:t xml:space="preserve"> (en adelante </w:t>
      </w:r>
      <w:proofErr w:type="spellStart"/>
      <w:r w:rsidR="00CA24CE">
        <w:t>LOEPySF</w:t>
      </w:r>
      <w:proofErr w:type="spellEnd"/>
      <w:r w:rsidR="00CA24CE">
        <w:t>)</w:t>
      </w:r>
      <w:r w:rsidRPr="00C2109C">
        <w:t>, siguiendo los criterios de contabilidad nacional-SEC</w:t>
      </w:r>
      <w:r w:rsidR="00395C5E">
        <w:t xml:space="preserve"> 20</w:t>
      </w:r>
      <w:r>
        <w:t>10</w:t>
      </w:r>
      <w:r w:rsidRPr="00C2109C">
        <w:t xml:space="preserve">, </w:t>
      </w:r>
      <w:r>
        <w:t>se consideran Administración P</w:t>
      </w:r>
      <w:r>
        <w:t>ú</w:t>
      </w:r>
      <w:r>
        <w:t>blica</w:t>
      </w:r>
      <w:r w:rsidR="006B0FD6">
        <w:t xml:space="preserve"> L</w:t>
      </w:r>
      <w:r w:rsidRPr="00C2109C">
        <w:t>ocal los siguientes entes</w:t>
      </w:r>
      <w:r w:rsidR="006B0FD6">
        <w:t xml:space="preserve">: el propio </w:t>
      </w:r>
      <w:r w:rsidR="00A041D7">
        <w:t>a</w:t>
      </w:r>
      <w:r w:rsidR="00D426D2">
        <w:t>yuntamiento</w:t>
      </w:r>
      <w:r w:rsidR="00244EC7">
        <w:t xml:space="preserve"> y</w:t>
      </w:r>
      <w:r w:rsidRPr="00C2109C">
        <w:t xml:space="preserve"> la </w:t>
      </w:r>
      <w:r w:rsidR="006B0FD6">
        <w:t>s</w:t>
      </w:r>
      <w:r w:rsidR="00A83945">
        <w:t>ociedad</w:t>
      </w:r>
      <w:r w:rsidRPr="00C2109C">
        <w:t xml:space="preserve"> </w:t>
      </w:r>
      <w:r w:rsidR="006B0FD6">
        <w:t>m</w:t>
      </w:r>
      <w:r w:rsidRPr="00C2109C">
        <w:t>unicipa</w:t>
      </w:r>
      <w:r w:rsidR="00A83945">
        <w:t>l</w:t>
      </w:r>
      <w:r w:rsidRPr="00C2109C">
        <w:t xml:space="preserve"> no de mercado</w:t>
      </w:r>
      <w:r w:rsidR="00A83945">
        <w:t xml:space="preserve">, </w:t>
      </w:r>
      <w:proofErr w:type="spellStart"/>
      <w:r w:rsidR="00A83945">
        <w:t>Andacelay</w:t>
      </w:r>
      <w:proofErr w:type="spellEnd"/>
      <w:r w:rsidR="00A83945">
        <w:t>, S.L.</w:t>
      </w:r>
    </w:p>
    <w:p w:rsidR="0067725A" w:rsidRPr="003C74F8" w:rsidRDefault="0067725A" w:rsidP="0067725A">
      <w:pPr>
        <w:pStyle w:val="texto"/>
        <w:spacing w:after="120"/>
        <w:rPr>
          <w:spacing w:val="0"/>
        </w:rPr>
      </w:pPr>
      <w:r w:rsidRPr="005D259C">
        <w:rPr>
          <w:spacing w:val="0"/>
        </w:rPr>
        <w:t>Las entidades consideradas administración pública presentan los siguientes datos</w:t>
      </w:r>
      <w:r w:rsidR="00885C7C" w:rsidRPr="005D259C">
        <w:rPr>
          <w:spacing w:val="0"/>
        </w:rPr>
        <w:t xml:space="preserve"> </w:t>
      </w:r>
      <w:r w:rsidR="004E1B1A" w:rsidRPr="005D259C">
        <w:rPr>
          <w:spacing w:val="0"/>
        </w:rPr>
        <w:t>con los ajustes realizados</w:t>
      </w:r>
      <w:r w:rsidR="0023658E" w:rsidRPr="005D259C">
        <w:rPr>
          <w:spacing w:val="0"/>
        </w:rPr>
        <w:t xml:space="preserve"> por esta Cámara:</w:t>
      </w:r>
    </w:p>
    <w:p w:rsidR="0067725A" w:rsidRDefault="0067725A" w:rsidP="00705CC5">
      <w:pPr>
        <w:pStyle w:val="texto"/>
        <w:numPr>
          <w:ilvl w:val="0"/>
          <w:numId w:val="1"/>
        </w:numPr>
        <w:tabs>
          <w:tab w:val="clear" w:pos="2835"/>
          <w:tab w:val="clear" w:pos="3969"/>
          <w:tab w:val="clear" w:pos="5103"/>
          <w:tab w:val="clear" w:pos="6237"/>
          <w:tab w:val="clear" w:pos="7371"/>
          <w:tab w:val="left" w:pos="480"/>
          <w:tab w:val="num" w:pos="720"/>
          <w:tab w:val="num" w:pos="6597"/>
        </w:tabs>
        <w:ind w:left="0" w:firstLine="289"/>
        <w:rPr>
          <w:szCs w:val="26"/>
        </w:rPr>
      </w:pPr>
      <w:r w:rsidRPr="00673A67">
        <w:rPr>
          <w:szCs w:val="26"/>
        </w:rPr>
        <w:t>Principio de estabilidad presupuestaria</w:t>
      </w:r>
      <w:r w:rsidR="00705CC5">
        <w:rPr>
          <w:szCs w:val="26"/>
        </w:rPr>
        <w:t>.</w:t>
      </w:r>
    </w:p>
    <w:p w:rsidR="0067725A" w:rsidRDefault="00D648A3" w:rsidP="0067725A">
      <w:pPr>
        <w:pStyle w:val="texto"/>
        <w:spacing w:after="160"/>
      </w:pPr>
      <w:r>
        <w:t>H</w:t>
      </w:r>
      <w:r w:rsidR="0067725A" w:rsidRPr="002A7F05">
        <w:t>a</w:t>
      </w:r>
      <w:r w:rsidR="00164075">
        <w:t>n</w:t>
      </w:r>
      <w:r w:rsidR="0067725A" w:rsidRPr="002A7F05">
        <w:t xml:space="preserve"> generado un</w:t>
      </w:r>
      <w:r w:rsidR="0014005F">
        <w:t xml:space="preserve">a </w:t>
      </w:r>
      <w:r>
        <w:t xml:space="preserve">necesidad de financiación de </w:t>
      </w:r>
      <w:r w:rsidR="0081232C" w:rsidRPr="009F5A89">
        <w:rPr>
          <w:color w:val="000000" w:themeColor="text1"/>
        </w:rPr>
        <w:t xml:space="preserve">747.415 </w:t>
      </w:r>
      <w:r>
        <w:t>euros.</w:t>
      </w:r>
      <w:r w:rsidR="00164075">
        <w:t xml:space="preserve"> </w:t>
      </w:r>
    </w:p>
    <w:p w:rsidR="0067725A" w:rsidRDefault="0067725A" w:rsidP="0067725A">
      <w:pPr>
        <w:pStyle w:val="texto"/>
        <w:tabs>
          <w:tab w:val="clear" w:pos="2835"/>
          <w:tab w:val="clear" w:pos="3969"/>
          <w:tab w:val="clear" w:pos="5103"/>
          <w:tab w:val="clear" w:pos="6237"/>
          <w:tab w:val="clear" w:pos="7371"/>
          <w:tab w:val="left" w:pos="480"/>
        </w:tabs>
        <w:spacing w:after="180"/>
        <w:ind w:firstLine="0"/>
        <w:jc w:val="center"/>
        <w:rPr>
          <w:rFonts w:ascii="Arial" w:hAnsi="Arial" w:cs="Arial"/>
          <w:sz w:val="20"/>
          <w:szCs w:val="20"/>
          <w:lang w:val="es-ES"/>
        </w:rPr>
      </w:pPr>
      <w:r w:rsidRPr="00672F5F">
        <w:rPr>
          <w:rFonts w:ascii="Arial" w:hAnsi="Arial" w:cs="Arial"/>
          <w:sz w:val="20"/>
          <w:szCs w:val="20"/>
          <w:lang w:val="es-ES"/>
        </w:rPr>
        <w:t>Capacidad</w:t>
      </w:r>
      <w:r w:rsidR="00D648A3">
        <w:rPr>
          <w:rFonts w:ascii="Arial" w:hAnsi="Arial" w:cs="Arial"/>
          <w:sz w:val="20"/>
          <w:szCs w:val="20"/>
          <w:lang w:val="es-ES"/>
        </w:rPr>
        <w:t>/Necesidad</w:t>
      </w:r>
      <w:r w:rsidRPr="00672F5F">
        <w:rPr>
          <w:rFonts w:ascii="Arial" w:hAnsi="Arial" w:cs="Arial"/>
          <w:sz w:val="20"/>
          <w:szCs w:val="20"/>
          <w:lang w:val="es-ES"/>
        </w:rPr>
        <w:t xml:space="preserve"> de financiación</w:t>
      </w:r>
    </w:p>
    <w:tbl>
      <w:tblPr>
        <w:tblW w:w="9155" w:type="dxa"/>
        <w:jc w:val="center"/>
        <w:tblCellMar>
          <w:left w:w="70" w:type="dxa"/>
          <w:right w:w="70" w:type="dxa"/>
        </w:tblCellMar>
        <w:tblLook w:val="04A0" w:firstRow="1" w:lastRow="0" w:firstColumn="1" w:lastColumn="0" w:noHBand="0" w:noVBand="1"/>
      </w:tblPr>
      <w:tblGrid>
        <w:gridCol w:w="5991"/>
        <w:gridCol w:w="3164"/>
      </w:tblGrid>
      <w:tr w:rsidR="0067725A" w:rsidRPr="008255D6" w:rsidTr="00246D05">
        <w:trPr>
          <w:trHeight w:val="284"/>
          <w:jc w:val="center"/>
        </w:trPr>
        <w:tc>
          <w:tcPr>
            <w:tcW w:w="5991" w:type="dxa"/>
            <w:tcBorders>
              <w:top w:val="single" w:sz="4" w:space="0" w:color="auto"/>
              <w:left w:val="nil"/>
              <w:bottom w:val="single" w:sz="4" w:space="0" w:color="auto"/>
              <w:right w:val="nil"/>
            </w:tcBorders>
            <w:shd w:val="clear" w:color="auto" w:fill="FABF8F" w:themeFill="accent6" w:themeFillTint="99"/>
            <w:vAlign w:val="center"/>
            <w:hideMark/>
          </w:tcPr>
          <w:p w:rsidR="0067725A" w:rsidRPr="008255D6" w:rsidRDefault="0067725A" w:rsidP="004D712A">
            <w:pPr>
              <w:spacing w:after="0"/>
              <w:ind w:firstLine="0"/>
              <w:jc w:val="left"/>
              <w:rPr>
                <w:rFonts w:ascii="Arial" w:hAnsi="Arial" w:cs="Arial"/>
                <w:color w:val="000000"/>
                <w:sz w:val="18"/>
                <w:szCs w:val="18"/>
                <w:lang w:val="es-ES" w:eastAsia="es-ES"/>
              </w:rPr>
            </w:pPr>
            <w:r w:rsidRPr="008255D6">
              <w:rPr>
                <w:rFonts w:ascii="Arial" w:hAnsi="Arial" w:cs="Arial"/>
                <w:color w:val="000000"/>
                <w:sz w:val="18"/>
                <w:szCs w:val="18"/>
                <w:lang w:eastAsia="es-ES"/>
              </w:rPr>
              <w:t> </w:t>
            </w:r>
          </w:p>
        </w:tc>
        <w:tc>
          <w:tcPr>
            <w:tcW w:w="3164" w:type="dxa"/>
            <w:tcBorders>
              <w:top w:val="single" w:sz="4" w:space="0" w:color="auto"/>
              <w:left w:val="nil"/>
              <w:bottom w:val="single" w:sz="4" w:space="0" w:color="auto"/>
              <w:right w:val="nil"/>
            </w:tcBorders>
            <w:shd w:val="clear" w:color="auto" w:fill="FABF8F" w:themeFill="accent6" w:themeFillTint="99"/>
            <w:vAlign w:val="center"/>
            <w:hideMark/>
          </w:tcPr>
          <w:p w:rsidR="0067725A" w:rsidRPr="008255D6" w:rsidRDefault="0067725A" w:rsidP="004D712A">
            <w:pPr>
              <w:spacing w:after="0"/>
              <w:ind w:firstLine="0"/>
              <w:jc w:val="right"/>
              <w:rPr>
                <w:rFonts w:ascii="Arial" w:hAnsi="Arial" w:cs="Arial"/>
                <w:color w:val="000000"/>
                <w:sz w:val="18"/>
                <w:szCs w:val="18"/>
                <w:lang w:val="es-ES" w:eastAsia="es-ES"/>
              </w:rPr>
            </w:pPr>
            <w:r w:rsidRPr="008255D6">
              <w:rPr>
                <w:rFonts w:ascii="Arial" w:hAnsi="Arial" w:cs="Arial"/>
                <w:color w:val="000000"/>
                <w:sz w:val="18"/>
                <w:szCs w:val="18"/>
                <w:lang w:eastAsia="es-ES"/>
              </w:rPr>
              <w:t xml:space="preserve"> </w:t>
            </w:r>
            <w:r w:rsidR="00996B35">
              <w:rPr>
                <w:rFonts w:ascii="Arial" w:hAnsi="Arial" w:cs="Arial"/>
                <w:color w:val="000000"/>
                <w:sz w:val="18"/>
                <w:szCs w:val="18"/>
                <w:lang w:eastAsia="es-ES"/>
              </w:rPr>
              <w:t>2019</w:t>
            </w:r>
          </w:p>
        </w:tc>
      </w:tr>
      <w:tr w:rsidR="0067725A" w:rsidRPr="00787B84" w:rsidTr="00246D05">
        <w:trPr>
          <w:trHeight w:val="198"/>
          <w:jc w:val="center"/>
        </w:trPr>
        <w:tc>
          <w:tcPr>
            <w:tcW w:w="5991" w:type="dxa"/>
            <w:tcBorders>
              <w:top w:val="single" w:sz="4" w:space="0" w:color="auto"/>
              <w:left w:val="nil"/>
              <w:bottom w:val="single" w:sz="2" w:space="0" w:color="auto"/>
              <w:right w:val="nil"/>
            </w:tcBorders>
            <w:shd w:val="clear" w:color="auto" w:fill="auto"/>
            <w:vAlign w:val="center"/>
            <w:hideMark/>
          </w:tcPr>
          <w:p w:rsidR="0067725A" w:rsidRPr="006B0FD6" w:rsidRDefault="0067725A" w:rsidP="004D712A">
            <w:pPr>
              <w:spacing w:after="0"/>
              <w:ind w:firstLine="0"/>
              <w:jc w:val="left"/>
              <w:rPr>
                <w:rFonts w:ascii="Arial Narrow" w:hAnsi="Arial Narrow" w:cs="Arial"/>
                <w:lang w:val="es-ES" w:eastAsia="es-ES"/>
              </w:rPr>
            </w:pPr>
            <w:r w:rsidRPr="006B0FD6">
              <w:rPr>
                <w:rFonts w:ascii="Arial Narrow" w:hAnsi="Arial Narrow" w:cs="Arial"/>
                <w:lang w:eastAsia="es-ES"/>
              </w:rPr>
              <w:t xml:space="preserve">Ingresos no financieros </w:t>
            </w:r>
          </w:p>
        </w:tc>
        <w:tc>
          <w:tcPr>
            <w:tcW w:w="3164" w:type="dxa"/>
            <w:tcBorders>
              <w:top w:val="single" w:sz="4" w:space="0" w:color="auto"/>
              <w:left w:val="nil"/>
              <w:bottom w:val="single" w:sz="2" w:space="0" w:color="auto"/>
              <w:right w:val="nil"/>
            </w:tcBorders>
            <w:shd w:val="clear" w:color="auto" w:fill="auto"/>
            <w:vAlign w:val="center"/>
          </w:tcPr>
          <w:p w:rsidR="0067725A" w:rsidRPr="00793996" w:rsidRDefault="00885C7C" w:rsidP="004D712A">
            <w:pPr>
              <w:spacing w:after="0"/>
              <w:ind w:firstLine="0"/>
              <w:jc w:val="right"/>
              <w:rPr>
                <w:rFonts w:ascii="Arial Narrow" w:hAnsi="Arial Narrow"/>
                <w:lang w:val="es-ES" w:eastAsia="es-ES"/>
              </w:rPr>
            </w:pPr>
            <w:r>
              <w:rPr>
                <w:rFonts w:ascii="Arial Narrow" w:hAnsi="Arial Narrow"/>
                <w:lang w:val="es-ES" w:eastAsia="es-ES"/>
              </w:rPr>
              <w:t>13.632.720</w:t>
            </w:r>
          </w:p>
        </w:tc>
      </w:tr>
      <w:tr w:rsidR="0067725A" w:rsidRPr="00787B84" w:rsidTr="00246D05">
        <w:trPr>
          <w:trHeight w:val="198"/>
          <w:jc w:val="center"/>
        </w:trPr>
        <w:tc>
          <w:tcPr>
            <w:tcW w:w="5991" w:type="dxa"/>
            <w:tcBorders>
              <w:top w:val="single" w:sz="2" w:space="0" w:color="auto"/>
              <w:left w:val="nil"/>
              <w:bottom w:val="single" w:sz="4" w:space="0" w:color="auto"/>
              <w:right w:val="nil"/>
            </w:tcBorders>
            <w:shd w:val="clear" w:color="auto" w:fill="auto"/>
            <w:vAlign w:val="center"/>
            <w:hideMark/>
          </w:tcPr>
          <w:p w:rsidR="0067725A" w:rsidRPr="00787B84" w:rsidRDefault="0067725A" w:rsidP="004D712A">
            <w:pPr>
              <w:spacing w:after="0"/>
              <w:ind w:firstLine="0"/>
              <w:jc w:val="left"/>
              <w:rPr>
                <w:rFonts w:ascii="Arial" w:hAnsi="Arial" w:cs="Arial"/>
                <w:sz w:val="19"/>
                <w:szCs w:val="19"/>
                <w:lang w:val="es-ES" w:eastAsia="es-ES"/>
              </w:rPr>
            </w:pPr>
            <w:r w:rsidRPr="006B0FD6">
              <w:rPr>
                <w:rFonts w:ascii="Arial Narrow" w:hAnsi="Arial Narrow" w:cs="Arial"/>
                <w:lang w:eastAsia="es-ES"/>
              </w:rPr>
              <w:t xml:space="preserve">Gastos no financieros </w:t>
            </w:r>
          </w:p>
        </w:tc>
        <w:tc>
          <w:tcPr>
            <w:tcW w:w="3164" w:type="dxa"/>
            <w:tcBorders>
              <w:top w:val="single" w:sz="2" w:space="0" w:color="auto"/>
              <w:left w:val="nil"/>
              <w:bottom w:val="single" w:sz="4" w:space="0" w:color="auto"/>
              <w:right w:val="nil"/>
            </w:tcBorders>
            <w:shd w:val="clear" w:color="auto" w:fill="auto"/>
            <w:vAlign w:val="center"/>
          </w:tcPr>
          <w:p w:rsidR="0067725A" w:rsidRPr="00793996" w:rsidRDefault="001D6B99" w:rsidP="004D712A">
            <w:pPr>
              <w:spacing w:after="0"/>
              <w:ind w:firstLine="0"/>
              <w:jc w:val="right"/>
              <w:rPr>
                <w:rFonts w:ascii="Arial Narrow" w:hAnsi="Arial Narrow"/>
                <w:lang w:val="es-ES" w:eastAsia="es-ES"/>
              </w:rPr>
            </w:pPr>
            <w:r>
              <w:rPr>
                <w:rFonts w:ascii="Arial Narrow" w:hAnsi="Arial Narrow"/>
                <w:lang w:val="es-ES" w:eastAsia="es-ES"/>
              </w:rPr>
              <w:t>1</w:t>
            </w:r>
            <w:r w:rsidR="00885C7C">
              <w:rPr>
                <w:rFonts w:ascii="Arial Narrow" w:hAnsi="Arial Narrow"/>
                <w:lang w:val="es-ES" w:eastAsia="es-ES"/>
              </w:rPr>
              <w:t>4.586.289</w:t>
            </w:r>
          </w:p>
        </w:tc>
      </w:tr>
      <w:tr w:rsidR="0067725A" w:rsidRPr="00793996" w:rsidTr="00246D05">
        <w:trPr>
          <w:trHeight w:val="198"/>
          <w:jc w:val="center"/>
        </w:trPr>
        <w:tc>
          <w:tcPr>
            <w:tcW w:w="5991" w:type="dxa"/>
            <w:tcBorders>
              <w:top w:val="single" w:sz="4" w:space="0" w:color="auto"/>
              <w:left w:val="nil"/>
              <w:bottom w:val="single" w:sz="4" w:space="0" w:color="auto"/>
              <w:right w:val="nil"/>
            </w:tcBorders>
            <w:shd w:val="clear" w:color="auto" w:fill="auto"/>
            <w:vAlign w:val="center"/>
            <w:hideMark/>
          </w:tcPr>
          <w:p w:rsidR="0067725A" w:rsidRPr="006B0FD6" w:rsidRDefault="0067725A" w:rsidP="004D712A">
            <w:pPr>
              <w:spacing w:after="0"/>
              <w:ind w:firstLine="0"/>
              <w:jc w:val="left"/>
              <w:rPr>
                <w:rFonts w:ascii="Arial" w:hAnsi="Arial" w:cs="Arial"/>
                <w:b/>
                <w:bCs/>
                <w:sz w:val="19"/>
                <w:szCs w:val="19"/>
                <w:lang w:val="es-ES" w:eastAsia="es-ES"/>
              </w:rPr>
            </w:pPr>
            <w:r w:rsidRPr="006B0FD6">
              <w:rPr>
                <w:rFonts w:ascii="Arial Narrow" w:hAnsi="Arial Narrow" w:cs="Arial"/>
                <w:b/>
                <w:lang w:eastAsia="es-ES"/>
              </w:rPr>
              <w:t>Saldo no financiero</w:t>
            </w:r>
          </w:p>
        </w:tc>
        <w:tc>
          <w:tcPr>
            <w:tcW w:w="3164" w:type="dxa"/>
            <w:tcBorders>
              <w:top w:val="single" w:sz="4" w:space="0" w:color="auto"/>
              <w:left w:val="nil"/>
              <w:bottom w:val="single" w:sz="4" w:space="0" w:color="auto"/>
              <w:right w:val="nil"/>
            </w:tcBorders>
            <w:shd w:val="clear" w:color="auto" w:fill="auto"/>
            <w:vAlign w:val="center"/>
          </w:tcPr>
          <w:p w:rsidR="0067725A" w:rsidRPr="00793996" w:rsidRDefault="00885C7C" w:rsidP="004D712A">
            <w:pPr>
              <w:spacing w:after="0"/>
              <w:ind w:firstLine="0"/>
              <w:jc w:val="right"/>
              <w:rPr>
                <w:rFonts w:ascii="Arial Narrow" w:hAnsi="Arial Narrow"/>
                <w:b/>
                <w:lang w:val="es-ES" w:eastAsia="es-ES"/>
              </w:rPr>
            </w:pPr>
            <w:r>
              <w:rPr>
                <w:rFonts w:ascii="Arial Narrow" w:hAnsi="Arial Narrow"/>
                <w:b/>
                <w:lang w:val="es-ES" w:eastAsia="es-ES"/>
              </w:rPr>
              <w:t>-953.569</w:t>
            </w:r>
          </w:p>
        </w:tc>
      </w:tr>
      <w:tr w:rsidR="0067725A" w:rsidRPr="00787B84" w:rsidTr="00246D05">
        <w:trPr>
          <w:trHeight w:val="198"/>
          <w:jc w:val="center"/>
        </w:trPr>
        <w:tc>
          <w:tcPr>
            <w:tcW w:w="5991" w:type="dxa"/>
            <w:tcBorders>
              <w:top w:val="single" w:sz="4" w:space="0" w:color="auto"/>
              <w:left w:val="nil"/>
              <w:bottom w:val="single" w:sz="2" w:space="0" w:color="auto"/>
              <w:right w:val="nil"/>
            </w:tcBorders>
            <w:shd w:val="clear" w:color="auto" w:fill="auto"/>
            <w:vAlign w:val="center"/>
            <w:hideMark/>
          </w:tcPr>
          <w:p w:rsidR="0067725A" w:rsidRPr="006B0FD6" w:rsidRDefault="0067725A" w:rsidP="004D712A">
            <w:pPr>
              <w:spacing w:after="0"/>
              <w:ind w:firstLine="0"/>
              <w:jc w:val="left"/>
              <w:rPr>
                <w:rFonts w:ascii="Arial Narrow" w:hAnsi="Arial Narrow" w:cs="Arial"/>
                <w:lang w:eastAsia="es-ES"/>
              </w:rPr>
            </w:pPr>
            <w:r w:rsidRPr="006B0FD6">
              <w:rPr>
                <w:rFonts w:ascii="Arial Narrow" w:hAnsi="Arial Narrow" w:cs="Arial"/>
                <w:lang w:eastAsia="es-ES"/>
              </w:rPr>
              <w:t>Ajustes SEC</w:t>
            </w:r>
          </w:p>
        </w:tc>
        <w:tc>
          <w:tcPr>
            <w:tcW w:w="3164" w:type="dxa"/>
            <w:tcBorders>
              <w:top w:val="single" w:sz="4" w:space="0" w:color="auto"/>
              <w:left w:val="nil"/>
              <w:right w:val="nil"/>
            </w:tcBorders>
            <w:shd w:val="clear" w:color="auto" w:fill="auto"/>
            <w:vAlign w:val="center"/>
          </w:tcPr>
          <w:p w:rsidR="0067725A" w:rsidRPr="00787B84" w:rsidRDefault="0067725A" w:rsidP="004D712A">
            <w:pPr>
              <w:spacing w:after="0"/>
              <w:ind w:firstLine="0"/>
              <w:jc w:val="right"/>
              <w:rPr>
                <w:rFonts w:ascii="Arial" w:hAnsi="Arial" w:cs="Arial"/>
                <w:bCs/>
                <w:sz w:val="19"/>
                <w:szCs w:val="19"/>
                <w:lang w:val="es-ES" w:eastAsia="es-ES"/>
              </w:rPr>
            </w:pPr>
          </w:p>
        </w:tc>
      </w:tr>
      <w:tr w:rsidR="0067725A" w:rsidRPr="0023658E" w:rsidTr="00246D05">
        <w:trPr>
          <w:trHeight w:val="198"/>
          <w:jc w:val="center"/>
        </w:trPr>
        <w:tc>
          <w:tcPr>
            <w:tcW w:w="5991" w:type="dxa"/>
            <w:tcBorders>
              <w:top w:val="single" w:sz="2" w:space="0" w:color="auto"/>
              <w:left w:val="nil"/>
              <w:bottom w:val="single" w:sz="2" w:space="0" w:color="auto"/>
              <w:right w:val="nil"/>
            </w:tcBorders>
            <w:shd w:val="clear" w:color="auto" w:fill="auto"/>
            <w:vAlign w:val="center"/>
            <w:hideMark/>
          </w:tcPr>
          <w:p w:rsidR="0067725A" w:rsidRPr="0023658E" w:rsidRDefault="0067725A" w:rsidP="00AA5298">
            <w:pPr>
              <w:spacing w:after="0"/>
              <w:ind w:firstLine="110"/>
              <w:jc w:val="left"/>
              <w:rPr>
                <w:rFonts w:ascii="Arial Narrow" w:hAnsi="Arial Narrow"/>
                <w:lang w:val="es-ES" w:eastAsia="es-ES"/>
              </w:rPr>
            </w:pPr>
            <w:r w:rsidRPr="0023658E">
              <w:rPr>
                <w:rFonts w:ascii="Arial Narrow" w:hAnsi="Arial Narrow"/>
                <w:lang w:eastAsia="es-ES"/>
              </w:rPr>
              <w:t>Cobros de ingresos capítulos 1, 2 y 3 de ejercicios cerrados y corriente</w:t>
            </w:r>
          </w:p>
        </w:tc>
        <w:tc>
          <w:tcPr>
            <w:tcW w:w="3164" w:type="dxa"/>
            <w:tcBorders>
              <w:left w:val="nil"/>
              <w:bottom w:val="single" w:sz="2" w:space="0" w:color="auto"/>
              <w:right w:val="nil"/>
            </w:tcBorders>
            <w:shd w:val="clear" w:color="auto" w:fill="auto"/>
            <w:noWrap/>
            <w:vAlign w:val="center"/>
          </w:tcPr>
          <w:p w:rsidR="0067725A" w:rsidRPr="0023658E" w:rsidRDefault="0067725A" w:rsidP="0023658E">
            <w:pPr>
              <w:spacing w:after="0"/>
              <w:ind w:firstLine="0"/>
              <w:jc w:val="right"/>
              <w:rPr>
                <w:rFonts w:ascii="Arial Narrow" w:hAnsi="Arial Narrow"/>
                <w:lang w:val="es-ES" w:eastAsia="es-ES"/>
              </w:rPr>
            </w:pPr>
            <w:r w:rsidRPr="0023658E">
              <w:rPr>
                <w:rFonts w:ascii="Arial Narrow" w:hAnsi="Arial Narrow"/>
                <w:lang w:val="es-ES" w:eastAsia="es-ES"/>
              </w:rPr>
              <w:t>-</w:t>
            </w:r>
            <w:r w:rsidR="0023658E" w:rsidRPr="0023658E">
              <w:rPr>
                <w:rFonts w:ascii="Arial Narrow" w:hAnsi="Arial Narrow"/>
                <w:lang w:val="es-ES" w:eastAsia="es-ES"/>
              </w:rPr>
              <w:t>120.663</w:t>
            </w:r>
          </w:p>
        </w:tc>
      </w:tr>
      <w:tr w:rsidR="0067725A" w:rsidRPr="0023658E" w:rsidTr="00246D05">
        <w:trPr>
          <w:trHeight w:val="198"/>
          <w:jc w:val="center"/>
        </w:trPr>
        <w:tc>
          <w:tcPr>
            <w:tcW w:w="5991" w:type="dxa"/>
            <w:tcBorders>
              <w:top w:val="single" w:sz="2" w:space="0" w:color="auto"/>
              <w:left w:val="nil"/>
              <w:bottom w:val="single" w:sz="4" w:space="0" w:color="auto"/>
              <w:right w:val="nil"/>
            </w:tcBorders>
            <w:shd w:val="clear" w:color="auto" w:fill="auto"/>
            <w:vAlign w:val="center"/>
            <w:hideMark/>
          </w:tcPr>
          <w:p w:rsidR="0067725A" w:rsidRPr="0023658E" w:rsidRDefault="0023658E" w:rsidP="00AA5298">
            <w:pPr>
              <w:spacing w:after="0"/>
              <w:ind w:firstLine="110"/>
              <w:jc w:val="left"/>
              <w:rPr>
                <w:rFonts w:ascii="Arial Narrow" w:hAnsi="Arial Narrow"/>
                <w:lang w:val="es-ES" w:eastAsia="es-ES"/>
              </w:rPr>
            </w:pPr>
            <w:r w:rsidRPr="0023658E">
              <w:rPr>
                <w:rFonts w:ascii="Arial Narrow" w:hAnsi="Arial Narrow"/>
                <w:lang w:val="es-ES" w:eastAsia="es-ES"/>
              </w:rPr>
              <w:t>Gastos de devengo grado 2015-2018</w:t>
            </w:r>
          </w:p>
        </w:tc>
        <w:tc>
          <w:tcPr>
            <w:tcW w:w="3164" w:type="dxa"/>
            <w:tcBorders>
              <w:top w:val="single" w:sz="2" w:space="0" w:color="auto"/>
              <w:left w:val="nil"/>
              <w:bottom w:val="single" w:sz="4" w:space="0" w:color="auto"/>
              <w:right w:val="nil"/>
            </w:tcBorders>
            <w:shd w:val="clear" w:color="auto" w:fill="auto"/>
            <w:noWrap/>
            <w:vAlign w:val="center"/>
          </w:tcPr>
          <w:p w:rsidR="0067725A" w:rsidRPr="0023658E" w:rsidRDefault="0023658E" w:rsidP="0023658E">
            <w:pPr>
              <w:spacing w:after="0"/>
              <w:ind w:firstLine="0"/>
              <w:jc w:val="right"/>
              <w:rPr>
                <w:rFonts w:ascii="Arial Narrow" w:hAnsi="Arial Narrow"/>
                <w:lang w:val="es-ES" w:eastAsia="es-ES"/>
              </w:rPr>
            </w:pPr>
            <w:r w:rsidRPr="0023658E">
              <w:rPr>
                <w:rFonts w:ascii="Arial Narrow" w:hAnsi="Arial Narrow"/>
                <w:lang w:val="es-ES" w:eastAsia="es-ES"/>
              </w:rPr>
              <w:t>326.817</w:t>
            </w:r>
          </w:p>
        </w:tc>
      </w:tr>
      <w:tr w:rsidR="0067725A" w:rsidRPr="00980335" w:rsidTr="00246D05">
        <w:trPr>
          <w:trHeight w:val="198"/>
          <w:jc w:val="center"/>
        </w:trPr>
        <w:tc>
          <w:tcPr>
            <w:tcW w:w="5991" w:type="dxa"/>
            <w:tcBorders>
              <w:top w:val="single" w:sz="4" w:space="0" w:color="auto"/>
              <w:left w:val="nil"/>
              <w:bottom w:val="single" w:sz="4" w:space="0" w:color="auto"/>
              <w:right w:val="nil"/>
            </w:tcBorders>
            <w:shd w:val="clear" w:color="auto" w:fill="FABF8F" w:themeFill="accent6" w:themeFillTint="99"/>
            <w:vAlign w:val="center"/>
            <w:hideMark/>
          </w:tcPr>
          <w:p w:rsidR="0067725A" w:rsidRPr="0023658E" w:rsidRDefault="00D648A3" w:rsidP="00D648A3">
            <w:pPr>
              <w:spacing w:after="0"/>
              <w:ind w:firstLine="0"/>
              <w:jc w:val="left"/>
              <w:rPr>
                <w:rFonts w:ascii="Arial Narrow" w:hAnsi="Arial Narrow" w:cs="Arial"/>
                <w:bCs/>
                <w:lang w:val="es-ES" w:eastAsia="es-ES"/>
              </w:rPr>
            </w:pPr>
            <w:r>
              <w:rPr>
                <w:rFonts w:ascii="Arial Narrow" w:hAnsi="Arial Narrow" w:cs="Arial"/>
                <w:bCs/>
                <w:lang w:eastAsia="es-ES"/>
              </w:rPr>
              <w:t xml:space="preserve">Necesidad </w:t>
            </w:r>
            <w:r w:rsidR="0067725A" w:rsidRPr="0023658E">
              <w:rPr>
                <w:rFonts w:ascii="Arial Narrow" w:hAnsi="Arial Narrow" w:cs="Arial"/>
                <w:bCs/>
                <w:lang w:eastAsia="es-ES"/>
              </w:rPr>
              <w:t>de financiación</w:t>
            </w:r>
          </w:p>
        </w:tc>
        <w:tc>
          <w:tcPr>
            <w:tcW w:w="3164" w:type="dxa"/>
            <w:tcBorders>
              <w:top w:val="single" w:sz="4" w:space="0" w:color="auto"/>
              <w:left w:val="nil"/>
              <w:bottom w:val="single" w:sz="4" w:space="0" w:color="auto"/>
              <w:right w:val="nil"/>
            </w:tcBorders>
            <w:shd w:val="clear" w:color="auto" w:fill="FABF8F" w:themeFill="accent6" w:themeFillTint="99"/>
            <w:vAlign w:val="center"/>
          </w:tcPr>
          <w:p w:rsidR="0067725A" w:rsidRPr="0023658E" w:rsidRDefault="0023658E" w:rsidP="004D712A">
            <w:pPr>
              <w:spacing w:after="0"/>
              <w:ind w:firstLine="0"/>
              <w:jc w:val="right"/>
              <w:rPr>
                <w:rFonts w:ascii="Arial Narrow" w:hAnsi="Arial Narrow"/>
                <w:lang w:val="es-ES" w:eastAsia="es-ES"/>
              </w:rPr>
            </w:pPr>
            <w:r w:rsidRPr="0023658E">
              <w:rPr>
                <w:rFonts w:ascii="Arial Narrow" w:hAnsi="Arial Narrow"/>
                <w:lang w:val="es-ES" w:eastAsia="es-ES"/>
              </w:rPr>
              <w:t>-747.415</w:t>
            </w:r>
          </w:p>
        </w:tc>
      </w:tr>
    </w:tbl>
    <w:p w:rsidR="00D648A3" w:rsidRDefault="00D648A3" w:rsidP="00885C7C">
      <w:pPr>
        <w:pStyle w:val="texto"/>
        <w:tabs>
          <w:tab w:val="clear" w:pos="2835"/>
          <w:tab w:val="clear" w:pos="3969"/>
          <w:tab w:val="clear" w:pos="5103"/>
          <w:tab w:val="clear" w:pos="6237"/>
          <w:tab w:val="clear" w:pos="7371"/>
          <w:tab w:val="num" w:pos="6597"/>
        </w:tabs>
        <w:ind w:left="142" w:firstLine="0"/>
      </w:pPr>
    </w:p>
    <w:p w:rsidR="007747F2" w:rsidRPr="009F5A89" w:rsidRDefault="0068316A" w:rsidP="00525187">
      <w:pPr>
        <w:pStyle w:val="texto"/>
        <w:tabs>
          <w:tab w:val="clear" w:pos="2835"/>
          <w:tab w:val="clear" w:pos="3969"/>
          <w:tab w:val="clear" w:pos="5103"/>
          <w:tab w:val="clear" w:pos="6237"/>
          <w:tab w:val="clear" w:pos="7371"/>
          <w:tab w:val="num" w:pos="6597"/>
        </w:tabs>
        <w:rPr>
          <w:color w:val="000000" w:themeColor="text1"/>
          <w:szCs w:val="26"/>
        </w:rPr>
      </w:pPr>
      <w:r>
        <w:lastRenderedPageBreak/>
        <w:t>El ayuntamiento ha incluid</w:t>
      </w:r>
      <w:r w:rsidR="007747F2">
        <w:t>o un ajuste positivo por 1,6 millones correspondientes a la inversión realizada en la escuela infantil al considerar que se trata de una i</w:t>
      </w:r>
      <w:r w:rsidR="007747F2">
        <w:t>n</w:t>
      </w:r>
      <w:r w:rsidR="007747F2">
        <w:t xml:space="preserve">versión realizada por cuenta de otra administración. </w:t>
      </w:r>
      <w:r w:rsidR="007747F2" w:rsidRPr="009F5A89">
        <w:rPr>
          <w:color w:val="000000" w:themeColor="text1"/>
        </w:rPr>
        <w:t>D</w:t>
      </w:r>
      <w:r w:rsidR="0081232C" w:rsidRPr="009F5A89">
        <w:rPr>
          <w:color w:val="000000" w:themeColor="text1"/>
        </w:rPr>
        <w:t>e</w:t>
      </w:r>
      <w:r w:rsidR="007747F2" w:rsidRPr="009F5A89">
        <w:rPr>
          <w:color w:val="000000" w:themeColor="text1"/>
        </w:rPr>
        <w:t xml:space="preserve"> esta forma, el resultado o</w:t>
      </w:r>
      <w:r w:rsidR="007747F2" w:rsidRPr="009F5A89">
        <w:rPr>
          <w:color w:val="000000" w:themeColor="text1"/>
        </w:rPr>
        <w:t>b</w:t>
      </w:r>
      <w:r w:rsidR="007747F2" w:rsidRPr="009F5A89">
        <w:rPr>
          <w:color w:val="000000" w:themeColor="text1"/>
        </w:rPr>
        <w:t xml:space="preserve">tenido es positivo obteniendo una capacidad de financiación de </w:t>
      </w:r>
      <w:r w:rsidR="0081232C" w:rsidRPr="009F5A89">
        <w:rPr>
          <w:color w:val="000000" w:themeColor="text1"/>
        </w:rPr>
        <w:t>852.897</w:t>
      </w:r>
      <w:r w:rsidR="007747F2" w:rsidRPr="009F5A89">
        <w:rPr>
          <w:color w:val="000000" w:themeColor="text1"/>
        </w:rPr>
        <w:t xml:space="preserve"> </w:t>
      </w:r>
      <w:r w:rsidR="007747F2">
        <w:t>euros. No obstante, consideramos que dicha inversión no cumple los requisitos nece</w:t>
      </w:r>
      <w:r w:rsidR="00531802">
        <w:t>sarios p</w:t>
      </w:r>
      <w:r w:rsidR="00531802">
        <w:t>a</w:t>
      </w:r>
      <w:r w:rsidR="00531802">
        <w:t xml:space="preserve">ra aplicar este ajuste </w:t>
      </w:r>
      <w:r w:rsidR="00E058F8">
        <w:rPr>
          <w:color w:val="000000" w:themeColor="text1"/>
        </w:rPr>
        <w:t>y como consecuencia</w:t>
      </w:r>
      <w:r w:rsidR="00531802" w:rsidRPr="009F5A89">
        <w:rPr>
          <w:color w:val="000000" w:themeColor="text1"/>
        </w:rPr>
        <w:t xml:space="preserve"> se produce una necesidad de financi</w:t>
      </w:r>
      <w:r w:rsidR="00531802" w:rsidRPr="009F5A89">
        <w:rPr>
          <w:color w:val="000000" w:themeColor="text1"/>
        </w:rPr>
        <w:t>a</w:t>
      </w:r>
      <w:r w:rsidR="00531802" w:rsidRPr="009F5A89">
        <w:rPr>
          <w:color w:val="000000" w:themeColor="text1"/>
        </w:rPr>
        <w:t>ción de 747.415 euros.</w:t>
      </w:r>
    </w:p>
    <w:p w:rsidR="00885C7C" w:rsidRPr="00673A67" w:rsidRDefault="00885C7C" w:rsidP="00705CC5">
      <w:pPr>
        <w:pStyle w:val="texto"/>
        <w:numPr>
          <w:ilvl w:val="0"/>
          <w:numId w:val="1"/>
        </w:numPr>
        <w:tabs>
          <w:tab w:val="clear" w:pos="2835"/>
          <w:tab w:val="clear" w:pos="3969"/>
          <w:tab w:val="clear" w:pos="5103"/>
          <w:tab w:val="clear" w:pos="6237"/>
          <w:tab w:val="clear" w:pos="7371"/>
          <w:tab w:val="left" w:pos="480"/>
          <w:tab w:val="num" w:pos="720"/>
          <w:tab w:val="num" w:pos="6597"/>
        </w:tabs>
        <w:ind w:left="0" w:firstLine="289"/>
        <w:rPr>
          <w:szCs w:val="26"/>
        </w:rPr>
      </w:pPr>
      <w:r>
        <w:rPr>
          <w:szCs w:val="26"/>
        </w:rPr>
        <w:t xml:space="preserve"> Regla de gasto.</w:t>
      </w:r>
    </w:p>
    <w:p w:rsidR="00885C7C" w:rsidRDefault="00885C7C" w:rsidP="00885C7C">
      <w:pPr>
        <w:pStyle w:val="texto"/>
        <w:spacing w:before="240" w:after="160"/>
      </w:pPr>
      <w:r w:rsidRPr="0023658E">
        <w:t xml:space="preserve">El gasto computable del ejercicio 2019 es </w:t>
      </w:r>
      <w:r w:rsidR="0023658E" w:rsidRPr="0023658E">
        <w:t>superior</w:t>
      </w:r>
      <w:r w:rsidRPr="0023658E">
        <w:t xml:space="preserve"> al límite máximo de gasto en </w:t>
      </w:r>
      <w:r w:rsidR="0023658E" w:rsidRPr="0023658E">
        <w:t>570.704</w:t>
      </w:r>
      <w:r w:rsidRPr="0023658E">
        <w:t xml:space="preserve"> euros, habiéndose </w:t>
      </w:r>
      <w:r w:rsidR="0023658E" w:rsidRPr="0023658E">
        <w:t>in</w:t>
      </w:r>
      <w:r w:rsidRPr="0023658E">
        <w:t>cumplido la regla de gasto al superar la tasa de vari</w:t>
      </w:r>
      <w:r w:rsidRPr="0023658E">
        <w:t>a</w:t>
      </w:r>
      <w:r w:rsidRPr="0023658E">
        <w:t>ción del 2,7 por ciento autorizada para 2019.</w:t>
      </w:r>
      <w:r w:rsidR="0023658E" w:rsidRPr="0023658E">
        <w:t xml:space="preserve"> </w:t>
      </w:r>
    </w:p>
    <w:p w:rsidR="0067725A" w:rsidRDefault="0067725A" w:rsidP="0067725A">
      <w:pPr>
        <w:pStyle w:val="texto"/>
        <w:tabs>
          <w:tab w:val="clear" w:pos="2835"/>
          <w:tab w:val="clear" w:pos="3969"/>
          <w:tab w:val="clear" w:pos="5103"/>
          <w:tab w:val="clear" w:pos="6237"/>
          <w:tab w:val="clear" w:pos="7371"/>
          <w:tab w:val="left" w:pos="480"/>
        </w:tabs>
        <w:spacing w:before="220" w:after="180"/>
        <w:ind w:firstLine="0"/>
        <w:jc w:val="center"/>
        <w:rPr>
          <w:rFonts w:ascii="Arial" w:hAnsi="Arial" w:cs="Arial"/>
          <w:sz w:val="20"/>
          <w:szCs w:val="20"/>
          <w:lang w:val="es-ES"/>
        </w:rPr>
      </w:pPr>
      <w:r w:rsidRPr="00672F5F">
        <w:rPr>
          <w:rFonts w:ascii="Arial" w:hAnsi="Arial" w:cs="Arial"/>
          <w:sz w:val="20"/>
          <w:szCs w:val="20"/>
          <w:lang w:val="es-ES"/>
        </w:rPr>
        <w:t>Regla de gasto</w:t>
      </w:r>
    </w:p>
    <w:tbl>
      <w:tblPr>
        <w:tblW w:w="5000" w:type="pct"/>
        <w:jc w:val="center"/>
        <w:tblBorders>
          <w:top w:val="single" w:sz="8" w:space="0" w:color="auto"/>
          <w:bottom w:val="single" w:sz="8" w:space="0" w:color="auto"/>
          <w:insideH w:val="single" w:sz="2" w:space="0" w:color="auto"/>
        </w:tblBorders>
        <w:tblCellMar>
          <w:left w:w="70" w:type="dxa"/>
          <w:right w:w="70" w:type="dxa"/>
        </w:tblCellMar>
        <w:tblLook w:val="04A0" w:firstRow="1" w:lastRow="0" w:firstColumn="1" w:lastColumn="0" w:noHBand="0" w:noVBand="1"/>
      </w:tblPr>
      <w:tblGrid>
        <w:gridCol w:w="5281"/>
        <w:gridCol w:w="4073"/>
      </w:tblGrid>
      <w:tr w:rsidR="0067725A" w:rsidRPr="008255D6" w:rsidTr="004E1B1A">
        <w:trPr>
          <w:trHeight w:val="284"/>
          <w:jc w:val="center"/>
        </w:trPr>
        <w:tc>
          <w:tcPr>
            <w:tcW w:w="2823" w:type="pct"/>
            <w:tcBorders>
              <w:top w:val="single" w:sz="4" w:space="0" w:color="auto"/>
              <w:bottom w:val="single" w:sz="2" w:space="0" w:color="auto"/>
            </w:tcBorders>
            <w:shd w:val="clear" w:color="auto" w:fill="FABF8F" w:themeFill="accent6" w:themeFillTint="99"/>
            <w:vAlign w:val="center"/>
          </w:tcPr>
          <w:p w:rsidR="0067725A" w:rsidRPr="008255D6" w:rsidRDefault="0067725A" w:rsidP="004D712A">
            <w:pPr>
              <w:spacing w:after="0"/>
              <w:ind w:firstLine="0"/>
              <w:jc w:val="left"/>
              <w:rPr>
                <w:rFonts w:ascii="Arial" w:hAnsi="Arial" w:cs="Arial"/>
                <w:sz w:val="18"/>
                <w:szCs w:val="18"/>
                <w:lang w:eastAsia="es-ES"/>
              </w:rPr>
            </w:pPr>
          </w:p>
        </w:tc>
        <w:tc>
          <w:tcPr>
            <w:tcW w:w="2177" w:type="pct"/>
            <w:tcBorders>
              <w:top w:val="single" w:sz="4" w:space="0" w:color="auto"/>
              <w:bottom w:val="single" w:sz="2" w:space="0" w:color="auto"/>
            </w:tcBorders>
            <w:shd w:val="clear" w:color="auto" w:fill="FABF8F" w:themeFill="accent6" w:themeFillTint="99"/>
            <w:vAlign w:val="center"/>
          </w:tcPr>
          <w:p w:rsidR="0067725A" w:rsidRPr="008255D6" w:rsidRDefault="0067725A" w:rsidP="004D712A">
            <w:pPr>
              <w:spacing w:after="0"/>
              <w:ind w:firstLine="0"/>
              <w:jc w:val="right"/>
              <w:rPr>
                <w:rFonts w:ascii="Arial" w:hAnsi="Arial" w:cs="Arial"/>
                <w:sz w:val="18"/>
                <w:szCs w:val="18"/>
                <w:lang w:val="es-ES" w:eastAsia="es-ES"/>
              </w:rPr>
            </w:pPr>
            <w:r w:rsidRPr="008255D6">
              <w:rPr>
                <w:rFonts w:ascii="Arial" w:hAnsi="Arial" w:cs="Arial"/>
                <w:sz w:val="18"/>
                <w:szCs w:val="18"/>
                <w:lang w:val="es-ES" w:eastAsia="es-ES"/>
              </w:rPr>
              <w:t xml:space="preserve">Importe </w:t>
            </w:r>
            <w:r w:rsidR="00996B35">
              <w:rPr>
                <w:rFonts w:ascii="Arial" w:hAnsi="Arial" w:cs="Arial"/>
                <w:sz w:val="18"/>
                <w:szCs w:val="18"/>
                <w:lang w:val="es-ES" w:eastAsia="es-ES"/>
              </w:rPr>
              <w:t>2019</w:t>
            </w:r>
          </w:p>
        </w:tc>
      </w:tr>
      <w:tr w:rsidR="0067725A" w:rsidRPr="003C24C7" w:rsidTr="004E1B1A">
        <w:trPr>
          <w:trHeight w:val="198"/>
          <w:jc w:val="center"/>
        </w:trPr>
        <w:tc>
          <w:tcPr>
            <w:tcW w:w="2823" w:type="pct"/>
            <w:tcBorders>
              <w:top w:val="single" w:sz="4" w:space="0" w:color="auto"/>
              <w:bottom w:val="single" w:sz="2" w:space="0" w:color="auto"/>
            </w:tcBorders>
            <w:shd w:val="clear" w:color="auto" w:fill="auto"/>
            <w:vAlign w:val="center"/>
            <w:hideMark/>
          </w:tcPr>
          <w:p w:rsidR="0067725A" w:rsidRPr="003C24C7" w:rsidRDefault="0067725A" w:rsidP="007747F2">
            <w:pPr>
              <w:spacing w:after="0"/>
              <w:ind w:firstLine="0"/>
              <w:jc w:val="left"/>
              <w:rPr>
                <w:rFonts w:ascii="Arial Narrow" w:hAnsi="Arial Narrow"/>
                <w:lang w:val="es-ES" w:eastAsia="es-ES"/>
              </w:rPr>
            </w:pPr>
            <w:r w:rsidRPr="003C24C7">
              <w:rPr>
                <w:rFonts w:ascii="Arial Narrow" w:hAnsi="Arial Narrow"/>
                <w:lang w:eastAsia="es-ES"/>
              </w:rPr>
              <w:t xml:space="preserve">Gasto computable consolidado </w:t>
            </w:r>
            <w:r>
              <w:rPr>
                <w:rFonts w:ascii="Arial Narrow" w:hAnsi="Arial Narrow"/>
                <w:lang w:eastAsia="es-ES"/>
              </w:rPr>
              <w:t>201</w:t>
            </w:r>
            <w:r w:rsidR="007747F2">
              <w:rPr>
                <w:rFonts w:ascii="Arial Narrow" w:hAnsi="Arial Narrow"/>
                <w:lang w:eastAsia="es-ES"/>
              </w:rPr>
              <w:t>8</w:t>
            </w:r>
          </w:p>
        </w:tc>
        <w:tc>
          <w:tcPr>
            <w:tcW w:w="2177" w:type="pct"/>
            <w:tcBorders>
              <w:top w:val="single" w:sz="4" w:space="0" w:color="auto"/>
              <w:bottom w:val="single" w:sz="2" w:space="0" w:color="auto"/>
            </w:tcBorders>
            <w:shd w:val="clear" w:color="auto" w:fill="auto"/>
            <w:vAlign w:val="center"/>
          </w:tcPr>
          <w:p w:rsidR="0067725A" w:rsidRPr="003C24C7" w:rsidRDefault="0023658E" w:rsidP="0023658E">
            <w:pPr>
              <w:spacing w:after="0"/>
              <w:ind w:firstLine="0"/>
              <w:jc w:val="right"/>
              <w:rPr>
                <w:rFonts w:ascii="Arial Narrow" w:hAnsi="Arial Narrow"/>
                <w:lang w:val="es-ES" w:eastAsia="es-ES"/>
              </w:rPr>
            </w:pPr>
            <w:r>
              <w:rPr>
                <w:rFonts w:ascii="Arial Narrow" w:hAnsi="Arial Narrow"/>
                <w:lang w:val="es-ES" w:eastAsia="es-ES"/>
              </w:rPr>
              <w:t>10.972.096</w:t>
            </w:r>
          </w:p>
        </w:tc>
      </w:tr>
      <w:tr w:rsidR="0067725A" w:rsidRPr="003C24C7" w:rsidTr="004E1B1A">
        <w:trPr>
          <w:trHeight w:val="198"/>
          <w:jc w:val="center"/>
        </w:trPr>
        <w:tc>
          <w:tcPr>
            <w:tcW w:w="2823" w:type="pct"/>
            <w:tcBorders>
              <w:top w:val="single" w:sz="2" w:space="0" w:color="auto"/>
            </w:tcBorders>
            <w:shd w:val="clear" w:color="auto" w:fill="auto"/>
            <w:vAlign w:val="center"/>
            <w:hideMark/>
          </w:tcPr>
          <w:p w:rsidR="0067725A" w:rsidRPr="003C24C7" w:rsidRDefault="0067725A" w:rsidP="004D712A">
            <w:pPr>
              <w:spacing w:after="0"/>
              <w:ind w:firstLine="0"/>
              <w:jc w:val="left"/>
              <w:rPr>
                <w:rFonts w:ascii="Arial Narrow" w:hAnsi="Arial Narrow"/>
                <w:lang w:val="es-ES" w:eastAsia="es-ES"/>
              </w:rPr>
            </w:pPr>
            <w:r w:rsidRPr="003C24C7">
              <w:rPr>
                <w:rFonts w:ascii="Arial Narrow" w:hAnsi="Arial Narrow"/>
                <w:lang w:eastAsia="es-ES"/>
              </w:rPr>
              <w:t>Incremento del 2,</w:t>
            </w:r>
            <w:r w:rsidR="0023658E">
              <w:rPr>
                <w:rFonts w:ascii="Arial Narrow" w:hAnsi="Arial Narrow"/>
                <w:lang w:eastAsia="es-ES"/>
              </w:rPr>
              <w:t>7</w:t>
            </w:r>
            <w:r w:rsidRPr="003C24C7">
              <w:rPr>
                <w:rFonts w:ascii="Arial Narrow" w:hAnsi="Arial Narrow"/>
                <w:lang w:eastAsia="es-ES"/>
              </w:rPr>
              <w:t>%</w:t>
            </w:r>
          </w:p>
        </w:tc>
        <w:tc>
          <w:tcPr>
            <w:tcW w:w="2177" w:type="pct"/>
            <w:tcBorders>
              <w:top w:val="single" w:sz="2" w:space="0" w:color="auto"/>
            </w:tcBorders>
            <w:shd w:val="clear" w:color="auto" w:fill="auto"/>
            <w:vAlign w:val="center"/>
          </w:tcPr>
          <w:p w:rsidR="0067725A" w:rsidRPr="003C24C7" w:rsidRDefault="0023658E" w:rsidP="00D37FAE">
            <w:pPr>
              <w:spacing w:after="0"/>
              <w:ind w:firstLine="0"/>
              <w:jc w:val="right"/>
              <w:rPr>
                <w:rFonts w:ascii="Arial Narrow" w:hAnsi="Arial Narrow"/>
                <w:lang w:val="es-ES" w:eastAsia="es-ES"/>
              </w:rPr>
            </w:pPr>
            <w:r>
              <w:rPr>
                <w:rFonts w:ascii="Arial Narrow" w:hAnsi="Arial Narrow"/>
                <w:lang w:val="es-ES" w:eastAsia="es-ES"/>
              </w:rPr>
              <w:t>296.247</w:t>
            </w:r>
          </w:p>
        </w:tc>
      </w:tr>
      <w:tr w:rsidR="0023658E" w:rsidRPr="003C24C7" w:rsidTr="004E1B1A">
        <w:trPr>
          <w:trHeight w:val="198"/>
          <w:jc w:val="center"/>
        </w:trPr>
        <w:tc>
          <w:tcPr>
            <w:tcW w:w="2823" w:type="pct"/>
            <w:shd w:val="clear" w:color="auto" w:fill="auto"/>
            <w:vAlign w:val="center"/>
          </w:tcPr>
          <w:p w:rsidR="0023658E" w:rsidRPr="003C24C7" w:rsidRDefault="0023658E" w:rsidP="004D712A">
            <w:pPr>
              <w:spacing w:after="0"/>
              <w:ind w:firstLine="0"/>
              <w:jc w:val="left"/>
              <w:rPr>
                <w:rFonts w:ascii="Arial Narrow" w:hAnsi="Arial Narrow"/>
                <w:lang w:eastAsia="es-ES"/>
              </w:rPr>
            </w:pPr>
            <w:r>
              <w:rPr>
                <w:rFonts w:ascii="Arial Narrow" w:hAnsi="Arial Narrow"/>
                <w:lang w:eastAsia="es-ES"/>
              </w:rPr>
              <w:t>Aumentos permanentes de recaudación</w:t>
            </w:r>
          </w:p>
        </w:tc>
        <w:tc>
          <w:tcPr>
            <w:tcW w:w="2177" w:type="pct"/>
            <w:shd w:val="clear" w:color="auto" w:fill="auto"/>
            <w:vAlign w:val="center"/>
          </w:tcPr>
          <w:p w:rsidR="0023658E" w:rsidRDefault="0023658E" w:rsidP="004D712A">
            <w:pPr>
              <w:spacing w:after="0"/>
              <w:ind w:firstLine="0"/>
              <w:jc w:val="right"/>
              <w:rPr>
                <w:rFonts w:ascii="Arial Narrow" w:hAnsi="Arial Narrow"/>
                <w:lang w:val="es-ES" w:eastAsia="es-ES"/>
              </w:rPr>
            </w:pPr>
            <w:r>
              <w:rPr>
                <w:rFonts w:ascii="Arial Narrow" w:hAnsi="Arial Narrow"/>
                <w:lang w:val="es-ES" w:eastAsia="es-ES"/>
              </w:rPr>
              <w:t>53.891</w:t>
            </w:r>
          </w:p>
        </w:tc>
      </w:tr>
      <w:tr w:rsidR="0067725A" w:rsidRPr="003C24C7" w:rsidTr="004E1B1A">
        <w:trPr>
          <w:trHeight w:val="198"/>
          <w:jc w:val="center"/>
        </w:trPr>
        <w:tc>
          <w:tcPr>
            <w:tcW w:w="2823" w:type="pct"/>
            <w:shd w:val="clear" w:color="auto" w:fill="auto"/>
            <w:vAlign w:val="center"/>
            <w:hideMark/>
          </w:tcPr>
          <w:p w:rsidR="0067725A" w:rsidRPr="003C24C7" w:rsidRDefault="0067725A" w:rsidP="004D712A">
            <w:pPr>
              <w:spacing w:after="0"/>
              <w:ind w:firstLine="0"/>
              <w:jc w:val="left"/>
              <w:rPr>
                <w:rFonts w:ascii="Arial Narrow" w:hAnsi="Arial Narrow"/>
                <w:lang w:val="es-ES" w:eastAsia="es-ES"/>
              </w:rPr>
            </w:pPr>
            <w:r w:rsidRPr="003C24C7">
              <w:rPr>
                <w:rFonts w:ascii="Arial Narrow" w:hAnsi="Arial Narrow"/>
                <w:lang w:eastAsia="es-ES"/>
              </w:rPr>
              <w:t xml:space="preserve">Límite gasto previsto para </w:t>
            </w:r>
            <w:r w:rsidR="00996B35">
              <w:rPr>
                <w:rFonts w:ascii="Arial Narrow" w:hAnsi="Arial Narrow"/>
                <w:lang w:eastAsia="es-ES"/>
              </w:rPr>
              <w:t>2019</w:t>
            </w:r>
          </w:p>
        </w:tc>
        <w:tc>
          <w:tcPr>
            <w:tcW w:w="2177" w:type="pct"/>
            <w:shd w:val="clear" w:color="auto" w:fill="auto"/>
            <w:vAlign w:val="center"/>
          </w:tcPr>
          <w:p w:rsidR="0067725A" w:rsidRPr="003C24C7" w:rsidRDefault="0023658E" w:rsidP="0023658E">
            <w:pPr>
              <w:spacing w:after="0"/>
              <w:ind w:firstLine="0"/>
              <w:jc w:val="right"/>
              <w:rPr>
                <w:rFonts w:ascii="Arial Narrow" w:hAnsi="Arial Narrow"/>
                <w:lang w:val="es-ES" w:eastAsia="es-ES"/>
              </w:rPr>
            </w:pPr>
            <w:r>
              <w:rPr>
                <w:rFonts w:ascii="Arial Narrow" w:hAnsi="Arial Narrow"/>
                <w:lang w:val="es-ES" w:eastAsia="es-ES"/>
              </w:rPr>
              <w:t>11.322.234</w:t>
            </w:r>
          </w:p>
        </w:tc>
      </w:tr>
      <w:tr w:rsidR="0067725A" w:rsidRPr="003C24C7" w:rsidTr="004E1B1A">
        <w:trPr>
          <w:trHeight w:val="198"/>
          <w:jc w:val="center"/>
        </w:trPr>
        <w:tc>
          <w:tcPr>
            <w:tcW w:w="2823" w:type="pct"/>
            <w:tcBorders>
              <w:bottom w:val="single" w:sz="4" w:space="0" w:color="auto"/>
            </w:tcBorders>
            <w:shd w:val="clear" w:color="auto" w:fill="auto"/>
            <w:vAlign w:val="center"/>
            <w:hideMark/>
          </w:tcPr>
          <w:p w:rsidR="0067725A" w:rsidRPr="003C24C7" w:rsidRDefault="0067725A" w:rsidP="004D712A">
            <w:pPr>
              <w:spacing w:after="0"/>
              <w:ind w:firstLine="0"/>
              <w:jc w:val="left"/>
              <w:rPr>
                <w:rFonts w:ascii="Arial Narrow" w:hAnsi="Arial Narrow"/>
                <w:lang w:val="es-ES" w:eastAsia="es-ES"/>
              </w:rPr>
            </w:pPr>
            <w:r w:rsidRPr="003C24C7">
              <w:rPr>
                <w:rFonts w:ascii="Arial Narrow" w:hAnsi="Arial Narrow"/>
                <w:lang w:eastAsia="es-ES"/>
              </w:rPr>
              <w:t xml:space="preserve">Gasto computable consolidado en </w:t>
            </w:r>
            <w:r w:rsidR="00996B35">
              <w:rPr>
                <w:rFonts w:ascii="Arial Narrow" w:hAnsi="Arial Narrow"/>
                <w:lang w:eastAsia="es-ES"/>
              </w:rPr>
              <w:t>2019</w:t>
            </w:r>
          </w:p>
        </w:tc>
        <w:tc>
          <w:tcPr>
            <w:tcW w:w="2177" w:type="pct"/>
            <w:tcBorders>
              <w:bottom w:val="single" w:sz="4" w:space="0" w:color="auto"/>
            </w:tcBorders>
            <w:shd w:val="clear" w:color="auto" w:fill="auto"/>
            <w:vAlign w:val="center"/>
          </w:tcPr>
          <w:p w:rsidR="0067725A" w:rsidRPr="003C24C7" w:rsidRDefault="0023658E" w:rsidP="00DE42EB">
            <w:pPr>
              <w:spacing w:after="0"/>
              <w:ind w:firstLine="0"/>
              <w:jc w:val="right"/>
              <w:rPr>
                <w:rFonts w:ascii="Arial Narrow" w:hAnsi="Arial Narrow"/>
                <w:lang w:val="es-ES" w:eastAsia="es-ES"/>
              </w:rPr>
            </w:pPr>
            <w:r>
              <w:rPr>
                <w:rFonts w:ascii="Arial Narrow" w:hAnsi="Arial Narrow"/>
                <w:lang w:val="es-ES" w:eastAsia="es-ES"/>
              </w:rPr>
              <w:t>11.892.937</w:t>
            </w:r>
          </w:p>
        </w:tc>
      </w:tr>
      <w:tr w:rsidR="0067725A" w:rsidRPr="00980335" w:rsidTr="004E1B1A">
        <w:trPr>
          <w:trHeight w:val="198"/>
          <w:jc w:val="center"/>
        </w:trPr>
        <w:tc>
          <w:tcPr>
            <w:tcW w:w="2823" w:type="pct"/>
            <w:tcBorders>
              <w:top w:val="single" w:sz="4" w:space="0" w:color="auto"/>
              <w:bottom w:val="single" w:sz="4" w:space="0" w:color="auto"/>
            </w:tcBorders>
            <w:shd w:val="clear" w:color="auto" w:fill="FABF8F" w:themeFill="accent6" w:themeFillTint="99"/>
            <w:vAlign w:val="center"/>
            <w:hideMark/>
          </w:tcPr>
          <w:p w:rsidR="0067725A" w:rsidRPr="00980335" w:rsidRDefault="0067725A" w:rsidP="004D712A">
            <w:pPr>
              <w:spacing w:after="0"/>
              <w:ind w:firstLine="0"/>
              <w:jc w:val="left"/>
              <w:rPr>
                <w:rFonts w:ascii="Arial Narrow" w:hAnsi="Arial Narrow" w:cs="Arial"/>
                <w:lang w:val="es-ES" w:eastAsia="es-ES"/>
              </w:rPr>
            </w:pPr>
            <w:r w:rsidRPr="00980335">
              <w:rPr>
                <w:rFonts w:ascii="Arial Narrow" w:hAnsi="Arial Narrow" w:cs="Arial"/>
                <w:lang w:eastAsia="es-ES"/>
              </w:rPr>
              <w:t xml:space="preserve">Desviación en el gasto en </w:t>
            </w:r>
            <w:r w:rsidR="00996B35">
              <w:rPr>
                <w:rFonts w:ascii="Arial Narrow" w:hAnsi="Arial Narrow" w:cs="Arial"/>
                <w:lang w:eastAsia="es-ES"/>
              </w:rPr>
              <w:t>2019</w:t>
            </w:r>
          </w:p>
        </w:tc>
        <w:tc>
          <w:tcPr>
            <w:tcW w:w="2177" w:type="pct"/>
            <w:tcBorders>
              <w:top w:val="single" w:sz="4" w:space="0" w:color="auto"/>
              <w:bottom w:val="single" w:sz="4" w:space="0" w:color="auto"/>
            </w:tcBorders>
            <w:shd w:val="clear" w:color="auto" w:fill="FABF8F" w:themeFill="accent6" w:themeFillTint="99"/>
            <w:vAlign w:val="center"/>
          </w:tcPr>
          <w:p w:rsidR="0067725A" w:rsidRPr="00980335" w:rsidRDefault="0023658E" w:rsidP="0092322F">
            <w:pPr>
              <w:spacing w:after="0"/>
              <w:ind w:firstLine="0"/>
              <w:jc w:val="right"/>
              <w:rPr>
                <w:rFonts w:ascii="Arial Narrow" w:hAnsi="Arial Narrow" w:cs="Arial"/>
                <w:lang w:val="es-ES" w:eastAsia="es-ES"/>
              </w:rPr>
            </w:pPr>
            <w:r>
              <w:rPr>
                <w:rFonts w:ascii="Arial Narrow" w:hAnsi="Arial Narrow" w:cs="Arial"/>
                <w:lang w:val="es-ES" w:eastAsia="es-ES"/>
              </w:rPr>
              <w:t>-570.704</w:t>
            </w:r>
          </w:p>
        </w:tc>
      </w:tr>
    </w:tbl>
    <w:p w:rsidR="00D648A3" w:rsidRDefault="00D648A3" w:rsidP="00CF14CF">
      <w:pPr>
        <w:pStyle w:val="texto"/>
        <w:spacing w:before="240" w:after="160"/>
      </w:pPr>
      <w:r w:rsidRPr="0023658E">
        <w:t>Hemos realizado dos ajustes sobre los cálculos realizados por el ayuntamiento</w:t>
      </w:r>
      <w:r>
        <w:t>;</w:t>
      </w:r>
      <w:r w:rsidRPr="0023658E">
        <w:t xml:space="preserve"> por una parte</w:t>
      </w:r>
      <w:r w:rsidR="007747F2">
        <w:t>,</w:t>
      </w:r>
      <w:r w:rsidRPr="0023658E">
        <w:t xml:space="preserve"> no consideramos como au</w:t>
      </w:r>
      <w:r>
        <w:t>mento permanente de recaudación el i</w:t>
      </w:r>
      <w:r>
        <w:t>n</w:t>
      </w:r>
      <w:r>
        <w:t>cremento del Fondo de Haciendas Locales y</w:t>
      </w:r>
      <w:r w:rsidR="007747F2">
        <w:t>,</w:t>
      </w:r>
      <w:r w:rsidR="009F5A89">
        <w:t xml:space="preserve"> por otra</w:t>
      </w:r>
      <w:r w:rsidR="007747F2">
        <w:t>,</w:t>
      </w:r>
      <w:r>
        <w:t xml:space="preserve"> consideramos como inve</w:t>
      </w:r>
      <w:r>
        <w:t>r</w:t>
      </w:r>
      <w:r>
        <w:t>sión financieramente sostenible el límite del superávit obtenido en 2018 y no la t</w:t>
      </w:r>
      <w:r>
        <w:t>o</w:t>
      </w:r>
      <w:r>
        <w:t>talidad de la inversión de la escuela infantil.</w:t>
      </w:r>
    </w:p>
    <w:p w:rsidR="009B10D8" w:rsidRDefault="00124C1C" w:rsidP="007D004B">
      <w:pPr>
        <w:pStyle w:val="texto"/>
        <w:spacing w:before="240" w:after="160"/>
      </w:pPr>
      <w:r>
        <w:t xml:space="preserve">Este incumplimiento de la regla de </w:t>
      </w:r>
      <w:r w:rsidRPr="009F5A89">
        <w:rPr>
          <w:color w:val="000000" w:themeColor="text1"/>
        </w:rPr>
        <w:t>gasto</w:t>
      </w:r>
      <w:r w:rsidR="004B617A" w:rsidRPr="009F5A89">
        <w:rPr>
          <w:color w:val="000000" w:themeColor="text1"/>
        </w:rPr>
        <w:t xml:space="preserve"> y de la estabilidad presupuestaria</w:t>
      </w:r>
      <w:r w:rsidR="00D37FAE" w:rsidRPr="009F5A89">
        <w:rPr>
          <w:color w:val="000000" w:themeColor="text1"/>
        </w:rPr>
        <w:t xml:space="preserve"> hace necesario</w:t>
      </w:r>
      <w:r w:rsidR="00235381" w:rsidRPr="009F5A89">
        <w:rPr>
          <w:color w:val="000000" w:themeColor="text1"/>
        </w:rPr>
        <w:t xml:space="preserve"> </w:t>
      </w:r>
      <w:r w:rsidR="00D37FAE" w:rsidRPr="009F5A89">
        <w:rPr>
          <w:color w:val="000000" w:themeColor="text1"/>
        </w:rPr>
        <w:t>que se apruebe un plan económic</w:t>
      </w:r>
      <w:r w:rsidR="00D37FAE">
        <w:t>o finan</w:t>
      </w:r>
      <w:r w:rsidR="00235381">
        <w:t>ciero</w:t>
      </w:r>
      <w:r w:rsidR="0023658E">
        <w:t xml:space="preserve"> para los ejercicios 2020</w:t>
      </w:r>
      <w:r w:rsidR="00814308">
        <w:t>-20</w:t>
      </w:r>
      <w:r w:rsidR="00EB11A4">
        <w:t>2</w:t>
      </w:r>
      <w:r w:rsidR="0023658E">
        <w:t>1</w:t>
      </w:r>
      <w:r w:rsidR="00235381">
        <w:t xml:space="preserve"> tal y como establece la </w:t>
      </w:r>
      <w:proofErr w:type="spellStart"/>
      <w:r w:rsidR="00235381">
        <w:t>L</w:t>
      </w:r>
      <w:r w:rsidR="00CA24CE">
        <w:t>OEPySF</w:t>
      </w:r>
      <w:proofErr w:type="spellEnd"/>
      <w:r w:rsidR="00CA24CE">
        <w:t>.</w:t>
      </w:r>
    </w:p>
    <w:p w:rsidR="0067725A" w:rsidRPr="00673A67" w:rsidRDefault="0067725A" w:rsidP="00525187">
      <w:pPr>
        <w:pStyle w:val="texto"/>
        <w:numPr>
          <w:ilvl w:val="0"/>
          <w:numId w:val="1"/>
        </w:numPr>
        <w:tabs>
          <w:tab w:val="clear" w:pos="2835"/>
          <w:tab w:val="clear" w:pos="3969"/>
          <w:tab w:val="clear" w:pos="5103"/>
          <w:tab w:val="clear" w:pos="6237"/>
          <w:tab w:val="clear" w:pos="7371"/>
          <w:tab w:val="left" w:pos="480"/>
          <w:tab w:val="num" w:pos="720"/>
          <w:tab w:val="num" w:pos="6597"/>
        </w:tabs>
        <w:ind w:left="0" w:firstLine="289"/>
        <w:rPr>
          <w:szCs w:val="26"/>
        </w:rPr>
      </w:pPr>
      <w:r w:rsidRPr="00673A67">
        <w:rPr>
          <w:szCs w:val="26"/>
        </w:rPr>
        <w:t>Principio de sostenibilidad financiera</w:t>
      </w:r>
      <w:r w:rsidR="00A37E7E">
        <w:rPr>
          <w:szCs w:val="26"/>
        </w:rPr>
        <w:t>.</w:t>
      </w:r>
    </w:p>
    <w:p w:rsidR="009A6CBF" w:rsidRPr="008D7A02" w:rsidRDefault="0067725A" w:rsidP="009A6CBF">
      <w:pPr>
        <w:pStyle w:val="texto"/>
        <w:spacing w:after="160"/>
      </w:pPr>
      <w:r w:rsidRPr="008D7A02">
        <w:t xml:space="preserve">a) En relación a la sostenibilidad de la deuda pública, </w:t>
      </w:r>
      <w:r w:rsidR="00DE42EB">
        <w:t>se cumple con dicho obj</w:t>
      </w:r>
      <w:r w:rsidR="00DE42EB">
        <w:t>e</w:t>
      </w:r>
      <w:r w:rsidR="00DE42EB">
        <w:t xml:space="preserve">tivo al </w:t>
      </w:r>
      <w:r w:rsidR="0023658E">
        <w:t xml:space="preserve">tener una deuda del </w:t>
      </w:r>
      <w:r w:rsidR="00D648A3">
        <w:t>diez</w:t>
      </w:r>
      <w:r w:rsidR="0023658E">
        <w:t xml:space="preserve"> por ciento, muy por debajo del límite del 110 por ciento establecido por la normativa.</w:t>
      </w:r>
    </w:p>
    <w:p w:rsidR="0067725A" w:rsidRDefault="0067725A" w:rsidP="009A6CBF">
      <w:pPr>
        <w:pStyle w:val="texto"/>
        <w:spacing w:after="160"/>
      </w:pPr>
      <w:r>
        <w:t xml:space="preserve">b) Se cumple </w:t>
      </w:r>
      <w:r w:rsidRPr="00607BDF">
        <w:t xml:space="preserve">la sostenibilidad de la deuda comercial, </w:t>
      </w:r>
      <w:r>
        <w:t xml:space="preserve">al </w:t>
      </w:r>
      <w:r w:rsidRPr="00607BDF">
        <w:t xml:space="preserve">no superar </w:t>
      </w:r>
      <w:r>
        <w:t>el plazo m</w:t>
      </w:r>
      <w:r>
        <w:t>á</w:t>
      </w:r>
      <w:r>
        <w:t xml:space="preserve">ximo </w:t>
      </w:r>
      <w:r w:rsidRPr="00607BDF">
        <w:t>previsto</w:t>
      </w:r>
      <w:r>
        <w:t xml:space="preserve"> en la normativa sobre morosidad.</w:t>
      </w:r>
    </w:p>
    <w:p w:rsidR="0067725A" w:rsidRPr="00B12237" w:rsidRDefault="0067725A" w:rsidP="0067725A">
      <w:pPr>
        <w:pStyle w:val="texto"/>
        <w:spacing w:after="180"/>
        <w:jc w:val="center"/>
        <w:rPr>
          <w:rFonts w:ascii="Arial" w:hAnsi="Arial" w:cs="Arial"/>
          <w:sz w:val="20"/>
          <w:szCs w:val="20"/>
          <w:lang w:val="es-ES"/>
        </w:rPr>
      </w:pPr>
      <w:r w:rsidRPr="00B12237">
        <w:rPr>
          <w:rFonts w:ascii="Arial" w:hAnsi="Arial" w:cs="Arial"/>
          <w:sz w:val="20"/>
          <w:szCs w:val="20"/>
          <w:lang w:val="es-ES"/>
        </w:rPr>
        <w:t>Per</w:t>
      </w:r>
      <w:r w:rsidR="00745769">
        <w:rPr>
          <w:rFonts w:ascii="Arial" w:hAnsi="Arial" w:cs="Arial"/>
          <w:sz w:val="20"/>
          <w:szCs w:val="20"/>
          <w:lang w:val="es-ES"/>
        </w:rPr>
        <w:t>i</w:t>
      </w:r>
      <w:r w:rsidRPr="00B12237">
        <w:rPr>
          <w:rFonts w:ascii="Arial" w:hAnsi="Arial" w:cs="Arial"/>
          <w:sz w:val="20"/>
          <w:szCs w:val="20"/>
          <w:lang w:val="es-ES"/>
        </w:rPr>
        <w:t>odo medio de pago a proveedores</w:t>
      </w:r>
    </w:p>
    <w:tbl>
      <w:tblPr>
        <w:tblW w:w="4914" w:type="pct"/>
        <w:jc w:val="center"/>
        <w:tblLook w:val="01E0" w:firstRow="1" w:lastRow="1" w:firstColumn="1" w:lastColumn="1" w:noHBand="0" w:noVBand="0"/>
      </w:tblPr>
      <w:tblGrid>
        <w:gridCol w:w="2877"/>
        <w:gridCol w:w="6391"/>
      </w:tblGrid>
      <w:tr w:rsidR="0067725A" w:rsidRPr="00B12237" w:rsidTr="00C15C09">
        <w:trPr>
          <w:trHeight w:val="284"/>
          <w:jc w:val="center"/>
        </w:trPr>
        <w:tc>
          <w:tcPr>
            <w:tcW w:w="1552" w:type="pct"/>
            <w:tcBorders>
              <w:top w:val="single" w:sz="4" w:space="0" w:color="auto"/>
              <w:bottom w:val="single" w:sz="4" w:space="0" w:color="auto"/>
            </w:tcBorders>
            <w:shd w:val="clear" w:color="auto" w:fill="FABF8F" w:themeFill="accent6" w:themeFillTint="99"/>
            <w:vAlign w:val="center"/>
          </w:tcPr>
          <w:p w:rsidR="0067725A" w:rsidRPr="00B12237" w:rsidRDefault="0067725A" w:rsidP="004D712A">
            <w:pPr>
              <w:pStyle w:val="cuadroCabe"/>
              <w:jc w:val="left"/>
            </w:pPr>
          </w:p>
        </w:tc>
        <w:tc>
          <w:tcPr>
            <w:tcW w:w="3448" w:type="pct"/>
            <w:tcBorders>
              <w:top w:val="single" w:sz="4" w:space="0" w:color="auto"/>
              <w:bottom w:val="single" w:sz="4" w:space="0" w:color="auto"/>
            </w:tcBorders>
            <w:shd w:val="clear" w:color="auto" w:fill="FABF8F" w:themeFill="accent6" w:themeFillTint="99"/>
            <w:vAlign w:val="center"/>
          </w:tcPr>
          <w:p w:rsidR="0067725A" w:rsidRPr="00B12237" w:rsidRDefault="00525187" w:rsidP="00355EFE">
            <w:pPr>
              <w:pStyle w:val="cuadroCabe"/>
              <w:jc w:val="right"/>
            </w:pPr>
            <w:r>
              <w:t>Días</w:t>
            </w:r>
          </w:p>
        </w:tc>
      </w:tr>
      <w:tr w:rsidR="0067725A" w:rsidRPr="00B12237" w:rsidTr="00C15C09">
        <w:trPr>
          <w:trHeight w:val="198"/>
          <w:jc w:val="center"/>
        </w:trPr>
        <w:tc>
          <w:tcPr>
            <w:tcW w:w="1552" w:type="pct"/>
            <w:tcBorders>
              <w:top w:val="single" w:sz="4" w:space="0" w:color="auto"/>
              <w:bottom w:val="single" w:sz="2" w:space="0" w:color="auto"/>
            </w:tcBorders>
            <w:vAlign w:val="center"/>
          </w:tcPr>
          <w:p w:rsidR="0067725A" w:rsidRPr="00B12237" w:rsidRDefault="0067725A" w:rsidP="004D712A">
            <w:pPr>
              <w:pStyle w:val="cuatexto"/>
              <w:jc w:val="left"/>
              <w:rPr>
                <w:szCs w:val="20"/>
              </w:rPr>
            </w:pPr>
            <w:r w:rsidRPr="00B12237">
              <w:rPr>
                <w:szCs w:val="20"/>
              </w:rPr>
              <w:t>Primer trimestre</w:t>
            </w:r>
          </w:p>
        </w:tc>
        <w:tc>
          <w:tcPr>
            <w:tcW w:w="3448" w:type="pct"/>
            <w:tcBorders>
              <w:top w:val="single" w:sz="4" w:space="0" w:color="auto"/>
              <w:bottom w:val="single" w:sz="2" w:space="0" w:color="auto"/>
            </w:tcBorders>
            <w:vAlign w:val="center"/>
          </w:tcPr>
          <w:p w:rsidR="0067725A" w:rsidRPr="00B12237" w:rsidRDefault="0023658E" w:rsidP="0023658E">
            <w:pPr>
              <w:pStyle w:val="cuatexto"/>
              <w:jc w:val="right"/>
              <w:rPr>
                <w:szCs w:val="20"/>
              </w:rPr>
            </w:pPr>
            <w:r>
              <w:rPr>
                <w:szCs w:val="20"/>
              </w:rPr>
              <w:t>23,35</w:t>
            </w:r>
          </w:p>
        </w:tc>
      </w:tr>
      <w:tr w:rsidR="0067725A" w:rsidRPr="00B12237" w:rsidTr="00C15C09">
        <w:trPr>
          <w:trHeight w:val="198"/>
          <w:jc w:val="center"/>
        </w:trPr>
        <w:tc>
          <w:tcPr>
            <w:tcW w:w="1552" w:type="pct"/>
            <w:tcBorders>
              <w:top w:val="single" w:sz="2" w:space="0" w:color="auto"/>
              <w:bottom w:val="single" w:sz="2" w:space="0" w:color="auto"/>
            </w:tcBorders>
            <w:vAlign w:val="center"/>
          </w:tcPr>
          <w:p w:rsidR="0067725A" w:rsidRPr="00B12237" w:rsidRDefault="0067725A" w:rsidP="004D712A">
            <w:pPr>
              <w:pStyle w:val="cuatexto"/>
              <w:jc w:val="left"/>
              <w:rPr>
                <w:szCs w:val="20"/>
              </w:rPr>
            </w:pPr>
            <w:r w:rsidRPr="00B12237">
              <w:rPr>
                <w:szCs w:val="20"/>
              </w:rPr>
              <w:t>Segundo trimestre</w:t>
            </w:r>
          </w:p>
        </w:tc>
        <w:tc>
          <w:tcPr>
            <w:tcW w:w="3448" w:type="pct"/>
            <w:tcBorders>
              <w:top w:val="single" w:sz="2" w:space="0" w:color="auto"/>
              <w:bottom w:val="single" w:sz="2" w:space="0" w:color="auto"/>
            </w:tcBorders>
            <w:vAlign w:val="center"/>
          </w:tcPr>
          <w:p w:rsidR="0067725A" w:rsidRPr="00B12237" w:rsidRDefault="0023658E" w:rsidP="00355EFE">
            <w:pPr>
              <w:pStyle w:val="cuatexto"/>
              <w:jc w:val="right"/>
              <w:rPr>
                <w:szCs w:val="20"/>
              </w:rPr>
            </w:pPr>
            <w:r>
              <w:rPr>
                <w:szCs w:val="20"/>
              </w:rPr>
              <w:t>13,34</w:t>
            </w:r>
          </w:p>
        </w:tc>
      </w:tr>
      <w:tr w:rsidR="0067725A" w:rsidRPr="00B12237" w:rsidTr="003D7EEC">
        <w:trPr>
          <w:trHeight w:val="198"/>
          <w:jc w:val="center"/>
        </w:trPr>
        <w:tc>
          <w:tcPr>
            <w:tcW w:w="1552" w:type="pct"/>
            <w:tcBorders>
              <w:top w:val="single" w:sz="2" w:space="0" w:color="auto"/>
              <w:bottom w:val="single" w:sz="2" w:space="0" w:color="auto"/>
            </w:tcBorders>
            <w:vAlign w:val="center"/>
          </w:tcPr>
          <w:p w:rsidR="0067725A" w:rsidRPr="00B12237" w:rsidRDefault="0067725A" w:rsidP="004D712A">
            <w:pPr>
              <w:pStyle w:val="cuatexto"/>
              <w:jc w:val="left"/>
              <w:rPr>
                <w:szCs w:val="20"/>
              </w:rPr>
            </w:pPr>
            <w:r w:rsidRPr="00B12237">
              <w:rPr>
                <w:szCs w:val="20"/>
              </w:rPr>
              <w:t>Tercer trimestre</w:t>
            </w:r>
          </w:p>
        </w:tc>
        <w:tc>
          <w:tcPr>
            <w:tcW w:w="3448" w:type="pct"/>
            <w:tcBorders>
              <w:top w:val="single" w:sz="2" w:space="0" w:color="auto"/>
              <w:bottom w:val="single" w:sz="2" w:space="0" w:color="auto"/>
            </w:tcBorders>
            <w:vAlign w:val="center"/>
          </w:tcPr>
          <w:p w:rsidR="0067725A" w:rsidRPr="00B12237" w:rsidRDefault="0023658E" w:rsidP="00355EFE">
            <w:pPr>
              <w:pStyle w:val="cuatexto"/>
              <w:jc w:val="right"/>
              <w:rPr>
                <w:szCs w:val="20"/>
              </w:rPr>
            </w:pPr>
            <w:r>
              <w:rPr>
                <w:szCs w:val="20"/>
              </w:rPr>
              <w:t>19,58</w:t>
            </w:r>
          </w:p>
        </w:tc>
      </w:tr>
      <w:tr w:rsidR="0067725A" w:rsidRPr="00B12237" w:rsidTr="000D6E13">
        <w:trPr>
          <w:trHeight w:val="198"/>
          <w:jc w:val="center"/>
        </w:trPr>
        <w:tc>
          <w:tcPr>
            <w:tcW w:w="1552" w:type="pct"/>
            <w:tcBorders>
              <w:top w:val="single" w:sz="2" w:space="0" w:color="auto"/>
              <w:bottom w:val="single" w:sz="4" w:space="0" w:color="auto"/>
            </w:tcBorders>
            <w:vAlign w:val="center"/>
          </w:tcPr>
          <w:p w:rsidR="0067725A" w:rsidRPr="00B12237" w:rsidRDefault="0067725A" w:rsidP="004D712A">
            <w:pPr>
              <w:pStyle w:val="cuatexto"/>
              <w:jc w:val="left"/>
              <w:rPr>
                <w:szCs w:val="20"/>
              </w:rPr>
            </w:pPr>
            <w:r w:rsidRPr="00B12237">
              <w:rPr>
                <w:szCs w:val="20"/>
              </w:rPr>
              <w:t>Cuarto trimestre</w:t>
            </w:r>
          </w:p>
        </w:tc>
        <w:tc>
          <w:tcPr>
            <w:tcW w:w="3448" w:type="pct"/>
            <w:tcBorders>
              <w:top w:val="single" w:sz="2" w:space="0" w:color="auto"/>
              <w:bottom w:val="single" w:sz="4" w:space="0" w:color="auto"/>
            </w:tcBorders>
            <w:vAlign w:val="center"/>
          </w:tcPr>
          <w:p w:rsidR="0067725A" w:rsidRPr="00B12237" w:rsidRDefault="0023658E" w:rsidP="00355EFE">
            <w:pPr>
              <w:pStyle w:val="cuatexto"/>
              <w:jc w:val="right"/>
              <w:rPr>
                <w:szCs w:val="20"/>
              </w:rPr>
            </w:pPr>
            <w:r>
              <w:rPr>
                <w:szCs w:val="20"/>
              </w:rPr>
              <w:t>18,52</w:t>
            </w:r>
          </w:p>
        </w:tc>
      </w:tr>
    </w:tbl>
    <w:p w:rsidR="00CF7EC0" w:rsidRPr="00E27ACC" w:rsidRDefault="00CF7EC0" w:rsidP="00E27ACC">
      <w:pPr>
        <w:spacing w:before="60" w:after="100"/>
        <w:ind w:left="182" w:firstLine="0"/>
        <w:rPr>
          <w:rFonts w:ascii="Arial Narrow" w:hAnsi="Arial Narrow"/>
          <w:sz w:val="16"/>
          <w:szCs w:val="16"/>
        </w:rPr>
      </w:pPr>
      <w:bookmarkStart w:id="103" w:name="_Toc430935364"/>
      <w:r w:rsidRPr="00E27ACC">
        <w:rPr>
          <w:rFonts w:ascii="Arial Narrow" w:hAnsi="Arial Narrow"/>
          <w:sz w:val="16"/>
          <w:szCs w:val="16"/>
        </w:rPr>
        <w:t xml:space="preserve">(*) Datos publicados </w:t>
      </w:r>
      <w:r w:rsidR="00EB11A4" w:rsidRPr="00E27ACC">
        <w:rPr>
          <w:rFonts w:ascii="Arial Narrow" w:hAnsi="Arial Narrow"/>
          <w:sz w:val="16"/>
          <w:szCs w:val="16"/>
        </w:rPr>
        <w:t>en el</w:t>
      </w:r>
      <w:r w:rsidRPr="00E27ACC">
        <w:rPr>
          <w:rFonts w:ascii="Arial Narrow" w:hAnsi="Arial Narrow"/>
          <w:sz w:val="16"/>
          <w:szCs w:val="16"/>
        </w:rPr>
        <w:t xml:space="preserve"> Ministerio de Hacienda</w:t>
      </w:r>
    </w:p>
    <w:p w:rsidR="00D648A3" w:rsidRPr="009F5A89" w:rsidRDefault="00D648A3" w:rsidP="009F5A89">
      <w:pPr>
        <w:pStyle w:val="texto"/>
        <w:spacing w:before="40" w:after="240"/>
        <w:jc w:val="left"/>
        <w:rPr>
          <w:i/>
          <w:color w:val="000000" w:themeColor="text1"/>
          <w:sz w:val="18"/>
        </w:rPr>
      </w:pPr>
      <w:r w:rsidRPr="009F5A89">
        <w:rPr>
          <w:i/>
          <w:color w:val="000000" w:themeColor="text1"/>
        </w:rPr>
        <w:lastRenderedPageBreak/>
        <w:t>Recomendamos realizar el plan económico financiero para los ejercicios 2020-</w:t>
      </w:r>
      <w:r w:rsidR="009F5A89" w:rsidRPr="009F5A89">
        <w:rPr>
          <w:i/>
          <w:color w:val="000000" w:themeColor="text1"/>
        </w:rPr>
        <w:t>20</w:t>
      </w:r>
      <w:r w:rsidRPr="009F5A89">
        <w:rPr>
          <w:i/>
          <w:color w:val="000000" w:themeColor="text1"/>
        </w:rPr>
        <w:t>21 establecido por la normativa de estabilidad presupuestaria.</w:t>
      </w:r>
    </w:p>
    <w:p w:rsidR="0067725A" w:rsidRPr="00D06D3B" w:rsidRDefault="0067725A" w:rsidP="00702C42">
      <w:pPr>
        <w:pStyle w:val="atitulo2"/>
        <w:spacing w:before="240" w:after="200"/>
        <w:rPr>
          <w:color w:val="auto"/>
        </w:rPr>
      </w:pPr>
      <w:bookmarkStart w:id="104" w:name="_Toc22495444"/>
      <w:bookmarkStart w:id="105" w:name="_Toc50018588"/>
      <w:r w:rsidRPr="00D06D3B">
        <w:rPr>
          <w:color w:val="auto"/>
        </w:rPr>
        <w:t>VI.4. Seguimiento de las recomendaciones de ejercicios anteriores</w:t>
      </w:r>
      <w:bookmarkEnd w:id="103"/>
      <w:bookmarkEnd w:id="104"/>
      <w:bookmarkEnd w:id="105"/>
    </w:p>
    <w:p w:rsidR="0067725A" w:rsidRDefault="00D06D3B" w:rsidP="0067725A">
      <w:pPr>
        <w:pStyle w:val="texto"/>
      </w:pPr>
      <w:r w:rsidRPr="00923423">
        <w:t xml:space="preserve">Tal y como </w:t>
      </w:r>
      <w:r w:rsidR="00E54134" w:rsidRPr="00923423">
        <w:t>se reitera en los distintos apartados de este apartado VI, siguen pe</w:t>
      </w:r>
      <w:r w:rsidR="00E54134" w:rsidRPr="00923423">
        <w:t>n</w:t>
      </w:r>
      <w:r w:rsidR="00E54134">
        <w:t xml:space="preserve">dientes de implementación las </w:t>
      </w:r>
      <w:r w:rsidR="0067725A" w:rsidRPr="00D06D3B">
        <w:t>siguientes recomendaciones</w:t>
      </w:r>
      <w:r w:rsidR="009A6CBF" w:rsidRPr="00D06D3B">
        <w:t>:</w:t>
      </w:r>
    </w:p>
    <w:p w:rsidR="00885C7C" w:rsidRDefault="00F54F3A" w:rsidP="00525187">
      <w:pPr>
        <w:pStyle w:val="texto"/>
        <w:numPr>
          <w:ilvl w:val="0"/>
          <w:numId w:val="1"/>
        </w:numPr>
        <w:tabs>
          <w:tab w:val="clear" w:pos="2835"/>
          <w:tab w:val="clear" w:pos="3969"/>
          <w:tab w:val="clear" w:pos="5103"/>
          <w:tab w:val="clear" w:pos="6237"/>
          <w:tab w:val="clear" w:pos="7371"/>
          <w:tab w:val="left" w:pos="480"/>
          <w:tab w:val="num" w:pos="720"/>
          <w:tab w:val="num" w:pos="6597"/>
        </w:tabs>
        <w:ind w:left="0" w:firstLine="289"/>
        <w:rPr>
          <w:rFonts w:cs="Arial"/>
          <w:i/>
          <w:spacing w:val="4"/>
        </w:rPr>
      </w:pPr>
      <w:r>
        <w:rPr>
          <w:rFonts w:cs="Arial"/>
          <w:i/>
          <w:spacing w:val="4"/>
        </w:rPr>
        <w:t>Confeccionar un plan estraté</w:t>
      </w:r>
      <w:r w:rsidR="00885C7C">
        <w:rPr>
          <w:rFonts w:cs="Arial"/>
          <w:i/>
          <w:spacing w:val="4"/>
        </w:rPr>
        <w:t>gico de subvencione</w:t>
      </w:r>
      <w:r w:rsidR="00923423">
        <w:rPr>
          <w:rFonts w:cs="Arial"/>
          <w:i/>
          <w:spacing w:val="4"/>
        </w:rPr>
        <w:t>s</w:t>
      </w:r>
      <w:r w:rsidR="00885C7C">
        <w:rPr>
          <w:rFonts w:cs="Arial"/>
          <w:i/>
          <w:spacing w:val="4"/>
        </w:rPr>
        <w:t xml:space="preserve"> en el que se establezcan obj</w:t>
      </w:r>
      <w:r w:rsidR="00885C7C">
        <w:rPr>
          <w:rFonts w:cs="Arial"/>
          <w:i/>
          <w:spacing w:val="4"/>
        </w:rPr>
        <w:t>e</w:t>
      </w:r>
      <w:r w:rsidR="00885C7C">
        <w:rPr>
          <w:rFonts w:cs="Arial"/>
          <w:i/>
          <w:spacing w:val="4"/>
        </w:rPr>
        <w:t>tivos, efectos, costes previsibles</w:t>
      </w:r>
      <w:r w:rsidR="0081232C">
        <w:rPr>
          <w:rFonts w:cs="Arial"/>
          <w:i/>
          <w:spacing w:val="4"/>
        </w:rPr>
        <w:t>, previsión de recursos, impacto,</w:t>
      </w:r>
      <w:r w:rsidR="00885C7C">
        <w:rPr>
          <w:rFonts w:cs="Arial"/>
          <w:i/>
          <w:spacing w:val="4"/>
        </w:rPr>
        <w:t xml:space="preserve"> etc…</w:t>
      </w:r>
    </w:p>
    <w:p w:rsidR="00885C7C" w:rsidRDefault="00885C7C" w:rsidP="00525187">
      <w:pPr>
        <w:pStyle w:val="texto"/>
        <w:numPr>
          <w:ilvl w:val="0"/>
          <w:numId w:val="1"/>
        </w:numPr>
        <w:tabs>
          <w:tab w:val="clear" w:pos="2835"/>
          <w:tab w:val="clear" w:pos="3969"/>
          <w:tab w:val="clear" w:pos="5103"/>
          <w:tab w:val="clear" w:pos="6237"/>
          <w:tab w:val="clear" w:pos="7371"/>
          <w:tab w:val="left" w:pos="480"/>
          <w:tab w:val="num" w:pos="720"/>
          <w:tab w:val="num" w:pos="6597"/>
        </w:tabs>
        <w:ind w:left="0" w:firstLine="289"/>
        <w:rPr>
          <w:rFonts w:cs="Arial"/>
          <w:i/>
          <w:spacing w:val="4"/>
        </w:rPr>
      </w:pPr>
      <w:r>
        <w:rPr>
          <w:rFonts w:cs="Arial"/>
          <w:i/>
          <w:spacing w:val="4"/>
        </w:rPr>
        <w:t>Elaborar el Plan Municipal que sustituya al vigente de 1999.</w:t>
      </w:r>
    </w:p>
    <w:p w:rsidR="0067725A" w:rsidRDefault="0067725A" w:rsidP="00702C42">
      <w:pPr>
        <w:pStyle w:val="atitulo2"/>
        <w:spacing w:before="240"/>
      </w:pPr>
      <w:bookmarkStart w:id="106" w:name="_Toc430935367"/>
      <w:bookmarkStart w:id="107" w:name="_Toc22495445"/>
      <w:bookmarkStart w:id="108" w:name="_Toc50018589"/>
      <w:r>
        <w:t>VI.5</w:t>
      </w:r>
      <w:r w:rsidRPr="00BD2E58">
        <w:t xml:space="preserve">. </w:t>
      </w:r>
      <w:bookmarkEnd w:id="106"/>
      <w:r>
        <w:t>Áreas de gestión relevantes</w:t>
      </w:r>
      <w:bookmarkEnd w:id="107"/>
      <w:bookmarkEnd w:id="108"/>
    </w:p>
    <w:p w:rsidR="0067725A" w:rsidRPr="00786B0E" w:rsidRDefault="0067725A" w:rsidP="0067725A">
      <w:pPr>
        <w:pStyle w:val="atitulo3"/>
        <w:spacing w:before="240"/>
      </w:pPr>
      <w:bookmarkStart w:id="109" w:name="_Toc455145997"/>
      <w:r w:rsidRPr="00786B0E">
        <w:t>V</w:t>
      </w:r>
      <w:r>
        <w:t>I</w:t>
      </w:r>
      <w:r w:rsidRPr="00786B0E">
        <w:t>.</w:t>
      </w:r>
      <w:r>
        <w:t>5</w:t>
      </w:r>
      <w:r w:rsidRPr="00786B0E">
        <w:t>.1. Aspectos generales</w:t>
      </w:r>
      <w:bookmarkEnd w:id="109"/>
    </w:p>
    <w:p w:rsidR="0067725A" w:rsidRPr="003C24C7" w:rsidRDefault="00A37E7E" w:rsidP="00E7288C">
      <w:pPr>
        <w:pStyle w:val="texto"/>
        <w:tabs>
          <w:tab w:val="clear" w:pos="2835"/>
          <w:tab w:val="clear" w:pos="3969"/>
          <w:tab w:val="clear" w:pos="5103"/>
          <w:tab w:val="clear" w:pos="6237"/>
          <w:tab w:val="clear" w:pos="7371"/>
        </w:tabs>
        <w:spacing w:after="160"/>
        <w:rPr>
          <w:lang w:val="es-ES"/>
        </w:rPr>
      </w:pPr>
      <w:r>
        <w:rPr>
          <w:lang w:val="es-ES"/>
        </w:rPr>
        <w:t xml:space="preserve">El </w:t>
      </w:r>
      <w:r w:rsidR="00885C7C">
        <w:rPr>
          <w:lang w:val="es-ES"/>
        </w:rPr>
        <w:t>Pleno</w:t>
      </w:r>
      <w:r>
        <w:rPr>
          <w:lang w:val="es-ES"/>
        </w:rPr>
        <w:t xml:space="preserve"> del Ayuntamiento aprobó el presupuesto general par</w:t>
      </w:r>
      <w:r w:rsidR="00E024F2">
        <w:rPr>
          <w:lang w:val="es-ES"/>
        </w:rPr>
        <w:t>a</w:t>
      </w:r>
      <w:r>
        <w:rPr>
          <w:lang w:val="es-ES"/>
        </w:rPr>
        <w:t xml:space="preserve"> el ejercicio de 2019 el 28 de noviembre de 2018.</w:t>
      </w:r>
      <w:r w:rsidR="00885C7C">
        <w:rPr>
          <w:lang w:val="es-ES"/>
        </w:rPr>
        <w:t xml:space="preserve"> La aprobación definitiva se publicó en </w:t>
      </w:r>
      <w:r w:rsidR="0067725A" w:rsidRPr="00263ABF">
        <w:rPr>
          <w:lang w:val="es-ES"/>
        </w:rPr>
        <w:t>el B</w:t>
      </w:r>
      <w:r w:rsidR="0067725A">
        <w:rPr>
          <w:lang w:val="es-ES"/>
        </w:rPr>
        <w:t>oletín Oficial de Navarra (B</w:t>
      </w:r>
      <w:r w:rsidR="0067725A" w:rsidRPr="00263ABF">
        <w:rPr>
          <w:lang w:val="es-ES"/>
        </w:rPr>
        <w:t>ON</w:t>
      </w:r>
      <w:r w:rsidR="0067725A">
        <w:rPr>
          <w:lang w:val="es-ES"/>
        </w:rPr>
        <w:t xml:space="preserve"> en adelante)</w:t>
      </w:r>
      <w:r w:rsidR="00885C7C">
        <w:rPr>
          <w:lang w:val="es-ES"/>
        </w:rPr>
        <w:t xml:space="preserve"> número </w:t>
      </w:r>
      <w:r w:rsidR="00F808C1">
        <w:rPr>
          <w:lang w:val="es-ES"/>
        </w:rPr>
        <w:t>9</w:t>
      </w:r>
      <w:r w:rsidR="001F1FD9">
        <w:rPr>
          <w:lang w:val="es-ES"/>
        </w:rPr>
        <w:t>, de 1</w:t>
      </w:r>
      <w:r w:rsidR="00F808C1">
        <w:rPr>
          <w:lang w:val="es-ES"/>
        </w:rPr>
        <w:t>5</w:t>
      </w:r>
      <w:r w:rsidR="00885C7C">
        <w:rPr>
          <w:lang w:val="es-ES"/>
        </w:rPr>
        <w:t xml:space="preserve"> de </w:t>
      </w:r>
      <w:r w:rsidR="00F808C1">
        <w:rPr>
          <w:lang w:val="es-ES"/>
        </w:rPr>
        <w:t>ener</w:t>
      </w:r>
      <w:r w:rsidR="00885C7C">
        <w:rPr>
          <w:lang w:val="es-ES"/>
        </w:rPr>
        <w:t>o</w:t>
      </w:r>
      <w:r w:rsidR="001F1FD9">
        <w:rPr>
          <w:lang w:val="es-ES"/>
        </w:rPr>
        <w:t xml:space="preserve"> de </w:t>
      </w:r>
      <w:r w:rsidR="00996B35">
        <w:rPr>
          <w:lang w:val="es-ES"/>
        </w:rPr>
        <w:t>2019</w:t>
      </w:r>
      <w:r w:rsidR="0067725A">
        <w:rPr>
          <w:lang w:val="es-ES"/>
        </w:rPr>
        <w:t>.</w:t>
      </w:r>
    </w:p>
    <w:p w:rsidR="00A93C79" w:rsidRDefault="0067725A" w:rsidP="0067725A">
      <w:pPr>
        <w:pStyle w:val="texto"/>
        <w:tabs>
          <w:tab w:val="clear" w:pos="2835"/>
          <w:tab w:val="clear" w:pos="3969"/>
          <w:tab w:val="clear" w:pos="5103"/>
          <w:tab w:val="clear" w:pos="6237"/>
          <w:tab w:val="clear" w:pos="7371"/>
        </w:tabs>
        <w:rPr>
          <w:color w:val="000000" w:themeColor="text1"/>
        </w:rPr>
      </w:pPr>
      <w:r w:rsidRPr="00923423">
        <w:t xml:space="preserve">La liquidación de los presupuestos de </w:t>
      </w:r>
      <w:r w:rsidR="00996B35" w:rsidRPr="00923423">
        <w:t>2019</w:t>
      </w:r>
      <w:r w:rsidRPr="00923423">
        <w:t xml:space="preserve"> del </w:t>
      </w:r>
      <w:r w:rsidR="00996B35" w:rsidRPr="00923423">
        <w:t>a</w:t>
      </w:r>
      <w:r w:rsidR="00D426D2" w:rsidRPr="00923423">
        <w:t>yuntamiento</w:t>
      </w:r>
      <w:r w:rsidRPr="00923423">
        <w:t xml:space="preserve"> </w:t>
      </w:r>
      <w:r w:rsidR="00194D6A" w:rsidRPr="00923423">
        <w:t>fue aprobada m</w:t>
      </w:r>
      <w:r w:rsidR="00194D6A" w:rsidRPr="00923423">
        <w:t>e</w:t>
      </w:r>
      <w:r w:rsidR="00194D6A" w:rsidRPr="00923423">
        <w:t>diante Resolución de Alcaldía de fecha 2</w:t>
      </w:r>
      <w:r w:rsidR="00923423" w:rsidRPr="00923423">
        <w:t>5</w:t>
      </w:r>
      <w:r w:rsidR="00194D6A" w:rsidRPr="00923423">
        <w:t xml:space="preserve"> de </w:t>
      </w:r>
      <w:r w:rsidR="00923423" w:rsidRPr="00923423">
        <w:t>febrero</w:t>
      </w:r>
      <w:r w:rsidR="00194D6A" w:rsidRPr="00923423">
        <w:t xml:space="preserve"> de 20</w:t>
      </w:r>
      <w:r w:rsidR="00923423" w:rsidRPr="00923423">
        <w:t>20</w:t>
      </w:r>
      <w:r w:rsidR="00194D6A" w:rsidRPr="00923423">
        <w:rPr>
          <w:color w:val="000000" w:themeColor="text1"/>
        </w:rPr>
        <w:t>.</w:t>
      </w:r>
      <w:r w:rsidRPr="00194D6A">
        <w:rPr>
          <w:color w:val="000000" w:themeColor="text1"/>
        </w:rPr>
        <w:t xml:space="preserve"> </w:t>
      </w:r>
    </w:p>
    <w:p w:rsidR="00805209" w:rsidRDefault="00805209" w:rsidP="0067725A">
      <w:pPr>
        <w:pStyle w:val="texto"/>
        <w:tabs>
          <w:tab w:val="clear" w:pos="2835"/>
          <w:tab w:val="clear" w:pos="3969"/>
          <w:tab w:val="clear" w:pos="5103"/>
          <w:tab w:val="clear" w:pos="6237"/>
          <w:tab w:val="clear" w:pos="7371"/>
        </w:tabs>
      </w:pPr>
      <w:r>
        <w:t xml:space="preserve">De la revisión realizada sobre la Cuenta General señalamos lo siguiente: </w:t>
      </w:r>
    </w:p>
    <w:p w:rsidR="00EB11A4" w:rsidRDefault="00EB11A4" w:rsidP="00525187">
      <w:pPr>
        <w:pStyle w:val="texto"/>
        <w:numPr>
          <w:ilvl w:val="0"/>
          <w:numId w:val="1"/>
        </w:numPr>
        <w:tabs>
          <w:tab w:val="clear" w:pos="2835"/>
          <w:tab w:val="clear" w:pos="3969"/>
          <w:tab w:val="clear" w:pos="5103"/>
          <w:tab w:val="clear" w:pos="6237"/>
          <w:tab w:val="clear" w:pos="7371"/>
          <w:tab w:val="left" w:pos="480"/>
          <w:tab w:val="num" w:pos="720"/>
          <w:tab w:val="num" w:pos="6597"/>
        </w:tabs>
        <w:ind w:left="0" w:firstLine="289"/>
      </w:pPr>
      <w:r w:rsidRPr="007A0FE2">
        <w:t xml:space="preserve">Las cuentas del año </w:t>
      </w:r>
      <w:r w:rsidR="00996B35">
        <w:t>2019</w:t>
      </w:r>
      <w:r w:rsidR="00A53779">
        <w:t xml:space="preserve"> de </w:t>
      </w:r>
      <w:proofErr w:type="spellStart"/>
      <w:r w:rsidR="00A53779">
        <w:t>Andacelay</w:t>
      </w:r>
      <w:proofErr w:type="spellEnd"/>
      <w:r w:rsidR="00A53779">
        <w:t xml:space="preserve">, S.L. </w:t>
      </w:r>
      <w:r w:rsidRPr="007A0FE2">
        <w:t>están auditadas por profesionales externos. Dicho informe de auditoría financiera presenta opinión favorable.</w:t>
      </w:r>
    </w:p>
    <w:p w:rsidR="00CC0D59" w:rsidRPr="004E1B1A" w:rsidRDefault="00CC0D59" w:rsidP="00525187">
      <w:pPr>
        <w:pStyle w:val="texto"/>
        <w:numPr>
          <w:ilvl w:val="0"/>
          <w:numId w:val="1"/>
        </w:numPr>
        <w:tabs>
          <w:tab w:val="clear" w:pos="2835"/>
          <w:tab w:val="clear" w:pos="3969"/>
          <w:tab w:val="clear" w:pos="5103"/>
          <w:tab w:val="clear" w:pos="6237"/>
          <w:tab w:val="clear" w:pos="7371"/>
          <w:tab w:val="left" w:pos="480"/>
          <w:tab w:val="num" w:pos="720"/>
          <w:tab w:val="num" w:pos="6597"/>
        </w:tabs>
        <w:ind w:left="0" w:firstLine="289"/>
      </w:pPr>
      <w:r w:rsidRPr="004E1B1A">
        <w:t xml:space="preserve">Se ha tramitado </w:t>
      </w:r>
      <w:r w:rsidR="00AF10C2" w:rsidRPr="004E1B1A">
        <w:t>una modificación pres</w:t>
      </w:r>
      <w:r w:rsidR="004E1B1A" w:rsidRPr="004E1B1A">
        <w:t>u</w:t>
      </w:r>
      <w:r w:rsidR="00AF10C2" w:rsidRPr="004E1B1A">
        <w:t>pue</w:t>
      </w:r>
      <w:r w:rsidRPr="004E1B1A">
        <w:t>staria financia</w:t>
      </w:r>
      <w:r w:rsidR="00AF10C2" w:rsidRPr="004E1B1A">
        <w:t>da</w:t>
      </w:r>
      <w:r w:rsidRPr="004E1B1A">
        <w:t xml:space="preserve"> con mayores i</w:t>
      </w:r>
      <w:r w:rsidRPr="004E1B1A">
        <w:t>n</w:t>
      </w:r>
      <w:r w:rsidRPr="004E1B1A">
        <w:t>gresos sobre los previstos, sin que dicha financiación estuviera efectivamente r</w:t>
      </w:r>
      <w:r w:rsidRPr="004E1B1A">
        <w:t>e</w:t>
      </w:r>
      <w:r w:rsidRPr="004E1B1A">
        <w:t>caudada.</w:t>
      </w:r>
    </w:p>
    <w:p w:rsidR="00A53779" w:rsidRPr="00923423" w:rsidRDefault="004B617A" w:rsidP="00525187">
      <w:pPr>
        <w:pStyle w:val="texto"/>
        <w:numPr>
          <w:ilvl w:val="0"/>
          <w:numId w:val="1"/>
        </w:numPr>
        <w:tabs>
          <w:tab w:val="clear" w:pos="2835"/>
          <w:tab w:val="clear" w:pos="3969"/>
          <w:tab w:val="clear" w:pos="5103"/>
          <w:tab w:val="clear" w:pos="6237"/>
          <w:tab w:val="clear" w:pos="7371"/>
          <w:tab w:val="left" w:pos="480"/>
          <w:tab w:val="num" w:pos="720"/>
          <w:tab w:val="num" w:pos="6597"/>
        </w:tabs>
        <w:ind w:left="0" w:firstLine="289"/>
      </w:pPr>
      <w:r w:rsidRPr="009F5A89">
        <w:rPr>
          <w:color w:val="000000" w:themeColor="text1"/>
        </w:rPr>
        <w:t>La intervención no ha formulado reparos en</w:t>
      </w:r>
      <w:r w:rsidR="0063304F" w:rsidRPr="009F5A89">
        <w:rPr>
          <w:color w:val="000000" w:themeColor="text1"/>
        </w:rPr>
        <w:t xml:space="preserve"> </w:t>
      </w:r>
      <w:r w:rsidR="00A53779" w:rsidRPr="009F5A89">
        <w:rPr>
          <w:color w:val="000000" w:themeColor="text1"/>
        </w:rPr>
        <w:t>2019.</w:t>
      </w:r>
    </w:p>
    <w:p w:rsidR="00E6607E" w:rsidRPr="00A53779" w:rsidRDefault="00E6607E" w:rsidP="00525187">
      <w:pPr>
        <w:pStyle w:val="texto"/>
        <w:numPr>
          <w:ilvl w:val="0"/>
          <w:numId w:val="1"/>
        </w:numPr>
        <w:tabs>
          <w:tab w:val="clear" w:pos="2835"/>
          <w:tab w:val="clear" w:pos="3969"/>
          <w:tab w:val="clear" w:pos="5103"/>
          <w:tab w:val="clear" w:pos="6237"/>
          <w:tab w:val="clear" w:pos="7371"/>
          <w:tab w:val="left" w:pos="480"/>
          <w:tab w:val="num" w:pos="720"/>
          <w:tab w:val="num" w:pos="6597"/>
        </w:tabs>
        <w:ind w:left="0" w:firstLine="289"/>
      </w:pPr>
      <w:r w:rsidRPr="00A53779">
        <w:t>El ayuntamiento tiene aprobado el inventario municipal donde consta de forma separada el Patrimonio Municipal del Suelo. Verificamos que tanto el inmovilizado del balance como el inventario están actualizados y el ayuntamiento lleva un ad</w:t>
      </w:r>
      <w:r w:rsidRPr="00A53779">
        <w:t>e</w:t>
      </w:r>
      <w:r w:rsidRPr="00A53779">
        <w:t xml:space="preserve">cuado control de los mismos. </w:t>
      </w:r>
    </w:p>
    <w:p w:rsidR="00EA160D" w:rsidRDefault="00EA160D" w:rsidP="004B760B">
      <w:pPr>
        <w:pStyle w:val="texto"/>
        <w:tabs>
          <w:tab w:val="clear" w:pos="2835"/>
          <w:tab w:val="clear" w:pos="3969"/>
          <w:tab w:val="clear" w:pos="5103"/>
          <w:tab w:val="clear" w:pos="6237"/>
          <w:tab w:val="clear" w:pos="7371"/>
          <w:tab w:val="left" w:pos="426"/>
        </w:tabs>
      </w:pPr>
      <w:r>
        <w:t>Según informe facilitado por el asesor jurídico del ayuntamiento, constan al ci</w:t>
      </w:r>
      <w:r>
        <w:t>e</w:t>
      </w:r>
      <w:r>
        <w:t>rre de 2019 ocho litigios pendientes de resolver. La suma de las posibles reperc</w:t>
      </w:r>
      <w:r>
        <w:t>u</w:t>
      </w:r>
      <w:r>
        <w:t xml:space="preserve">siones económicas de los mismos asciende a 127.681 euros. </w:t>
      </w:r>
    </w:p>
    <w:p w:rsidR="00AF10C2" w:rsidRDefault="00A62BAF" w:rsidP="00F808C1">
      <w:pPr>
        <w:pStyle w:val="texto"/>
        <w:tabs>
          <w:tab w:val="clear" w:pos="2835"/>
          <w:tab w:val="clear" w:pos="3969"/>
          <w:tab w:val="clear" w:pos="5103"/>
          <w:tab w:val="clear" w:pos="6237"/>
          <w:tab w:val="clear" w:pos="7371"/>
        </w:tabs>
        <w:spacing w:after="160"/>
        <w:rPr>
          <w:rFonts w:cs="Arial"/>
          <w:i/>
          <w:spacing w:val="4"/>
        </w:rPr>
      </w:pPr>
      <w:r w:rsidRPr="00F808C1">
        <w:rPr>
          <w:i/>
        </w:rPr>
        <w:t>Recomendam</w:t>
      </w:r>
      <w:r w:rsidR="00F808C1">
        <w:rPr>
          <w:i/>
        </w:rPr>
        <w:t>os c</w:t>
      </w:r>
      <w:r w:rsidR="00AF10C2">
        <w:rPr>
          <w:rFonts w:cs="Arial"/>
          <w:i/>
          <w:spacing w:val="4"/>
        </w:rPr>
        <w:t>umplir los requisitos establecidos en la normativa para la ap</w:t>
      </w:r>
      <w:r w:rsidR="00F808C1">
        <w:rPr>
          <w:rFonts w:cs="Arial"/>
          <w:i/>
          <w:spacing w:val="4"/>
        </w:rPr>
        <w:t>r</w:t>
      </w:r>
      <w:r w:rsidR="00F808C1">
        <w:rPr>
          <w:rFonts w:cs="Arial"/>
          <w:i/>
          <w:spacing w:val="4"/>
        </w:rPr>
        <w:t>o</w:t>
      </w:r>
      <w:r w:rsidR="00F808C1">
        <w:rPr>
          <w:rFonts w:cs="Arial"/>
          <w:i/>
          <w:spacing w:val="4"/>
        </w:rPr>
        <w:t>bación</w:t>
      </w:r>
      <w:r w:rsidR="00AF10C2">
        <w:rPr>
          <w:rFonts w:cs="Arial"/>
          <w:i/>
          <w:spacing w:val="4"/>
        </w:rPr>
        <w:t xml:space="preserve"> de las modificaciones presupuestarias.</w:t>
      </w:r>
    </w:p>
    <w:p w:rsidR="00525187" w:rsidRPr="00F808C1" w:rsidRDefault="00525187" w:rsidP="00F808C1">
      <w:pPr>
        <w:pStyle w:val="texto"/>
        <w:tabs>
          <w:tab w:val="clear" w:pos="2835"/>
          <w:tab w:val="clear" w:pos="3969"/>
          <w:tab w:val="clear" w:pos="5103"/>
          <w:tab w:val="clear" w:pos="6237"/>
          <w:tab w:val="clear" w:pos="7371"/>
        </w:tabs>
        <w:spacing w:after="160"/>
      </w:pPr>
    </w:p>
    <w:p w:rsidR="0040484D" w:rsidRDefault="0040484D">
      <w:pPr>
        <w:spacing w:after="0"/>
        <w:ind w:firstLine="0"/>
        <w:jc w:val="left"/>
        <w:rPr>
          <w:rFonts w:ascii="Arial" w:hAnsi="Arial"/>
          <w:i/>
          <w:iCs/>
          <w:color w:val="000000"/>
          <w:spacing w:val="10"/>
          <w:kern w:val="28"/>
          <w:sz w:val="25"/>
          <w:szCs w:val="26"/>
        </w:rPr>
      </w:pPr>
      <w:bookmarkStart w:id="110" w:name="_Toc430935368"/>
      <w:bookmarkStart w:id="111" w:name="_Toc455145998"/>
      <w:r>
        <w:br w:type="page"/>
      </w:r>
    </w:p>
    <w:p w:rsidR="0067725A" w:rsidRPr="00BC13C3" w:rsidRDefault="0067725A" w:rsidP="008B19FF">
      <w:pPr>
        <w:pStyle w:val="atitulo3"/>
        <w:spacing w:before="360" w:after="220"/>
      </w:pPr>
      <w:r w:rsidRPr="00BC13C3">
        <w:lastRenderedPageBreak/>
        <w:t>V</w:t>
      </w:r>
      <w:r>
        <w:t>I</w:t>
      </w:r>
      <w:r w:rsidRPr="00BC13C3">
        <w:t>.</w:t>
      </w:r>
      <w:r>
        <w:t>5.</w:t>
      </w:r>
      <w:r w:rsidR="00E6607E">
        <w:t>2</w:t>
      </w:r>
      <w:r w:rsidRPr="00BC13C3">
        <w:t xml:space="preserve">. Gastos de personal </w:t>
      </w:r>
      <w:bookmarkEnd w:id="110"/>
      <w:bookmarkEnd w:id="111"/>
    </w:p>
    <w:p w:rsidR="00E6607E" w:rsidRPr="009F5A89" w:rsidRDefault="0067725A" w:rsidP="009A163A">
      <w:pPr>
        <w:pStyle w:val="texto"/>
        <w:tabs>
          <w:tab w:val="clear" w:pos="2835"/>
          <w:tab w:val="clear" w:pos="3969"/>
          <w:tab w:val="clear" w:pos="5103"/>
          <w:tab w:val="clear" w:pos="6237"/>
          <w:tab w:val="clear" w:pos="7371"/>
        </w:tabs>
        <w:spacing w:after="120"/>
      </w:pPr>
      <w:r w:rsidRPr="00A53779">
        <w:t xml:space="preserve">Los gastos de personal ascendieron a </w:t>
      </w:r>
      <w:r w:rsidR="00E6607E" w:rsidRPr="00A53779">
        <w:t>6</w:t>
      </w:r>
      <w:r w:rsidR="00F54F3A">
        <w:t>,</w:t>
      </w:r>
      <w:r w:rsidR="00E6607E" w:rsidRPr="00A53779">
        <w:t>17</w:t>
      </w:r>
      <w:r w:rsidRPr="00A53779">
        <w:t xml:space="preserve"> </w:t>
      </w:r>
      <w:r w:rsidR="00E6607E" w:rsidRPr="00A53779">
        <w:t xml:space="preserve">millones </w:t>
      </w:r>
      <w:r w:rsidR="00E6607E" w:rsidRPr="009F5A89">
        <w:t>de euros</w:t>
      </w:r>
      <w:r w:rsidR="00E6607E" w:rsidRPr="00A53779">
        <w:t xml:space="preserve">, </w:t>
      </w:r>
      <w:r w:rsidR="00E6607E" w:rsidRPr="009F5A89">
        <w:t>un 97 por ciento de los créditos definitivos. Representan el 4</w:t>
      </w:r>
      <w:r w:rsidR="005C377B" w:rsidRPr="009F5A89">
        <w:t>2</w:t>
      </w:r>
      <w:r w:rsidR="00E6607E" w:rsidRPr="009F5A89">
        <w:t xml:space="preserve"> por ciento del total de gastos devengados en el ejercicio y aumentaron en un 15 por ciento respecto al ejercicio precedente, debido </w:t>
      </w:r>
      <w:r w:rsidR="0081232C" w:rsidRPr="009F5A89">
        <w:t>principalmente</w:t>
      </w:r>
      <w:r w:rsidR="00E6607E" w:rsidRPr="009F5A89">
        <w:t xml:space="preserve"> al reconocimiento del grado al personal contratado admini</w:t>
      </w:r>
      <w:r w:rsidR="00E6607E" w:rsidRPr="009F5A89">
        <w:t>s</w:t>
      </w:r>
      <w:r w:rsidR="00E6607E" w:rsidRPr="009F5A89">
        <w:t>trativo, con efectos retroactivos de 2015.</w:t>
      </w:r>
    </w:p>
    <w:p w:rsidR="00E2774B" w:rsidRDefault="00A53779" w:rsidP="009A163A">
      <w:pPr>
        <w:pStyle w:val="texto"/>
        <w:spacing w:after="220"/>
      </w:pPr>
      <w:r>
        <w:t>La comparativa con el ejercicio anterior se muestra en el cuadro siguiente</w:t>
      </w:r>
      <w:r w:rsidR="0067725A" w:rsidRPr="00263ABF">
        <w:t>:</w:t>
      </w:r>
    </w:p>
    <w:tbl>
      <w:tblPr>
        <w:tblW w:w="5000" w:type="pct"/>
        <w:tblCellMar>
          <w:left w:w="70" w:type="dxa"/>
          <w:right w:w="70" w:type="dxa"/>
        </w:tblCellMar>
        <w:tblLook w:val="04A0" w:firstRow="1" w:lastRow="0" w:firstColumn="1" w:lastColumn="0" w:noHBand="0" w:noVBand="1"/>
      </w:tblPr>
      <w:tblGrid>
        <w:gridCol w:w="4770"/>
        <w:gridCol w:w="1792"/>
        <w:gridCol w:w="1396"/>
        <w:gridCol w:w="1396"/>
      </w:tblGrid>
      <w:tr w:rsidR="00A53779" w:rsidRPr="00A53779" w:rsidTr="00525187">
        <w:trPr>
          <w:trHeight w:val="315"/>
        </w:trPr>
        <w:tc>
          <w:tcPr>
            <w:tcW w:w="2550" w:type="pct"/>
            <w:tcBorders>
              <w:top w:val="single" w:sz="4" w:space="0" w:color="auto"/>
              <w:left w:val="nil"/>
              <w:bottom w:val="single" w:sz="4" w:space="0" w:color="auto"/>
              <w:right w:val="nil"/>
            </w:tcBorders>
            <w:shd w:val="clear" w:color="000000" w:fill="FABF8F"/>
            <w:vAlign w:val="center"/>
            <w:hideMark/>
          </w:tcPr>
          <w:p w:rsidR="00A53779" w:rsidRPr="00A53779" w:rsidRDefault="00A53779" w:rsidP="00A53779">
            <w:pPr>
              <w:spacing w:after="0"/>
              <w:ind w:firstLine="0"/>
              <w:jc w:val="left"/>
              <w:rPr>
                <w:rFonts w:ascii="Arial" w:hAnsi="Arial" w:cs="Arial"/>
                <w:color w:val="000000"/>
                <w:sz w:val="18"/>
                <w:szCs w:val="18"/>
                <w:lang w:val="es-ES" w:eastAsia="es-ES"/>
              </w:rPr>
            </w:pPr>
            <w:r w:rsidRPr="00A53779">
              <w:rPr>
                <w:rFonts w:ascii="Arial" w:hAnsi="Arial" w:cs="Arial"/>
                <w:color w:val="000000"/>
                <w:sz w:val="18"/>
                <w:szCs w:val="18"/>
                <w:lang w:val="es-ES" w:eastAsia="es-ES"/>
              </w:rPr>
              <w:t>Concepto</w:t>
            </w:r>
          </w:p>
        </w:tc>
        <w:tc>
          <w:tcPr>
            <w:tcW w:w="958" w:type="pct"/>
            <w:tcBorders>
              <w:top w:val="single" w:sz="4" w:space="0" w:color="auto"/>
              <w:left w:val="nil"/>
              <w:bottom w:val="single" w:sz="4" w:space="0" w:color="auto"/>
              <w:right w:val="nil"/>
            </w:tcBorders>
            <w:shd w:val="clear" w:color="000000" w:fill="FABF8F"/>
            <w:vAlign w:val="center"/>
            <w:hideMark/>
          </w:tcPr>
          <w:p w:rsidR="00A53779" w:rsidRPr="00A53779" w:rsidRDefault="00A53779" w:rsidP="00525187">
            <w:pPr>
              <w:spacing w:after="0"/>
              <w:ind w:firstLine="0"/>
              <w:jc w:val="right"/>
              <w:rPr>
                <w:rFonts w:ascii="Arial" w:hAnsi="Arial" w:cs="Arial"/>
                <w:color w:val="000000"/>
                <w:sz w:val="18"/>
                <w:szCs w:val="18"/>
                <w:lang w:val="es-ES" w:eastAsia="es-ES"/>
              </w:rPr>
            </w:pPr>
            <w:r w:rsidRPr="00A53779">
              <w:rPr>
                <w:rFonts w:ascii="Arial" w:hAnsi="Arial" w:cs="Arial"/>
                <w:color w:val="000000"/>
                <w:sz w:val="18"/>
                <w:szCs w:val="18"/>
                <w:lang w:val="es-ES" w:eastAsia="es-ES"/>
              </w:rPr>
              <w:t>ORN 2018</w:t>
            </w:r>
          </w:p>
        </w:tc>
        <w:tc>
          <w:tcPr>
            <w:tcW w:w="746" w:type="pct"/>
            <w:tcBorders>
              <w:top w:val="single" w:sz="4" w:space="0" w:color="auto"/>
              <w:left w:val="nil"/>
              <w:bottom w:val="single" w:sz="4" w:space="0" w:color="auto"/>
              <w:right w:val="nil"/>
            </w:tcBorders>
            <w:shd w:val="clear" w:color="000000" w:fill="FABF8F"/>
            <w:vAlign w:val="center"/>
            <w:hideMark/>
          </w:tcPr>
          <w:p w:rsidR="00A53779" w:rsidRPr="00A53779" w:rsidRDefault="00A53779" w:rsidP="00525187">
            <w:pPr>
              <w:spacing w:after="0"/>
              <w:ind w:firstLine="0"/>
              <w:jc w:val="right"/>
              <w:rPr>
                <w:rFonts w:ascii="Arial" w:hAnsi="Arial" w:cs="Arial"/>
                <w:color w:val="000000"/>
                <w:sz w:val="18"/>
                <w:szCs w:val="18"/>
                <w:lang w:val="es-ES" w:eastAsia="es-ES"/>
              </w:rPr>
            </w:pPr>
            <w:r w:rsidRPr="00A53779">
              <w:rPr>
                <w:rFonts w:ascii="Arial" w:hAnsi="Arial" w:cs="Arial"/>
                <w:color w:val="000000"/>
                <w:sz w:val="18"/>
                <w:szCs w:val="18"/>
                <w:lang w:val="es-ES" w:eastAsia="es-ES"/>
              </w:rPr>
              <w:t>ORN 2019</w:t>
            </w:r>
          </w:p>
        </w:tc>
        <w:tc>
          <w:tcPr>
            <w:tcW w:w="746" w:type="pct"/>
            <w:tcBorders>
              <w:top w:val="single" w:sz="4" w:space="0" w:color="auto"/>
              <w:left w:val="nil"/>
              <w:bottom w:val="single" w:sz="4" w:space="0" w:color="auto"/>
              <w:right w:val="nil"/>
            </w:tcBorders>
            <w:shd w:val="clear" w:color="000000" w:fill="FABF8F"/>
            <w:vAlign w:val="center"/>
            <w:hideMark/>
          </w:tcPr>
          <w:p w:rsidR="00A53779" w:rsidRPr="00A53779" w:rsidRDefault="00A53779" w:rsidP="00525187">
            <w:pPr>
              <w:spacing w:after="0"/>
              <w:ind w:firstLine="0"/>
              <w:jc w:val="right"/>
              <w:rPr>
                <w:rFonts w:ascii="Arial" w:hAnsi="Arial" w:cs="Arial"/>
                <w:color w:val="000000"/>
                <w:sz w:val="18"/>
                <w:szCs w:val="18"/>
                <w:lang w:val="es-ES" w:eastAsia="es-ES"/>
              </w:rPr>
            </w:pPr>
            <w:r w:rsidRPr="00A53779">
              <w:rPr>
                <w:rFonts w:ascii="Arial" w:hAnsi="Arial" w:cs="Arial"/>
                <w:color w:val="000000"/>
                <w:sz w:val="18"/>
                <w:szCs w:val="18"/>
                <w:lang w:val="es-ES" w:eastAsia="es-ES"/>
              </w:rPr>
              <w:t>% Variación</w:t>
            </w:r>
          </w:p>
        </w:tc>
      </w:tr>
      <w:tr w:rsidR="00A53779" w:rsidRPr="00A53779" w:rsidTr="00525187">
        <w:trPr>
          <w:trHeight w:val="315"/>
        </w:trPr>
        <w:tc>
          <w:tcPr>
            <w:tcW w:w="2550" w:type="pct"/>
            <w:tcBorders>
              <w:top w:val="single" w:sz="4" w:space="0" w:color="auto"/>
              <w:left w:val="nil"/>
              <w:bottom w:val="single" w:sz="2" w:space="0" w:color="auto"/>
              <w:right w:val="nil"/>
            </w:tcBorders>
            <w:shd w:val="clear" w:color="auto" w:fill="auto"/>
            <w:noWrap/>
            <w:vAlign w:val="center"/>
            <w:hideMark/>
          </w:tcPr>
          <w:p w:rsidR="00A53779" w:rsidRPr="00A53779" w:rsidRDefault="00A53779" w:rsidP="00A53779">
            <w:pPr>
              <w:spacing w:after="0"/>
              <w:ind w:firstLine="0"/>
              <w:jc w:val="left"/>
              <w:rPr>
                <w:rFonts w:ascii="Arial Narrow" w:hAnsi="Arial Narrow"/>
                <w:color w:val="000000"/>
                <w:lang w:val="es-ES" w:eastAsia="es-ES"/>
              </w:rPr>
            </w:pPr>
            <w:r w:rsidRPr="00A53779">
              <w:rPr>
                <w:rFonts w:ascii="Arial Narrow" w:hAnsi="Arial Narrow"/>
                <w:color w:val="000000"/>
                <w:lang w:val="es-ES" w:eastAsia="es-ES"/>
              </w:rPr>
              <w:t>Retribuciones cargos electos</w:t>
            </w:r>
          </w:p>
        </w:tc>
        <w:tc>
          <w:tcPr>
            <w:tcW w:w="958" w:type="pct"/>
            <w:tcBorders>
              <w:top w:val="single" w:sz="4" w:space="0" w:color="auto"/>
              <w:left w:val="nil"/>
              <w:bottom w:val="single" w:sz="2" w:space="0" w:color="auto"/>
              <w:right w:val="nil"/>
            </w:tcBorders>
            <w:shd w:val="clear" w:color="auto" w:fill="auto"/>
            <w:noWrap/>
            <w:vAlign w:val="center"/>
            <w:hideMark/>
          </w:tcPr>
          <w:p w:rsidR="00A53779" w:rsidRPr="00A53779" w:rsidRDefault="00A53779" w:rsidP="00A53779">
            <w:pPr>
              <w:spacing w:after="0"/>
              <w:ind w:firstLine="0"/>
              <w:jc w:val="right"/>
              <w:rPr>
                <w:rFonts w:ascii="Arial Narrow" w:hAnsi="Arial Narrow"/>
                <w:color w:val="000000"/>
                <w:sz w:val="18"/>
                <w:szCs w:val="18"/>
                <w:lang w:val="es-ES" w:eastAsia="es-ES"/>
              </w:rPr>
            </w:pPr>
            <w:r w:rsidRPr="00A53779">
              <w:rPr>
                <w:rFonts w:ascii="Arial Narrow" w:hAnsi="Arial Narrow"/>
                <w:color w:val="000000"/>
                <w:sz w:val="18"/>
                <w:szCs w:val="18"/>
                <w:lang w:val="es-ES" w:eastAsia="es-ES"/>
              </w:rPr>
              <w:t>125.428</w:t>
            </w:r>
          </w:p>
        </w:tc>
        <w:tc>
          <w:tcPr>
            <w:tcW w:w="746" w:type="pct"/>
            <w:tcBorders>
              <w:top w:val="single" w:sz="4" w:space="0" w:color="auto"/>
              <w:left w:val="nil"/>
              <w:bottom w:val="single" w:sz="2" w:space="0" w:color="auto"/>
              <w:right w:val="nil"/>
            </w:tcBorders>
            <w:shd w:val="clear" w:color="auto" w:fill="auto"/>
            <w:noWrap/>
            <w:vAlign w:val="center"/>
            <w:hideMark/>
          </w:tcPr>
          <w:p w:rsidR="00A53779" w:rsidRPr="00A53779" w:rsidRDefault="00A53779" w:rsidP="00A53779">
            <w:pPr>
              <w:spacing w:after="0"/>
              <w:ind w:firstLine="0"/>
              <w:jc w:val="right"/>
              <w:rPr>
                <w:rFonts w:ascii="Arial Narrow" w:hAnsi="Arial Narrow"/>
                <w:color w:val="000000"/>
                <w:sz w:val="18"/>
                <w:szCs w:val="18"/>
                <w:lang w:val="es-ES" w:eastAsia="es-ES"/>
              </w:rPr>
            </w:pPr>
            <w:r w:rsidRPr="00A53779">
              <w:rPr>
                <w:rFonts w:ascii="Arial Narrow" w:hAnsi="Arial Narrow"/>
                <w:color w:val="000000"/>
                <w:sz w:val="18"/>
                <w:szCs w:val="18"/>
                <w:lang w:val="es-ES" w:eastAsia="es-ES"/>
              </w:rPr>
              <w:t>104.009</w:t>
            </w:r>
          </w:p>
        </w:tc>
        <w:tc>
          <w:tcPr>
            <w:tcW w:w="746" w:type="pct"/>
            <w:tcBorders>
              <w:top w:val="single" w:sz="4" w:space="0" w:color="auto"/>
              <w:left w:val="nil"/>
              <w:bottom w:val="single" w:sz="2" w:space="0" w:color="auto"/>
              <w:right w:val="nil"/>
            </w:tcBorders>
            <w:shd w:val="clear" w:color="auto" w:fill="auto"/>
            <w:noWrap/>
            <w:vAlign w:val="center"/>
            <w:hideMark/>
          </w:tcPr>
          <w:p w:rsidR="00A53779" w:rsidRPr="00A53779" w:rsidRDefault="00A53779" w:rsidP="00A53779">
            <w:pPr>
              <w:spacing w:after="0"/>
              <w:ind w:firstLine="0"/>
              <w:jc w:val="right"/>
              <w:rPr>
                <w:rFonts w:ascii="Arial Narrow" w:hAnsi="Arial Narrow"/>
                <w:color w:val="000000"/>
                <w:sz w:val="18"/>
                <w:szCs w:val="18"/>
                <w:lang w:val="es-ES" w:eastAsia="es-ES"/>
              </w:rPr>
            </w:pPr>
            <w:r w:rsidRPr="00A53779">
              <w:rPr>
                <w:rFonts w:ascii="Arial Narrow" w:hAnsi="Arial Narrow"/>
                <w:color w:val="000000"/>
                <w:sz w:val="18"/>
                <w:szCs w:val="18"/>
                <w:lang w:val="es-ES" w:eastAsia="es-ES"/>
              </w:rPr>
              <w:t>-17</w:t>
            </w:r>
          </w:p>
        </w:tc>
      </w:tr>
      <w:tr w:rsidR="00A53779" w:rsidRPr="00A53779" w:rsidTr="00525187">
        <w:trPr>
          <w:trHeight w:val="315"/>
        </w:trPr>
        <w:tc>
          <w:tcPr>
            <w:tcW w:w="2550" w:type="pct"/>
            <w:tcBorders>
              <w:top w:val="single" w:sz="2" w:space="0" w:color="auto"/>
              <w:left w:val="nil"/>
              <w:bottom w:val="single" w:sz="2" w:space="0" w:color="auto"/>
              <w:right w:val="nil"/>
            </w:tcBorders>
            <w:shd w:val="clear" w:color="auto" w:fill="auto"/>
            <w:noWrap/>
            <w:vAlign w:val="center"/>
            <w:hideMark/>
          </w:tcPr>
          <w:p w:rsidR="00A53779" w:rsidRPr="00A53779" w:rsidRDefault="00A53779" w:rsidP="00A53779">
            <w:pPr>
              <w:spacing w:after="0"/>
              <w:ind w:firstLine="0"/>
              <w:jc w:val="left"/>
              <w:rPr>
                <w:rFonts w:ascii="Arial Narrow" w:hAnsi="Arial Narrow"/>
                <w:color w:val="000000"/>
                <w:lang w:val="es-ES" w:eastAsia="es-ES"/>
              </w:rPr>
            </w:pPr>
            <w:r w:rsidRPr="00A53779">
              <w:rPr>
                <w:rFonts w:ascii="Arial Narrow" w:hAnsi="Arial Narrow"/>
                <w:color w:val="000000"/>
                <w:lang w:val="es-ES" w:eastAsia="es-ES"/>
              </w:rPr>
              <w:t>Retribuciones personal eventual</w:t>
            </w:r>
          </w:p>
        </w:tc>
        <w:tc>
          <w:tcPr>
            <w:tcW w:w="958" w:type="pct"/>
            <w:tcBorders>
              <w:top w:val="single" w:sz="2" w:space="0" w:color="auto"/>
              <w:left w:val="nil"/>
              <w:bottom w:val="single" w:sz="2" w:space="0" w:color="auto"/>
              <w:right w:val="nil"/>
            </w:tcBorders>
            <w:shd w:val="clear" w:color="auto" w:fill="auto"/>
            <w:noWrap/>
            <w:vAlign w:val="center"/>
            <w:hideMark/>
          </w:tcPr>
          <w:p w:rsidR="00A53779" w:rsidRPr="00A53779" w:rsidRDefault="00A53779" w:rsidP="00A53779">
            <w:pPr>
              <w:spacing w:after="0"/>
              <w:ind w:firstLine="0"/>
              <w:jc w:val="right"/>
              <w:rPr>
                <w:rFonts w:ascii="Arial Narrow" w:hAnsi="Arial Narrow"/>
                <w:color w:val="000000"/>
                <w:sz w:val="18"/>
                <w:szCs w:val="18"/>
                <w:lang w:val="es-ES" w:eastAsia="es-ES"/>
              </w:rPr>
            </w:pPr>
            <w:r w:rsidRPr="00A53779">
              <w:rPr>
                <w:rFonts w:ascii="Arial Narrow" w:hAnsi="Arial Narrow"/>
                <w:color w:val="000000"/>
                <w:sz w:val="18"/>
                <w:szCs w:val="18"/>
                <w:lang w:val="es-ES" w:eastAsia="es-ES"/>
              </w:rPr>
              <w:t>58.073</w:t>
            </w:r>
          </w:p>
        </w:tc>
        <w:tc>
          <w:tcPr>
            <w:tcW w:w="746" w:type="pct"/>
            <w:tcBorders>
              <w:top w:val="single" w:sz="2" w:space="0" w:color="auto"/>
              <w:left w:val="nil"/>
              <w:bottom w:val="single" w:sz="2" w:space="0" w:color="auto"/>
              <w:right w:val="nil"/>
            </w:tcBorders>
            <w:shd w:val="clear" w:color="auto" w:fill="auto"/>
            <w:noWrap/>
            <w:vAlign w:val="center"/>
            <w:hideMark/>
          </w:tcPr>
          <w:p w:rsidR="00A53779" w:rsidRPr="00A53779" w:rsidRDefault="00A53779" w:rsidP="00A53779">
            <w:pPr>
              <w:spacing w:after="0"/>
              <w:ind w:firstLine="0"/>
              <w:jc w:val="right"/>
              <w:rPr>
                <w:rFonts w:ascii="Arial Narrow" w:hAnsi="Arial Narrow"/>
                <w:color w:val="000000"/>
                <w:sz w:val="18"/>
                <w:szCs w:val="18"/>
                <w:lang w:val="es-ES" w:eastAsia="es-ES"/>
              </w:rPr>
            </w:pPr>
            <w:r w:rsidRPr="00A53779">
              <w:rPr>
                <w:rFonts w:ascii="Arial Narrow" w:hAnsi="Arial Narrow"/>
                <w:color w:val="000000"/>
                <w:sz w:val="18"/>
                <w:szCs w:val="18"/>
                <w:lang w:val="es-ES" w:eastAsia="es-ES"/>
              </w:rPr>
              <w:t>57.519</w:t>
            </w:r>
          </w:p>
        </w:tc>
        <w:tc>
          <w:tcPr>
            <w:tcW w:w="746" w:type="pct"/>
            <w:tcBorders>
              <w:top w:val="single" w:sz="2" w:space="0" w:color="auto"/>
              <w:left w:val="nil"/>
              <w:bottom w:val="single" w:sz="2" w:space="0" w:color="auto"/>
              <w:right w:val="nil"/>
            </w:tcBorders>
            <w:shd w:val="clear" w:color="auto" w:fill="auto"/>
            <w:noWrap/>
            <w:vAlign w:val="center"/>
            <w:hideMark/>
          </w:tcPr>
          <w:p w:rsidR="00A53779" w:rsidRPr="00A53779" w:rsidRDefault="00A53779" w:rsidP="00A53779">
            <w:pPr>
              <w:spacing w:after="0"/>
              <w:ind w:firstLine="0"/>
              <w:jc w:val="right"/>
              <w:rPr>
                <w:rFonts w:ascii="Arial Narrow" w:hAnsi="Arial Narrow"/>
                <w:color w:val="000000"/>
                <w:sz w:val="18"/>
                <w:szCs w:val="18"/>
                <w:lang w:val="es-ES" w:eastAsia="es-ES"/>
              </w:rPr>
            </w:pPr>
            <w:r w:rsidRPr="00A53779">
              <w:rPr>
                <w:rFonts w:ascii="Arial Narrow" w:hAnsi="Arial Narrow"/>
                <w:color w:val="000000"/>
                <w:sz w:val="18"/>
                <w:szCs w:val="18"/>
                <w:lang w:val="es-ES" w:eastAsia="es-ES"/>
              </w:rPr>
              <w:t>-1</w:t>
            </w:r>
          </w:p>
        </w:tc>
      </w:tr>
      <w:tr w:rsidR="00A53779" w:rsidRPr="00A53779" w:rsidTr="00525187">
        <w:trPr>
          <w:trHeight w:val="315"/>
        </w:trPr>
        <w:tc>
          <w:tcPr>
            <w:tcW w:w="2550" w:type="pct"/>
            <w:tcBorders>
              <w:top w:val="single" w:sz="2" w:space="0" w:color="auto"/>
              <w:left w:val="nil"/>
              <w:bottom w:val="single" w:sz="2" w:space="0" w:color="auto"/>
              <w:right w:val="nil"/>
            </w:tcBorders>
            <w:shd w:val="clear" w:color="auto" w:fill="auto"/>
            <w:noWrap/>
            <w:vAlign w:val="center"/>
            <w:hideMark/>
          </w:tcPr>
          <w:p w:rsidR="00A53779" w:rsidRPr="00A53779" w:rsidRDefault="00A53779" w:rsidP="00A53779">
            <w:pPr>
              <w:spacing w:after="0"/>
              <w:ind w:firstLine="0"/>
              <w:jc w:val="left"/>
              <w:rPr>
                <w:rFonts w:ascii="Arial Narrow" w:hAnsi="Arial Narrow"/>
                <w:color w:val="000000"/>
                <w:lang w:val="es-ES" w:eastAsia="es-ES"/>
              </w:rPr>
            </w:pPr>
            <w:r w:rsidRPr="00A53779">
              <w:rPr>
                <w:rFonts w:ascii="Arial Narrow" w:hAnsi="Arial Narrow"/>
                <w:color w:val="000000"/>
                <w:lang w:val="es-ES" w:eastAsia="es-ES"/>
              </w:rPr>
              <w:t>Retribuciones  básicas funcionarios</w:t>
            </w:r>
          </w:p>
        </w:tc>
        <w:tc>
          <w:tcPr>
            <w:tcW w:w="958" w:type="pct"/>
            <w:tcBorders>
              <w:top w:val="single" w:sz="2" w:space="0" w:color="auto"/>
              <w:left w:val="nil"/>
              <w:bottom w:val="single" w:sz="2" w:space="0" w:color="auto"/>
              <w:right w:val="nil"/>
            </w:tcBorders>
            <w:shd w:val="clear" w:color="auto" w:fill="auto"/>
            <w:noWrap/>
            <w:vAlign w:val="center"/>
            <w:hideMark/>
          </w:tcPr>
          <w:p w:rsidR="00A53779" w:rsidRPr="00A53779" w:rsidRDefault="00A53779" w:rsidP="00A53779">
            <w:pPr>
              <w:spacing w:after="0"/>
              <w:ind w:firstLine="0"/>
              <w:jc w:val="right"/>
              <w:rPr>
                <w:rFonts w:ascii="Arial Narrow" w:hAnsi="Arial Narrow"/>
                <w:color w:val="000000"/>
                <w:sz w:val="18"/>
                <w:szCs w:val="18"/>
                <w:lang w:val="es-ES" w:eastAsia="es-ES"/>
              </w:rPr>
            </w:pPr>
            <w:r w:rsidRPr="00A53779">
              <w:rPr>
                <w:rFonts w:ascii="Arial Narrow" w:hAnsi="Arial Narrow"/>
                <w:color w:val="000000"/>
                <w:sz w:val="18"/>
                <w:szCs w:val="18"/>
                <w:lang w:val="es-ES" w:eastAsia="es-ES"/>
              </w:rPr>
              <w:t>2.065.876</w:t>
            </w:r>
          </w:p>
        </w:tc>
        <w:tc>
          <w:tcPr>
            <w:tcW w:w="746" w:type="pct"/>
            <w:tcBorders>
              <w:top w:val="single" w:sz="2" w:space="0" w:color="auto"/>
              <w:left w:val="nil"/>
              <w:bottom w:val="single" w:sz="2" w:space="0" w:color="auto"/>
              <w:right w:val="nil"/>
            </w:tcBorders>
            <w:shd w:val="clear" w:color="auto" w:fill="auto"/>
            <w:noWrap/>
            <w:vAlign w:val="center"/>
            <w:hideMark/>
          </w:tcPr>
          <w:p w:rsidR="00A53779" w:rsidRPr="00A53779" w:rsidRDefault="00A53779" w:rsidP="00843F44">
            <w:pPr>
              <w:spacing w:after="0"/>
              <w:ind w:firstLine="0"/>
              <w:jc w:val="right"/>
              <w:rPr>
                <w:rFonts w:ascii="Arial Narrow" w:hAnsi="Arial Narrow"/>
                <w:color w:val="000000"/>
                <w:sz w:val="18"/>
                <w:szCs w:val="18"/>
                <w:lang w:val="es-ES" w:eastAsia="es-ES"/>
              </w:rPr>
            </w:pPr>
            <w:r w:rsidRPr="00A53779">
              <w:rPr>
                <w:rFonts w:ascii="Arial Narrow" w:hAnsi="Arial Narrow"/>
                <w:color w:val="000000"/>
                <w:sz w:val="18"/>
                <w:szCs w:val="18"/>
                <w:lang w:val="es-ES" w:eastAsia="es-ES"/>
              </w:rPr>
              <w:t>2.655.68</w:t>
            </w:r>
            <w:r w:rsidR="00843F44">
              <w:rPr>
                <w:rFonts w:ascii="Arial Narrow" w:hAnsi="Arial Narrow"/>
                <w:color w:val="000000"/>
                <w:sz w:val="18"/>
                <w:szCs w:val="18"/>
                <w:lang w:val="es-ES" w:eastAsia="es-ES"/>
              </w:rPr>
              <w:t>7</w:t>
            </w:r>
          </w:p>
        </w:tc>
        <w:tc>
          <w:tcPr>
            <w:tcW w:w="746" w:type="pct"/>
            <w:tcBorders>
              <w:top w:val="single" w:sz="2" w:space="0" w:color="auto"/>
              <w:left w:val="nil"/>
              <w:bottom w:val="single" w:sz="2" w:space="0" w:color="auto"/>
              <w:right w:val="nil"/>
            </w:tcBorders>
            <w:shd w:val="clear" w:color="auto" w:fill="auto"/>
            <w:noWrap/>
            <w:vAlign w:val="center"/>
            <w:hideMark/>
          </w:tcPr>
          <w:p w:rsidR="00A53779" w:rsidRPr="00A53779" w:rsidRDefault="00A53779" w:rsidP="00A53779">
            <w:pPr>
              <w:spacing w:after="0"/>
              <w:ind w:firstLine="0"/>
              <w:jc w:val="right"/>
              <w:rPr>
                <w:rFonts w:ascii="Arial Narrow" w:hAnsi="Arial Narrow"/>
                <w:color w:val="000000"/>
                <w:sz w:val="18"/>
                <w:szCs w:val="18"/>
                <w:lang w:val="es-ES" w:eastAsia="es-ES"/>
              </w:rPr>
            </w:pPr>
            <w:r w:rsidRPr="00A53779">
              <w:rPr>
                <w:rFonts w:ascii="Arial Narrow" w:hAnsi="Arial Narrow"/>
                <w:color w:val="000000"/>
                <w:sz w:val="18"/>
                <w:szCs w:val="18"/>
                <w:lang w:val="es-ES" w:eastAsia="es-ES"/>
              </w:rPr>
              <w:t>29</w:t>
            </w:r>
          </w:p>
        </w:tc>
      </w:tr>
      <w:tr w:rsidR="00A53779" w:rsidRPr="00A53779" w:rsidTr="00525187">
        <w:trPr>
          <w:trHeight w:val="315"/>
        </w:trPr>
        <w:tc>
          <w:tcPr>
            <w:tcW w:w="2550" w:type="pct"/>
            <w:tcBorders>
              <w:top w:val="single" w:sz="2" w:space="0" w:color="auto"/>
              <w:left w:val="nil"/>
              <w:bottom w:val="single" w:sz="2" w:space="0" w:color="auto"/>
              <w:right w:val="nil"/>
            </w:tcBorders>
            <w:shd w:val="clear" w:color="auto" w:fill="auto"/>
            <w:noWrap/>
            <w:vAlign w:val="center"/>
            <w:hideMark/>
          </w:tcPr>
          <w:p w:rsidR="00A53779" w:rsidRPr="00A53779" w:rsidRDefault="00A53779" w:rsidP="00A53779">
            <w:pPr>
              <w:spacing w:after="0"/>
              <w:ind w:firstLine="0"/>
              <w:jc w:val="left"/>
              <w:rPr>
                <w:rFonts w:ascii="Arial Narrow" w:hAnsi="Arial Narrow"/>
                <w:color w:val="000000"/>
                <w:lang w:val="es-ES" w:eastAsia="es-ES"/>
              </w:rPr>
            </w:pPr>
            <w:r w:rsidRPr="00A53779">
              <w:rPr>
                <w:rFonts w:ascii="Arial Narrow" w:hAnsi="Arial Narrow"/>
                <w:color w:val="000000"/>
                <w:lang w:val="es-ES" w:eastAsia="es-ES"/>
              </w:rPr>
              <w:t>Retribuciones complementarias funcionarios</w:t>
            </w:r>
          </w:p>
        </w:tc>
        <w:tc>
          <w:tcPr>
            <w:tcW w:w="958" w:type="pct"/>
            <w:tcBorders>
              <w:top w:val="single" w:sz="2" w:space="0" w:color="auto"/>
              <w:left w:val="nil"/>
              <w:bottom w:val="single" w:sz="2" w:space="0" w:color="auto"/>
              <w:right w:val="nil"/>
            </w:tcBorders>
            <w:shd w:val="clear" w:color="auto" w:fill="auto"/>
            <w:noWrap/>
            <w:vAlign w:val="center"/>
            <w:hideMark/>
          </w:tcPr>
          <w:p w:rsidR="00A53779" w:rsidRPr="00A53779" w:rsidRDefault="00A53779" w:rsidP="00A53779">
            <w:pPr>
              <w:spacing w:after="0"/>
              <w:ind w:firstLine="0"/>
              <w:jc w:val="right"/>
              <w:rPr>
                <w:rFonts w:ascii="Arial Narrow" w:hAnsi="Arial Narrow"/>
                <w:color w:val="000000"/>
                <w:sz w:val="18"/>
                <w:szCs w:val="18"/>
                <w:lang w:val="es-ES" w:eastAsia="es-ES"/>
              </w:rPr>
            </w:pPr>
            <w:r w:rsidRPr="00A53779">
              <w:rPr>
                <w:rFonts w:ascii="Arial Narrow" w:hAnsi="Arial Narrow"/>
                <w:color w:val="000000"/>
                <w:sz w:val="18"/>
                <w:szCs w:val="18"/>
                <w:lang w:val="es-ES" w:eastAsia="es-ES"/>
              </w:rPr>
              <w:t>797.863</w:t>
            </w:r>
          </w:p>
        </w:tc>
        <w:tc>
          <w:tcPr>
            <w:tcW w:w="746" w:type="pct"/>
            <w:tcBorders>
              <w:top w:val="single" w:sz="2" w:space="0" w:color="auto"/>
              <w:left w:val="nil"/>
              <w:bottom w:val="single" w:sz="2" w:space="0" w:color="auto"/>
              <w:right w:val="nil"/>
            </w:tcBorders>
            <w:shd w:val="clear" w:color="auto" w:fill="auto"/>
            <w:noWrap/>
            <w:vAlign w:val="center"/>
            <w:hideMark/>
          </w:tcPr>
          <w:p w:rsidR="00A53779" w:rsidRPr="00A53779" w:rsidRDefault="00A53779" w:rsidP="00A53779">
            <w:pPr>
              <w:spacing w:after="0"/>
              <w:ind w:firstLine="0"/>
              <w:jc w:val="right"/>
              <w:rPr>
                <w:rFonts w:ascii="Arial Narrow" w:hAnsi="Arial Narrow"/>
                <w:color w:val="000000"/>
                <w:sz w:val="18"/>
                <w:szCs w:val="18"/>
                <w:lang w:val="es-ES" w:eastAsia="es-ES"/>
              </w:rPr>
            </w:pPr>
            <w:r w:rsidRPr="00A53779">
              <w:rPr>
                <w:rFonts w:ascii="Arial Narrow" w:hAnsi="Arial Narrow"/>
                <w:color w:val="000000"/>
                <w:sz w:val="18"/>
                <w:szCs w:val="18"/>
                <w:lang w:val="es-ES" w:eastAsia="es-ES"/>
              </w:rPr>
              <w:t>884.061</w:t>
            </w:r>
          </w:p>
        </w:tc>
        <w:tc>
          <w:tcPr>
            <w:tcW w:w="746" w:type="pct"/>
            <w:tcBorders>
              <w:top w:val="single" w:sz="2" w:space="0" w:color="auto"/>
              <w:left w:val="nil"/>
              <w:bottom w:val="single" w:sz="2" w:space="0" w:color="auto"/>
              <w:right w:val="nil"/>
            </w:tcBorders>
            <w:shd w:val="clear" w:color="auto" w:fill="auto"/>
            <w:noWrap/>
            <w:vAlign w:val="center"/>
            <w:hideMark/>
          </w:tcPr>
          <w:p w:rsidR="00A53779" w:rsidRPr="00A53779" w:rsidRDefault="00A53779" w:rsidP="00A53779">
            <w:pPr>
              <w:spacing w:after="0"/>
              <w:ind w:firstLine="0"/>
              <w:jc w:val="right"/>
              <w:rPr>
                <w:rFonts w:ascii="Arial Narrow" w:hAnsi="Arial Narrow"/>
                <w:color w:val="000000"/>
                <w:sz w:val="18"/>
                <w:szCs w:val="18"/>
                <w:lang w:val="es-ES" w:eastAsia="es-ES"/>
              </w:rPr>
            </w:pPr>
            <w:r w:rsidRPr="00A53779">
              <w:rPr>
                <w:rFonts w:ascii="Arial Narrow" w:hAnsi="Arial Narrow"/>
                <w:color w:val="000000"/>
                <w:sz w:val="18"/>
                <w:szCs w:val="18"/>
                <w:lang w:val="es-ES" w:eastAsia="es-ES"/>
              </w:rPr>
              <w:t>11</w:t>
            </w:r>
          </w:p>
        </w:tc>
      </w:tr>
      <w:tr w:rsidR="00A53779" w:rsidRPr="00A53779" w:rsidTr="00525187">
        <w:trPr>
          <w:trHeight w:val="315"/>
        </w:trPr>
        <w:tc>
          <w:tcPr>
            <w:tcW w:w="2550" w:type="pct"/>
            <w:tcBorders>
              <w:top w:val="single" w:sz="2" w:space="0" w:color="auto"/>
              <w:left w:val="nil"/>
              <w:bottom w:val="single" w:sz="2" w:space="0" w:color="auto"/>
              <w:right w:val="nil"/>
            </w:tcBorders>
            <w:shd w:val="clear" w:color="auto" w:fill="auto"/>
            <w:noWrap/>
            <w:vAlign w:val="center"/>
            <w:hideMark/>
          </w:tcPr>
          <w:p w:rsidR="00A53779" w:rsidRPr="00A53779" w:rsidRDefault="00A53779" w:rsidP="00A53779">
            <w:pPr>
              <w:spacing w:after="0"/>
              <w:ind w:firstLine="0"/>
              <w:jc w:val="left"/>
              <w:rPr>
                <w:rFonts w:ascii="Arial Narrow" w:hAnsi="Arial Narrow"/>
                <w:color w:val="000000"/>
                <w:lang w:val="es-ES" w:eastAsia="es-ES"/>
              </w:rPr>
            </w:pPr>
            <w:r w:rsidRPr="00A53779">
              <w:rPr>
                <w:rFonts w:ascii="Arial Narrow" w:hAnsi="Arial Narrow"/>
                <w:color w:val="000000"/>
                <w:lang w:val="es-ES" w:eastAsia="es-ES"/>
              </w:rPr>
              <w:t>Retribuciones funcionarios en prácticas</w:t>
            </w:r>
          </w:p>
        </w:tc>
        <w:tc>
          <w:tcPr>
            <w:tcW w:w="958" w:type="pct"/>
            <w:tcBorders>
              <w:top w:val="single" w:sz="2" w:space="0" w:color="auto"/>
              <w:left w:val="nil"/>
              <w:bottom w:val="single" w:sz="2" w:space="0" w:color="auto"/>
              <w:right w:val="nil"/>
            </w:tcBorders>
            <w:shd w:val="clear" w:color="auto" w:fill="auto"/>
            <w:noWrap/>
            <w:vAlign w:val="center"/>
            <w:hideMark/>
          </w:tcPr>
          <w:p w:rsidR="00A53779" w:rsidRPr="00A53779" w:rsidRDefault="00A53779" w:rsidP="00A53779">
            <w:pPr>
              <w:spacing w:after="0"/>
              <w:ind w:firstLine="0"/>
              <w:jc w:val="right"/>
              <w:rPr>
                <w:rFonts w:ascii="Arial Narrow" w:hAnsi="Arial Narrow"/>
                <w:color w:val="000000"/>
                <w:sz w:val="18"/>
                <w:szCs w:val="18"/>
                <w:lang w:val="es-ES" w:eastAsia="es-ES"/>
              </w:rPr>
            </w:pPr>
            <w:r w:rsidRPr="00A53779">
              <w:rPr>
                <w:rFonts w:ascii="Arial Narrow" w:hAnsi="Arial Narrow"/>
                <w:color w:val="000000"/>
                <w:sz w:val="18"/>
                <w:szCs w:val="18"/>
                <w:lang w:val="es-ES" w:eastAsia="es-ES"/>
              </w:rPr>
              <w:t>35.318</w:t>
            </w:r>
          </w:p>
        </w:tc>
        <w:tc>
          <w:tcPr>
            <w:tcW w:w="746" w:type="pct"/>
            <w:tcBorders>
              <w:top w:val="single" w:sz="2" w:space="0" w:color="auto"/>
              <w:left w:val="nil"/>
              <w:bottom w:val="single" w:sz="2" w:space="0" w:color="auto"/>
              <w:right w:val="nil"/>
            </w:tcBorders>
            <w:shd w:val="clear" w:color="auto" w:fill="auto"/>
            <w:noWrap/>
            <w:vAlign w:val="center"/>
            <w:hideMark/>
          </w:tcPr>
          <w:p w:rsidR="00A53779" w:rsidRPr="00A53779" w:rsidRDefault="00A53779" w:rsidP="00A53779">
            <w:pPr>
              <w:spacing w:after="0"/>
              <w:ind w:firstLine="0"/>
              <w:jc w:val="right"/>
              <w:rPr>
                <w:rFonts w:ascii="Arial Narrow" w:hAnsi="Arial Narrow"/>
                <w:color w:val="000000"/>
                <w:sz w:val="18"/>
                <w:szCs w:val="18"/>
                <w:lang w:val="es-ES" w:eastAsia="es-ES"/>
              </w:rPr>
            </w:pPr>
            <w:r w:rsidRPr="00A53779">
              <w:rPr>
                <w:rFonts w:ascii="Arial Narrow" w:hAnsi="Arial Narrow"/>
                <w:color w:val="000000"/>
                <w:sz w:val="18"/>
                <w:szCs w:val="18"/>
                <w:lang w:val="es-ES" w:eastAsia="es-ES"/>
              </w:rPr>
              <w:t>0</w:t>
            </w:r>
          </w:p>
        </w:tc>
        <w:tc>
          <w:tcPr>
            <w:tcW w:w="746" w:type="pct"/>
            <w:tcBorders>
              <w:top w:val="single" w:sz="2" w:space="0" w:color="auto"/>
              <w:left w:val="nil"/>
              <w:bottom w:val="single" w:sz="2" w:space="0" w:color="auto"/>
              <w:right w:val="nil"/>
            </w:tcBorders>
            <w:shd w:val="clear" w:color="auto" w:fill="auto"/>
            <w:noWrap/>
            <w:vAlign w:val="center"/>
            <w:hideMark/>
          </w:tcPr>
          <w:p w:rsidR="00A53779" w:rsidRPr="00A53779" w:rsidRDefault="00A53779" w:rsidP="00A53779">
            <w:pPr>
              <w:spacing w:after="0"/>
              <w:ind w:firstLine="0"/>
              <w:jc w:val="right"/>
              <w:rPr>
                <w:rFonts w:ascii="Arial Narrow" w:hAnsi="Arial Narrow"/>
                <w:color w:val="000000"/>
                <w:sz w:val="18"/>
                <w:szCs w:val="18"/>
                <w:lang w:val="es-ES" w:eastAsia="es-ES"/>
              </w:rPr>
            </w:pPr>
            <w:r w:rsidRPr="00A53779">
              <w:rPr>
                <w:rFonts w:ascii="Arial Narrow" w:hAnsi="Arial Narrow"/>
                <w:color w:val="000000"/>
                <w:sz w:val="18"/>
                <w:szCs w:val="18"/>
                <w:lang w:val="es-ES" w:eastAsia="es-ES"/>
              </w:rPr>
              <w:t>-100</w:t>
            </w:r>
          </w:p>
        </w:tc>
      </w:tr>
      <w:tr w:rsidR="00A53779" w:rsidRPr="00A53779" w:rsidTr="00525187">
        <w:trPr>
          <w:trHeight w:val="315"/>
        </w:trPr>
        <w:tc>
          <w:tcPr>
            <w:tcW w:w="2550" w:type="pct"/>
            <w:tcBorders>
              <w:top w:val="single" w:sz="2" w:space="0" w:color="auto"/>
              <w:left w:val="nil"/>
              <w:bottom w:val="single" w:sz="2" w:space="0" w:color="auto"/>
              <w:right w:val="nil"/>
            </w:tcBorders>
            <w:shd w:val="clear" w:color="auto" w:fill="auto"/>
            <w:noWrap/>
            <w:vAlign w:val="center"/>
            <w:hideMark/>
          </w:tcPr>
          <w:p w:rsidR="00A53779" w:rsidRPr="00A53779" w:rsidRDefault="00A53779" w:rsidP="00A53779">
            <w:pPr>
              <w:spacing w:after="0"/>
              <w:ind w:firstLine="0"/>
              <w:jc w:val="left"/>
              <w:rPr>
                <w:rFonts w:ascii="Arial Narrow" w:hAnsi="Arial Narrow"/>
                <w:color w:val="000000"/>
                <w:lang w:val="es-ES" w:eastAsia="es-ES"/>
              </w:rPr>
            </w:pPr>
            <w:r w:rsidRPr="00A53779">
              <w:rPr>
                <w:rFonts w:ascii="Arial Narrow" w:hAnsi="Arial Narrow"/>
                <w:color w:val="000000"/>
                <w:lang w:val="es-ES" w:eastAsia="es-ES"/>
              </w:rPr>
              <w:t>Retribuciones personal laboral fijo</w:t>
            </w:r>
          </w:p>
        </w:tc>
        <w:tc>
          <w:tcPr>
            <w:tcW w:w="958" w:type="pct"/>
            <w:tcBorders>
              <w:top w:val="single" w:sz="2" w:space="0" w:color="auto"/>
              <w:left w:val="nil"/>
              <w:bottom w:val="single" w:sz="2" w:space="0" w:color="auto"/>
              <w:right w:val="nil"/>
            </w:tcBorders>
            <w:shd w:val="clear" w:color="auto" w:fill="auto"/>
            <w:noWrap/>
            <w:vAlign w:val="center"/>
            <w:hideMark/>
          </w:tcPr>
          <w:p w:rsidR="00A53779" w:rsidRPr="00A53779" w:rsidRDefault="00A53779" w:rsidP="00A53779">
            <w:pPr>
              <w:spacing w:after="0"/>
              <w:ind w:firstLine="0"/>
              <w:jc w:val="right"/>
              <w:rPr>
                <w:rFonts w:ascii="Arial Narrow" w:hAnsi="Arial Narrow"/>
                <w:color w:val="000000"/>
                <w:sz w:val="18"/>
                <w:szCs w:val="18"/>
                <w:lang w:val="es-ES" w:eastAsia="es-ES"/>
              </w:rPr>
            </w:pPr>
            <w:r w:rsidRPr="00A53779">
              <w:rPr>
                <w:rFonts w:ascii="Arial Narrow" w:hAnsi="Arial Narrow"/>
                <w:color w:val="000000"/>
                <w:sz w:val="18"/>
                <w:szCs w:val="18"/>
                <w:lang w:val="es-ES" w:eastAsia="es-ES"/>
              </w:rPr>
              <w:t>59.728</w:t>
            </w:r>
          </w:p>
        </w:tc>
        <w:tc>
          <w:tcPr>
            <w:tcW w:w="746" w:type="pct"/>
            <w:tcBorders>
              <w:top w:val="single" w:sz="2" w:space="0" w:color="auto"/>
              <w:left w:val="nil"/>
              <w:bottom w:val="single" w:sz="2" w:space="0" w:color="auto"/>
              <w:right w:val="nil"/>
            </w:tcBorders>
            <w:shd w:val="clear" w:color="auto" w:fill="auto"/>
            <w:noWrap/>
            <w:vAlign w:val="center"/>
            <w:hideMark/>
          </w:tcPr>
          <w:p w:rsidR="00A53779" w:rsidRPr="00A53779" w:rsidRDefault="00A53779" w:rsidP="00A53779">
            <w:pPr>
              <w:spacing w:after="0"/>
              <w:ind w:firstLine="0"/>
              <w:jc w:val="right"/>
              <w:rPr>
                <w:rFonts w:ascii="Arial Narrow" w:hAnsi="Arial Narrow"/>
                <w:color w:val="000000"/>
                <w:sz w:val="18"/>
                <w:szCs w:val="18"/>
                <w:lang w:val="es-ES" w:eastAsia="es-ES"/>
              </w:rPr>
            </w:pPr>
            <w:r w:rsidRPr="00A53779">
              <w:rPr>
                <w:rFonts w:ascii="Arial Narrow" w:hAnsi="Arial Narrow"/>
                <w:color w:val="000000"/>
                <w:sz w:val="18"/>
                <w:szCs w:val="18"/>
                <w:lang w:val="es-ES" w:eastAsia="es-ES"/>
              </w:rPr>
              <w:t>88.133</w:t>
            </w:r>
          </w:p>
        </w:tc>
        <w:tc>
          <w:tcPr>
            <w:tcW w:w="746" w:type="pct"/>
            <w:tcBorders>
              <w:top w:val="single" w:sz="2" w:space="0" w:color="auto"/>
              <w:left w:val="nil"/>
              <w:bottom w:val="single" w:sz="2" w:space="0" w:color="auto"/>
              <w:right w:val="nil"/>
            </w:tcBorders>
            <w:shd w:val="clear" w:color="auto" w:fill="auto"/>
            <w:noWrap/>
            <w:vAlign w:val="center"/>
            <w:hideMark/>
          </w:tcPr>
          <w:p w:rsidR="00A53779" w:rsidRPr="00A53779" w:rsidRDefault="00A53779" w:rsidP="00A53779">
            <w:pPr>
              <w:spacing w:after="0"/>
              <w:ind w:firstLine="0"/>
              <w:jc w:val="right"/>
              <w:rPr>
                <w:rFonts w:ascii="Arial Narrow" w:hAnsi="Arial Narrow"/>
                <w:color w:val="000000"/>
                <w:sz w:val="18"/>
                <w:szCs w:val="18"/>
                <w:lang w:val="es-ES" w:eastAsia="es-ES"/>
              </w:rPr>
            </w:pPr>
            <w:r w:rsidRPr="00A53779">
              <w:rPr>
                <w:rFonts w:ascii="Arial Narrow" w:hAnsi="Arial Narrow"/>
                <w:color w:val="000000"/>
                <w:sz w:val="18"/>
                <w:szCs w:val="18"/>
                <w:lang w:val="es-ES" w:eastAsia="es-ES"/>
              </w:rPr>
              <w:t>48</w:t>
            </w:r>
          </w:p>
        </w:tc>
      </w:tr>
      <w:tr w:rsidR="00A53779" w:rsidRPr="00A53779" w:rsidTr="00525187">
        <w:trPr>
          <w:trHeight w:val="315"/>
        </w:trPr>
        <w:tc>
          <w:tcPr>
            <w:tcW w:w="2550" w:type="pct"/>
            <w:tcBorders>
              <w:top w:val="single" w:sz="2" w:space="0" w:color="auto"/>
              <w:left w:val="nil"/>
              <w:bottom w:val="single" w:sz="2" w:space="0" w:color="auto"/>
              <w:right w:val="nil"/>
            </w:tcBorders>
            <w:shd w:val="clear" w:color="auto" w:fill="auto"/>
            <w:noWrap/>
            <w:vAlign w:val="center"/>
            <w:hideMark/>
          </w:tcPr>
          <w:p w:rsidR="00A53779" w:rsidRPr="00A53779" w:rsidRDefault="00A53779" w:rsidP="00A53779">
            <w:pPr>
              <w:spacing w:after="0"/>
              <w:ind w:firstLine="0"/>
              <w:jc w:val="left"/>
              <w:rPr>
                <w:rFonts w:ascii="Arial Narrow" w:hAnsi="Arial Narrow"/>
                <w:color w:val="000000"/>
                <w:lang w:val="es-ES" w:eastAsia="es-ES"/>
              </w:rPr>
            </w:pPr>
            <w:r w:rsidRPr="00A53779">
              <w:rPr>
                <w:rFonts w:ascii="Arial Narrow" w:hAnsi="Arial Narrow"/>
                <w:color w:val="000000"/>
                <w:lang w:val="es-ES" w:eastAsia="es-ES"/>
              </w:rPr>
              <w:t>Retribuciones personal laboral temporal</w:t>
            </w:r>
          </w:p>
        </w:tc>
        <w:tc>
          <w:tcPr>
            <w:tcW w:w="958" w:type="pct"/>
            <w:tcBorders>
              <w:top w:val="single" w:sz="2" w:space="0" w:color="auto"/>
              <w:left w:val="nil"/>
              <w:bottom w:val="single" w:sz="2" w:space="0" w:color="auto"/>
              <w:right w:val="nil"/>
            </w:tcBorders>
            <w:shd w:val="clear" w:color="auto" w:fill="auto"/>
            <w:noWrap/>
            <w:vAlign w:val="center"/>
            <w:hideMark/>
          </w:tcPr>
          <w:p w:rsidR="00A53779" w:rsidRPr="00A53779" w:rsidRDefault="00A53779" w:rsidP="00A53779">
            <w:pPr>
              <w:spacing w:after="0"/>
              <w:ind w:firstLine="0"/>
              <w:jc w:val="right"/>
              <w:rPr>
                <w:rFonts w:ascii="Arial Narrow" w:hAnsi="Arial Narrow"/>
                <w:color w:val="000000"/>
                <w:sz w:val="18"/>
                <w:szCs w:val="18"/>
                <w:lang w:val="es-ES" w:eastAsia="es-ES"/>
              </w:rPr>
            </w:pPr>
            <w:r w:rsidRPr="00A53779">
              <w:rPr>
                <w:rFonts w:ascii="Arial Narrow" w:hAnsi="Arial Narrow"/>
                <w:color w:val="000000"/>
                <w:sz w:val="18"/>
                <w:szCs w:val="18"/>
                <w:lang w:val="es-ES" w:eastAsia="es-ES"/>
              </w:rPr>
              <w:t>553.298</w:t>
            </w:r>
          </w:p>
        </w:tc>
        <w:tc>
          <w:tcPr>
            <w:tcW w:w="746" w:type="pct"/>
            <w:tcBorders>
              <w:top w:val="single" w:sz="2" w:space="0" w:color="auto"/>
              <w:left w:val="nil"/>
              <w:bottom w:val="single" w:sz="2" w:space="0" w:color="auto"/>
              <w:right w:val="nil"/>
            </w:tcBorders>
            <w:shd w:val="clear" w:color="auto" w:fill="auto"/>
            <w:noWrap/>
            <w:vAlign w:val="center"/>
            <w:hideMark/>
          </w:tcPr>
          <w:p w:rsidR="00A53779" w:rsidRPr="00A53779" w:rsidRDefault="00A53779" w:rsidP="00A53779">
            <w:pPr>
              <w:spacing w:after="0"/>
              <w:ind w:firstLine="0"/>
              <w:jc w:val="right"/>
              <w:rPr>
                <w:rFonts w:ascii="Arial Narrow" w:hAnsi="Arial Narrow"/>
                <w:color w:val="000000"/>
                <w:sz w:val="18"/>
                <w:szCs w:val="18"/>
                <w:lang w:val="es-ES" w:eastAsia="es-ES"/>
              </w:rPr>
            </w:pPr>
            <w:r w:rsidRPr="00A53779">
              <w:rPr>
                <w:rFonts w:ascii="Arial Narrow" w:hAnsi="Arial Narrow"/>
                <w:color w:val="000000"/>
                <w:sz w:val="18"/>
                <w:szCs w:val="18"/>
                <w:lang w:val="es-ES" w:eastAsia="es-ES"/>
              </w:rPr>
              <w:t>470.653</w:t>
            </w:r>
          </w:p>
        </w:tc>
        <w:tc>
          <w:tcPr>
            <w:tcW w:w="746" w:type="pct"/>
            <w:tcBorders>
              <w:top w:val="single" w:sz="2" w:space="0" w:color="auto"/>
              <w:left w:val="nil"/>
              <w:bottom w:val="single" w:sz="2" w:space="0" w:color="auto"/>
              <w:right w:val="nil"/>
            </w:tcBorders>
            <w:shd w:val="clear" w:color="auto" w:fill="auto"/>
            <w:noWrap/>
            <w:vAlign w:val="center"/>
            <w:hideMark/>
          </w:tcPr>
          <w:p w:rsidR="00A53779" w:rsidRPr="00A53779" w:rsidRDefault="00A53779" w:rsidP="00A53779">
            <w:pPr>
              <w:spacing w:after="0"/>
              <w:ind w:firstLine="0"/>
              <w:jc w:val="right"/>
              <w:rPr>
                <w:rFonts w:ascii="Arial Narrow" w:hAnsi="Arial Narrow"/>
                <w:color w:val="000000"/>
                <w:sz w:val="18"/>
                <w:szCs w:val="18"/>
                <w:lang w:val="es-ES" w:eastAsia="es-ES"/>
              </w:rPr>
            </w:pPr>
            <w:r w:rsidRPr="00A53779">
              <w:rPr>
                <w:rFonts w:ascii="Arial Narrow" w:hAnsi="Arial Narrow"/>
                <w:color w:val="000000"/>
                <w:sz w:val="18"/>
                <w:szCs w:val="18"/>
                <w:lang w:val="es-ES" w:eastAsia="es-ES"/>
              </w:rPr>
              <w:t>-15</w:t>
            </w:r>
          </w:p>
        </w:tc>
      </w:tr>
      <w:tr w:rsidR="00A53779" w:rsidRPr="00A53779" w:rsidTr="00525187">
        <w:trPr>
          <w:trHeight w:val="315"/>
        </w:trPr>
        <w:tc>
          <w:tcPr>
            <w:tcW w:w="2550" w:type="pct"/>
            <w:tcBorders>
              <w:top w:val="single" w:sz="2" w:space="0" w:color="auto"/>
              <w:left w:val="nil"/>
              <w:bottom w:val="single" w:sz="2" w:space="0" w:color="auto"/>
              <w:right w:val="nil"/>
            </w:tcBorders>
            <w:shd w:val="clear" w:color="auto" w:fill="auto"/>
            <w:noWrap/>
            <w:vAlign w:val="center"/>
            <w:hideMark/>
          </w:tcPr>
          <w:p w:rsidR="00A53779" w:rsidRPr="00A53779" w:rsidRDefault="00A53779" w:rsidP="00A53779">
            <w:pPr>
              <w:spacing w:after="0"/>
              <w:ind w:firstLine="0"/>
              <w:jc w:val="left"/>
              <w:rPr>
                <w:rFonts w:ascii="Arial Narrow" w:hAnsi="Arial Narrow"/>
                <w:color w:val="000000"/>
                <w:lang w:val="es-ES" w:eastAsia="es-ES"/>
              </w:rPr>
            </w:pPr>
            <w:r w:rsidRPr="00A53779">
              <w:rPr>
                <w:rFonts w:ascii="Arial Narrow" w:hAnsi="Arial Narrow"/>
                <w:color w:val="000000"/>
                <w:lang w:val="es-ES" w:eastAsia="es-ES"/>
              </w:rPr>
              <w:t>Otro personal</w:t>
            </w:r>
          </w:p>
        </w:tc>
        <w:tc>
          <w:tcPr>
            <w:tcW w:w="958" w:type="pct"/>
            <w:tcBorders>
              <w:top w:val="single" w:sz="2" w:space="0" w:color="auto"/>
              <w:left w:val="nil"/>
              <w:bottom w:val="single" w:sz="2" w:space="0" w:color="auto"/>
              <w:right w:val="nil"/>
            </w:tcBorders>
            <w:shd w:val="clear" w:color="auto" w:fill="auto"/>
            <w:noWrap/>
            <w:vAlign w:val="center"/>
            <w:hideMark/>
          </w:tcPr>
          <w:p w:rsidR="00A53779" w:rsidRPr="00A53779" w:rsidRDefault="00A53779" w:rsidP="00A53779">
            <w:pPr>
              <w:spacing w:after="0"/>
              <w:ind w:firstLine="0"/>
              <w:jc w:val="right"/>
              <w:rPr>
                <w:rFonts w:ascii="Arial Narrow" w:hAnsi="Arial Narrow"/>
                <w:color w:val="000000"/>
                <w:sz w:val="18"/>
                <w:szCs w:val="18"/>
                <w:lang w:val="es-ES" w:eastAsia="es-ES"/>
              </w:rPr>
            </w:pPr>
            <w:r w:rsidRPr="00A53779">
              <w:rPr>
                <w:rFonts w:ascii="Arial Narrow" w:hAnsi="Arial Narrow"/>
                <w:color w:val="000000"/>
                <w:sz w:val="18"/>
                <w:szCs w:val="18"/>
                <w:lang w:val="es-ES" w:eastAsia="es-ES"/>
              </w:rPr>
              <w:t>66</w:t>
            </w:r>
          </w:p>
        </w:tc>
        <w:tc>
          <w:tcPr>
            <w:tcW w:w="746" w:type="pct"/>
            <w:tcBorders>
              <w:top w:val="single" w:sz="2" w:space="0" w:color="auto"/>
              <w:left w:val="nil"/>
              <w:bottom w:val="single" w:sz="2" w:space="0" w:color="auto"/>
              <w:right w:val="nil"/>
            </w:tcBorders>
            <w:shd w:val="clear" w:color="auto" w:fill="auto"/>
            <w:noWrap/>
            <w:vAlign w:val="center"/>
            <w:hideMark/>
          </w:tcPr>
          <w:p w:rsidR="00A53779" w:rsidRPr="00A53779" w:rsidRDefault="00A53779" w:rsidP="00A53779">
            <w:pPr>
              <w:spacing w:after="0"/>
              <w:ind w:firstLine="0"/>
              <w:jc w:val="right"/>
              <w:rPr>
                <w:rFonts w:ascii="Arial Narrow" w:hAnsi="Arial Narrow"/>
                <w:color w:val="000000"/>
                <w:sz w:val="18"/>
                <w:szCs w:val="18"/>
                <w:lang w:val="es-ES" w:eastAsia="es-ES"/>
              </w:rPr>
            </w:pPr>
            <w:r w:rsidRPr="00A53779">
              <w:rPr>
                <w:rFonts w:ascii="Arial Narrow" w:hAnsi="Arial Narrow"/>
                <w:color w:val="000000"/>
                <w:sz w:val="18"/>
                <w:szCs w:val="18"/>
                <w:lang w:val="es-ES" w:eastAsia="es-ES"/>
              </w:rPr>
              <w:t>0</w:t>
            </w:r>
          </w:p>
        </w:tc>
        <w:tc>
          <w:tcPr>
            <w:tcW w:w="746" w:type="pct"/>
            <w:tcBorders>
              <w:top w:val="single" w:sz="2" w:space="0" w:color="auto"/>
              <w:left w:val="nil"/>
              <w:bottom w:val="single" w:sz="2" w:space="0" w:color="auto"/>
              <w:right w:val="nil"/>
            </w:tcBorders>
            <w:shd w:val="clear" w:color="auto" w:fill="auto"/>
            <w:noWrap/>
            <w:vAlign w:val="center"/>
            <w:hideMark/>
          </w:tcPr>
          <w:p w:rsidR="00A53779" w:rsidRPr="00A53779" w:rsidRDefault="00A53779" w:rsidP="00A53779">
            <w:pPr>
              <w:spacing w:after="0"/>
              <w:ind w:firstLine="0"/>
              <w:jc w:val="right"/>
              <w:rPr>
                <w:rFonts w:ascii="Arial Narrow" w:hAnsi="Arial Narrow"/>
                <w:color w:val="000000"/>
                <w:sz w:val="18"/>
                <w:szCs w:val="18"/>
                <w:lang w:val="es-ES" w:eastAsia="es-ES"/>
              </w:rPr>
            </w:pPr>
            <w:r w:rsidRPr="00A53779">
              <w:rPr>
                <w:rFonts w:ascii="Arial Narrow" w:hAnsi="Arial Narrow"/>
                <w:color w:val="000000"/>
                <w:sz w:val="18"/>
                <w:szCs w:val="18"/>
                <w:lang w:val="es-ES" w:eastAsia="es-ES"/>
              </w:rPr>
              <w:t>-100</w:t>
            </w:r>
          </w:p>
        </w:tc>
      </w:tr>
      <w:tr w:rsidR="00A53779" w:rsidRPr="00A53779" w:rsidTr="00525187">
        <w:trPr>
          <w:trHeight w:val="315"/>
        </w:trPr>
        <w:tc>
          <w:tcPr>
            <w:tcW w:w="2550" w:type="pct"/>
            <w:tcBorders>
              <w:top w:val="single" w:sz="2" w:space="0" w:color="auto"/>
              <w:left w:val="nil"/>
              <w:bottom w:val="single" w:sz="2" w:space="0" w:color="auto"/>
              <w:right w:val="nil"/>
            </w:tcBorders>
            <w:shd w:val="clear" w:color="auto" w:fill="auto"/>
            <w:noWrap/>
            <w:vAlign w:val="center"/>
            <w:hideMark/>
          </w:tcPr>
          <w:p w:rsidR="00A53779" w:rsidRPr="00A53779" w:rsidRDefault="00A53779" w:rsidP="00A53779">
            <w:pPr>
              <w:spacing w:after="0"/>
              <w:ind w:firstLine="0"/>
              <w:jc w:val="left"/>
              <w:rPr>
                <w:rFonts w:ascii="Arial Narrow" w:hAnsi="Arial Narrow"/>
                <w:color w:val="000000"/>
                <w:lang w:val="es-ES" w:eastAsia="es-ES"/>
              </w:rPr>
            </w:pPr>
            <w:r w:rsidRPr="00A53779">
              <w:rPr>
                <w:rFonts w:ascii="Arial Narrow" w:hAnsi="Arial Narrow"/>
                <w:color w:val="000000"/>
                <w:lang w:val="es-ES" w:eastAsia="es-ES"/>
              </w:rPr>
              <w:t>Cuotas sociales</w:t>
            </w:r>
          </w:p>
        </w:tc>
        <w:tc>
          <w:tcPr>
            <w:tcW w:w="958" w:type="pct"/>
            <w:tcBorders>
              <w:top w:val="single" w:sz="2" w:space="0" w:color="auto"/>
              <w:left w:val="nil"/>
              <w:bottom w:val="single" w:sz="2" w:space="0" w:color="auto"/>
              <w:right w:val="nil"/>
            </w:tcBorders>
            <w:shd w:val="clear" w:color="auto" w:fill="auto"/>
            <w:noWrap/>
            <w:vAlign w:val="center"/>
            <w:hideMark/>
          </w:tcPr>
          <w:p w:rsidR="00A53779" w:rsidRPr="00A53779" w:rsidRDefault="00A53779" w:rsidP="00A53779">
            <w:pPr>
              <w:spacing w:after="0"/>
              <w:ind w:firstLine="0"/>
              <w:jc w:val="right"/>
              <w:rPr>
                <w:rFonts w:ascii="Arial Narrow" w:hAnsi="Arial Narrow"/>
                <w:color w:val="000000"/>
                <w:sz w:val="18"/>
                <w:szCs w:val="18"/>
                <w:lang w:val="es-ES" w:eastAsia="es-ES"/>
              </w:rPr>
            </w:pPr>
            <w:r w:rsidRPr="00A53779">
              <w:rPr>
                <w:rFonts w:ascii="Arial Narrow" w:hAnsi="Arial Narrow"/>
                <w:color w:val="000000"/>
                <w:sz w:val="18"/>
                <w:szCs w:val="18"/>
                <w:lang w:val="es-ES" w:eastAsia="es-ES"/>
              </w:rPr>
              <w:t>1.587.249</w:t>
            </w:r>
          </w:p>
        </w:tc>
        <w:tc>
          <w:tcPr>
            <w:tcW w:w="746" w:type="pct"/>
            <w:tcBorders>
              <w:top w:val="single" w:sz="2" w:space="0" w:color="auto"/>
              <w:left w:val="nil"/>
              <w:bottom w:val="single" w:sz="2" w:space="0" w:color="auto"/>
              <w:right w:val="nil"/>
            </w:tcBorders>
            <w:shd w:val="clear" w:color="auto" w:fill="auto"/>
            <w:noWrap/>
            <w:vAlign w:val="center"/>
            <w:hideMark/>
          </w:tcPr>
          <w:p w:rsidR="00A53779" w:rsidRPr="00A53779" w:rsidRDefault="00A53779" w:rsidP="00843F44">
            <w:pPr>
              <w:spacing w:after="0"/>
              <w:ind w:firstLine="0"/>
              <w:jc w:val="right"/>
              <w:rPr>
                <w:rFonts w:ascii="Arial Narrow" w:hAnsi="Arial Narrow"/>
                <w:color w:val="000000"/>
                <w:sz w:val="18"/>
                <w:szCs w:val="18"/>
                <w:lang w:val="es-ES" w:eastAsia="es-ES"/>
              </w:rPr>
            </w:pPr>
            <w:r w:rsidRPr="00A53779">
              <w:rPr>
                <w:rFonts w:ascii="Arial Narrow" w:hAnsi="Arial Narrow"/>
                <w:color w:val="000000"/>
                <w:sz w:val="18"/>
                <w:szCs w:val="18"/>
                <w:lang w:val="es-ES" w:eastAsia="es-ES"/>
              </w:rPr>
              <w:t>1.802.73</w:t>
            </w:r>
            <w:r w:rsidR="00843F44">
              <w:rPr>
                <w:rFonts w:ascii="Arial Narrow" w:hAnsi="Arial Narrow"/>
                <w:color w:val="000000"/>
                <w:sz w:val="18"/>
                <w:szCs w:val="18"/>
                <w:lang w:val="es-ES" w:eastAsia="es-ES"/>
              </w:rPr>
              <w:t>4</w:t>
            </w:r>
          </w:p>
        </w:tc>
        <w:tc>
          <w:tcPr>
            <w:tcW w:w="746" w:type="pct"/>
            <w:tcBorders>
              <w:top w:val="single" w:sz="2" w:space="0" w:color="auto"/>
              <w:left w:val="nil"/>
              <w:bottom w:val="single" w:sz="2" w:space="0" w:color="auto"/>
              <w:right w:val="nil"/>
            </w:tcBorders>
            <w:shd w:val="clear" w:color="auto" w:fill="auto"/>
            <w:noWrap/>
            <w:vAlign w:val="center"/>
            <w:hideMark/>
          </w:tcPr>
          <w:p w:rsidR="00A53779" w:rsidRPr="00A53779" w:rsidRDefault="00A53779" w:rsidP="00A53779">
            <w:pPr>
              <w:spacing w:after="0"/>
              <w:ind w:firstLine="0"/>
              <w:jc w:val="right"/>
              <w:rPr>
                <w:rFonts w:ascii="Arial Narrow" w:hAnsi="Arial Narrow"/>
                <w:color w:val="000000"/>
                <w:sz w:val="18"/>
                <w:szCs w:val="18"/>
                <w:lang w:val="es-ES" w:eastAsia="es-ES"/>
              </w:rPr>
            </w:pPr>
            <w:r w:rsidRPr="00A53779">
              <w:rPr>
                <w:rFonts w:ascii="Arial Narrow" w:hAnsi="Arial Narrow"/>
                <w:color w:val="000000"/>
                <w:sz w:val="18"/>
                <w:szCs w:val="18"/>
                <w:lang w:val="es-ES" w:eastAsia="es-ES"/>
              </w:rPr>
              <w:t>14</w:t>
            </w:r>
          </w:p>
        </w:tc>
      </w:tr>
      <w:tr w:rsidR="00A53779" w:rsidRPr="00A53779" w:rsidTr="00525187">
        <w:trPr>
          <w:trHeight w:val="315"/>
        </w:trPr>
        <w:tc>
          <w:tcPr>
            <w:tcW w:w="2550" w:type="pct"/>
            <w:tcBorders>
              <w:top w:val="single" w:sz="2" w:space="0" w:color="auto"/>
              <w:left w:val="nil"/>
              <w:bottom w:val="single" w:sz="2" w:space="0" w:color="auto"/>
              <w:right w:val="nil"/>
            </w:tcBorders>
            <w:shd w:val="clear" w:color="auto" w:fill="auto"/>
            <w:noWrap/>
            <w:vAlign w:val="center"/>
            <w:hideMark/>
          </w:tcPr>
          <w:p w:rsidR="00A53779" w:rsidRPr="00A53779" w:rsidRDefault="00A53779" w:rsidP="00A53779">
            <w:pPr>
              <w:spacing w:after="0"/>
              <w:ind w:firstLine="0"/>
              <w:jc w:val="left"/>
              <w:rPr>
                <w:rFonts w:ascii="Arial Narrow" w:hAnsi="Arial Narrow"/>
                <w:color w:val="000000"/>
                <w:lang w:val="es-ES" w:eastAsia="es-ES"/>
              </w:rPr>
            </w:pPr>
            <w:r w:rsidRPr="00A53779">
              <w:rPr>
                <w:rFonts w:ascii="Arial Narrow" w:hAnsi="Arial Narrow"/>
                <w:color w:val="000000"/>
                <w:lang w:val="es-ES" w:eastAsia="es-ES"/>
              </w:rPr>
              <w:t>Gastos sociales de personal</w:t>
            </w:r>
          </w:p>
        </w:tc>
        <w:tc>
          <w:tcPr>
            <w:tcW w:w="958" w:type="pct"/>
            <w:tcBorders>
              <w:top w:val="single" w:sz="2" w:space="0" w:color="auto"/>
              <w:left w:val="nil"/>
              <w:bottom w:val="single" w:sz="2" w:space="0" w:color="auto"/>
              <w:right w:val="nil"/>
            </w:tcBorders>
            <w:shd w:val="clear" w:color="auto" w:fill="auto"/>
            <w:noWrap/>
            <w:vAlign w:val="center"/>
            <w:hideMark/>
          </w:tcPr>
          <w:p w:rsidR="00A53779" w:rsidRPr="00A53779" w:rsidRDefault="00A53779" w:rsidP="00A53779">
            <w:pPr>
              <w:spacing w:after="0"/>
              <w:ind w:firstLine="0"/>
              <w:jc w:val="right"/>
              <w:rPr>
                <w:rFonts w:ascii="Arial Narrow" w:hAnsi="Arial Narrow"/>
                <w:color w:val="000000"/>
                <w:sz w:val="18"/>
                <w:szCs w:val="18"/>
                <w:lang w:val="es-ES" w:eastAsia="es-ES"/>
              </w:rPr>
            </w:pPr>
            <w:r w:rsidRPr="00A53779">
              <w:rPr>
                <w:rFonts w:ascii="Arial Narrow" w:hAnsi="Arial Narrow"/>
                <w:color w:val="000000"/>
                <w:sz w:val="18"/>
                <w:szCs w:val="18"/>
                <w:lang w:val="es-ES" w:eastAsia="es-ES"/>
              </w:rPr>
              <w:t>55.195</w:t>
            </w:r>
          </w:p>
        </w:tc>
        <w:tc>
          <w:tcPr>
            <w:tcW w:w="746" w:type="pct"/>
            <w:tcBorders>
              <w:top w:val="single" w:sz="2" w:space="0" w:color="auto"/>
              <w:left w:val="nil"/>
              <w:bottom w:val="single" w:sz="2" w:space="0" w:color="auto"/>
              <w:right w:val="nil"/>
            </w:tcBorders>
            <w:shd w:val="clear" w:color="auto" w:fill="auto"/>
            <w:noWrap/>
            <w:vAlign w:val="center"/>
            <w:hideMark/>
          </w:tcPr>
          <w:p w:rsidR="00A53779" w:rsidRPr="00A53779" w:rsidRDefault="00A53779" w:rsidP="00A53779">
            <w:pPr>
              <w:spacing w:after="0"/>
              <w:ind w:firstLine="0"/>
              <w:jc w:val="right"/>
              <w:rPr>
                <w:rFonts w:ascii="Arial Narrow" w:hAnsi="Arial Narrow"/>
                <w:color w:val="000000"/>
                <w:sz w:val="18"/>
                <w:szCs w:val="18"/>
                <w:lang w:val="es-ES" w:eastAsia="es-ES"/>
              </w:rPr>
            </w:pPr>
            <w:r w:rsidRPr="00A53779">
              <w:rPr>
                <w:rFonts w:ascii="Arial Narrow" w:hAnsi="Arial Narrow"/>
                <w:color w:val="000000"/>
                <w:sz w:val="18"/>
                <w:szCs w:val="18"/>
                <w:lang w:val="es-ES" w:eastAsia="es-ES"/>
              </w:rPr>
              <w:t>54.423</w:t>
            </w:r>
          </w:p>
        </w:tc>
        <w:tc>
          <w:tcPr>
            <w:tcW w:w="746" w:type="pct"/>
            <w:tcBorders>
              <w:top w:val="single" w:sz="2" w:space="0" w:color="auto"/>
              <w:left w:val="nil"/>
              <w:bottom w:val="single" w:sz="2" w:space="0" w:color="auto"/>
              <w:right w:val="nil"/>
            </w:tcBorders>
            <w:shd w:val="clear" w:color="auto" w:fill="auto"/>
            <w:noWrap/>
            <w:vAlign w:val="center"/>
            <w:hideMark/>
          </w:tcPr>
          <w:p w:rsidR="00A53779" w:rsidRPr="00A53779" w:rsidRDefault="00A53779" w:rsidP="00A53779">
            <w:pPr>
              <w:spacing w:after="0"/>
              <w:ind w:firstLine="0"/>
              <w:jc w:val="right"/>
              <w:rPr>
                <w:rFonts w:ascii="Arial Narrow" w:hAnsi="Arial Narrow"/>
                <w:color w:val="000000"/>
                <w:sz w:val="18"/>
                <w:szCs w:val="18"/>
                <w:lang w:val="es-ES" w:eastAsia="es-ES"/>
              </w:rPr>
            </w:pPr>
            <w:r w:rsidRPr="00A53779">
              <w:rPr>
                <w:rFonts w:ascii="Arial Narrow" w:hAnsi="Arial Narrow"/>
                <w:color w:val="000000"/>
                <w:sz w:val="18"/>
                <w:szCs w:val="18"/>
                <w:lang w:val="es-ES" w:eastAsia="es-ES"/>
              </w:rPr>
              <w:t>-1</w:t>
            </w:r>
          </w:p>
        </w:tc>
      </w:tr>
      <w:tr w:rsidR="00A53779" w:rsidRPr="00A53779" w:rsidTr="00525187">
        <w:trPr>
          <w:trHeight w:val="315"/>
        </w:trPr>
        <w:tc>
          <w:tcPr>
            <w:tcW w:w="2550" w:type="pct"/>
            <w:tcBorders>
              <w:top w:val="single" w:sz="2" w:space="0" w:color="auto"/>
              <w:left w:val="nil"/>
              <w:bottom w:val="single" w:sz="4" w:space="0" w:color="auto"/>
              <w:right w:val="nil"/>
            </w:tcBorders>
            <w:shd w:val="clear" w:color="auto" w:fill="auto"/>
            <w:noWrap/>
            <w:vAlign w:val="center"/>
            <w:hideMark/>
          </w:tcPr>
          <w:p w:rsidR="00A53779" w:rsidRPr="00A53779" w:rsidRDefault="00A53779" w:rsidP="00A53779">
            <w:pPr>
              <w:spacing w:after="0"/>
              <w:ind w:firstLine="0"/>
              <w:jc w:val="left"/>
              <w:rPr>
                <w:rFonts w:ascii="Arial Narrow" w:hAnsi="Arial Narrow"/>
                <w:color w:val="000000"/>
                <w:lang w:val="es-ES" w:eastAsia="es-ES"/>
              </w:rPr>
            </w:pPr>
            <w:r w:rsidRPr="00A53779">
              <w:rPr>
                <w:rFonts w:ascii="Arial Narrow" w:hAnsi="Arial Narrow"/>
                <w:color w:val="000000"/>
                <w:lang w:val="es-ES" w:eastAsia="es-ES"/>
              </w:rPr>
              <w:t>Complemento familiar</w:t>
            </w:r>
          </w:p>
        </w:tc>
        <w:tc>
          <w:tcPr>
            <w:tcW w:w="958" w:type="pct"/>
            <w:tcBorders>
              <w:top w:val="single" w:sz="2" w:space="0" w:color="auto"/>
              <w:left w:val="nil"/>
              <w:bottom w:val="single" w:sz="4" w:space="0" w:color="auto"/>
              <w:right w:val="nil"/>
            </w:tcBorders>
            <w:shd w:val="clear" w:color="auto" w:fill="auto"/>
            <w:noWrap/>
            <w:vAlign w:val="center"/>
            <w:hideMark/>
          </w:tcPr>
          <w:p w:rsidR="00A53779" w:rsidRPr="00A53779" w:rsidRDefault="00A53779" w:rsidP="00A53779">
            <w:pPr>
              <w:spacing w:after="0"/>
              <w:ind w:firstLine="0"/>
              <w:jc w:val="right"/>
              <w:rPr>
                <w:rFonts w:ascii="Arial Narrow" w:hAnsi="Arial Narrow"/>
                <w:color w:val="000000"/>
                <w:sz w:val="18"/>
                <w:szCs w:val="18"/>
                <w:lang w:val="es-ES" w:eastAsia="es-ES"/>
              </w:rPr>
            </w:pPr>
            <w:r w:rsidRPr="00A53779">
              <w:rPr>
                <w:rFonts w:ascii="Arial Narrow" w:hAnsi="Arial Narrow"/>
                <w:color w:val="000000"/>
                <w:sz w:val="18"/>
                <w:szCs w:val="18"/>
                <w:lang w:val="es-ES" w:eastAsia="es-ES"/>
              </w:rPr>
              <w:t>48.820</w:t>
            </w:r>
          </w:p>
        </w:tc>
        <w:tc>
          <w:tcPr>
            <w:tcW w:w="746" w:type="pct"/>
            <w:tcBorders>
              <w:top w:val="single" w:sz="2" w:space="0" w:color="auto"/>
              <w:left w:val="nil"/>
              <w:bottom w:val="single" w:sz="4" w:space="0" w:color="auto"/>
              <w:right w:val="nil"/>
            </w:tcBorders>
            <w:shd w:val="clear" w:color="auto" w:fill="auto"/>
            <w:noWrap/>
            <w:vAlign w:val="center"/>
            <w:hideMark/>
          </w:tcPr>
          <w:p w:rsidR="00A53779" w:rsidRPr="00A53779" w:rsidRDefault="00A53779" w:rsidP="00A53779">
            <w:pPr>
              <w:spacing w:after="0"/>
              <w:ind w:firstLine="0"/>
              <w:jc w:val="right"/>
              <w:rPr>
                <w:rFonts w:ascii="Arial Narrow" w:hAnsi="Arial Narrow"/>
                <w:color w:val="000000"/>
                <w:sz w:val="18"/>
                <w:szCs w:val="18"/>
                <w:lang w:val="es-ES" w:eastAsia="es-ES"/>
              </w:rPr>
            </w:pPr>
            <w:r w:rsidRPr="00A53779">
              <w:rPr>
                <w:rFonts w:ascii="Arial Narrow" w:hAnsi="Arial Narrow"/>
                <w:color w:val="000000"/>
                <w:sz w:val="18"/>
                <w:szCs w:val="18"/>
                <w:lang w:val="es-ES" w:eastAsia="es-ES"/>
              </w:rPr>
              <w:t>51.816</w:t>
            </w:r>
          </w:p>
        </w:tc>
        <w:tc>
          <w:tcPr>
            <w:tcW w:w="746" w:type="pct"/>
            <w:tcBorders>
              <w:top w:val="single" w:sz="2" w:space="0" w:color="auto"/>
              <w:left w:val="nil"/>
              <w:bottom w:val="single" w:sz="4" w:space="0" w:color="auto"/>
              <w:right w:val="nil"/>
            </w:tcBorders>
            <w:shd w:val="clear" w:color="auto" w:fill="auto"/>
            <w:noWrap/>
            <w:vAlign w:val="center"/>
            <w:hideMark/>
          </w:tcPr>
          <w:p w:rsidR="00A53779" w:rsidRPr="00A53779" w:rsidRDefault="00A53779" w:rsidP="00A53779">
            <w:pPr>
              <w:spacing w:after="0"/>
              <w:ind w:firstLine="0"/>
              <w:jc w:val="right"/>
              <w:rPr>
                <w:rFonts w:ascii="Arial Narrow" w:hAnsi="Arial Narrow"/>
                <w:color w:val="000000"/>
                <w:sz w:val="18"/>
                <w:szCs w:val="18"/>
                <w:lang w:val="es-ES" w:eastAsia="es-ES"/>
              </w:rPr>
            </w:pPr>
            <w:r w:rsidRPr="00A53779">
              <w:rPr>
                <w:rFonts w:ascii="Arial Narrow" w:hAnsi="Arial Narrow"/>
                <w:color w:val="000000"/>
                <w:sz w:val="18"/>
                <w:szCs w:val="18"/>
                <w:lang w:val="es-ES" w:eastAsia="es-ES"/>
              </w:rPr>
              <w:t>6</w:t>
            </w:r>
          </w:p>
        </w:tc>
      </w:tr>
      <w:tr w:rsidR="00A53779" w:rsidRPr="00A53779" w:rsidTr="00525187">
        <w:trPr>
          <w:trHeight w:val="315"/>
        </w:trPr>
        <w:tc>
          <w:tcPr>
            <w:tcW w:w="2550" w:type="pct"/>
            <w:tcBorders>
              <w:top w:val="single" w:sz="4" w:space="0" w:color="auto"/>
              <w:left w:val="nil"/>
              <w:bottom w:val="single" w:sz="4" w:space="0" w:color="auto"/>
              <w:right w:val="nil"/>
            </w:tcBorders>
            <w:shd w:val="clear" w:color="000000" w:fill="FABF8F"/>
            <w:vAlign w:val="center"/>
            <w:hideMark/>
          </w:tcPr>
          <w:p w:rsidR="00A53779" w:rsidRPr="00A53779" w:rsidRDefault="00A53779" w:rsidP="00A53779">
            <w:pPr>
              <w:spacing w:after="0"/>
              <w:ind w:firstLine="0"/>
              <w:jc w:val="left"/>
              <w:rPr>
                <w:rFonts w:ascii="Arial" w:hAnsi="Arial" w:cs="Arial"/>
                <w:color w:val="000000"/>
                <w:sz w:val="18"/>
                <w:szCs w:val="18"/>
                <w:lang w:val="es-ES" w:eastAsia="es-ES"/>
              </w:rPr>
            </w:pPr>
            <w:r w:rsidRPr="00A53779">
              <w:rPr>
                <w:rFonts w:ascii="Arial" w:hAnsi="Arial" w:cs="Arial"/>
                <w:color w:val="000000"/>
                <w:sz w:val="18"/>
                <w:szCs w:val="18"/>
                <w:lang w:val="es-ES" w:eastAsia="es-ES"/>
              </w:rPr>
              <w:t>Total</w:t>
            </w:r>
          </w:p>
        </w:tc>
        <w:tc>
          <w:tcPr>
            <w:tcW w:w="958" w:type="pct"/>
            <w:tcBorders>
              <w:top w:val="single" w:sz="4" w:space="0" w:color="auto"/>
              <w:left w:val="nil"/>
              <w:bottom w:val="single" w:sz="4" w:space="0" w:color="auto"/>
              <w:right w:val="nil"/>
            </w:tcBorders>
            <w:shd w:val="clear" w:color="000000" w:fill="FABF8F"/>
            <w:vAlign w:val="center"/>
            <w:hideMark/>
          </w:tcPr>
          <w:p w:rsidR="00A53779" w:rsidRPr="00A53779" w:rsidRDefault="00A53779" w:rsidP="00A53779">
            <w:pPr>
              <w:spacing w:after="0"/>
              <w:ind w:firstLine="0"/>
              <w:jc w:val="right"/>
              <w:rPr>
                <w:rFonts w:ascii="Arial Narrow" w:hAnsi="Arial Narrow" w:cs="Arial"/>
                <w:color w:val="000000"/>
                <w:sz w:val="18"/>
                <w:szCs w:val="18"/>
                <w:lang w:val="es-ES" w:eastAsia="es-ES"/>
              </w:rPr>
            </w:pPr>
            <w:r w:rsidRPr="00A53779">
              <w:rPr>
                <w:rFonts w:ascii="Arial Narrow" w:hAnsi="Arial Narrow" w:cs="Arial"/>
                <w:color w:val="000000"/>
                <w:sz w:val="18"/>
                <w:szCs w:val="18"/>
                <w:lang w:val="es-ES" w:eastAsia="es-ES"/>
              </w:rPr>
              <w:t>5.386.914</w:t>
            </w:r>
          </w:p>
        </w:tc>
        <w:tc>
          <w:tcPr>
            <w:tcW w:w="746" w:type="pct"/>
            <w:tcBorders>
              <w:top w:val="single" w:sz="4" w:space="0" w:color="auto"/>
              <w:left w:val="nil"/>
              <w:bottom w:val="single" w:sz="4" w:space="0" w:color="auto"/>
              <w:right w:val="nil"/>
            </w:tcBorders>
            <w:shd w:val="clear" w:color="000000" w:fill="FABF8F"/>
            <w:vAlign w:val="center"/>
            <w:hideMark/>
          </w:tcPr>
          <w:p w:rsidR="00A53779" w:rsidRPr="00A53779" w:rsidRDefault="00A53779" w:rsidP="00A53779">
            <w:pPr>
              <w:spacing w:after="0"/>
              <w:ind w:firstLine="0"/>
              <w:jc w:val="right"/>
              <w:rPr>
                <w:rFonts w:ascii="Arial Narrow" w:hAnsi="Arial Narrow" w:cs="Arial"/>
                <w:color w:val="000000"/>
                <w:sz w:val="18"/>
                <w:szCs w:val="18"/>
                <w:lang w:val="es-ES" w:eastAsia="es-ES"/>
              </w:rPr>
            </w:pPr>
            <w:r w:rsidRPr="00A53779">
              <w:rPr>
                <w:rFonts w:ascii="Arial Narrow" w:hAnsi="Arial Narrow" w:cs="Arial"/>
                <w:color w:val="000000"/>
                <w:sz w:val="18"/>
                <w:szCs w:val="18"/>
                <w:lang w:val="es-ES" w:eastAsia="es-ES"/>
              </w:rPr>
              <w:t>6.169.035</w:t>
            </w:r>
          </w:p>
        </w:tc>
        <w:tc>
          <w:tcPr>
            <w:tcW w:w="746" w:type="pct"/>
            <w:tcBorders>
              <w:top w:val="single" w:sz="4" w:space="0" w:color="auto"/>
              <w:left w:val="nil"/>
              <w:bottom w:val="single" w:sz="4" w:space="0" w:color="auto"/>
              <w:right w:val="nil"/>
            </w:tcBorders>
            <w:shd w:val="clear" w:color="000000" w:fill="FABF8F"/>
            <w:vAlign w:val="center"/>
            <w:hideMark/>
          </w:tcPr>
          <w:p w:rsidR="00A53779" w:rsidRPr="00A53779" w:rsidRDefault="00A53779" w:rsidP="00A53779">
            <w:pPr>
              <w:spacing w:after="0"/>
              <w:ind w:firstLine="0"/>
              <w:jc w:val="right"/>
              <w:rPr>
                <w:rFonts w:ascii="Arial Narrow" w:hAnsi="Arial Narrow" w:cs="Arial"/>
                <w:color w:val="000000"/>
                <w:sz w:val="18"/>
                <w:szCs w:val="18"/>
                <w:lang w:val="es-ES" w:eastAsia="es-ES"/>
              </w:rPr>
            </w:pPr>
            <w:r w:rsidRPr="00A53779">
              <w:rPr>
                <w:rFonts w:ascii="Arial Narrow" w:hAnsi="Arial Narrow" w:cs="Arial"/>
                <w:color w:val="000000"/>
                <w:sz w:val="18"/>
                <w:szCs w:val="18"/>
                <w:lang w:val="es-ES" w:eastAsia="es-ES"/>
              </w:rPr>
              <w:t>15</w:t>
            </w:r>
          </w:p>
        </w:tc>
      </w:tr>
    </w:tbl>
    <w:p w:rsidR="00A53779" w:rsidRDefault="00A53779" w:rsidP="009A163A">
      <w:pPr>
        <w:pStyle w:val="texto"/>
        <w:spacing w:after="220"/>
      </w:pPr>
    </w:p>
    <w:p w:rsidR="00A53779" w:rsidRDefault="00A53779" w:rsidP="009A163A">
      <w:pPr>
        <w:pStyle w:val="texto"/>
        <w:spacing w:after="220"/>
      </w:pPr>
      <w:r>
        <w:t>Las retribuciones básicas de funcionarios y contratados administrativos y las cuotas sociales han aumentado un 29 y un 14 por ciento respectivamente</w:t>
      </w:r>
      <w:r w:rsidR="0081232C">
        <w:t xml:space="preserve">, </w:t>
      </w:r>
      <w:r w:rsidR="00251D3A">
        <w:t>en rel</w:t>
      </w:r>
      <w:r w:rsidR="00251D3A">
        <w:t>a</w:t>
      </w:r>
      <w:r w:rsidR="00251D3A">
        <w:t>ción</w:t>
      </w:r>
      <w:r w:rsidR="0081232C">
        <w:t xml:space="preserve"> </w:t>
      </w:r>
      <w:r w:rsidR="0081232C" w:rsidRPr="009F5A89">
        <w:rPr>
          <w:color w:val="000000" w:themeColor="text1"/>
        </w:rPr>
        <w:t xml:space="preserve">a 2018. </w:t>
      </w:r>
      <w:r w:rsidRPr="009F5A89">
        <w:rPr>
          <w:color w:val="000000" w:themeColor="text1"/>
        </w:rPr>
        <w:t xml:space="preserve">En términos absolutos suponen un incremento de </w:t>
      </w:r>
      <w:r w:rsidR="0081232C" w:rsidRPr="009F5A89">
        <w:rPr>
          <w:color w:val="000000" w:themeColor="text1"/>
        </w:rPr>
        <w:t>805.298</w:t>
      </w:r>
      <w:r w:rsidRPr="009F5A89">
        <w:rPr>
          <w:color w:val="000000" w:themeColor="text1"/>
        </w:rPr>
        <w:t xml:space="preserve"> de euros</w:t>
      </w:r>
      <w:r w:rsidR="00242D3C" w:rsidRPr="009F5A89">
        <w:rPr>
          <w:color w:val="000000" w:themeColor="text1"/>
        </w:rPr>
        <w:t>.</w:t>
      </w:r>
      <w:r w:rsidRPr="009F5A89">
        <w:rPr>
          <w:color w:val="000000" w:themeColor="text1"/>
        </w:rPr>
        <w:t xml:space="preserve"> Las re</w:t>
      </w:r>
      <w:r>
        <w:t>tribuciones de cargos electos han disminuido un 17 por ciento respecto a 2018 y las retribuciones de personal laboral temporal un 15 por ciento.</w:t>
      </w:r>
    </w:p>
    <w:p w:rsidR="0067725A" w:rsidRPr="005642B1" w:rsidRDefault="00145EB9" w:rsidP="009A163A">
      <w:pPr>
        <w:pStyle w:val="texto"/>
        <w:tabs>
          <w:tab w:val="left" w:pos="708"/>
        </w:tabs>
        <w:spacing w:after="220"/>
        <w:rPr>
          <w:rFonts w:cs="Arial"/>
        </w:rPr>
      </w:pPr>
      <w:bookmarkStart w:id="112" w:name="tm_385745285"/>
      <w:bookmarkStart w:id="113" w:name="tm_385745286"/>
      <w:bookmarkEnd w:id="112"/>
      <w:bookmarkEnd w:id="113"/>
      <w:r>
        <w:rPr>
          <w:rFonts w:cs="Arial"/>
        </w:rPr>
        <w:t xml:space="preserve">A 31 de diciembre de </w:t>
      </w:r>
      <w:r w:rsidR="00996B35">
        <w:rPr>
          <w:rFonts w:cs="Arial"/>
        </w:rPr>
        <w:t>2019</w:t>
      </w:r>
      <w:r>
        <w:rPr>
          <w:rFonts w:cs="Arial"/>
        </w:rPr>
        <w:t xml:space="preserve">, el </w:t>
      </w:r>
      <w:r w:rsidR="00A041D7">
        <w:rPr>
          <w:rFonts w:cs="Arial"/>
        </w:rPr>
        <w:t>a</w:t>
      </w:r>
      <w:r w:rsidR="00D426D2">
        <w:rPr>
          <w:rFonts w:cs="Arial"/>
        </w:rPr>
        <w:t>yuntamiento</w:t>
      </w:r>
      <w:r w:rsidR="00CF71C4">
        <w:rPr>
          <w:rFonts w:cs="Arial"/>
        </w:rPr>
        <w:t xml:space="preserve"> tenía los siguientes puestos de tr</w:t>
      </w:r>
      <w:r w:rsidR="00CF71C4">
        <w:rPr>
          <w:rFonts w:cs="Arial"/>
        </w:rPr>
        <w:t>a</w:t>
      </w:r>
      <w:r w:rsidR="00CF71C4">
        <w:rPr>
          <w:rFonts w:cs="Arial"/>
        </w:rPr>
        <w:t>bajo</w:t>
      </w:r>
      <w:r w:rsidR="0067725A" w:rsidRPr="005642B1">
        <w:rPr>
          <w:rFonts w:cs="Arial"/>
        </w:rPr>
        <w:t>:</w:t>
      </w:r>
    </w:p>
    <w:tbl>
      <w:tblPr>
        <w:tblW w:w="4953" w:type="pct"/>
        <w:jc w:val="center"/>
        <w:tblCellMar>
          <w:left w:w="70" w:type="dxa"/>
          <w:right w:w="70" w:type="dxa"/>
        </w:tblCellMar>
        <w:tblLook w:val="04A0" w:firstRow="1" w:lastRow="0" w:firstColumn="1" w:lastColumn="0" w:noHBand="0" w:noVBand="1"/>
      </w:tblPr>
      <w:tblGrid>
        <w:gridCol w:w="4390"/>
        <w:gridCol w:w="4876"/>
      </w:tblGrid>
      <w:tr w:rsidR="005642B1" w:rsidRPr="0049452D" w:rsidTr="00CC36D1">
        <w:trPr>
          <w:trHeight w:val="255"/>
          <w:jc w:val="center"/>
        </w:trPr>
        <w:tc>
          <w:tcPr>
            <w:tcW w:w="2369" w:type="pct"/>
            <w:tcBorders>
              <w:top w:val="single" w:sz="4" w:space="0" w:color="auto"/>
              <w:left w:val="nil"/>
              <w:bottom w:val="single" w:sz="4" w:space="0" w:color="auto"/>
              <w:right w:val="nil"/>
            </w:tcBorders>
            <w:shd w:val="clear" w:color="000000" w:fill="FABF8F"/>
            <w:vAlign w:val="center"/>
            <w:hideMark/>
          </w:tcPr>
          <w:p w:rsidR="005642B1" w:rsidRPr="0049452D" w:rsidRDefault="005642B1" w:rsidP="004D712A">
            <w:pPr>
              <w:spacing w:after="0"/>
              <w:ind w:firstLine="0"/>
              <w:jc w:val="left"/>
              <w:rPr>
                <w:rFonts w:ascii="Arial" w:hAnsi="Arial" w:cs="Arial"/>
                <w:sz w:val="18"/>
                <w:szCs w:val="18"/>
                <w:lang w:val="es-ES" w:eastAsia="es-ES"/>
              </w:rPr>
            </w:pPr>
            <w:r w:rsidRPr="0049452D">
              <w:rPr>
                <w:rFonts w:ascii="Arial" w:hAnsi="Arial" w:cs="Arial"/>
                <w:sz w:val="18"/>
                <w:szCs w:val="18"/>
                <w:lang w:eastAsia="es-ES"/>
              </w:rPr>
              <w:t>Clasificación</w:t>
            </w:r>
          </w:p>
        </w:tc>
        <w:tc>
          <w:tcPr>
            <w:tcW w:w="2631" w:type="pct"/>
            <w:tcBorders>
              <w:top w:val="single" w:sz="4" w:space="0" w:color="auto"/>
              <w:left w:val="nil"/>
              <w:bottom w:val="single" w:sz="4" w:space="0" w:color="auto"/>
              <w:right w:val="nil"/>
            </w:tcBorders>
            <w:shd w:val="clear" w:color="000000" w:fill="FABF8F"/>
            <w:vAlign w:val="center"/>
            <w:hideMark/>
          </w:tcPr>
          <w:p w:rsidR="005642B1" w:rsidRPr="0049452D" w:rsidRDefault="005642B1" w:rsidP="00A53779">
            <w:pPr>
              <w:spacing w:after="0"/>
              <w:ind w:firstLine="0"/>
              <w:jc w:val="right"/>
              <w:rPr>
                <w:rFonts w:ascii="Arial" w:hAnsi="Arial" w:cs="Arial"/>
                <w:sz w:val="18"/>
                <w:szCs w:val="18"/>
                <w:lang w:val="es-ES" w:eastAsia="es-ES"/>
              </w:rPr>
            </w:pPr>
            <w:r w:rsidRPr="0049452D">
              <w:rPr>
                <w:rFonts w:ascii="Arial" w:hAnsi="Arial" w:cs="Arial"/>
                <w:sz w:val="18"/>
                <w:szCs w:val="18"/>
                <w:lang w:eastAsia="es-ES"/>
              </w:rPr>
              <w:t>201</w:t>
            </w:r>
            <w:r w:rsidR="00A53779">
              <w:rPr>
                <w:rFonts w:ascii="Arial" w:hAnsi="Arial" w:cs="Arial"/>
                <w:sz w:val="18"/>
                <w:szCs w:val="18"/>
                <w:lang w:eastAsia="es-ES"/>
              </w:rPr>
              <w:t>9</w:t>
            </w:r>
          </w:p>
        </w:tc>
      </w:tr>
      <w:tr w:rsidR="005642B1" w:rsidRPr="0049452D" w:rsidTr="00CC36D1">
        <w:trPr>
          <w:trHeight w:val="198"/>
          <w:jc w:val="center"/>
        </w:trPr>
        <w:tc>
          <w:tcPr>
            <w:tcW w:w="2369" w:type="pct"/>
            <w:tcBorders>
              <w:top w:val="single" w:sz="4" w:space="0" w:color="auto"/>
              <w:left w:val="nil"/>
              <w:bottom w:val="single" w:sz="2" w:space="0" w:color="auto"/>
              <w:right w:val="nil"/>
            </w:tcBorders>
            <w:shd w:val="clear" w:color="auto" w:fill="auto"/>
            <w:vAlign w:val="center"/>
            <w:hideMark/>
          </w:tcPr>
          <w:p w:rsidR="005642B1" w:rsidRPr="0049452D" w:rsidRDefault="005642B1" w:rsidP="004D712A">
            <w:pPr>
              <w:spacing w:after="0"/>
              <w:ind w:firstLine="0"/>
              <w:jc w:val="left"/>
              <w:rPr>
                <w:rFonts w:ascii="Arial Narrow" w:hAnsi="Arial Narrow" w:cs="Calibri"/>
                <w:lang w:val="es-ES" w:eastAsia="es-ES"/>
              </w:rPr>
            </w:pPr>
            <w:r w:rsidRPr="0049452D">
              <w:rPr>
                <w:rFonts w:ascii="Arial Narrow" w:hAnsi="Arial Narrow" w:cs="Calibri"/>
                <w:lang w:eastAsia="es-ES"/>
              </w:rPr>
              <w:t>Personal Eventual</w:t>
            </w:r>
          </w:p>
        </w:tc>
        <w:tc>
          <w:tcPr>
            <w:tcW w:w="2631" w:type="pct"/>
            <w:tcBorders>
              <w:top w:val="single" w:sz="4" w:space="0" w:color="auto"/>
              <w:left w:val="nil"/>
              <w:bottom w:val="single" w:sz="2" w:space="0" w:color="auto"/>
              <w:right w:val="nil"/>
            </w:tcBorders>
            <w:shd w:val="clear" w:color="auto" w:fill="auto"/>
            <w:vAlign w:val="center"/>
          </w:tcPr>
          <w:p w:rsidR="005642B1" w:rsidRPr="0049452D" w:rsidRDefault="00EC4053" w:rsidP="004D712A">
            <w:pPr>
              <w:spacing w:after="0"/>
              <w:ind w:firstLine="0"/>
              <w:jc w:val="right"/>
              <w:rPr>
                <w:rFonts w:ascii="Arial Narrow" w:hAnsi="Arial Narrow" w:cs="Calibri"/>
                <w:lang w:val="es-ES" w:eastAsia="es-ES"/>
              </w:rPr>
            </w:pPr>
            <w:r w:rsidRPr="0049452D">
              <w:rPr>
                <w:rFonts w:ascii="Arial Narrow" w:hAnsi="Arial Narrow" w:cs="Calibri"/>
                <w:lang w:val="es-ES" w:eastAsia="es-ES"/>
              </w:rPr>
              <w:t>1</w:t>
            </w:r>
          </w:p>
        </w:tc>
      </w:tr>
      <w:tr w:rsidR="005642B1" w:rsidRPr="0049452D" w:rsidTr="00CC36D1">
        <w:trPr>
          <w:trHeight w:val="198"/>
          <w:jc w:val="center"/>
        </w:trPr>
        <w:tc>
          <w:tcPr>
            <w:tcW w:w="2369" w:type="pct"/>
            <w:tcBorders>
              <w:top w:val="single" w:sz="2" w:space="0" w:color="auto"/>
              <w:left w:val="nil"/>
              <w:bottom w:val="single" w:sz="2" w:space="0" w:color="auto"/>
              <w:right w:val="nil"/>
            </w:tcBorders>
            <w:shd w:val="clear" w:color="auto" w:fill="auto"/>
            <w:vAlign w:val="center"/>
            <w:hideMark/>
          </w:tcPr>
          <w:p w:rsidR="005642B1" w:rsidRPr="0049452D" w:rsidRDefault="005642B1" w:rsidP="004D712A">
            <w:pPr>
              <w:spacing w:after="0"/>
              <w:ind w:firstLine="0"/>
              <w:jc w:val="left"/>
              <w:rPr>
                <w:rFonts w:ascii="Arial Narrow" w:hAnsi="Arial Narrow" w:cs="Calibri"/>
                <w:lang w:val="es-ES" w:eastAsia="es-ES"/>
              </w:rPr>
            </w:pPr>
            <w:r w:rsidRPr="0049452D">
              <w:rPr>
                <w:rFonts w:ascii="Arial Narrow" w:hAnsi="Arial Narrow" w:cs="Arial"/>
                <w:lang w:eastAsia="es-ES"/>
              </w:rPr>
              <w:t>Personal Funcionarial</w:t>
            </w:r>
          </w:p>
        </w:tc>
        <w:tc>
          <w:tcPr>
            <w:tcW w:w="2631" w:type="pct"/>
            <w:tcBorders>
              <w:top w:val="single" w:sz="2" w:space="0" w:color="auto"/>
              <w:left w:val="nil"/>
              <w:bottom w:val="single" w:sz="2" w:space="0" w:color="auto"/>
              <w:right w:val="nil"/>
            </w:tcBorders>
            <w:shd w:val="clear" w:color="auto" w:fill="auto"/>
            <w:vAlign w:val="center"/>
          </w:tcPr>
          <w:p w:rsidR="005642B1" w:rsidRPr="0049452D" w:rsidRDefault="00A53779" w:rsidP="00A53779">
            <w:pPr>
              <w:spacing w:after="0"/>
              <w:ind w:firstLine="0"/>
              <w:jc w:val="right"/>
              <w:rPr>
                <w:rFonts w:ascii="Arial Narrow" w:hAnsi="Arial Narrow" w:cs="Calibri"/>
                <w:lang w:val="es-ES" w:eastAsia="es-ES"/>
              </w:rPr>
            </w:pPr>
            <w:r>
              <w:rPr>
                <w:rFonts w:ascii="Arial Narrow" w:hAnsi="Arial Narrow" w:cs="Calibri"/>
                <w:lang w:val="es-ES" w:eastAsia="es-ES"/>
              </w:rPr>
              <w:t>54</w:t>
            </w:r>
          </w:p>
        </w:tc>
      </w:tr>
      <w:tr w:rsidR="009F5A89" w:rsidRPr="009F5A89" w:rsidTr="00CC36D1">
        <w:trPr>
          <w:trHeight w:val="198"/>
          <w:jc w:val="center"/>
        </w:trPr>
        <w:tc>
          <w:tcPr>
            <w:tcW w:w="2369" w:type="pct"/>
            <w:tcBorders>
              <w:top w:val="single" w:sz="2" w:space="0" w:color="auto"/>
              <w:left w:val="nil"/>
              <w:bottom w:val="single" w:sz="4" w:space="0" w:color="auto"/>
              <w:right w:val="nil"/>
            </w:tcBorders>
            <w:shd w:val="clear" w:color="auto" w:fill="auto"/>
            <w:vAlign w:val="center"/>
            <w:hideMark/>
          </w:tcPr>
          <w:p w:rsidR="005642B1" w:rsidRPr="009F5A89" w:rsidRDefault="0081232C" w:rsidP="0081232C">
            <w:pPr>
              <w:spacing w:after="0"/>
              <w:ind w:firstLine="0"/>
              <w:jc w:val="left"/>
              <w:rPr>
                <w:rFonts w:ascii="Arial Narrow" w:hAnsi="Arial Narrow" w:cs="Calibri"/>
                <w:color w:val="000000" w:themeColor="text1"/>
                <w:lang w:val="es-ES" w:eastAsia="es-ES"/>
              </w:rPr>
            </w:pPr>
            <w:r w:rsidRPr="009F5A89">
              <w:rPr>
                <w:rFonts w:ascii="Arial Narrow" w:hAnsi="Arial Narrow" w:cs="Arial"/>
                <w:color w:val="000000" w:themeColor="text1"/>
                <w:lang w:eastAsia="es-ES"/>
              </w:rPr>
              <w:t>Personal</w:t>
            </w:r>
            <w:r w:rsidR="005642B1" w:rsidRPr="009F5A89">
              <w:rPr>
                <w:rFonts w:ascii="Arial Narrow" w:hAnsi="Arial Narrow" w:cs="Arial"/>
                <w:color w:val="000000" w:themeColor="text1"/>
                <w:lang w:eastAsia="es-ES"/>
              </w:rPr>
              <w:t xml:space="preserve"> Laboral</w:t>
            </w:r>
          </w:p>
        </w:tc>
        <w:tc>
          <w:tcPr>
            <w:tcW w:w="2631" w:type="pct"/>
            <w:tcBorders>
              <w:top w:val="single" w:sz="2" w:space="0" w:color="auto"/>
              <w:left w:val="nil"/>
              <w:bottom w:val="single" w:sz="4" w:space="0" w:color="auto"/>
              <w:right w:val="nil"/>
            </w:tcBorders>
            <w:shd w:val="clear" w:color="auto" w:fill="auto"/>
            <w:vAlign w:val="center"/>
          </w:tcPr>
          <w:p w:rsidR="005642B1" w:rsidRPr="009F5A89" w:rsidRDefault="00A53779" w:rsidP="004D712A">
            <w:pPr>
              <w:spacing w:after="0"/>
              <w:ind w:firstLine="0"/>
              <w:jc w:val="right"/>
              <w:rPr>
                <w:rFonts w:ascii="Arial Narrow" w:hAnsi="Arial Narrow" w:cs="Calibri"/>
                <w:color w:val="000000" w:themeColor="text1"/>
                <w:lang w:val="es-ES" w:eastAsia="es-ES"/>
              </w:rPr>
            </w:pPr>
            <w:r w:rsidRPr="009F5A89">
              <w:rPr>
                <w:rFonts w:ascii="Arial Narrow" w:hAnsi="Arial Narrow" w:cs="Calibri"/>
                <w:color w:val="000000" w:themeColor="text1"/>
                <w:lang w:val="es-ES" w:eastAsia="es-ES"/>
              </w:rPr>
              <w:t>65</w:t>
            </w:r>
          </w:p>
        </w:tc>
      </w:tr>
      <w:tr w:rsidR="005642B1" w:rsidRPr="0049452D" w:rsidTr="00CC36D1">
        <w:trPr>
          <w:trHeight w:val="255"/>
          <w:jc w:val="center"/>
        </w:trPr>
        <w:tc>
          <w:tcPr>
            <w:tcW w:w="2369" w:type="pct"/>
            <w:tcBorders>
              <w:top w:val="single" w:sz="4" w:space="0" w:color="auto"/>
              <w:left w:val="nil"/>
              <w:bottom w:val="single" w:sz="4" w:space="0" w:color="auto"/>
              <w:right w:val="nil"/>
            </w:tcBorders>
            <w:shd w:val="clear" w:color="000000" w:fill="FABF8F"/>
            <w:vAlign w:val="center"/>
            <w:hideMark/>
          </w:tcPr>
          <w:p w:rsidR="005642B1" w:rsidRPr="0049452D" w:rsidRDefault="005642B1" w:rsidP="004D712A">
            <w:pPr>
              <w:spacing w:after="0"/>
              <w:ind w:firstLine="0"/>
              <w:jc w:val="left"/>
              <w:rPr>
                <w:rFonts w:ascii="Arial" w:hAnsi="Arial" w:cs="Arial"/>
                <w:sz w:val="18"/>
                <w:szCs w:val="18"/>
                <w:lang w:val="es-ES" w:eastAsia="es-ES"/>
              </w:rPr>
            </w:pPr>
            <w:r w:rsidRPr="0049452D">
              <w:rPr>
                <w:rFonts w:ascii="Arial" w:hAnsi="Arial" w:cs="Arial"/>
                <w:sz w:val="18"/>
                <w:szCs w:val="18"/>
                <w:lang w:eastAsia="es-ES"/>
              </w:rPr>
              <w:t>Total</w:t>
            </w:r>
          </w:p>
        </w:tc>
        <w:tc>
          <w:tcPr>
            <w:tcW w:w="2631" w:type="pct"/>
            <w:tcBorders>
              <w:top w:val="single" w:sz="4" w:space="0" w:color="auto"/>
              <w:left w:val="nil"/>
              <w:bottom w:val="single" w:sz="4" w:space="0" w:color="auto"/>
              <w:right w:val="nil"/>
            </w:tcBorders>
            <w:shd w:val="clear" w:color="000000" w:fill="FABF8F"/>
            <w:vAlign w:val="center"/>
          </w:tcPr>
          <w:p w:rsidR="005642B1" w:rsidRPr="0049452D" w:rsidRDefault="00A53779" w:rsidP="00EC4053">
            <w:pPr>
              <w:spacing w:after="0"/>
              <w:ind w:firstLine="0"/>
              <w:jc w:val="right"/>
              <w:rPr>
                <w:rFonts w:ascii="Arial" w:hAnsi="Arial" w:cs="Arial"/>
                <w:sz w:val="18"/>
                <w:szCs w:val="18"/>
                <w:lang w:val="es-ES" w:eastAsia="es-ES"/>
              </w:rPr>
            </w:pPr>
            <w:r>
              <w:rPr>
                <w:rFonts w:ascii="Arial" w:hAnsi="Arial" w:cs="Arial"/>
                <w:sz w:val="18"/>
                <w:szCs w:val="18"/>
                <w:lang w:val="es-ES" w:eastAsia="es-ES"/>
              </w:rPr>
              <w:t>1</w:t>
            </w:r>
            <w:r w:rsidR="00EC4053" w:rsidRPr="0049452D">
              <w:rPr>
                <w:rFonts w:ascii="Arial" w:hAnsi="Arial" w:cs="Arial"/>
                <w:sz w:val="18"/>
                <w:szCs w:val="18"/>
                <w:lang w:val="es-ES" w:eastAsia="es-ES"/>
              </w:rPr>
              <w:t>2</w:t>
            </w:r>
            <w:r>
              <w:rPr>
                <w:rFonts w:ascii="Arial" w:hAnsi="Arial" w:cs="Arial"/>
                <w:sz w:val="18"/>
                <w:szCs w:val="18"/>
                <w:lang w:val="es-ES" w:eastAsia="es-ES"/>
              </w:rPr>
              <w:t>0</w:t>
            </w:r>
          </w:p>
        </w:tc>
      </w:tr>
    </w:tbl>
    <w:p w:rsidR="00B92F9D" w:rsidRDefault="00B92F9D" w:rsidP="009A163A">
      <w:pPr>
        <w:pStyle w:val="texto"/>
        <w:spacing w:before="240" w:after="200"/>
        <w:rPr>
          <w:lang w:val="es-ES"/>
        </w:rPr>
      </w:pPr>
      <w:r>
        <w:rPr>
          <w:lang w:val="es-ES"/>
        </w:rPr>
        <w:t>De los 120 puestos de plantilla el 54 por ciento son de régimen laboral y un 45 por ciento de régimen funcionarial.</w:t>
      </w:r>
    </w:p>
    <w:p w:rsidR="00F641C0" w:rsidRDefault="00F641C0">
      <w:pPr>
        <w:spacing w:after="0"/>
        <w:ind w:firstLine="0"/>
        <w:jc w:val="left"/>
        <w:rPr>
          <w:spacing w:val="6"/>
          <w:sz w:val="26"/>
          <w:szCs w:val="24"/>
          <w:lang w:val="es-ES"/>
        </w:rPr>
      </w:pPr>
      <w:r>
        <w:rPr>
          <w:lang w:val="es-ES"/>
        </w:rPr>
        <w:br w:type="page"/>
      </w:r>
    </w:p>
    <w:p w:rsidR="00F641C0" w:rsidRDefault="00F641C0" w:rsidP="00F641C0">
      <w:pPr>
        <w:pStyle w:val="texto"/>
        <w:spacing w:before="240" w:after="240"/>
        <w:rPr>
          <w:lang w:val="es-ES"/>
        </w:rPr>
      </w:pPr>
      <w:r>
        <w:rPr>
          <w:lang w:val="es-ES"/>
        </w:rPr>
        <w:lastRenderedPageBreak/>
        <w:t xml:space="preserve">La situación de los </w:t>
      </w:r>
      <w:r w:rsidRPr="00863930">
        <w:rPr>
          <w:lang w:val="es-ES"/>
        </w:rPr>
        <w:t xml:space="preserve">puestos </w:t>
      </w:r>
      <w:r>
        <w:rPr>
          <w:lang w:val="es-ES"/>
        </w:rPr>
        <w:t>es la siguiente:</w:t>
      </w:r>
    </w:p>
    <w:tbl>
      <w:tblPr>
        <w:tblW w:w="9188" w:type="dxa"/>
        <w:jc w:val="center"/>
        <w:tblCellMar>
          <w:left w:w="70" w:type="dxa"/>
          <w:right w:w="70" w:type="dxa"/>
        </w:tblCellMar>
        <w:tblLook w:val="04A0" w:firstRow="1" w:lastRow="0" w:firstColumn="1" w:lastColumn="0" w:noHBand="0" w:noVBand="1"/>
      </w:tblPr>
      <w:tblGrid>
        <w:gridCol w:w="4368"/>
        <w:gridCol w:w="4820"/>
      </w:tblGrid>
      <w:tr w:rsidR="00CF71C4" w:rsidRPr="00CF71C4" w:rsidTr="00252BC5">
        <w:trPr>
          <w:trHeight w:val="284"/>
          <w:jc w:val="center"/>
        </w:trPr>
        <w:tc>
          <w:tcPr>
            <w:tcW w:w="4368" w:type="dxa"/>
            <w:tcBorders>
              <w:top w:val="single" w:sz="4" w:space="0" w:color="auto"/>
              <w:left w:val="nil"/>
              <w:bottom w:val="single" w:sz="4" w:space="0" w:color="auto"/>
              <w:right w:val="nil"/>
            </w:tcBorders>
            <w:shd w:val="clear" w:color="000000" w:fill="FABF8F"/>
            <w:vAlign w:val="center"/>
            <w:hideMark/>
          </w:tcPr>
          <w:p w:rsidR="0067725A" w:rsidRPr="00CF71C4" w:rsidRDefault="0067725A" w:rsidP="004D712A">
            <w:pPr>
              <w:spacing w:after="0"/>
              <w:ind w:firstLine="0"/>
              <w:jc w:val="left"/>
              <w:rPr>
                <w:rFonts w:ascii="Arial" w:hAnsi="Arial" w:cs="Arial"/>
                <w:sz w:val="17"/>
                <w:szCs w:val="17"/>
                <w:lang w:val="es-ES" w:eastAsia="es-ES"/>
              </w:rPr>
            </w:pPr>
          </w:p>
        </w:tc>
        <w:tc>
          <w:tcPr>
            <w:tcW w:w="4820" w:type="dxa"/>
            <w:tcBorders>
              <w:top w:val="single" w:sz="4" w:space="0" w:color="auto"/>
              <w:left w:val="nil"/>
              <w:bottom w:val="single" w:sz="4" w:space="0" w:color="auto"/>
              <w:right w:val="nil"/>
            </w:tcBorders>
            <w:shd w:val="clear" w:color="000000" w:fill="FABF8F"/>
            <w:vAlign w:val="center"/>
            <w:hideMark/>
          </w:tcPr>
          <w:p w:rsidR="0067725A" w:rsidRPr="00CF71C4" w:rsidRDefault="0067725A" w:rsidP="00B92F9D">
            <w:pPr>
              <w:spacing w:after="0"/>
              <w:ind w:firstLine="0"/>
              <w:jc w:val="right"/>
              <w:rPr>
                <w:rFonts w:ascii="Arial" w:hAnsi="Arial" w:cs="Arial"/>
                <w:sz w:val="17"/>
                <w:szCs w:val="17"/>
                <w:lang w:val="es-ES" w:eastAsia="es-ES"/>
              </w:rPr>
            </w:pPr>
            <w:r w:rsidRPr="00CF71C4">
              <w:rPr>
                <w:rFonts w:ascii="Arial" w:hAnsi="Arial" w:cs="Arial"/>
                <w:sz w:val="17"/>
                <w:szCs w:val="17"/>
                <w:lang w:eastAsia="es-ES"/>
              </w:rPr>
              <w:t>201</w:t>
            </w:r>
            <w:r w:rsidR="00B92F9D">
              <w:rPr>
                <w:rFonts w:ascii="Arial" w:hAnsi="Arial" w:cs="Arial"/>
                <w:sz w:val="17"/>
                <w:szCs w:val="17"/>
                <w:lang w:eastAsia="es-ES"/>
              </w:rPr>
              <w:t>9</w:t>
            </w:r>
          </w:p>
        </w:tc>
      </w:tr>
      <w:tr w:rsidR="00CF71C4" w:rsidRPr="00CF372D" w:rsidTr="00252BC5">
        <w:trPr>
          <w:trHeight w:val="227"/>
          <w:jc w:val="center"/>
        </w:trPr>
        <w:tc>
          <w:tcPr>
            <w:tcW w:w="4368" w:type="dxa"/>
            <w:tcBorders>
              <w:top w:val="single" w:sz="4" w:space="0" w:color="auto"/>
              <w:left w:val="nil"/>
              <w:bottom w:val="single" w:sz="4" w:space="0" w:color="auto"/>
              <w:right w:val="nil"/>
            </w:tcBorders>
            <w:shd w:val="clear" w:color="auto" w:fill="auto"/>
            <w:vAlign w:val="center"/>
          </w:tcPr>
          <w:p w:rsidR="0067725A" w:rsidRPr="00CF372D" w:rsidRDefault="0067725A" w:rsidP="004D712A">
            <w:pPr>
              <w:spacing w:after="0"/>
              <w:ind w:firstLine="0"/>
              <w:jc w:val="left"/>
              <w:rPr>
                <w:rFonts w:ascii="Arial" w:hAnsi="Arial" w:cs="Arial"/>
                <w:b/>
                <w:spacing w:val="6"/>
                <w:sz w:val="18"/>
                <w:szCs w:val="18"/>
                <w:lang w:eastAsia="es-ES"/>
              </w:rPr>
            </w:pPr>
            <w:r w:rsidRPr="00CF372D">
              <w:rPr>
                <w:rFonts w:ascii="Arial" w:hAnsi="Arial" w:cs="Arial"/>
                <w:b/>
                <w:spacing w:val="6"/>
                <w:sz w:val="18"/>
                <w:szCs w:val="18"/>
                <w:lang w:eastAsia="es-ES"/>
              </w:rPr>
              <w:t>Puestos en plantilla</w:t>
            </w:r>
          </w:p>
        </w:tc>
        <w:tc>
          <w:tcPr>
            <w:tcW w:w="4820" w:type="dxa"/>
            <w:tcBorders>
              <w:top w:val="single" w:sz="4" w:space="0" w:color="auto"/>
              <w:left w:val="nil"/>
              <w:bottom w:val="single" w:sz="4" w:space="0" w:color="auto"/>
              <w:right w:val="nil"/>
            </w:tcBorders>
            <w:shd w:val="clear" w:color="auto" w:fill="auto"/>
            <w:vAlign w:val="center"/>
          </w:tcPr>
          <w:p w:rsidR="0067725A" w:rsidRPr="00CF372D" w:rsidRDefault="00242D3C" w:rsidP="004D712A">
            <w:pPr>
              <w:spacing w:after="0"/>
              <w:ind w:firstLine="0"/>
              <w:jc w:val="right"/>
              <w:rPr>
                <w:rFonts w:ascii="Arial" w:hAnsi="Arial" w:cs="Arial"/>
                <w:b/>
                <w:spacing w:val="6"/>
                <w:sz w:val="18"/>
                <w:szCs w:val="18"/>
                <w:lang w:eastAsia="es-ES"/>
              </w:rPr>
            </w:pPr>
            <w:r>
              <w:rPr>
                <w:rFonts w:ascii="Arial" w:hAnsi="Arial" w:cs="Arial"/>
                <w:b/>
                <w:spacing w:val="6"/>
                <w:sz w:val="18"/>
                <w:szCs w:val="18"/>
                <w:lang w:eastAsia="es-ES"/>
              </w:rPr>
              <w:t>120</w:t>
            </w:r>
          </w:p>
        </w:tc>
      </w:tr>
      <w:tr w:rsidR="00CF71C4" w:rsidRPr="00CF71C4" w:rsidTr="00252BC5">
        <w:trPr>
          <w:trHeight w:val="227"/>
          <w:jc w:val="center"/>
        </w:trPr>
        <w:tc>
          <w:tcPr>
            <w:tcW w:w="4368" w:type="dxa"/>
            <w:tcBorders>
              <w:top w:val="single" w:sz="4" w:space="0" w:color="auto"/>
              <w:left w:val="nil"/>
              <w:bottom w:val="single" w:sz="2" w:space="0" w:color="auto"/>
              <w:right w:val="nil"/>
            </w:tcBorders>
            <w:shd w:val="clear" w:color="auto" w:fill="auto"/>
            <w:vAlign w:val="center"/>
          </w:tcPr>
          <w:p w:rsidR="0067725A" w:rsidRPr="00CF71C4" w:rsidRDefault="00CF71C4" w:rsidP="004D712A">
            <w:pPr>
              <w:spacing w:after="0"/>
              <w:ind w:firstLine="0"/>
              <w:jc w:val="left"/>
              <w:rPr>
                <w:rFonts w:ascii="Arial Narrow" w:hAnsi="Arial Narrow"/>
                <w:spacing w:val="6"/>
                <w:sz w:val="18"/>
                <w:szCs w:val="18"/>
                <w:lang w:eastAsia="es-ES"/>
              </w:rPr>
            </w:pPr>
            <w:r>
              <w:rPr>
                <w:rFonts w:ascii="Arial Narrow" w:hAnsi="Arial Narrow"/>
                <w:spacing w:val="6"/>
                <w:sz w:val="18"/>
                <w:szCs w:val="18"/>
                <w:lang w:eastAsia="es-ES"/>
              </w:rPr>
              <w:t>Ocupados</w:t>
            </w:r>
          </w:p>
        </w:tc>
        <w:tc>
          <w:tcPr>
            <w:tcW w:w="4820" w:type="dxa"/>
            <w:tcBorders>
              <w:top w:val="single" w:sz="4" w:space="0" w:color="auto"/>
              <w:left w:val="nil"/>
              <w:bottom w:val="single" w:sz="2" w:space="0" w:color="auto"/>
              <w:right w:val="nil"/>
            </w:tcBorders>
            <w:shd w:val="clear" w:color="auto" w:fill="auto"/>
            <w:vAlign w:val="center"/>
          </w:tcPr>
          <w:p w:rsidR="0067725A" w:rsidRPr="00CF71C4" w:rsidRDefault="00B92F9D" w:rsidP="004D712A">
            <w:pPr>
              <w:spacing w:after="0"/>
              <w:ind w:firstLine="0"/>
              <w:jc w:val="right"/>
              <w:rPr>
                <w:rFonts w:ascii="Arial Narrow" w:hAnsi="Arial Narrow"/>
                <w:spacing w:val="6"/>
                <w:sz w:val="18"/>
                <w:szCs w:val="18"/>
                <w:lang w:eastAsia="es-ES"/>
              </w:rPr>
            </w:pPr>
            <w:r>
              <w:rPr>
                <w:rFonts w:ascii="Arial Narrow" w:hAnsi="Arial Narrow"/>
                <w:spacing w:val="6"/>
                <w:sz w:val="18"/>
                <w:szCs w:val="18"/>
                <w:lang w:eastAsia="es-ES"/>
              </w:rPr>
              <w:t>53</w:t>
            </w:r>
          </w:p>
        </w:tc>
      </w:tr>
      <w:tr w:rsidR="00CF71C4" w:rsidRPr="00CF71C4" w:rsidTr="00252BC5">
        <w:trPr>
          <w:trHeight w:val="227"/>
          <w:jc w:val="center"/>
        </w:trPr>
        <w:tc>
          <w:tcPr>
            <w:tcW w:w="4368" w:type="dxa"/>
            <w:tcBorders>
              <w:top w:val="single" w:sz="2" w:space="0" w:color="auto"/>
              <w:left w:val="nil"/>
              <w:bottom w:val="single" w:sz="4" w:space="0" w:color="auto"/>
              <w:right w:val="nil"/>
            </w:tcBorders>
            <w:shd w:val="clear" w:color="auto" w:fill="auto"/>
            <w:vAlign w:val="center"/>
          </w:tcPr>
          <w:p w:rsidR="0067725A" w:rsidRPr="00CF71C4" w:rsidRDefault="0067725A" w:rsidP="004D712A">
            <w:pPr>
              <w:spacing w:after="0"/>
              <w:ind w:firstLine="0"/>
              <w:jc w:val="left"/>
              <w:rPr>
                <w:rFonts w:ascii="Arial Narrow" w:hAnsi="Arial Narrow"/>
                <w:spacing w:val="6"/>
                <w:sz w:val="18"/>
                <w:szCs w:val="18"/>
                <w:lang w:eastAsia="es-ES"/>
              </w:rPr>
            </w:pPr>
            <w:r w:rsidRPr="00CF71C4">
              <w:rPr>
                <w:rFonts w:ascii="Arial Narrow" w:hAnsi="Arial Narrow"/>
                <w:spacing w:val="6"/>
                <w:sz w:val="18"/>
                <w:szCs w:val="18"/>
                <w:lang w:eastAsia="es-ES"/>
              </w:rPr>
              <w:t>Vacantes</w:t>
            </w:r>
          </w:p>
        </w:tc>
        <w:tc>
          <w:tcPr>
            <w:tcW w:w="4820" w:type="dxa"/>
            <w:tcBorders>
              <w:top w:val="single" w:sz="2" w:space="0" w:color="auto"/>
              <w:left w:val="nil"/>
              <w:bottom w:val="single" w:sz="4" w:space="0" w:color="auto"/>
              <w:right w:val="nil"/>
            </w:tcBorders>
            <w:shd w:val="clear" w:color="auto" w:fill="auto"/>
            <w:vAlign w:val="center"/>
          </w:tcPr>
          <w:p w:rsidR="0067725A" w:rsidRPr="00CF71C4" w:rsidRDefault="00B92F9D" w:rsidP="004D712A">
            <w:pPr>
              <w:spacing w:after="0"/>
              <w:ind w:firstLine="0"/>
              <w:jc w:val="right"/>
              <w:rPr>
                <w:rFonts w:ascii="Arial Narrow" w:hAnsi="Arial Narrow"/>
                <w:spacing w:val="6"/>
                <w:sz w:val="18"/>
                <w:szCs w:val="18"/>
                <w:lang w:eastAsia="es-ES"/>
              </w:rPr>
            </w:pPr>
            <w:r>
              <w:rPr>
                <w:rFonts w:ascii="Arial Narrow" w:hAnsi="Arial Narrow"/>
                <w:spacing w:val="6"/>
                <w:sz w:val="18"/>
                <w:szCs w:val="18"/>
                <w:lang w:eastAsia="es-ES"/>
              </w:rPr>
              <w:t>67</w:t>
            </w:r>
          </w:p>
        </w:tc>
      </w:tr>
      <w:tr w:rsidR="00CF71C4" w:rsidRPr="00CF372D" w:rsidTr="00252BC5">
        <w:trPr>
          <w:trHeight w:val="227"/>
          <w:jc w:val="center"/>
        </w:trPr>
        <w:tc>
          <w:tcPr>
            <w:tcW w:w="4368" w:type="dxa"/>
            <w:tcBorders>
              <w:top w:val="single" w:sz="4" w:space="0" w:color="auto"/>
              <w:left w:val="nil"/>
              <w:bottom w:val="single" w:sz="4" w:space="0" w:color="auto"/>
              <w:right w:val="nil"/>
            </w:tcBorders>
            <w:shd w:val="clear" w:color="auto" w:fill="FABF8F" w:themeFill="accent6" w:themeFillTint="99"/>
            <w:vAlign w:val="center"/>
          </w:tcPr>
          <w:p w:rsidR="0067725A" w:rsidRPr="00CF372D" w:rsidRDefault="0067725A" w:rsidP="004D712A">
            <w:pPr>
              <w:spacing w:after="0"/>
              <w:ind w:firstLine="0"/>
              <w:jc w:val="left"/>
              <w:rPr>
                <w:rFonts w:ascii="Arial" w:hAnsi="Arial" w:cs="Arial"/>
                <w:spacing w:val="6"/>
                <w:sz w:val="18"/>
                <w:szCs w:val="18"/>
                <w:lang w:eastAsia="es-ES"/>
              </w:rPr>
            </w:pPr>
            <w:r w:rsidRPr="00CF372D">
              <w:rPr>
                <w:rFonts w:ascii="Arial" w:hAnsi="Arial" w:cs="Arial"/>
                <w:spacing w:val="6"/>
                <w:sz w:val="18"/>
                <w:szCs w:val="18"/>
                <w:lang w:eastAsia="es-ES"/>
              </w:rPr>
              <w:t>% Vacantes sobre el total de puestos</w:t>
            </w:r>
          </w:p>
        </w:tc>
        <w:tc>
          <w:tcPr>
            <w:tcW w:w="4820" w:type="dxa"/>
            <w:tcBorders>
              <w:top w:val="single" w:sz="4" w:space="0" w:color="auto"/>
              <w:left w:val="nil"/>
              <w:bottom w:val="single" w:sz="4" w:space="0" w:color="auto"/>
              <w:right w:val="nil"/>
            </w:tcBorders>
            <w:shd w:val="clear" w:color="auto" w:fill="FABF8F" w:themeFill="accent6" w:themeFillTint="99"/>
            <w:vAlign w:val="center"/>
          </w:tcPr>
          <w:p w:rsidR="0067725A" w:rsidRPr="00CF372D" w:rsidRDefault="00B92F9D" w:rsidP="00EC4053">
            <w:pPr>
              <w:spacing w:after="0"/>
              <w:ind w:firstLine="0"/>
              <w:jc w:val="right"/>
              <w:rPr>
                <w:rFonts w:ascii="Arial" w:hAnsi="Arial" w:cs="Arial"/>
                <w:spacing w:val="6"/>
                <w:sz w:val="18"/>
                <w:szCs w:val="18"/>
                <w:lang w:eastAsia="es-ES"/>
              </w:rPr>
            </w:pPr>
            <w:r>
              <w:rPr>
                <w:rFonts w:ascii="Arial" w:hAnsi="Arial" w:cs="Arial"/>
                <w:spacing w:val="6"/>
                <w:sz w:val="18"/>
                <w:szCs w:val="18"/>
                <w:lang w:eastAsia="es-ES"/>
              </w:rPr>
              <w:t>56</w:t>
            </w:r>
          </w:p>
        </w:tc>
      </w:tr>
      <w:tr w:rsidR="00CF71C4" w:rsidRPr="00CF372D" w:rsidTr="00252BC5">
        <w:trPr>
          <w:trHeight w:val="227"/>
          <w:jc w:val="center"/>
        </w:trPr>
        <w:tc>
          <w:tcPr>
            <w:tcW w:w="4368" w:type="dxa"/>
            <w:tcBorders>
              <w:top w:val="single" w:sz="4" w:space="0" w:color="auto"/>
              <w:left w:val="nil"/>
              <w:bottom w:val="single" w:sz="2" w:space="0" w:color="auto"/>
              <w:right w:val="nil"/>
            </w:tcBorders>
            <w:shd w:val="clear" w:color="auto" w:fill="auto"/>
            <w:vAlign w:val="center"/>
          </w:tcPr>
          <w:p w:rsidR="0067725A" w:rsidRPr="00CF372D" w:rsidRDefault="0067725A" w:rsidP="004D712A">
            <w:pPr>
              <w:spacing w:after="0"/>
              <w:ind w:firstLine="0"/>
              <w:jc w:val="left"/>
              <w:rPr>
                <w:rFonts w:ascii="Arial Narrow" w:hAnsi="Arial Narrow" w:cs="Arial"/>
                <w:spacing w:val="6"/>
                <w:lang w:eastAsia="es-ES"/>
              </w:rPr>
            </w:pPr>
            <w:r w:rsidRPr="00CF372D">
              <w:rPr>
                <w:rFonts w:ascii="Arial Narrow" w:hAnsi="Arial Narrow" w:cs="Arial"/>
                <w:spacing w:val="6"/>
                <w:lang w:eastAsia="es-ES"/>
              </w:rPr>
              <w:t>Vacantes cubiertas</w:t>
            </w:r>
          </w:p>
        </w:tc>
        <w:tc>
          <w:tcPr>
            <w:tcW w:w="4820" w:type="dxa"/>
            <w:tcBorders>
              <w:top w:val="single" w:sz="4" w:space="0" w:color="auto"/>
              <w:left w:val="nil"/>
              <w:bottom w:val="single" w:sz="2" w:space="0" w:color="auto"/>
              <w:right w:val="nil"/>
            </w:tcBorders>
            <w:shd w:val="clear" w:color="auto" w:fill="auto"/>
            <w:vAlign w:val="center"/>
          </w:tcPr>
          <w:p w:rsidR="0067725A" w:rsidRPr="00CF372D" w:rsidRDefault="00242D3C" w:rsidP="00B92F9D">
            <w:pPr>
              <w:spacing w:after="0"/>
              <w:ind w:firstLine="0"/>
              <w:jc w:val="right"/>
              <w:rPr>
                <w:rFonts w:ascii="Arial Narrow" w:hAnsi="Arial Narrow" w:cs="Arial"/>
                <w:spacing w:val="6"/>
                <w:lang w:eastAsia="es-ES"/>
              </w:rPr>
            </w:pPr>
            <w:r>
              <w:rPr>
                <w:rFonts w:ascii="Arial Narrow" w:hAnsi="Arial Narrow" w:cs="Arial"/>
                <w:spacing w:val="6"/>
                <w:lang w:eastAsia="es-ES"/>
              </w:rPr>
              <w:t>6</w:t>
            </w:r>
            <w:r w:rsidR="00B92F9D">
              <w:rPr>
                <w:rFonts w:ascii="Arial Narrow" w:hAnsi="Arial Narrow" w:cs="Arial"/>
                <w:spacing w:val="6"/>
                <w:lang w:eastAsia="es-ES"/>
              </w:rPr>
              <w:t>0</w:t>
            </w:r>
          </w:p>
        </w:tc>
      </w:tr>
      <w:tr w:rsidR="00CF71C4" w:rsidRPr="00CF372D" w:rsidTr="00252BC5">
        <w:trPr>
          <w:trHeight w:val="227"/>
          <w:jc w:val="center"/>
        </w:trPr>
        <w:tc>
          <w:tcPr>
            <w:tcW w:w="4368" w:type="dxa"/>
            <w:tcBorders>
              <w:top w:val="single" w:sz="4" w:space="0" w:color="auto"/>
              <w:left w:val="nil"/>
              <w:bottom w:val="single" w:sz="4" w:space="0" w:color="auto"/>
              <w:right w:val="nil"/>
            </w:tcBorders>
            <w:shd w:val="clear" w:color="auto" w:fill="FABF8F" w:themeFill="accent6" w:themeFillTint="99"/>
            <w:vAlign w:val="center"/>
          </w:tcPr>
          <w:p w:rsidR="0067725A" w:rsidRPr="00CF372D" w:rsidRDefault="0067725A" w:rsidP="004D712A">
            <w:pPr>
              <w:spacing w:after="0"/>
              <w:ind w:firstLine="0"/>
              <w:jc w:val="left"/>
              <w:rPr>
                <w:rFonts w:ascii="Arial" w:hAnsi="Arial" w:cs="Arial"/>
                <w:spacing w:val="6"/>
                <w:sz w:val="18"/>
                <w:szCs w:val="18"/>
                <w:lang w:eastAsia="es-ES"/>
              </w:rPr>
            </w:pPr>
            <w:r w:rsidRPr="00CF372D">
              <w:rPr>
                <w:rFonts w:ascii="Arial" w:hAnsi="Arial" w:cs="Arial"/>
                <w:spacing w:val="6"/>
                <w:sz w:val="18"/>
                <w:szCs w:val="18"/>
                <w:lang w:eastAsia="es-ES"/>
              </w:rPr>
              <w:t>% Vacantes cubiertas temporalmente</w:t>
            </w:r>
          </w:p>
        </w:tc>
        <w:tc>
          <w:tcPr>
            <w:tcW w:w="4820" w:type="dxa"/>
            <w:tcBorders>
              <w:top w:val="single" w:sz="4" w:space="0" w:color="auto"/>
              <w:left w:val="nil"/>
              <w:bottom w:val="single" w:sz="4" w:space="0" w:color="auto"/>
              <w:right w:val="nil"/>
            </w:tcBorders>
            <w:shd w:val="clear" w:color="auto" w:fill="FABF8F" w:themeFill="accent6" w:themeFillTint="99"/>
            <w:vAlign w:val="center"/>
          </w:tcPr>
          <w:p w:rsidR="0067725A" w:rsidRPr="00CF372D" w:rsidRDefault="00B92F9D" w:rsidP="004D712A">
            <w:pPr>
              <w:spacing w:after="0"/>
              <w:ind w:firstLine="0"/>
              <w:jc w:val="right"/>
              <w:rPr>
                <w:rFonts w:ascii="Arial" w:hAnsi="Arial" w:cs="Arial"/>
                <w:spacing w:val="6"/>
                <w:sz w:val="18"/>
                <w:szCs w:val="18"/>
                <w:lang w:eastAsia="es-ES"/>
              </w:rPr>
            </w:pPr>
            <w:r>
              <w:rPr>
                <w:rFonts w:ascii="Arial" w:hAnsi="Arial" w:cs="Arial"/>
                <w:spacing w:val="6"/>
                <w:sz w:val="18"/>
                <w:szCs w:val="18"/>
                <w:lang w:eastAsia="es-ES"/>
              </w:rPr>
              <w:t>90</w:t>
            </w:r>
          </w:p>
        </w:tc>
      </w:tr>
      <w:tr w:rsidR="00CF71C4" w:rsidRPr="00CF372D" w:rsidTr="00252BC5">
        <w:trPr>
          <w:trHeight w:val="227"/>
          <w:jc w:val="center"/>
        </w:trPr>
        <w:tc>
          <w:tcPr>
            <w:tcW w:w="4368" w:type="dxa"/>
            <w:tcBorders>
              <w:top w:val="single" w:sz="4" w:space="0" w:color="auto"/>
              <w:left w:val="nil"/>
              <w:bottom w:val="single" w:sz="4" w:space="0" w:color="auto"/>
              <w:right w:val="nil"/>
            </w:tcBorders>
            <w:shd w:val="clear" w:color="auto" w:fill="auto"/>
            <w:vAlign w:val="center"/>
            <w:hideMark/>
          </w:tcPr>
          <w:p w:rsidR="0067725A" w:rsidRPr="00CF372D" w:rsidRDefault="0067725A" w:rsidP="004D712A">
            <w:pPr>
              <w:spacing w:after="0"/>
              <w:ind w:firstLine="0"/>
              <w:jc w:val="left"/>
              <w:rPr>
                <w:rFonts w:ascii="Arial Narrow" w:hAnsi="Arial Narrow"/>
                <w:lang w:val="es-ES" w:eastAsia="es-ES"/>
              </w:rPr>
            </w:pPr>
            <w:r w:rsidRPr="00CF372D">
              <w:rPr>
                <w:rFonts w:ascii="Arial Narrow" w:hAnsi="Arial Narrow"/>
                <w:spacing w:val="6"/>
                <w:lang w:eastAsia="es-ES"/>
              </w:rPr>
              <w:t>Vacantes sin cubrir</w:t>
            </w:r>
          </w:p>
        </w:tc>
        <w:tc>
          <w:tcPr>
            <w:tcW w:w="4820" w:type="dxa"/>
            <w:tcBorders>
              <w:top w:val="single" w:sz="4" w:space="0" w:color="auto"/>
              <w:left w:val="nil"/>
              <w:bottom w:val="single" w:sz="4" w:space="0" w:color="auto"/>
              <w:right w:val="nil"/>
            </w:tcBorders>
            <w:shd w:val="clear" w:color="auto" w:fill="auto"/>
            <w:vAlign w:val="center"/>
          </w:tcPr>
          <w:p w:rsidR="0067725A" w:rsidRPr="00CF372D" w:rsidRDefault="00B92F9D" w:rsidP="004D712A">
            <w:pPr>
              <w:spacing w:after="0"/>
              <w:ind w:firstLine="0"/>
              <w:jc w:val="right"/>
              <w:rPr>
                <w:rFonts w:ascii="Arial Narrow" w:hAnsi="Arial Narrow"/>
                <w:lang w:val="es-ES" w:eastAsia="es-ES"/>
              </w:rPr>
            </w:pPr>
            <w:r>
              <w:rPr>
                <w:rFonts w:ascii="Arial Narrow" w:hAnsi="Arial Narrow"/>
                <w:lang w:val="es-ES" w:eastAsia="es-ES"/>
              </w:rPr>
              <w:t>7</w:t>
            </w:r>
          </w:p>
        </w:tc>
      </w:tr>
      <w:tr w:rsidR="00CF71C4" w:rsidRPr="00CF372D" w:rsidTr="00252BC5">
        <w:trPr>
          <w:trHeight w:val="227"/>
          <w:jc w:val="center"/>
        </w:trPr>
        <w:tc>
          <w:tcPr>
            <w:tcW w:w="4368" w:type="dxa"/>
            <w:tcBorders>
              <w:top w:val="single" w:sz="4" w:space="0" w:color="auto"/>
              <w:left w:val="nil"/>
              <w:bottom w:val="single" w:sz="4" w:space="0" w:color="auto"/>
              <w:right w:val="nil"/>
            </w:tcBorders>
            <w:shd w:val="clear" w:color="auto" w:fill="FABF8F" w:themeFill="accent6" w:themeFillTint="99"/>
            <w:vAlign w:val="center"/>
          </w:tcPr>
          <w:p w:rsidR="0067725A" w:rsidRPr="00CF372D" w:rsidRDefault="0067725A" w:rsidP="004D712A">
            <w:pPr>
              <w:spacing w:after="0"/>
              <w:ind w:firstLine="0"/>
              <w:jc w:val="left"/>
              <w:rPr>
                <w:rFonts w:ascii="Arial" w:hAnsi="Arial" w:cs="Arial"/>
                <w:spacing w:val="6"/>
                <w:sz w:val="18"/>
                <w:szCs w:val="18"/>
                <w:lang w:eastAsia="es-ES"/>
              </w:rPr>
            </w:pPr>
            <w:r w:rsidRPr="00CF372D">
              <w:rPr>
                <w:rFonts w:ascii="Arial" w:hAnsi="Arial" w:cs="Arial"/>
                <w:spacing w:val="6"/>
                <w:sz w:val="18"/>
                <w:szCs w:val="18"/>
                <w:lang w:eastAsia="es-ES"/>
              </w:rPr>
              <w:t>% Vacante sin cubrir</w:t>
            </w:r>
          </w:p>
        </w:tc>
        <w:tc>
          <w:tcPr>
            <w:tcW w:w="4820" w:type="dxa"/>
            <w:tcBorders>
              <w:top w:val="single" w:sz="4" w:space="0" w:color="auto"/>
              <w:left w:val="nil"/>
              <w:bottom w:val="single" w:sz="4" w:space="0" w:color="auto"/>
              <w:right w:val="nil"/>
            </w:tcBorders>
            <w:shd w:val="clear" w:color="auto" w:fill="FABF8F" w:themeFill="accent6" w:themeFillTint="99"/>
            <w:vAlign w:val="center"/>
          </w:tcPr>
          <w:p w:rsidR="0067725A" w:rsidRPr="00CF372D" w:rsidRDefault="00242D3C" w:rsidP="004D712A">
            <w:pPr>
              <w:spacing w:after="0"/>
              <w:ind w:firstLine="0"/>
              <w:jc w:val="right"/>
              <w:rPr>
                <w:rFonts w:ascii="Arial" w:hAnsi="Arial" w:cs="Arial"/>
                <w:spacing w:val="6"/>
                <w:sz w:val="18"/>
                <w:szCs w:val="18"/>
                <w:lang w:eastAsia="es-ES"/>
              </w:rPr>
            </w:pPr>
            <w:r>
              <w:rPr>
                <w:rFonts w:ascii="Arial" w:hAnsi="Arial" w:cs="Arial"/>
                <w:spacing w:val="6"/>
                <w:sz w:val="18"/>
                <w:szCs w:val="18"/>
                <w:lang w:eastAsia="es-ES"/>
              </w:rPr>
              <w:t>1</w:t>
            </w:r>
            <w:r w:rsidR="00B92F9D">
              <w:rPr>
                <w:rFonts w:ascii="Arial" w:hAnsi="Arial" w:cs="Arial"/>
                <w:spacing w:val="6"/>
                <w:sz w:val="18"/>
                <w:szCs w:val="18"/>
                <w:lang w:eastAsia="es-ES"/>
              </w:rPr>
              <w:t>0</w:t>
            </w:r>
          </w:p>
        </w:tc>
      </w:tr>
    </w:tbl>
    <w:p w:rsidR="0067725A" w:rsidRPr="009F5A89" w:rsidRDefault="0067725A" w:rsidP="0038664C">
      <w:pPr>
        <w:pStyle w:val="texto"/>
        <w:tabs>
          <w:tab w:val="left" w:pos="708"/>
        </w:tabs>
        <w:spacing w:before="240" w:after="120"/>
        <w:rPr>
          <w:rFonts w:cs="Arial"/>
          <w:color w:val="000000" w:themeColor="text1"/>
          <w:lang w:val="es-ES"/>
        </w:rPr>
      </w:pPr>
      <w:r w:rsidRPr="009F5A89">
        <w:rPr>
          <w:color w:val="000000" w:themeColor="text1"/>
          <w:lang w:val="es-ES"/>
        </w:rPr>
        <w:t xml:space="preserve">En </w:t>
      </w:r>
      <w:r w:rsidR="00996B35" w:rsidRPr="009F5A89">
        <w:rPr>
          <w:color w:val="000000" w:themeColor="text1"/>
          <w:lang w:val="es-ES"/>
        </w:rPr>
        <w:t>2019</w:t>
      </w:r>
      <w:r w:rsidRPr="009F5A89">
        <w:rPr>
          <w:color w:val="000000" w:themeColor="text1"/>
          <w:lang w:val="es-ES"/>
        </w:rPr>
        <w:t xml:space="preserve"> el </w:t>
      </w:r>
      <w:r w:rsidR="00B92F9D" w:rsidRPr="009F5A89">
        <w:rPr>
          <w:color w:val="000000" w:themeColor="text1"/>
          <w:lang w:val="es-ES"/>
        </w:rPr>
        <w:t>56</w:t>
      </w:r>
      <w:r w:rsidR="00CF71C4" w:rsidRPr="009F5A89">
        <w:rPr>
          <w:color w:val="000000" w:themeColor="text1"/>
          <w:lang w:val="es-ES"/>
        </w:rPr>
        <w:t xml:space="preserve"> </w:t>
      </w:r>
      <w:r w:rsidRPr="009F5A89">
        <w:rPr>
          <w:color w:val="000000" w:themeColor="text1"/>
          <w:lang w:val="es-ES"/>
        </w:rPr>
        <w:t xml:space="preserve">por ciento </w:t>
      </w:r>
      <w:r w:rsidR="00B92F9D" w:rsidRPr="009F5A89">
        <w:rPr>
          <w:color w:val="000000" w:themeColor="text1"/>
          <w:lang w:val="es-ES"/>
        </w:rPr>
        <w:t xml:space="preserve">del total de puestos de plantilla </w:t>
      </w:r>
      <w:r w:rsidRPr="009F5A89">
        <w:rPr>
          <w:color w:val="000000" w:themeColor="text1"/>
          <w:lang w:val="es-ES"/>
        </w:rPr>
        <w:t>están vacantes, de l</w:t>
      </w:r>
      <w:r w:rsidR="0081232C" w:rsidRPr="009F5A89">
        <w:rPr>
          <w:color w:val="000000" w:themeColor="text1"/>
          <w:lang w:val="es-ES"/>
        </w:rPr>
        <w:t>os</w:t>
      </w:r>
      <w:r w:rsidRPr="009F5A89">
        <w:rPr>
          <w:color w:val="000000" w:themeColor="text1"/>
          <w:lang w:val="es-ES"/>
        </w:rPr>
        <w:t xml:space="preserve"> que el </w:t>
      </w:r>
      <w:r w:rsidR="00B92F9D" w:rsidRPr="009F5A89">
        <w:rPr>
          <w:color w:val="000000" w:themeColor="text1"/>
          <w:lang w:val="es-ES"/>
        </w:rPr>
        <w:t>90</w:t>
      </w:r>
      <w:r w:rsidR="00CF71C4" w:rsidRPr="009F5A89">
        <w:rPr>
          <w:color w:val="000000" w:themeColor="text1"/>
          <w:lang w:val="es-ES"/>
        </w:rPr>
        <w:t xml:space="preserve"> </w:t>
      </w:r>
      <w:r w:rsidRPr="009F5A89">
        <w:rPr>
          <w:color w:val="000000" w:themeColor="text1"/>
          <w:lang w:val="es-ES"/>
        </w:rPr>
        <w:t xml:space="preserve">por ciento </w:t>
      </w:r>
      <w:r w:rsidR="00B92F9D" w:rsidRPr="009F5A89">
        <w:rPr>
          <w:color w:val="000000" w:themeColor="text1"/>
          <w:lang w:val="es-ES"/>
        </w:rPr>
        <w:t>están</w:t>
      </w:r>
      <w:r w:rsidRPr="009F5A89">
        <w:rPr>
          <w:color w:val="000000" w:themeColor="text1"/>
          <w:lang w:val="es-ES"/>
        </w:rPr>
        <w:t xml:space="preserve"> cubiertos temporalmente y el resto</w:t>
      </w:r>
      <w:r w:rsidR="00EC4053" w:rsidRPr="009F5A89">
        <w:rPr>
          <w:color w:val="000000" w:themeColor="text1"/>
          <w:lang w:val="es-ES"/>
        </w:rPr>
        <w:t xml:space="preserve">, </w:t>
      </w:r>
      <w:r w:rsidRPr="009F5A89">
        <w:rPr>
          <w:color w:val="000000" w:themeColor="text1"/>
          <w:lang w:val="es-ES"/>
        </w:rPr>
        <w:t xml:space="preserve">un </w:t>
      </w:r>
      <w:r w:rsidR="00B92F9D" w:rsidRPr="009F5A89">
        <w:rPr>
          <w:color w:val="000000" w:themeColor="text1"/>
          <w:lang w:val="es-ES"/>
        </w:rPr>
        <w:t>diez</w:t>
      </w:r>
      <w:r w:rsidR="00CF71C4" w:rsidRPr="009F5A89">
        <w:rPr>
          <w:color w:val="000000" w:themeColor="text1"/>
          <w:lang w:val="es-ES"/>
        </w:rPr>
        <w:t xml:space="preserve"> </w:t>
      </w:r>
      <w:r w:rsidRPr="009F5A89">
        <w:rPr>
          <w:color w:val="000000" w:themeColor="text1"/>
          <w:lang w:val="es-ES"/>
        </w:rPr>
        <w:t>por ciento</w:t>
      </w:r>
      <w:r w:rsidR="00EC4053" w:rsidRPr="009F5A89">
        <w:rPr>
          <w:color w:val="000000" w:themeColor="text1"/>
          <w:lang w:val="es-ES"/>
        </w:rPr>
        <w:t>, continúan</w:t>
      </w:r>
      <w:r w:rsidRPr="009F5A89">
        <w:rPr>
          <w:color w:val="000000" w:themeColor="text1"/>
          <w:lang w:val="es-ES"/>
        </w:rPr>
        <w:t xml:space="preserve"> sin cubrir.</w:t>
      </w:r>
    </w:p>
    <w:p w:rsidR="0067725A" w:rsidRPr="009F5A89" w:rsidRDefault="0067725A" w:rsidP="004D525B">
      <w:pPr>
        <w:pStyle w:val="texto"/>
        <w:tabs>
          <w:tab w:val="left" w:pos="708"/>
        </w:tabs>
        <w:spacing w:before="240" w:after="160"/>
        <w:rPr>
          <w:rFonts w:cs="Arial"/>
          <w:color w:val="000000" w:themeColor="text1"/>
        </w:rPr>
      </w:pPr>
      <w:r w:rsidRPr="009F5A89">
        <w:rPr>
          <w:rFonts w:cs="Arial"/>
          <w:color w:val="000000" w:themeColor="text1"/>
        </w:rPr>
        <w:t>De la revisión efectuada destacamos los siguientes aspectos:</w:t>
      </w:r>
      <w:r w:rsidR="00387BF7" w:rsidRPr="009F5A89">
        <w:rPr>
          <w:rFonts w:cs="Arial"/>
          <w:color w:val="000000" w:themeColor="text1"/>
        </w:rPr>
        <w:t xml:space="preserve">  </w:t>
      </w:r>
    </w:p>
    <w:p w:rsidR="0067725A" w:rsidRPr="009F5A89" w:rsidRDefault="0067725A" w:rsidP="00F641C0">
      <w:pPr>
        <w:pStyle w:val="texto"/>
        <w:numPr>
          <w:ilvl w:val="0"/>
          <w:numId w:val="1"/>
        </w:numPr>
        <w:tabs>
          <w:tab w:val="clear" w:pos="2835"/>
          <w:tab w:val="clear" w:pos="3969"/>
          <w:tab w:val="clear" w:pos="5103"/>
          <w:tab w:val="clear" w:pos="6237"/>
          <w:tab w:val="clear" w:pos="7371"/>
          <w:tab w:val="left" w:pos="480"/>
          <w:tab w:val="num" w:pos="720"/>
          <w:tab w:val="num" w:pos="6597"/>
        </w:tabs>
        <w:ind w:left="0" w:firstLine="289"/>
        <w:rPr>
          <w:rFonts w:cs="Arial"/>
          <w:color w:val="000000" w:themeColor="text1"/>
        </w:rPr>
      </w:pPr>
      <w:r w:rsidRPr="009F5A89">
        <w:rPr>
          <w:rFonts w:cs="Arial"/>
          <w:color w:val="000000" w:themeColor="text1"/>
          <w:spacing w:val="4"/>
        </w:rPr>
        <w:t>La aprobación definitiva de</w:t>
      </w:r>
      <w:r w:rsidR="0069108D" w:rsidRPr="009F5A89">
        <w:rPr>
          <w:rFonts w:cs="Arial"/>
          <w:color w:val="000000" w:themeColor="text1"/>
          <w:spacing w:val="4"/>
        </w:rPr>
        <w:t xml:space="preserve"> la plantilla orgánica de </w:t>
      </w:r>
      <w:r w:rsidR="00996B35" w:rsidRPr="009F5A89">
        <w:rPr>
          <w:rFonts w:cs="Arial"/>
          <w:color w:val="000000" w:themeColor="text1"/>
          <w:spacing w:val="4"/>
        </w:rPr>
        <w:t>2019</w:t>
      </w:r>
      <w:r w:rsidR="0069108D" w:rsidRPr="009F5A89">
        <w:rPr>
          <w:rFonts w:cs="Arial"/>
          <w:color w:val="000000" w:themeColor="text1"/>
          <w:spacing w:val="4"/>
        </w:rPr>
        <w:t xml:space="preserve"> </w:t>
      </w:r>
      <w:r w:rsidRPr="009F5A89">
        <w:rPr>
          <w:rFonts w:cs="Arial"/>
          <w:color w:val="000000" w:themeColor="text1"/>
          <w:spacing w:val="4"/>
        </w:rPr>
        <w:t xml:space="preserve">se publicó en el BON en </w:t>
      </w:r>
      <w:r w:rsidR="00B92F9D" w:rsidRPr="009F5A89">
        <w:rPr>
          <w:rFonts w:cs="Arial"/>
          <w:color w:val="000000" w:themeColor="text1"/>
          <w:spacing w:val="4"/>
        </w:rPr>
        <w:t>abril</w:t>
      </w:r>
      <w:r w:rsidR="00B41F9E" w:rsidRPr="009F5A89">
        <w:rPr>
          <w:rFonts w:cs="Arial"/>
          <w:color w:val="000000" w:themeColor="text1"/>
          <w:spacing w:val="4"/>
        </w:rPr>
        <w:t xml:space="preserve"> de </w:t>
      </w:r>
      <w:r w:rsidR="00996B35" w:rsidRPr="009F5A89">
        <w:rPr>
          <w:rFonts w:cs="Arial"/>
          <w:color w:val="000000" w:themeColor="text1"/>
          <w:spacing w:val="4"/>
        </w:rPr>
        <w:t>2019</w:t>
      </w:r>
      <w:r w:rsidR="008A0985">
        <w:rPr>
          <w:rFonts w:cs="Arial"/>
          <w:color w:val="000000" w:themeColor="text1"/>
          <w:spacing w:val="4"/>
        </w:rPr>
        <w:t>,</w:t>
      </w:r>
      <w:r w:rsidRPr="009F5A89">
        <w:rPr>
          <w:rFonts w:cs="Arial"/>
          <w:color w:val="000000" w:themeColor="text1"/>
          <w:spacing w:val="4"/>
        </w:rPr>
        <w:t xml:space="preserve"> una vez finalizado el trámite de alegaciones.</w:t>
      </w:r>
      <w:r w:rsidR="009B2E88" w:rsidRPr="009F5A89">
        <w:rPr>
          <w:rFonts w:cs="Arial"/>
          <w:color w:val="000000" w:themeColor="text1"/>
          <w:spacing w:val="4"/>
        </w:rPr>
        <w:t xml:space="preserve"> </w:t>
      </w:r>
      <w:r w:rsidR="00B92F9D" w:rsidRPr="009F5A89">
        <w:rPr>
          <w:rFonts w:cs="Arial"/>
          <w:color w:val="000000" w:themeColor="text1"/>
        </w:rPr>
        <w:t xml:space="preserve">Durante el ejercicio se ha realizado una única </w:t>
      </w:r>
      <w:r w:rsidRPr="009F5A89">
        <w:rPr>
          <w:rFonts w:cs="Arial"/>
          <w:color w:val="000000" w:themeColor="text1"/>
        </w:rPr>
        <w:t>modifi</w:t>
      </w:r>
      <w:r w:rsidR="003D3EB6" w:rsidRPr="009F5A89">
        <w:rPr>
          <w:rFonts w:cs="Arial"/>
          <w:color w:val="000000" w:themeColor="text1"/>
        </w:rPr>
        <w:t>caci</w:t>
      </w:r>
      <w:r w:rsidR="00B41F9E" w:rsidRPr="009F5A89">
        <w:rPr>
          <w:rFonts w:cs="Arial"/>
          <w:color w:val="000000" w:themeColor="text1"/>
        </w:rPr>
        <w:t>ón</w:t>
      </w:r>
      <w:r w:rsidR="003D3EB6" w:rsidRPr="009F5A89">
        <w:rPr>
          <w:rFonts w:cs="Arial"/>
          <w:color w:val="000000" w:themeColor="text1"/>
        </w:rPr>
        <w:t xml:space="preserve"> a la plantilla orgánica </w:t>
      </w:r>
      <w:r w:rsidR="00B92F9D" w:rsidRPr="009F5A89">
        <w:rPr>
          <w:rFonts w:cs="Arial"/>
          <w:color w:val="000000" w:themeColor="text1"/>
        </w:rPr>
        <w:t xml:space="preserve">con el fin de crear el puesto de trabajo de guarda de campo. </w:t>
      </w:r>
    </w:p>
    <w:p w:rsidR="00C747FF" w:rsidRPr="009F5A89" w:rsidRDefault="00843F44" w:rsidP="00C747FF">
      <w:pPr>
        <w:pStyle w:val="texto"/>
        <w:tabs>
          <w:tab w:val="clear" w:pos="2835"/>
          <w:tab w:val="clear" w:pos="3969"/>
          <w:tab w:val="clear" w:pos="5103"/>
          <w:tab w:val="clear" w:pos="6237"/>
          <w:tab w:val="clear" w:pos="7371"/>
          <w:tab w:val="num" w:pos="600"/>
          <w:tab w:val="num" w:pos="720"/>
          <w:tab w:val="num" w:pos="1320"/>
        </w:tabs>
        <w:spacing w:after="120"/>
        <w:rPr>
          <w:rFonts w:cs="Arial"/>
          <w:color w:val="000000" w:themeColor="text1"/>
        </w:rPr>
      </w:pPr>
      <w:r w:rsidRPr="009F5A89">
        <w:rPr>
          <w:rFonts w:cs="Arial"/>
          <w:color w:val="000000" w:themeColor="text1"/>
        </w:rPr>
        <w:t>Del contraste</w:t>
      </w:r>
      <w:r w:rsidR="00C747FF" w:rsidRPr="009F5A89">
        <w:rPr>
          <w:rFonts w:cs="Arial"/>
          <w:color w:val="000000" w:themeColor="text1"/>
        </w:rPr>
        <w:t xml:space="preserve"> de la plantilla orgánica con la relación de puestos de trabajo se han detectado varios errores que </w:t>
      </w:r>
      <w:r w:rsidR="00264A87" w:rsidRPr="009F5A89">
        <w:rPr>
          <w:rFonts w:cs="Arial"/>
          <w:color w:val="000000" w:themeColor="text1"/>
        </w:rPr>
        <w:t xml:space="preserve">deberán ser </w:t>
      </w:r>
      <w:r w:rsidR="00C747FF" w:rsidRPr="009F5A89">
        <w:rPr>
          <w:rFonts w:cs="Arial"/>
          <w:color w:val="000000" w:themeColor="text1"/>
        </w:rPr>
        <w:t>subsanados en la plantilla de 2020.</w:t>
      </w:r>
    </w:p>
    <w:p w:rsidR="00F76BC7" w:rsidRDefault="00B92F9D" w:rsidP="00F641C0">
      <w:pPr>
        <w:pStyle w:val="texto"/>
        <w:numPr>
          <w:ilvl w:val="0"/>
          <w:numId w:val="1"/>
        </w:numPr>
        <w:tabs>
          <w:tab w:val="clear" w:pos="2835"/>
          <w:tab w:val="clear" w:pos="3969"/>
          <w:tab w:val="clear" w:pos="5103"/>
          <w:tab w:val="clear" w:pos="6237"/>
          <w:tab w:val="clear" w:pos="7371"/>
          <w:tab w:val="left" w:pos="480"/>
          <w:tab w:val="num" w:pos="720"/>
          <w:tab w:val="num" w:pos="6597"/>
        </w:tabs>
        <w:ind w:left="0" w:firstLine="289"/>
        <w:rPr>
          <w:rFonts w:cs="Arial"/>
          <w:spacing w:val="4"/>
        </w:rPr>
      </w:pPr>
      <w:r>
        <w:rPr>
          <w:rFonts w:cs="Arial"/>
          <w:spacing w:val="4"/>
        </w:rPr>
        <w:t xml:space="preserve">En noviembre de 2018 se publicó la </w:t>
      </w:r>
      <w:r w:rsidR="0064681E">
        <w:rPr>
          <w:rFonts w:cs="Arial"/>
          <w:spacing w:val="4"/>
        </w:rPr>
        <w:t>oferta pública de empleo (</w:t>
      </w:r>
      <w:r>
        <w:rPr>
          <w:rFonts w:cs="Arial"/>
          <w:spacing w:val="4"/>
        </w:rPr>
        <w:t>OPE</w:t>
      </w:r>
      <w:r w:rsidR="0064681E">
        <w:rPr>
          <w:rFonts w:cs="Arial"/>
          <w:spacing w:val="4"/>
        </w:rPr>
        <w:t xml:space="preserve"> en adelante)</w:t>
      </w:r>
      <w:r>
        <w:rPr>
          <w:rFonts w:cs="Arial"/>
          <w:spacing w:val="4"/>
        </w:rPr>
        <w:t xml:space="preserve"> aprobada para los años 2018 a 2022. Dicha OPE incluye un total de 45 puestos de los que cuatro serán cubiertos mediante promoción interna. Todas las plazas inclu</w:t>
      </w:r>
      <w:r w:rsidR="00F54F3A">
        <w:rPr>
          <w:rFonts w:cs="Arial"/>
          <w:spacing w:val="4"/>
        </w:rPr>
        <w:t>i</w:t>
      </w:r>
      <w:r>
        <w:rPr>
          <w:rFonts w:cs="Arial"/>
          <w:spacing w:val="4"/>
        </w:rPr>
        <w:t>das en la OPE lo son al amparo de la tasa adicional de estabilización de empleo temporal p</w:t>
      </w:r>
      <w:r w:rsidR="00F76BC7">
        <w:rPr>
          <w:rFonts w:cs="Arial"/>
          <w:spacing w:val="4"/>
        </w:rPr>
        <w:t xml:space="preserve">ermitida por la </w:t>
      </w:r>
      <w:r w:rsidR="00F76BC7" w:rsidRPr="00AA3919">
        <w:rPr>
          <w:rFonts w:cs="Arial"/>
          <w:spacing w:val="4"/>
        </w:rPr>
        <w:t>normativa</w:t>
      </w:r>
      <w:r w:rsidR="00F76BC7" w:rsidRPr="00365537">
        <w:rPr>
          <w:rStyle w:val="Refdenotaalpie"/>
          <w:spacing w:val="4"/>
        </w:rPr>
        <w:footnoteReference w:id="1"/>
      </w:r>
      <w:r w:rsidR="00F30014">
        <w:rPr>
          <w:rFonts w:cs="Arial"/>
          <w:spacing w:val="4"/>
        </w:rPr>
        <w:t xml:space="preserve"> </w:t>
      </w:r>
      <w:r w:rsidR="00F76BC7">
        <w:rPr>
          <w:rFonts w:cs="Arial"/>
          <w:spacing w:val="4"/>
        </w:rPr>
        <w:t xml:space="preserve">de la Ley de Presupuestos Generales del Estado para el año </w:t>
      </w:r>
      <w:r w:rsidR="00996B35">
        <w:rPr>
          <w:rFonts w:cs="Arial"/>
          <w:spacing w:val="4"/>
        </w:rPr>
        <w:t>201</w:t>
      </w:r>
      <w:r>
        <w:rPr>
          <w:rFonts w:cs="Arial"/>
          <w:spacing w:val="4"/>
        </w:rPr>
        <w:t>8</w:t>
      </w:r>
      <w:r w:rsidR="00F76BC7">
        <w:rPr>
          <w:rFonts w:cs="Arial"/>
          <w:spacing w:val="4"/>
        </w:rPr>
        <w:t xml:space="preserve">. </w:t>
      </w:r>
    </w:p>
    <w:p w:rsidR="00B92F9D" w:rsidRDefault="00B4365F" w:rsidP="00B92F9D">
      <w:pPr>
        <w:pStyle w:val="texto"/>
        <w:tabs>
          <w:tab w:val="clear" w:pos="2835"/>
          <w:tab w:val="clear" w:pos="3969"/>
          <w:tab w:val="clear" w:pos="5103"/>
          <w:tab w:val="clear" w:pos="6237"/>
          <w:tab w:val="clear" w:pos="7371"/>
          <w:tab w:val="left" w:pos="480"/>
          <w:tab w:val="num" w:pos="720"/>
          <w:tab w:val="num" w:pos="1320"/>
          <w:tab w:val="num" w:pos="1948"/>
        </w:tabs>
        <w:spacing w:before="120" w:after="120"/>
        <w:rPr>
          <w:rFonts w:cs="Arial"/>
          <w:spacing w:val="4"/>
        </w:rPr>
      </w:pPr>
      <w:r>
        <w:rPr>
          <w:rFonts w:cs="Arial"/>
          <w:spacing w:val="4"/>
        </w:rPr>
        <w:t>Hemos</w:t>
      </w:r>
      <w:r w:rsidR="00F76BC7">
        <w:rPr>
          <w:rFonts w:cs="Arial"/>
          <w:spacing w:val="4"/>
        </w:rPr>
        <w:t xml:space="preserve"> </w:t>
      </w:r>
      <w:r w:rsidR="00E20D43">
        <w:rPr>
          <w:rFonts w:cs="Arial"/>
          <w:spacing w:val="4"/>
        </w:rPr>
        <w:t>comprobado</w:t>
      </w:r>
      <w:r w:rsidR="00F76BC7">
        <w:rPr>
          <w:rFonts w:cs="Arial"/>
          <w:spacing w:val="4"/>
        </w:rPr>
        <w:t xml:space="preserve"> </w:t>
      </w:r>
      <w:r w:rsidR="00814308">
        <w:rPr>
          <w:rFonts w:cs="Arial"/>
          <w:spacing w:val="4"/>
        </w:rPr>
        <w:t xml:space="preserve">que </w:t>
      </w:r>
      <w:r w:rsidR="00F54F3A">
        <w:rPr>
          <w:rFonts w:cs="Arial"/>
          <w:spacing w:val="4"/>
        </w:rPr>
        <w:t>las plazas inclui</w:t>
      </w:r>
      <w:r w:rsidR="00B92F9D">
        <w:rPr>
          <w:rFonts w:cs="Arial"/>
          <w:spacing w:val="4"/>
        </w:rPr>
        <w:t>das en la OPE</w:t>
      </w:r>
      <w:r w:rsidR="00F76BC7">
        <w:rPr>
          <w:rFonts w:cs="Arial"/>
          <w:spacing w:val="4"/>
        </w:rPr>
        <w:t xml:space="preserve"> cumplía</w:t>
      </w:r>
      <w:r w:rsidR="00814308">
        <w:rPr>
          <w:rFonts w:cs="Arial"/>
          <w:spacing w:val="4"/>
        </w:rPr>
        <w:t>n</w:t>
      </w:r>
      <w:r w:rsidR="00F76BC7">
        <w:rPr>
          <w:rFonts w:cs="Arial"/>
          <w:spacing w:val="4"/>
        </w:rPr>
        <w:t xml:space="preserve"> los requisitos de antigüedad para poder ofertarla</w:t>
      </w:r>
      <w:r w:rsidR="00814308">
        <w:rPr>
          <w:rFonts w:cs="Arial"/>
          <w:spacing w:val="4"/>
        </w:rPr>
        <w:t>s</w:t>
      </w:r>
      <w:r w:rsidR="00F76BC7">
        <w:rPr>
          <w:rFonts w:cs="Arial"/>
          <w:spacing w:val="4"/>
        </w:rPr>
        <w:t xml:space="preserve"> por estabilización de empleo. </w:t>
      </w:r>
    </w:p>
    <w:p w:rsidR="0067725A" w:rsidRPr="009F5A89" w:rsidRDefault="0081232C" w:rsidP="00B92F9D">
      <w:pPr>
        <w:pStyle w:val="texto"/>
        <w:tabs>
          <w:tab w:val="clear" w:pos="2835"/>
          <w:tab w:val="clear" w:pos="3969"/>
          <w:tab w:val="clear" w:pos="5103"/>
          <w:tab w:val="clear" w:pos="6237"/>
          <w:tab w:val="clear" w:pos="7371"/>
          <w:tab w:val="left" w:pos="480"/>
          <w:tab w:val="num" w:pos="720"/>
          <w:tab w:val="num" w:pos="1320"/>
          <w:tab w:val="num" w:pos="1948"/>
        </w:tabs>
        <w:spacing w:before="120" w:after="120"/>
        <w:rPr>
          <w:rFonts w:cs="Arial"/>
          <w:color w:val="000000" w:themeColor="text1"/>
          <w:spacing w:val="4"/>
        </w:rPr>
      </w:pPr>
      <w:r w:rsidRPr="009F5A89">
        <w:rPr>
          <w:rFonts w:cs="Arial"/>
          <w:color w:val="000000" w:themeColor="text1"/>
          <w:spacing w:val="4"/>
        </w:rPr>
        <w:t xml:space="preserve">En 2017 no se produjo ninguna baja </w:t>
      </w:r>
      <w:r w:rsidR="004B617A" w:rsidRPr="009F5A89">
        <w:rPr>
          <w:rFonts w:cs="Arial"/>
          <w:color w:val="000000" w:themeColor="text1"/>
          <w:spacing w:val="4"/>
        </w:rPr>
        <w:t>definitiva</w:t>
      </w:r>
      <w:r w:rsidRPr="009F5A89">
        <w:rPr>
          <w:rFonts w:cs="Arial"/>
          <w:color w:val="000000" w:themeColor="text1"/>
          <w:spacing w:val="4"/>
        </w:rPr>
        <w:t xml:space="preserve"> y</w:t>
      </w:r>
      <w:r w:rsidR="008A0985">
        <w:rPr>
          <w:rFonts w:cs="Arial"/>
          <w:color w:val="000000" w:themeColor="text1"/>
          <w:spacing w:val="4"/>
        </w:rPr>
        <w:t>,</w:t>
      </w:r>
      <w:r w:rsidRPr="009F5A89">
        <w:rPr>
          <w:rFonts w:cs="Arial"/>
          <w:color w:val="000000" w:themeColor="text1"/>
          <w:spacing w:val="4"/>
        </w:rPr>
        <w:t xml:space="preserve"> por tanto</w:t>
      </w:r>
      <w:r w:rsidR="008A0985">
        <w:rPr>
          <w:rFonts w:cs="Arial"/>
          <w:color w:val="000000" w:themeColor="text1"/>
          <w:spacing w:val="4"/>
        </w:rPr>
        <w:t>,</w:t>
      </w:r>
      <w:r w:rsidRPr="009F5A89">
        <w:rPr>
          <w:rFonts w:cs="Arial"/>
          <w:color w:val="000000" w:themeColor="text1"/>
          <w:spacing w:val="4"/>
        </w:rPr>
        <w:t xml:space="preserve"> no cabía oferta por t</w:t>
      </w:r>
      <w:r w:rsidRPr="009F5A89">
        <w:rPr>
          <w:rFonts w:cs="Arial"/>
          <w:color w:val="000000" w:themeColor="text1"/>
          <w:spacing w:val="4"/>
        </w:rPr>
        <w:t>a</w:t>
      </w:r>
      <w:r w:rsidRPr="009F5A89">
        <w:rPr>
          <w:rFonts w:cs="Arial"/>
          <w:color w:val="000000" w:themeColor="text1"/>
          <w:spacing w:val="4"/>
        </w:rPr>
        <w:t>sa de reposición.</w:t>
      </w:r>
    </w:p>
    <w:p w:rsidR="00B92F9D" w:rsidRDefault="00B92F9D" w:rsidP="00B92F9D">
      <w:pPr>
        <w:pStyle w:val="texto"/>
        <w:tabs>
          <w:tab w:val="clear" w:pos="2835"/>
          <w:tab w:val="clear" w:pos="3969"/>
          <w:tab w:val="clear" w:pos="5103"/>
          <w:tab w:val="clear" w:pos="6237"/>
          <w:tab w:val="clear" w:pos="7371"/>
          <w:tab w:val="left" w:pos="480"/>
          <w:tab w:val="num" w:pos="720"/>
          <w:tab w:val="num" w:pos="1320"/>
          <w:tab w:val="num" w:pos="1948"/>
        </w:tabs>
        <w:spacing w:before="120" w:after="120"/>
        <w:rPr>
          <w:rFonts w:cs="Arial"/>
          <w:spacing w:val="4"/>
        </w:rPr>
      </w:pPr>
      <w:r w:rsidRPr="00557E3B">
        <w:rPr>
          <w:rFonts w:cs="Arial"/>
          <w:spacing w:val="4"/>
        </w:rPr>
        <w:t>En 2018 no se convocó ninguna de las cinco plazas previstas en la OPE</w:t>
      </w:r>
      <w:r>
        <w:rPr>
          <w:rFonts w:cs="Arial"/>
          <w:spacing w:val="4"/>
        </w:rPr>
        <w:t>. A finales del 2019 la situación de la OPE es la siguiente:</w:t>
      </w:r>
    </w:p>
    <w:tbl>
      <w:tblPr>
        <w:tblW w:w="5000" w:type="pct"/>
        <w:tblCellMar>
          <w:left w:w="70" w:type="dxa"/>
          <w:right w:w="70" w:type="dxa"/>
        </w:tblCellMar>
        <w:tblLook w:val="04A0" w:firstRow="1" w:lastRow="0" w:firstColumn="1" w:lastColumn="0" w:noHBand="0" w:noVBand="1"/>
      </w:tblPr>
      <w:tblGrid>
        <w:gridCol w:w="7951"/>
        <w:gridCol w:w="1403"/>
      </w:tblGrid>
      <w:tr w:rsidR="00B92F9D" w:rsidRPr="00F641C0" w:rsidTr="00342917">
        <w:trPr>
          <w:trHeight w:val="300"/>
        </w:trPr>
        <w:tc>
          <w:tcPr>
            <w:tcW w:w="4250" w:type="pct"/>
            <w:tcBorders>
              <w:top w:val="single" w:sz="4" w:space="0" w:color="auto"/>
              <w:left w:val="nil"/>
              <w:bottom w:val="single" w:sz="4" w:space="0" w:color="auto"/>
              <w:right w:val="nil"/>
            </w:tcBorders>
            <w:shd w:val="clear" w:color="000000" w:fill="FABF8F" w:themeFill="accent6" w:themeFillTint="99"/>
            <w:noWrap/>
            <w:vAlign w:val="center"/>
            <w:hideMark/>
          </w:tcPr>
          <w:p w:rsidR="00B92F9D" w:rsidRPr="00F641C0" w:rsidRDefault="00F54F3A" w:rsidP="00E40F42">
            <w:pPr>
              <w:spacing w:after="0"/>
              <w:ind w:firstLine="0"/>
              <w:jc w:val="left"/>
              <w:rPr>
                <w:rFonts w:ascii="Arial" w:hAnsi="Arial" w:cs="Arial"/>
                <w:bCs/>
                <w:color w:val="000000"/>
                <w:sz w:val="18"/>
                <w:szCs w:val="18"/>
                <w:lang w:val="es-ES" w:eastAsia="es-ES"/>
              </w:rPr>
            </w:pPr>
            <w:r w:rsidRPr="00F641C0">
              <w:rPr>
                <w:rFonts w:ascii="Arial" w:hAnsi="Arial" w:cs="Arial"/>
                <w:bCs/>
                <w:color w:val="000000"/>
                <w:sz w:val="18"/>
                <w:szCs w:val="18"/>
                <w:lang w:val="es-ES" w:eastAsia="es-ES"/>
              </w:rPr>
              <w:t>S</w:t>
            </w:r>
            <w:r w:rsidR="00F641C0" w:rsidRPr="00F641C0">
              <w:rPr>
                <w:rFonts w:ascii="Arial" w:hAnsi="Arial" w:cs="Arial"/>
                <w:bCs/>
                <w:color w:val="000000"/>
                <w:sz w:val="18"/>
                <w:szCs w:val="18"/>
                <w:lang w:val="es-ES" w:eastAsia="es-ES"/>
              </w:rPr>
              <w:t xml:space="preserve">ituación </w:t>
            </w:r>
            <w:r w:rsidRPr="00F641C0">
              <w:rPr>
                <w:rFonts w:ascii="Arial" w:hAnsi="Arial" w:cs="Arial"/>
                <w:bCs/>
                <w:color w:val="000000"/>
                <w:sz w:val="18"/>
                <w:szCs w:val="18"/>
                <w:lang w:val="es-ES" w:eastAsia="es-ES"/>
              </w:rPr>
              <w:t xml:space="preserve">OPE </w:t>
            </w:r>
            <w:r w:rsidR="00F641C0" w:rsidRPr="00F641C0">
              <w:rPr>
                <w:rFonts w:ascii="Arial" w:hAnsi="Arial" w:cs="Arial"/>
                <w:bCs/>
                <w:color w:val="000000"/>
                <w:sz w:val="18"/>
                <w:szCs w:val="18"/>
                <w:lang w:val="es-ES" w:eastAsia="es-ES"/>
              </w:rPr>
              <w:t>a</w:t>
            </w:r>
            <w:r w:rsidRPr="00F641C0">
              <w:rPr>
                <w:rFonts w:ascii="Arial" w:hAnsi="Arial" w:cs="Arial"/>
                <w:bCs/>
                <w:color w:val="000000"/>
                <w:sz w:val="18"/>
                <w:szCs w:val="18"/>
                <w:lang w:val="es-ES" w:eastAsia="es-ES"/>
              </w:rPr>
              <w:t xml:space="preserve"> 31/</w:t>
            </w:r>
            <w:r w:rsidR="00B92F9D" w:rsidRPr="00F641C0">
              <w:rPr>
                <w:rFonts w:ascii="Arial" w:hAnsi="Arial" w:cs="Arial"/>
                <w:bCs/>
                <w:color w:val="000000"/>
                <w:sz w:val="18"/>
                <w:szCs w:val="18"/>
                <w:lang w:val="es-ES" w:eastAsia="es-ES"/>
              </w:rPr>
              <w:t>12</w:t>
            </w:r>
            <w:r w:rsidRPr="00F641C0">
              <w:rPr>
                <w:rFonts w:ascii="Arial" w:hAnsi="Arial" w:cs="Arial"/>
                <w:bCs/>
                <w:color w:val="000000"/>
                <w:sz w:val="18"/>
                <w:szCs w:val="18"/>
                <w:lang w:val="es-ES" w:eastAsia="es-ES"/>
              </w:rPr>
              <w:t>/</w:t>
            </w:r>
            <w:r w:rsidR="00B92F9D" w:rsidRPr="00F641C0">
              <w:rPr>
                <w:rFonts w:ascii="Arial" w:hAnsi="Arial" w:cs="Arial"/>
                <w:bCs/>
                <w:color w:val="000000"/>
                <w:sz w:val="18"/>
                <w:szCs w:val="18"/>
                <w:lang w:val="es-ES" w:eastAsia="es-ES"/>
              </w:rPr>
              <w:t>2019</w:t>
            </w:r>
          </w:p>
        </w:tc>
        <w:tc>
          <w:tcPr>
            <w:tcW w:w="750" w:type="pct"/>
            <w:tcBorders>
              <w:top w:val="single" w:sz="4" w:space="0" w:color="auto"/>
              <w:left w:val="nil"/>
              <w:bottom w:val="single" w:sz="4" w:space="0" w:color="auto"/>
              <w:right w:val="nil"/>
            </w:tcBorders>
            <w:shd w:val="clear" w:color="000000" w:fill="FABF8F" w:themeFill="accent6" w:themeFillTint="99"/>
            <w:noWrap/>
            <w:vAlign w:val="center"/>
            <w:hideMark/>
          </w:tcPr>
          <w:p w:rsidR="00B92F9D" w:rsidRPr="00F641C0" w:rsidRDefault="00B92F9D" w:rsidP="00342917">
            <w:pPr>
              <w:spacing w:after="0"/>
              <w:ind w:firstLine="0"/>
              <w:jc w:val="right"/>
              <w:rPr>
                <w:rFonts w:ascii="Arial" w:hAnsi="Arial" w:cs="Arial"/>
                <w:bCs/>
                <w:color w:val="000000"/>
                <w:sz w:val="18"/>
                <w:szCs w:val="18"/>
                <w:lang w:val="es-ES" w:eastAsia="es-ES"/>
              </w:rPr>
            </w:pPr>
            <w:r w:rsidRPr="00F641C0">
              <w:rPr>
                <w:rFonts w:ascii="Arial" w:hAnsi="Arial" w:cs="Arial"/>
                <w:bCs/>
                <w:color w:val="000000"/>
                <w:sz w:val="18"/>
                <w:szCs w:val="18"/>
                <w:lang w:val="es-ES" w:eastAsia="es-ES"/>
              </w:rPr>
              <w:t>N</w:t>
            </w:r>
            <w:r w:rsidR="00F641C0" w:rsidRPr="00F641C0">
              <w:rPr>
                <w:rFonts w:ascii="Arial" w:hAnsi="Arial" w:cs="Arial"/>
                <w:bCs/>
                <w:color w:val="000000"/>
                <w:sz w:val="18"/>
                <w:szCs w:val="18"/>
                <w:lang w:val="es-ES" w:eastAsia="es-ES"/>
              </w:rPr>
              <w:t>úmero</w:t>
            </w:r>
          </w:p>
        </w:tc>
      </w:tr>
      <w:tr w:rsidR="00B92F9D" w:rsidRPr="00B92F9D" w:rsidTr="00342917">
        <w:trPr>
          <w:trHeight w:val="227"/>
        </w:trPr>
        <w:tc>
          <w:tcPr>
            <w:tcW w:w="4250" w:type="pct"/>
            <w:tcBorders>
              <w:top w:val="nil"/>
              <w:left w:val="nil"/>
              <w:bottom w:val="single" w:sz="4" w:space="0" w:color="auto"/>
              <w:right w:val="nil"/>
            </w:tcBorders>
            <w:shd w:val="clear" w:color="auto" w:fill="auto"/>
            <w:noWrap/>
            <w:vAlign w:val="center"/>
            <w:hideMark/>
          </w:tcPr>
          <w:p w:rsidR="00B92F9D" w:rsidRPr="00B92F9D" w:rsidRDefault="00B92F9D" w:rsidP="00E40F42">
            <w:pPr>
              <w:spacing w:after="0"/>
              <w:ind w:firstLine="0"/>
              <w:jc w:val="left"/>
              <w:rPr>
                <w:rFonts w:ascii="Arial Narrow" w:hAnsi="Arial Narrow"/>
                <w:color w:val="000000"/>
                <w:lang w:val="es-ES" w:eastAsia="es-ES"/>
              </w:rPr>
            </w:pPr>
            <w:r w:rsidRPr="00B92F9D">
              <w:rPr>
                <w:rFonts w:ascii="Arial Narrow" w:hAnsi="Arial Narrow"/>
                <w:color w:val="000000"/>
                <w:lang w:val="es-ES" w:eastAsia="es-ES"/>
              </w:rPr>
              <w:t>Plazas ofertadas (inclu</w:t>
            </w:r>
            <w:r w:rsidR="00B3358E">
              <w:rPr>
                <w:rFonts w:ascii="Arial Narrow" w:hAnsi="Arial Narrow"/>
                <w:color w:val="000000"/>
                <w:lang w:val="es-ES" w:eastAsia="es-ES"/>
              </w:rPr>
              <w:t>i</w:t>
            </w:r>
            <w:r w:rsidRPr="00B92F9D">
              <w:rPr>
                <w:rFonts w:ascii="Arial Narrow" w:hAnsi="Arial Narrow"/>
                <w:color w:val="000000"/>
                <w:lang w:val="es-ES" w:eastAsia="es-ES"/>
              </w:rPr>
              <w:t>das cuatro de promoción interna)</w:t>
            </w:r>
          </w:p>
        </w:tc>
        <w:tc>
          <w:tcPr>
            <w:tcW w:w="750" w:type="pct"/>
            <w:tcBorders>
              <w:top w:val="nil"/>
              <w:left w:val="nil"/>
              <w:bottom w:val="single" w:sz="4" w:space="0" w:color="auto"/>
              <w:right w:val="nil"/>
            </w:tcBorders>
            <w:shd w:val="clear" w:color="auto" w:fill="auto"/>
            <w:noWrap/>
            <w:vAlign w:val="center"/>
            <w:hideMark/>
          </w:tcPr>
          <w:p w:rsidR="00B92F9D" w:rsidRPr="00B92F9D" w:rsidRDefault="00B92F9D" w:rsidP="00342917">
            <w:pPr>
              <w:spacing w:after="0"/>
              <w:ind w:firstLine="0"/>
              <w:jc w:val="right"/>
              <w:rPr>
                <w:rFonts w:ascii="Arial Narrow" w:hAnsi="Arial Narrow"/>
                <w:color w:val="000000"/>
                <w:lang w:val="es-ES" w:eastAsia="es-ES"/>
              </w:rPr>
            </w:pPr>
            <w:r w:rsidRPr="00B92F9D">
              <w:rPr>
                <w:rFonts w:ascii="Arial Narrow" w:hAnsi="Arial Narrow"/>
                <w:color w:val="000000"/>
                <w:lang w:val="es-ES" w:eastAsia="es-ES"/>
              </w:rPr>
              <w:t>45</w:t>
            </w:r>
          </w:p>
        </w:tc>
      </w:tr>
      <w:tr w:rsidR="00B92F9D" w:rsidRPr="00B92F9D" w:rsidTr="00342917">
        <w:trPr>
          <w:trHeight w:val="227"/>
        </w:trPr>
        <w:tc>
          <w:tcPr>
            <w:tcW w:w="4250" w:type="pct"/>
            <w:tcBorders>
              <w:top w:val="nil"/>
              <w:left w:val="nil"/>
              <w:bottom w:val="single" w:sz="4" w:space="0" w:color="auto"/>
              <w:right w:val="nil"/>
            </w:tcBorders>
            <w:shd w:val="clear" w:color="auto" w:fill="auto"/>
            <w:noWrap/>
            <w:vAlign w:val="center"/>
            <w:hideMark/>
          </w:tcPr>
          <w:p w:rsidR="00B92F9D" w:rsidRPr="00B92F9D" w:rsidRDefault="00B92F9D" w:rsidP="00E40F42">
            <w:pPr>
              <w:spacing w:after="0"/>
              <w:ind w:firstLine="0"/>
              <w:jc w:val="left"/>
              <w:rPr>
                <w:rFonts w:ascii="Arial Narrow" w:hAnsi="Arial Narrow"/>
                <w:color w:val="000000"/>
                <w:lang w:val="es-ES" w:eastAsia="es-ES"/>
              </w:rPr>
            </w:pPr>
            <w:r w:rsidRPr="00B92F9D">
              <w:rPr>
                <w:rFonts w:ascii="Arial Narrow" w:hAnsi="Arial Narrow"/>
                <w:color w:val="000000"/>
                <w:lang w:val="es-ES" w:eastAsia="es-ES"/>
              </w:rPr>
              <w:t>Plazas convocadas</w:t>
            </w:r>
          </w:p>
        </w:tc>
        <w:tc>
          <w:tcPr>
            <w:tcW w:w="750" w:type="pct"/>
            <w:tcBorders>
              <w:top w:val="nil"/>
              <w:left w:val="nil"/>
              <w:bottom w:val="single" w:sz="4" w:space="0" w:color="auto"/>
              <w:right w:val="nil"/>
            </w:tcBorders>
            <w:shd w:val="clear" w:color="auto" w:fill="auto"/>
            <w:noWrap/>
            <w:vAlign w:val="center"/>
            <w:hideMark/>
          </w:tcPr>
          <w:p w:rsidR="00B92F9D" w:rsidRPr="00B92F9D" w:rsidRDefault="00B92F9D" w:rsidP="00342917">
            <w:pPr>
              <w:spacing w:after="0"/>
              <w:ind w:firstLine="0"/>
              <w:jc w:val="right"/>
              <w:rPr>
                <w:rFonts w:ascii="Arial Narrow" w:hAnsi="Arial Narrow"/>
                <w:color w:val="000000"/>
                <w:lang w:val="es-ES" w:eastAsia="es-ES"/>
              </w:rPr>
            </w:pPr>
            <w:r w:rsidRPr="00B92F9D">
              <w:rPr>
                <w:rFonts w:ascii="Arial Narrow" w:hAnsi="Arial Narrow"/>
                <w:color w:val="000000"/>
                <w:lang w:val="es-ES" w:eastAsia="es-ES"/>
              </w:rPr>
              <w:t>9</w:t>
            </w:r>
          </w:p>
        </w:tc>
      </w:tr>
      <w:tr w:rsidR="00B92F9D" w:rsidRPr="00B92F9D" w:rsidTr="00342917">
        <w:trPr>
          <w:trHeight w:val="227"/>
        </w:trPr>
        <w:tc>
          <w:tcPr>
            <w:tcW w:w="4250" w:type="pct"/>
            <w:tcBorders>
              <w:top w:val="nil"/>
              <w:left w:val="nil"/>
              <w:bottom w:val="single" w:sz="4" w:space="0" w:color="auto"/>
              <w:right w:val="nil"/>
            </w:tcBorders>
            <w:shd w:val="clear" w:color="auto" w:fill="auto"/>
            <w:noWrap/>
            <w:vAlign w:val="center"/>
            <w:hideMark/>
          </w:tcPr>
          <w:p w:rsidR="00B92F9D" w:rsidRPr="00B92F9D" w:rsidRDefault="00B92F9D" w:rsidP="00E40F42">
            <w:pPr>
              <w:spacing w:after="0"/>
              <w:ind w:firstLine="0"/>
              <w:jc w:val="left"/>
              <w:rPr>
                <w:rFonts w:ascii="Arial Narrow" w:hAnsi="Arial Narrow"/>
                <w:color w:val="000000"/>
                <w:lang w:val="es-ES" w:eastAsia="es-ES"/>
              </w:rPr>
            </w:pPr>
            <w:r w:rsidRPr="00B92F9D">
              <w:rPr>
                <w:rFonts w:ascii="Arial Narrow" w:hAnsi="Arial Narrow"/>
                <w:color w:val="000000"/>
                <w:lang w:val="es-ES" w:eastAsia="es-ES"/>
              </w:rPr>
              <w:t>Plazas convocadas y desistidas (análisis perfil lingüístico e idoneidad pruebas y méritos)</w:t>
            </w:r>
          </w:p>
        </w:tc>
        <w:tc>
          <w:tcPr>
            <w:tcW w:w="750" w:type="pct"/>
            <w:tcBorders>
              <w:top w:val="nil"/>
              <w:left w:val="nil"/>
              <w:bottom w:val="single" w:sz="4" w:space="0" w:color="auto"/>
              <w:right w:val="nil"/>
            </w:tcBorders>
            <w:shd w:val="clear" w:color="auto" w:fill="auto"/>
            <w:noWrap/>
            <w:vAlign w:val="center"/>
            <w:hideMark/>
          </w:tcPr>
          <w:p w:rsidR="00B92F9D" w:rsidRPr="00B92F9D" w:rsidRDefault="00B92F9D" w:rsidP="00342917">
            <w:pPr>
              <w:spacing w:after="0"/>
              <w:ind w:firstLine="0"/>
              <w:jc w:val="right"/>
              <w:rPr>
                <w:rFonts w:ascii="Arial Narrow" w:hAnsi="Arial Narrow"/>
                <w:color w:val="000000"/>
                <w:lang w:val="es-ES" w:eastAsia="es-ES"/>
              </w:rPr>
            </w:pPr>
            <w:r w:rsidRPr="00B92F9D">
              <w:rPr>
                <w:rFonts w:ascii="Arial Narrow" w:hAnsi="Arial Narrow"/>
                <w:color w:val="000000"/>
                <w:lang w:val="es-ES" w:eastAsia="es-ES"/>
              </w:rPr>
              <w:t>4</w:t>
            </w:r>
          </w:p>
        </w:tc>
      </w:tr>
      <w:tr w:rsidR="00B92F9D" w:rsidRPr="00B92F9D" w:rsidTr="00342917">
        <w:trPr>
          <w:trHeight w:val="227"/>
        </w:trPr>
        <w:tc>
          <w:tcPr>
            <w:tcW w:w="4250" w:type="pct"/>
            <w:tcBorders>
              <w:top w:val="nil"/>
              <w:left w:val="nil"/>
              <w:bottom w:val="single" w:sz="4" w:space="0" w:color="auto"/>
              <w:right w:val="nil"/>
            </w:tcBorders>
            <w:shd w:val="clear" w:color="auto" w:fill="auto"/>
            <w:noWrap/>
            <w:vAlign w:val="center"/>
            <w:hideMark/>
          </w:tcPr>
          <w:p w:rsidR="00B92F9D" w:rsidRPr="00B92F9D" w:rsidRDefault="00B92F9D" w:rsidP="00E40F42">
            <w:pPr>
              <w:spacing w:after="0"/>
              <w:ind w:firstLine="0"/>
              <w:jc w:val="left"/>
              <w:rPr>
                <w:rFonts w:ascii="Arial Narrow" w:hAnsi="Arial Narrow"/>
                <w:color w:val="000000"/>
                <w:lang w:val="es-ES" w:eastAsia="es-ES"/>
              </w:rPr>
            </w:pPr>
            <w:r w:rsidRPr="00B92F9D">
              <w:rPr>
                <w:rFonts w:ascii="Arial Narrow" w:hAnsi="Arial Narrow"/>
                <w:color w:val="000000"/>
                <w:lang w:val="es-ES" w:eastAsia="es-ES"/>
              </w:rPr>
              <w:t>Nombramientos realizados</w:t>
            </w:r>
          </w:p>
        </w:tc>
        <w:tc>
          <w:tcPr>
            <w:tcW w:w="750" w:type="pct"/>
            <w:tcBorders>
              <w:top w:val="nil"/>
              <w:left w:val="nil"/>
              <w:bottom w:val="single" w:sz="4" w:space="0" w:color="auto"/>
              <w:right w:val="nil"/>
            </w:tcBorders>
            <w:shd w:val="clear" w:color="auto" w:fill="auto"/>
            <w:noWrap/>
            <w:vAlign w:val="center"/>
            <w:hideMark/>
          </w:tcPr>
          <w:p w:rsidR="00B92F9D" w:rsidRPr="00B92F9D" w:rsidRDefault="00B92F9D" w:rsidP="00342917">
            <w:pPr>
              <w:spacing w:after="0"/>
              <w:ind w:firstLine="0"/>
              <w:jc w:val="right"/>
              <w:rPr>
                <w:rFonts w:ascii="Arial Narrow" w:hAnsi="Arial Narrow"/>
                <w:color w:val="000000"/>
                <w:lang w:val="es-ES" w:eastAsia="es-ES"/>
              </w:rPr>
            </w:pPr>
            <w:r w:rsidRPr="00B92F9D">
              <w:rPr>
                <w:rFonts w:ascii="Arial Narrow" w:hAnsi="Arial Narrow"/>
                <w:color w:val="000000"/>
                <w:lang w:val="es-ES" w:eastAsia="es-ES"/>
              </w:rPr>
              <w:t>4</w:t>
            </w:r>
          </w:p>
        </w:tc>
      </w:tr>
      <w:tr w:rsidR="00B92F9D" w:rsidRPr="00B92F9D" w:rsidTr="00342917">
        <w:trPr>
          <w:trHeight w:val="227"/>
        </w:trPr>
        <w:tc>
          <w:tcPr>
            <w:tcW w:w="4250" w:type="pct"/>
            <w:tcBorders>
              <w:top w:val="single" w:sz="4" w:space="0" w:color="auto"/>
              <w:left w:val="nil"/>
              <w:bottom w:val="single" w:sz="4" w:space="0" w:color="auto"/>
              <w:right w:val="nil"/>
            </w:tcBorders>
            <w:shd w:val="clear" w:color="auto" w:fill="auto"/>
            <w:noWrap/>
            <w:vAlign w:val="center"/>
            <w:hideMark/>
          </w:tcPr>
          <w:p w:rsidR="00B92F9D" w:rsidRPr="00B92F9D" w:rsidRDefault="00B92F9D" w:rsidP="00E40F42">
            <w:pPr>
              <w:spacing w:after="0"/>
              <w:ind w:firstLine="0"/>
              <w:jc w:val="left"/>
              <w:rPr>
                <w:rFonts w:ascii="Arial Narrow" w:hAnsi="Arial Narrow"/>
                <w:color w:val="000000"/>
                <w:lang w:val="es-ES" w:eastAsia="es-ES"/>
              </w:rPr>
            </w:pPr>
            <w:r w:rsidRPr="00B92F9D">
              <w:rPr>
                <w:rFonts w:ascii="Arial Narrow" w:hAnsi="Arial Narrow"/>
                <w:color w:val="000000"/>
                <w:lang w:val="es-ES" w:eastAsia="es-ES"/>
              </w:rPr>
              <w:t>Plazas pendientes de convocar</w:t>
            </w:r>
          </w:p>
        </w:tc>
        <w:tc>
          <w:tcPr>
            <w:tcW w:w="750" w:type="pct"/>
            <w:tcBorders>
              <w:top w:val="single" w:sz="4" w:space="0" w:color="auto"/>
              <w:left w:val="nil"/>
              <w:bottom w:val="single" w:sz="4" w:space="0" w:color="auto"/>
              <w:right w:val="nil"/>
            </w:tcBorders>
            <w:shd w:val="clear" w:color="auto" w:fill="auto"/>
            <w:noWrap/>
            <w:vAlign w:val="center"/>
            <w:hideMark/>
          </w:tcPr>
          <w:p w:rsidR="00B92F9D" w:rsidRPr="00B92F9D" w:rsidRDefault="00B92F9D" w:rsidP="00342917">
            <w:pPr>
              <w:spacing w:after="0"/>
              <w:ind w:firstLine="0"/>
              <w:jc w:val="right"/>
              <w:rPr>
                <w:rFonts w:ascii="Arial Narrow" w:hAnsi="Arial Narrow"/>
                <w:color w:val="000000"/>
                <w:lang w:val="es-ES" w:eastAsia="es-ES"/>
              </w:rPr>
            </w:pPr>
            <w:r w:rsidRPr="00B92F9D">
              <w:rPr>
                <w:rFonts w:ascii="Arial Narrow" w:hAnsi="Arial Narrow"/>
                <w:color w:val="000000"/>
                <w:lang w:val="es-ES" w:eastAsia="es-ES"/>
              </w:rPr>
              <w:t>40</w:t>
            </w:r>
          </w:p>
        </w:tc>
      </w:tr>
    </w:tbl>
    <w:p w:rsidR="00C747FF" w:rsidRPr="00D4576B" w:rsidRDefault="00C747FF" w:rsidP="00B92F9D">
      <w:pPr>
        <w:pStyle w:val="texto"/>
        <w:tabs>
          <w:tab w:val="clear" w:pos="2835"/>
          <w:tab w:val="clear" w:pos="3969"/>
          <w:tab w:val="clear" w:pos="5103"/>
          <w:tab w:val="clear" w:pos="6237"/>
          <w:tab w:val="clear" w:pos="7371"/>
          <w:tab w:val="left" w:pos="480"/>
          <w:tab w:val="num" w:pos="720"/>
          <w:tab w:val="num" w:pos="1320"/>
          <w:tab w:val="num" w:pos="1948"/>
        </w:tabs>
        <w:spacing w:before="120" w:after="120"/>
        <w:rPr>
          <w:rFonts w:cs="Arial"/>
        </w:rPr>
      </w:pPr>
      <w:r>
        <w:rPr>
          <w:rFonts w:cs="Arial"/>
          <w:spacing w:val="4"/>
        </w:rPr>
        <w:lastRenderedPageBreak/>
        <w:t xml:space="preserve">Hemos revisado una de las convocatorias realizadas en 2019 </w:t>
      </w:r>
      <w:r w:rsidR="0064681E">
        <w:rPr>
          <w:rFonts w:cs="Arial"/>
          <w:spacing w:val="4"/>
        </w:rPr>
        <w:t>resultando toda la tramitación correcta</w:t>
      </w:r>
      <w:r>
        <w:rPr>
          <w:rFonts w:cs="Arial"/>
          <w:spacing w:val="4"/>
        </w:rPr>
        <w:t>.</w:t>
      </w:r>
    </w:p>
    <w:p w:rsidR="00B92F9D" w:rsidRDefault="00B92F9D" w:rsidP="00F641C0">
      <w:pPr>
        <w:pStyle w:val="texto"/>
        <w:numPr>
          <w:ilvl w:val="0"/>
          <w:numId w:val="1"/>
        </w:numPr>
        <w:tabs>
          <w:tab w:val="clear" w:pos="2835"/>
          <w:tab w:val="clear" w:pos="3969"/>
          <w:tab w:val="clear" w:pos="5103"/>
          <w:tab w:val="clear" w:pos="6237"/>
          <w:tab w:val="clear" w:pos="7371"/>
          <w:tab w:val="left" w:pos="480"/>
          <w:tab w:val="num" w:pos="720"/>
          <w:tab w:val="num" w:pos="6597"/>
        </w:tabs>
        <w:ind w:left="0" w:firstLine="289"/>
        <w:rPr>
          <w:rFonts w:cs="Arial"/>
        </w:rPr>
      </w:pPr>
      <w:r w:rsidRPr="009F5A89">
        <w:rPr>
          <w:rFonts w:cs="Arial"/>
          <w:color w:val="000000" w:themeColor="text1"/>
        </w:rPr>
        <w:t xml:space="preserve"> </w:t>
      </w:r>
      <w:r w:rsidRPr="00F641C0">
        <w:t>Durante</w:t>
      </w:r>
      <w:r w:rsidRPr="009F5A89">
        <w:rPr>
          <w:rFonts w:cs="Arial"/>
          <w:color w:val="000000" w:themeColor="text1"/>
        </w:rPr>
        <w:t xml:space="preserve"> el año 2019 </w:t>
      </w:r>
      <w:r w:rsidR="0081232C" w:rsidRPr="009F5A89">
        <w:rPr>
          <w:rFonts w:cs="Arial"/>
          <w:color w:val="000000" w:themeColor="text1"/>
        </w:rPr>
        <w:t>el Juzgado de lo Social número dos y el Tribunal Sup</w:t>
      </w:r>
      <w:r w:rsidR="0081232C" w:rsidRPr="009F5A89">
        <w:rPr>
          <w:rFonts w:cs="Arial"/>
          <w:color w:val="000000" w:themeColor="text1"/>
        </w:rPr>
        <w:t>e</w:t>
      </w:r>
      <w:r w:rsidR="0081232C" w:rsidRPr="009F5A89">
        <w:rPr>
          <w:rFonts w:cs="Arial"/>
          <w:color w:val="000000" w:themeColor="text1"/>
        </w:rPr>
        <w:t>rior de Justicia de Navarra</w:t>
      </w:r>
      <w:r w:rsidRPr="009F5A89">
        <w:rPr>
          <w:rFonts w:cs="Arial"/>
          <w:color w:val="000000" w:themeColor="text1"/>
        </w:rPr>
        <w:t xml:space="preserve"> dictaron dos sentencias mediante las cuales se declaraba personal indefinido no fijo a dos empleados que habían tenido varios contratos l</w:t>
      </w:r>
      <w:r w:rsidRPr="009F5A89">
        <w:rPr>
          <w:rFonts w:cs="Arial"/>
          <w:color w:val="000000" w:themeColor="text1"/>
        </w:rPr>
        <w:t>a</w:t>
      </w:r>
      <w:r w:rsidRPr="009F5A89">
        <w:rPr>
          <w:rFonts w:cs="Arial"/>
          <w:color w:val="000000" w:themeColor="text1"/>
        </w:rPr>
        <w:t xml:space="preserve">borales </w:t>
      </w:r>
      <w:r w:rsidR="00950290" w:rsidRPr="009F5A89">
        <w:rPr>
          <w:rFonts w:cs="Arial"/>
          <w:color w:val="000000" w:themeColor="text1"/>
        </w:rPr>
        <w:t xml:space="preserve">temporales </w:t>
      </w:r>
      <w:r w:rsidRPr="009F5A89">
        <w:rPr>
          <w:rFonts w:cs="Arial"/>
          <w:color w:val="000000" w:themeColor="text1"/>
        </w:rPr>
        <w:t>y</w:t>
      </w:r>
      <w:r w:rsidR="002D55EF">
        <w:rPr>
          <w:rFonts w:cs="Arial"/>
          <w:color w:val="000000" w:themeColor="text1"/>
        </w:rPr>
        <w:t>,</w:t>
      </w:r>
      <w:r w:rsidRPr="009F5A89">
        <w:rPr>
          <w:rFonts w:cs="Arial"/>
          <w:color w:val="000000" w:themeColor="text1"/>
        </w:rPr>
        <w:t xml:space="preserve"> posteriormente</w:t>
      </w:r>
      <w:r w:rsidR="002D55EF">
        <w:rPr>
          <w:rFonts w:cs="Arial"/>
          <w:color w:val="000000" w:themeColor="text1"/>
        </w:rPr>
        <w:t>,</w:t>
      </w:r>
      <w:r w:rsidRPr="009F5A89">
        <w:rPr>
          <w:rFonts w:cs="Arial"/>
          <w:color w:val="000000" w:themeColor="text1"/>
        </w:rPr>
        <w:t xml:space="preserve"> se les había realizado un contrato administr</w:t>
      </w:r>
      <w:r w:rsidRPr="009F5A89">
        <w:rPr>
          <w:rFonts w:cs="Arial"/>
          <w:color w:val="000000" w:themeColor="text1"/>
        </w:rPr>
        <w:t>a</w:t>
      </w:r>
      <w:r w:rsidRPr="009F5A89">
        <w:rPr>
          <w:rFonts w:cs="Arial"/>
          <w:color w:val="000000" w:themeColor="text1"/>
        </w:rPr>
        <w:t xml:space="preserve">tivo. </w:t>
      </w:r>
      <w:r>
        <w:rPr>
          <w:rFonts w:cs="Arial"/>
        </w:rPr>
        <w:t>En ambos casos, las sentencias recogen que los contratos laborales anteriores al contrato administrativo eran fraudulent</w:t>
      </w:r>
      <w:r w:rsidR="006579E5">
        <w:rPr>
          <w:rFonts w:cs="Arial"/>
        </w:rPr>
        <w:t>o</w:t>
      </w:r>
      <w:r>
        <w:rPr>
          <w:rFonts w:cs="Arial"/>
        </w:rPr>
        <w:t>s porque no respondían a una necesidad transitoria o temporal.</w:t>
      </w:r>
    </w:p>
    <w:p w:rsidR="00B92F9D" w:rsidRPr="006579E5" w:rsidRDefault="006579E5" w:rsidP="00F641C0">
      <w:pPr>
        <w:pStyle w:val="texto"/>
        <w:numPr>
          <w:ilvl w:val="0"/>
          <w:numId w:val="1"/>
        </w:numPr>
        <w:tabs>
          <w:tab w:val="clear" w:pos="2835"/>
          <w:tab w:val="clear" w:pos="3969"/>
          <w:tab w:val="clear" w:pos="5103"/>
          <w:tab w:val="clear" w:pos="6237"/>
          <w:tab w:val="clear" w:pos="7371"/>
          <w:tab w:val="left" w:pos="480"/>
          <w:tab w:val="num" w:pos="720"/>
          <w:tab w:val="num" w:pos="6597"/>
        </w:tabs>
        <w:ind w:left="0" w:firstLine="289"/>
        <w:rPr>
          <w:rFonts w:cs="Arial"/>
        </w:rPr>
      </w:pPr>
      <w:r w:rsidRPr="00F641C0">
        <w:t>En</w:t>
      </w:r>
      <w:r w:rsidRPr="006579E5">
        <w:rPr>
          <w:rFonts w:cs="Arial"/>
        </w:rPr>
        <w:t xml:space="preserve"> 2019</w:t>
      </w:r>
      <w:r w:rsidR="002D55EF">
        <w:rPr>
          <w:rFonts w:cs="Arial"/>
        </w:rPr>
        <w:t>,</w:t>
      </w:r>
      <w:r w:rsidRPr="006579E5">
        <w:rPr>
          <w:rFonts w:cs="Arial"/>
        </w:rPr>
        <w:t xml:space="preserve"> el ayuntamiento del Valle de </w:t>
      </w:r>
      <w:proofErr w:type="spellStart"/>
      <w:r w:rsidRPr="006579E5">
        <w:rPr>
          <w:rFonts w:cs="Arial"/>
        </w:rPr>
        <w:t>Egüés</w:t>
      </w:r>
      <w:proofErr w:type="spellEnd"/>
      <w:r w:rsidRPr="006579E5">
        <w:rPr>
          <w:rFonts w:cs="Arial"/>
        </w:rPr>
        <w:t xml:space="preserve"> ha realizado el abono del grado de sus trabajadores contratados administrativos con una retroactividad de cuatro años desde la solicitud de la misma por los empleados. El importe abonado a 54 </w:t>
      </w:r>
      <w:r w:rsidR="00C747FF">
        <w:rPr>
          <w:rFonts w:cs="Arial"/>
        </w:rPr>
        <w:t>trabajadores</w:t>
      </w:r>
      <w:r w:rsidRPr="006579E5">
        <w:rPr>
          <w:rFonts w:cs="Arial"/>
        </w:rPr>
        <w:t xml:space="preserve"> ha ascendido a 309.769 euros. </w:t>
      </w:r>
    </w:p>
    <w:p w:rsidR="006579E5" w:rsidRDefault="006579E5" w:rsidP="006579E5">
      <w:pPr>
        <w:pStyle w:val="texto"/>
        <w:tabs>
          <w:tab w:val="clear" w:pos="2835"/>
          <w:tab w:val="clear" w:pos="3969"/>
          <w:tab w:val="clear" w:pos="5103"/>
          <w:tab w:val="clear" w:pos="6237"/>
          <w:tab w:val="clear" w:pos="7371"/>
          <w:tab w:val="num" w:pos="600"/>
          <w:tab w:val="num" w:pos="720"/>
          <w:tab w:val="num" w:pos="1320"/>
        </w:tabs>
        <w:spacing w:before="120" w:after="120"/>
        <w:rPr>
          <w:rFonts w:cs="Arial"/>
        </w:rPr>
      </w:pPr>
      <w:r w:rsidRPr="006579E5">
        <w:rPr>
          <w:rFonts w:cs="Arial"/>
        </w:rPr>
        <w:t>Hemos revisado los importes abonados a 21 de los 54 perceptores que en impo</w:t>
      </w:r>
      <w:r w:rsidRPr="006579E5">
        <w:rPr>
          <w:rFonts w:cs="Arial"/>
        </w:rPr>
        <w:t>r</w:t>
      </w:r>
      <w:r w:rsidRPr="006579E5">
        <w:rPr>
          <w:rFonts w:cs="Arial"/>
        </w:rPr>
        <w:t xml:space="preserve">te alcanzan el 65 por ciento del </w:t>
      </w:r>
      <w:r w:rsidR="00C747FF">
        <w:rPr>
          <w:rFonts w:cs="Arial"/>
        </w:rPr>
        <w:t xml:space="preserve">total, es decir, 201.199 euros. </w:t>
      </w:r>
      <w:r w:rsidR="009F5A89" w:rsidRPr="009F5A89">
        <w:rPr>
          <w:rFonts w:cs="Arial"/>
        </w:rPr>
        <w:t>En</w:t>
      </w:r>
      <w:r w:rsidR="00C747FF">
        <w:rPr>
          <w:rFonts w:cs="Arial"/>
        </w:rPr>
        <w:t xml:space="preserve"> general, los i</w:t>
      </w:r>
      <w:r w:rsidR="00C747FF">
        <w:rPr>
          <w:rFonts w:cs="Arial"/>
        </w:rPr>
        <w:t>m</w:t>
      </w:r>
      <w:r w:rsidR="00C747FF">
        <w:rPr>
          <w:rFonts w:cs="Arial"/>
        </w:rPr>
        <w:t>portes abonados son correctos.</w:t>
      </w:r>
    </w:p>
    <w:p w:rsidR="0067725A" w:rsidRDefault="001D69F4" w:rsidP="00F641C0">
      <w:pPr>
        <w:pStyle w:val="texto"/>
        <w:numPr>
          <w:ilvl w:val="0"/>
          <w:numId w:val="1"/>
        </w:numPr>
        <w:tabs>
          <w:tab w:val="clear" w:pos="2835"/>
          <w:tab w:val="clear" w:pos="3969"/>
          <w:tab w:val="clear" w:pos="5103"/>
          <w:tab w:val="clear" w:pos="6237"/>
          <w:tab w:val="clear" w:pos="7371"/>
          <w:tab w:val="left" w:pos="480"/>
          <w:tab w:val="num" w:pos="720"/>
          <w:tab w:val="num" w:pos="6597"/>
        </w:tabs>
        <w:ind w:left="0" w:firstLine="289"/>
      </w:pPr>
      <w:r w:rsidRPr="001D69F4">
        <w:rPr>
          <w:rFonts w:cs="Arial"/>
        </w:rPr>
        <w:t xml:space="preserve"> </w:t>
      </w:r>
      <w:r w:rsidRPr="00F641C0">
        <w:t>Hemos</w:t>
      </w:r>
      <w:r w:rsidRPr="001D69F4">
        <w:rPr>
          <w:rFonts w:cs="Arial"/>
        </w:rPr>
        <w:t xml:space="preserve"> revisado el </w:t>
      </w:r>
      <w:r w:rsidR="00716725">
        <w:rPr>
          <w:rFonts w:cs="Arial"/>
        </w:rPr>
        <w:t xml:space="preserve">importe </w:t>
      </w:r>
      <w:r w:rsidRPr="001D69F4">
        <w:rPr>
          <w:rFonts w:cs="Arial"/>
        </w:rPr>
        <w:t xml:space="preserve">percibido por los trabajadores correspondientes a la nómina de diciembre de 2019, exceptuando las personas que han estado de baja. </w:t>
      </w:r>
      <w:r w:rsidR="0067725A" w:rsidRPr="00932696">
        <w:t>Las r</w:t>
      </w:r>
      <w:r w:rsidR="0067725A">
        <w:t>etribuciones revisadas y su importe ha</w:t>
      </w:r>
      <w:r w:rsidR="005A2D38">
        <w:t>n</w:t>
      </w:r>
      <w:r w:rsidR="0067725A">
        <w:t xml:space="preserve"> sido</w:t>
      </w:r>
      <w:r w:rsidR="0069108D">
        <w:t xml:space="preserve"> las siguientes:</w:t>
      </w:r>
      <w:r w:rsidR="00C62FCF">
        <w:t xml:space="preserve"> </w:t>
      </w:r>
    </w:p>
    <w:tbl>
      <w:tblPr>
        <w:tblW w:w="5000" w:type="pct"/>
        <w:tblCellMar>
          <w:left w:w="70" w:type="dxa"/>
          <w:right w:w="70" w:type="dxa"/>
        </w:tblCellMar>
        <w:tblLook w:val="04A0" w:firstRow="1" w:lastRow="0" w:firstColumn="1" w:lastColumn="0" w:noHBand="0" w:noVBand="1"/>
      </w:tblPr>
      <w:tblGrid>
        <w:gridCol w:w="7283"/>
        <w:gridCol w:w="2071"/>
      </w:tblGrid>
      <w:tr w:rsidR="00C747FF" w:rsidRPr="00C747FF" w:rsidTr="00F641C0">
        <w:trPr>
          <w:trHeight w:val="420"/>
        </w:trPr>
        <w:tc>
          <w:tcPr>
            <w:tcW w:w="3893" w:type="pct"/>
            <w:tcBorders>
              <w:top w:val="single" w:sz="4" w:space="0" w:color="auto"/>
              <w:left w:val="nil"/>
              <w:bottom w:val="single" w:sz="4" w:space="0" w:color="auto"/>
              <w:right w:val="nil"/>
            </w:tcBorders>
            <w:shd w:val="clear" w:color="000000" w:fill="FABF8F"/>
            <w:noWrap/>
            <w:vAlign w:val="center"/>
            <w:hideMark/>
          </w:tcPr>
          <w:p w:rsidR="00C747FF" w:rsidRPr="00C747FF" w:rsidRDefault="00C747FF" w:rsidP="00C747FF">
            <w:pPr>
              <w:spacing w:after="0"/>
              <w:ind w:firstLine="0"/>
              <w:jc w:val="left"/>
              <w:rPr>
                <w:rFonts w:ascii="Arial" w:hAnsi="Arial" w:cs="Arial"/>
                <w:color w:val="000000"/>
                <w:sz w:val="18"/>
                <w:szCs w:val="18"/>
                <w:lang w:val="es-ES" w:eastAsia="es-ES"/>
              </w:rPr>
            </w:pPr>
            <w:r w:rsidRPr="00C747FF">
              <w:rPr>
                <w:rFonts w:ascii="Arial" w:hAnsi="Arial" w:cs="Arial"/>
                <w:color w:val="000000"/>
                <w:sz w:val="18"/>
                <w:szCs w:val="18"/>
                <w:lang w:val="es-ES" w:eastAsia="es-ES"/>
              </w:rPr>
              <w:t>Concepto</w:t>
            </w:r>
          </w:p>
        </w:tc>
        <w:tc>
          <w:tcPr>
            <w:tcW w:w="1107" w:type="pct"/>
            <w:tcBorders>
              <w:top w:val="single" w:sz="4" w:space="0" w:color="auto"/>
              <w:left w:val="nil"/>
              <w:bottom w:val="single" w:sz="4" w:space="0" w:color="auto"/>
              <w:right w:val="nil"/>
            </w:tcBorders>
            <w:shd w:val="clear" w:color="000000" w:fill="FABF8F"/>
            <w:noWrap/>
            <w:vAlign w:val="center"/>
            <w:hideMark/>
          </w:tcPr>
          <w:p w:rsidR="00C747FF" w:rsidRPr="00C747FF" w:rsidRDefault="003A3CEE" w:rsidP="00C747FF">
            <w:pPr>
              <w:spacing w:after="0"/>
              <w:ind w:firstLine="0"/>
              <w:jc w:val="right"/>
              <w:rPr>
                <w:rFonts w:ascii="Arial" w:hAnsi="Arial" w:cs="Arial"/>
                <w:sz w:val="18"/>
                <w:szCs w:val="18"/>
                <w:lang w:val="es-ES" w:eastAsia="es-ES"/>
              </w:rPr>
            </w:pPr>
            <w:r>
              <w:rPr>
                <w:rFonts w:ascii="Arial" w:hAnsi="Arial" w:cs="Arial"/>
                <w:sz w:val="18"/>
                <w:szCs w:val="18"/>
                <w:lang w:val="es-ES" w:eastAsia="es-ES"/>
              </w:rPr>
              <w:t>Importe</w:t>
            </w:r>
          </w:p>
        </w:tc>
      </w:tr>
      <w:tr w:rsidR="00C747FF" w:rsidRPr="00C747FF" w:rsidTr="00F641C0">
        <w:trPr>
          <w:trHeight w:val="300"/>
        </w:trPr>
        <w:tc>
          <w:tcPr>
            <w:tcW w:w="3893" w:type="pct"/>
            <w:tcBorders>
              <w:top w:val="single" w:sz="4" w:space="0" w:color="auto"/>
              <w:left w:val="nil"/>
              <w:bottom w:val="single" w:sz="4" w:space="0" w:color="auto"/>
              <w:right w:val="nil"/>
            </w:tcBorders>
            <w:shd w:val="clear" w:color="auto" w:fill="auto"/>
            <w:noWrap/>
            <w:vAlign w:val="center"/>
            <w:hideMark/>
          </w:tcPr>
          <w:p w:rsidR="00C747FF" w:rsidRPr="00C747FF" w:rsidRDefault="00C747FF" w:rsidP="00C747FF">
            <w:pPr>
              <w:spacing w:after="0"/>
              <w:ind w:firstLine="0"/>
              <w:jc w:val="left"/>
              <w:rPr>
                <w:rFonts w:ascii="Arial Narrow" w:hAnsi="Arial Narrow" w:cs="Arial"/>
                <w:color w:val="000000"/>
                <w:lang w:val="es-ES" w:eastAsia="es-ES"/>
              </w:rPr>
            </w:pPr>
            <w:r w:rsidRPr="00C747FF">
              <w:rPr>
                <w:rFonts w:ascii="Arial Narrow" w:hAnsi="Arial Narrow" w:cs="Arial"/>
                <w:color w:val="000000"/>
                <w:lang w:val="es-ES" w:eastAsia="es-ES"/>
              </w:rPr>
              <w:t>Salario base</w:t>
            </w:r>
          </w:p>
        </w:tc>
        <w:tc>
          <w:tcPr>
            <w:tcW w:w="1107" w:type="pct"/>
            <w:tcBorders>
              <w:top w:val="single" w:sz="4" w:space="0" w:color="auto"/>
              <w:left w:val="nil"/>
              <w:bottom w:val="single" w:sz="4" w:space="0" w:color="auto"/>
              <w:right w:val="nil"/>
            </w:tcBorders>
            <w:shd w:val="clear" w:color="auto" w:fill="auto"/>
            <w:noWrap/>
            <w:vAlign w:val="center"/>
            <w:hideMark/>
          </w:tcPr>
          <w:p w:rsidR="00C747FF" w:rsidRPr="00C747FF" w:rsidRDefault="00C747FF" w:rsidP="00C747FF">
            <w:pPr>
              <w:spacing w:after="0"/>
              <w:ind w:firstLine="0"/>
              <w:jc w:val="right"/>
              <w:rPr>
                <w:rFonts w:ascii="Arial Narrow" w:hAnsi="Arial Narrow" w:cs="Arial"/>
                <w:color w:val="000000"/>
                <w:lang w:val="es-ES" w:eastAsia="es-ES"/>
              </w:rPr>
            </w:pPr>
            <w:r w:rsidRPr="00C747FF">
              <w:rPr>
                <w:rFonts w:ascii="Arial Narrow" w:hAnsi="Arial Narrow" w:cs="Arial"/>
                <w:color w:val="000000"/>
                <w:lang w:val="es-ES" w:eastAsia="es-ES"/>
              </w:rPr>
              <w:t>137.139</w:t>
            </w:r>
          </w:p>
        </w:tc>
      </w:tr>
      <w:tr w:rsidR="00C747FF" w:rsidRPr="00C747FF" w:rsidTr="00C747FF">
        <w:trPr>
          <w:trHeight w:val="300"/>
        </w:trPr>
        <w:tc>
          <w:tcPr>
            <w:tcW w:w="3893" w:type="pct"/>
            <w:tcBorders>
              <w:top w:val="nil"/>
              <w:left w:val="nil"/>
              <w:bottom w:val="single" w:sz="4" w:space="0" w:color="auto"/>
              <w:right w:val="nil"/>
            </w:tcBorders>
            <w:shd w:val="clear" w:color="auto" w:fill="auto"/>
            <w:noWrap/>
            <w:vAlign w:val="center"/>
            <w:hideMark/>
          </w:tcPr>
          <w:p w:rsidR="00C747FF" w:rsidRPr="00C747FF" w:rsidRDefault="00C747FF" w:rsidP="00C747FF">
            <w:pPr>
              <w:spacing w:after="0"/>
              <w:ind w:firstLine="0"/>
              <w:jc w:val="left"/>
              <w:rPr>
                <w:rFonts w:ascii="Arial Narrow" w:hAnsi="Arial Narrow" w:cs="Arial"/>
                <w:color w:val="000000"/>
                <w:lang w:val="es-ES" w:eastAsia="es-ES"/>
              </w:rPr>
            </w:pPr>
            <w:r w:rsidRPr="00C747FF">
              <w:rPr>
                <w:rFonts w:ascii="Arial Narrow" w:hAnsi="Arial Narrow" w:cs="Arial"/>
                <w:color w:val="000000"/>
                <w:lang w:val="es-ES" w:eastAsia="es-ES"/>
              </w:rPr>
              <w:t>Complemento puesto</w:t>
            </w:r>
          </w:p>
        </w:tc>
        <w:tc>
          <w:tcPr>
            <w:tcW w:w="1107" w:type="pct"/>
            <w:tcBorders>
              <w:top w:val="nil"/>
              <w:left w:val="nil"/>
              <w:bottom w:val="single" w:sz="4" w:space="0" w:color="auto"/>
              <w:right w:val="nil"/>
            </w:tcBorders>
            <w:shd w:val="clear" w:color="auto" w:fill="auto"/>
            <w:noWrap/>
            <w:vAlign w:val="center"/>
            <w:hideMark/>
          </w:tcPr>
          <w:p w:rsidR="00C747FF" w:rsidRPr="00C747FF" w:rsidRDefault="00C747FF" w:rsidP="00C747FF">
            <w:pPr>
              <w:spacing w:after="0"/>
              <w:ind w:firstLine="0"/>
              <w:jc w:val="right"/>
              <w:rPr>
                <w:rFonts w:ascii="Arial Narrow" w:hAnsi="Arial Narrow" w:cs="Arial"/>
                <w:color w:val="000000"/>
                <w:lang w:val="es-ES" w:eastAsia="es-ES"/>
              </w:rPr>
            </w:pPr>
            <w:r w:rsidRPr="00C747FF">
              <w:rPr>
                <w:rFonts w:ascii="Arial Narrow" w:hAnsi="Arial Narrow" w:cs="Arial"/>
                <w:color w:val="000000"/>
                <w:lang w:val="es-ES" w:eastAsia="es-ES"/>
              </w:rPr>
              <w:t>21.157</w:t>
            </w:r>
          </w:p>
        </w:tc>
      </w:tr>
      <w:tr w:rsidR="00C747FF" w:rsidRPr="00C747FF" w:rsidTr="00C747FF">
        <w:trPr>
          <w:trHeight w:val="300"/>
        </w:trPr>
        <w:tc>
          <w:tcPr>
            <w:tcW w:w="3893" w:type="pct"/>
            <w:tcBorders>
              <w:top w:val="nil"/>
              <w:left w:val="nil"/>
              <w:bottom w:val="single" w:sz="4" w:space="0" w:color="auto"/>
              <w:right w:val="nil"/>
            </w:tcBorders>
            <w:shd w:val="clear" w:color="auto" w:fill="auto"/>
            <w:noWrap/>
            <w:vAlign w:val="center"/>
            <w:hideMark/>
          </w:tcPr>
          <w:p w:rsidR="00C747FF" w:rsidRPr="00C747FF" w:rsidRDefault="00C747FF" w:rsidP="00C747FF">
            <w:pPr>
              <w:spacing w:after="0"/>
              <w:ind w:firstLine="0"/>
              <w:jc w:val="left"/>
              <w:rPr>
                <w:rFonts w:ascii="Arial Narrow" w:hAnsi="Arial Narrow" w:cs="Arial"/>
                <w:color w:val="000000"/>
                <w:lang w:val="es-ES" w:eastAsia="es-ES"/>
              </w:rPr>
            </w:pPr>
            <w:r w:rsidRPr="00C747FF">
              <w:rPr>
                <w:rFonts w:ascii="Arial Narrow" w:hAnsi="Arial Narrow" w:cs="Arial"/>
                <w:color w:val="000000"/>
                <w:lang w:val="es-ES" w:eastAsia="es-ES"/>
              </w:rPr>
              <w:t>Complemento nivel</w:t>
            </w:r>
          </w:p>
        </w:tc>
        <w:tc>
          <w:tcPr>
            <w:tcW w:w="1107" w:type="pct"/>
            <w:tcBorders>
              <w:top w:val="nil"/>
              <w:left w:val="nil"/>
              <w:bottom w:val="single" w:sz="4" w:space="0" w:color="auto"/>
              <w:right w:val="nil"/>
            </w:tcBorders>
            <w:shd w:val="clear" w:color="auto" w:fill="auto"/>
            <w:noWrap/>
            <w:vAlign w:val="center"/>
            <w:hideMark/>
          </w:tcPr>
          <w:p w:rsidR="00C747FF" w:rsidRPr="00C747FF" w:rsidRDefault="00C747FF" w:rsidP="00C747FF">
            <w:pPr>
              <w:spacing w:after="0"/>
              <w:ind w:firstLine="0"/>
              <w:jc w:val="right"/>
              <w:rPr>
                <w:rFonts w:ascii="Arial Narrow" w:hAnsi="Arial Narrow" w:cs="Arial"/>
                <w:color w:val="000000"/>
                <w:lang w:val="es-ES" w:eastAsia="es-ES"/>
              </w:rPr>
            </w:pPr>
            <w:r w:rsidRPr="00C747FF">
              <w:rPr>
                <w:rFonts w:ascii="Arial Narrow" w:hAnsi="Arial Narrow" w:cs="Arial"/>
                <w:color w:val="000000"/>
                <w:lang w:val="es-ES" w:eastAsia="es-ES"/>
              </w:rPr>
              <w:t>10.587</w:t>
            </w:r>
          </w:p>
        </w:tc>
      </w:tr>
      <w:tr w:rsidR="00C747FF" w:rsidRPr="00C747FF" w:rsidTr="00C747FF">
        <w:trPr>
          <w:trHeight w:val="285"/>
        </w:trPr>
        <w:tc>
          <w:tcPr>
            <w:tcW w:w="3893" w:type="pct"/>
            <w:tcBorders>
              <w:top w:val="nil"/>
              <w:left w:val="nil"/>
              <w:bottom w:val="single" w:sz="4" w:space="0" w:color="auto"/>
              <w:right w:val="nil"/>
            </w:tcBorders>
            <w:shd w:val="clear" w:color="auto" w:fill="auto"/>
            <w:noWrap/>
            <w:vAlign w:val="center"/>
            <w:hideMark/>
          </w:tcPr>
          <w:p w:rsidR="00C747FF" w:rsidRPr="00C747FF" w:rsidRDefault="00C747FF" w:rsidP="00C747FF">
            <w:pPr>
              <w:spacing w:after="0"/>
              <w:ind w:firstLine="0"/>
              <w:jc w:val="left"/>
              <w:rPr>
                <w:rFonts w:ascii="Arial Narrow" w:hAnsi="Arial Narrow" w:cs="Arial"/>
                <w:color w:val="000000"/>
                <w:lang w:val="es-ES" w:eastAsia="es-ES"/>
              </w:rPr>
            </w:pPr>
            <w:r w:rsidRPr="00C747FF">
              <w:rPr>
                <w:rFonts w:ascii="Arial Narrow" w:hAnsi="Arial Narrow" w:cs="Arial"/>
                <w:color w:val="000000"/>
                <w:lang w:val="es-ES" w:eastAsia="es-ES"/>
              </w:rPr>
              <w:t>Complemento específico</w:t>
            </w:r>
          </w:p>
        </w:tc>
        <w:tc>
          <w:tcPr>
            <w:tcW w:w="1107" w:type="pct"/>
            <w:tcBorders>
              <w:top w:val="nil"/>
              <w:left w:val="nil"/>
              <w:bottom w:val="single" w:sz="4" w:space="0" w:color="auto"/>
              <w:right w:val="nil"/>
            </w:tcBorders>
            <w:shd w:val="clear" w:color="auto" w:fill="auto"/>
            <w:noWrap/>
            <w:vAlign w:val="center"/>
            <w:hideMark/>
          </w:tcPr>
          <w:p w:rsidR="00C747FF" w:rsidRPr="00C747FF" w:rsidRDefault="00C747FF" w:rsidP="00C747FF">
            <w:pPr>
              <w:spacing w:after="0"/>
              <w:ind w:firstLine="0"/>
              <w:jc w:val="right"/>
              <w:rPr>
                <w:rFonts w:ascii="Arial Narrow" w:hAnsi="Arial Narrow" w:cs="Arial"/>
                <w:color w:val="000000"/>
                <w:lang w:val="es-ES" w:eastAsia="es-ES"/>
              </w:rPr>
            </w:pPr>
            <w:r w:rsidRPr="00C747FF">
              <w:rPr>
                <w:rFonts w:ascii="Arial Narrow" w:hAnsi="Arial Narrow" w:cs="Arial"/>
                <w:color w:val="000000"/>
                <w:lang w:val="es-ES" w:eastAsia="es-ES"/>
              </w:rPr>
              <w:t>5.516</w:t>
            </w:r>
          </w:p>
        </w:tc>
      </w:tr>
      <w:tr w:rsidR="00C747FF" w:rsidRPr="00C747FF" w:rsidTr="00C747FF">
        <w:trPr>
          <w:trHeight w:val="300"/>
        </w:trPr>
        <w:tc>
          <w:tcPr>
            <w:tcW w:w="3893" w:type="pct"/>
            <w:tcBorders>
              <w:top w:val="nil"/>
              <w:left w:val="nil"/>
              <w:bottom w:val="single" w:sz="4" w:space="0" w:color="auto"/>
              <w:right w:val="nil"/>
            </w:tcBorders>
            <w:shd w:val="clear" w:color="auto" w:fill="auto"/>
            <w:noWrap/>
            <w:vAlign w:val="center"/>
            <w:hideMark/>
          </w:tcPr>
          <w:p w:rsidR="00C747FF" w:rsidRPr="00C747FF" w:rsidRDefault="00C747FF" w:rsidP="00C747FF">
            <w:pPr>
              <w:spacing w:after="0"/>
              <w:ind w:firstLine="0"/>
              <w:jc w:val="left"/>
              <w:rPr>
                <w:rFonts w:ascii="Arial Narrow" w:hAnsi="Arial Narrow" w:cs="Arial"/>
                <w:color w:val="000000"/>
                <w:lang w:val="es-ES" w:eastAsia="es-ES"/>
              </w:rPr>
            </w:pPr>
            <w:r w:rsidRPr="00C747FF">
              <w:rPr>
                <w:rFonts w:ascii="Arial Narrow" w:hAnsi="Arial Narrow" w:cs="Arial"/>
                <w:color w:val="000000"/>
                <w:lang w:val="es-ES" w:eastAsia="es-ES"/>
              </w:rPr>
              <w:t>Complemento incompatibilidad</w:t>
            </w:r>
          </w:p>
        </w:tc>
        <w:tc>
          <w:tcPr>
            <w:tcW w:w="1107" w:type="pct"/>
            <w:tcBorders>
              <w:top w:val="nil"/>
              <w:left w:val="nil"/>
              <w:bottom w:val="single" w:sz="4" w:space="0" w:color="auto"/>
              <w:right w:val="nil"/>
            </w:tcBorders>
            <w:shd w:val="clear" w:color="auto" w:fill="auto"/>
            <w:noWrap/>
            <w:vAlign w:val="center"/>
            <w:hideMark/>
          </w:tcPr>
          <w:p w:rsidR="00C747FF" w:rsidRPr="00C747FF" w:rsidRDefault="00C747FF" w:rsidP="00C747FF">
            <w:pPr>
              <w:spacing w:after="0"/>
              <w:ind w:firstLine="0"/>
              <w:jc w:val="right"/>
              <w:rPr>
                <w:rFonts w:ascii="Arial Narrow" w:hAnsi="Arial Narrow" w:cs="Arial"/>
                <w:color w:val="000000"/>
                <w:lang w:val="es-ES" w:eastAsia="es-ES"/>
              </w:rPr>
            </w:pPr>
            <w:r w:rsidRPr="00C747FF">
              <w:rPr>
                <w:rFonts w:ascii="Arial Narrow" w:hAnsi="Arial Narrow" w:cs="Arial"/>
                <w:color w:val="000000"/>
                <w:lang w:val="es-ES" w:eastAsia="es-ES"/>
              </w:rPr>
              <w:t>3.255</w:t>
            </w:r>
          </w:p>
        </w:tc>
      </w:tr>
      <w:tr w:rsidR="00C747FF" w:rsidRPr="00C747FF" w:rsidTr="00C747FF">
        <w:trPr>
          <w:trHeight w:val="300"/>
        </w:trPr>
        <w:tc>
          <w:tcPr>
            <w:tcW w:w="3893" w:type="pct"/>
            <w:tcBorders>
              <w:top w:val="nil"/>
              <w:left w:val="nil"/>
              <w:bottom w:val="single" w:sz="4" w:space="0" w:color="auto"/>
              <w:right w:val="nil"/>
            </w:tcBorders>
            <w:shd w:val="clear" w:color="auto" w:fill="auto"/>
            <w:noWrap/>
            <w:vAlign w:val="center"/>
            <w:hideMark/>
          </w:tcPr>
          <w:p w:rsidR="00C747FF" w:rsidRPr="00C747FF" w:rsidRDefault="00C747FF" w:rsidP="00C747FF">
            <w:pPr>
              <w:spacing w:after="0"/>
              <w:ind w:firstLine="0"/>
              <w:jc w:val="left"/>
              <w:rPr>
                <w:rFonts w:ascii="Arial Narrow" w:hAnsi="Arial Narrow" w:cs="Arial"/>
                <w:color w:val="000000"/>
                <w:lang w:val="es-ES" w:eastAsia="es-ES"/>
              </w:rPr>
            </w:pPr>
            <w:r w:rsidRPr="00C747FF">
              <w:rPr>
                <w:rFonts w:ascii="Arial Narrow" w:hAnsi="Arial Narrow" w:cs="Arial"/>
                <w:color w:val="000000"/>
                <w:lang w:val="es-ES" w:eastAsia="es-ES"/>
              </w:rPr>
              <w:t>Complemento especial riesgo</w:t>
            </w:r>
          </w:p>
        </w:tc>
        <w:tc>
          <w:tcPr>
            <w:tcW w:w="1107" w:type="pct"/>
            <w:tcBorders>
              <w:top w:val="nil"/>
              <w:left w:val="nil"/>
              <w:bottom w:val="single" w:sz="4" w:space="0" w:color="auto"/>
              <w:right w:val="nil"/>
            </w:tcBorders>
            <w:shd w:val="clear" w:color="auto" w:fill="auto"/>
            <w:noWrap/>
            <w:vAlign w:val="center"/>
            <w:hideMark/>
          </w:tcPr>
          <w:p w:rsidR="00C747FF" w:rsidRPr="00C747FF" w:rsidRDefault="00C747FF" w:rsidP="00C747FF">
            <w:pPr>
              <w:spacing w:after="0"/>
              <w:ind w:firstLine="0"/>
              <w:jc w:val="right"/>
              <w:rPr>
                <w:rFonts w:ascii="Arial Narrow" w:hAnsi="Arial Narrow" w:cs="Arial"/>
                <w:color w:val="000000"/>
                <w:lang w:val="es-ES" w:eastAsia="es-ES"/>
              </w:rPr>
            </w:pPr>
            <w:r w:rsidRPr="00C747FF">
              <w:rPr>
                <w:rFonts w:ascii="Arial Narrow" w:hAnsi="Arial Narrow" w:cs="Arial"/>
                <w:color w:val="000000"/>
                <w:lang w:val="es-ES" w:eastAsia="es-ES"/>
              </w:rPr>
              <w:t>2.843</w:t>
            </w:r>
          </w:p>
        </w:tc>
      </w:tr>
      <w:tr w:rsidR="00C747FF" w:rsidRPr="00C747FF" w:rsidTr="00C747FF">
        <w:trPr>
          <w:trHeight w:val="285"/>
        </w:trPr>
        <w:tc>
          <w:tcPr>
            <w:tcW w:w="3893" w:type="pct"/>
            <w:tcBorders>
              <w:top w:val="nil"/>
              <w:left w:val="nil"/>
              <w:bottom w:val="single" w:sz="4" w:space="0" w:color="auto"/>
              <w:right w:val="nil"/>
            </w:tcBorders>
            <w:shd w:val="clear" w:color="auto" w:fill="auto"/>
            <w:noWrap/>
            <w:vAlign w:val="center"/>
            <w:hideMark/>
          </w:tcPr>
          <w:p w:rsidR="00C747FF" w:rsidRPr="00C747FF" w:rsidRDefault="00C747FF" w:rsidP="00C747FF">
            <w:pPr>
              <w:spacing w:after="0"/>
              <w:ind w:firstLine="0"/>
              <w:jc w:val="left"/>
              <w:rPr>
                <w:rFonts w:ascii="Arial Narrow" w:hAnsi="Arial Narrow" w:cs="Arial"/>
                <w:color w:val="000000"/>
                <w:lang w:val="es-ES" w:eastAsia="es-ES"/>
              </w:rPr>
            </w:pPr>
            <w:r w:rsidRPr="00C747FF">
              <w:rPr>
                <w:rFonts w:ascii="Arial Narrow" w:hAnsi="Arial Narrow" w:cs="Arial"/>
                <w:color w:val="000000"/>
                <w:lang w:val="es-ES" w:eastAsia="es-ES"/>
              </w:rPr>
              <w:t>Complemento prolongación jornada</w:t>
            </w:r>
          </w:p>
        </w:tc>
        <w:tc>
          <w:tcPr>
            <w:tcW w:w="1107" w:type="pct"/>
            <w:tcBorders>
              <w:top w:val="nil"/>
              <w:left w:val="nil"/>
              <w:bottom w:val="single" w:sz="4" w:space="0" w:color="auto"/>
              <w:right w:val="nil"/>
            </w:tcBorders>
            <w:shd w:val="clear" w:color="auto" w:fill="auto"/>
            <w:noWrap/>
            <w:vAlign w:val="center"/>
            <w:hideMark/>
          </w:tcPr>
          <w:p w:rsidR="00C747FF" w:rsidRPr="00C747FF" w:rsidRDefault="00C747FF" w:rsidP="00C747FF">
            <w:pPr>
              <w:spacing w:after="0"/>
              <w:ind w:firstLine="0"/>
              <w:jc w:val="right"/>
              <w:rPr>
                <w:rFonts w:ascii="Arial Narrow" w:hAnsi="Arial Narrow" w:cs="Arial"/>
                <w:color w:val="000000"/>
                <w:lang w:val="es-ES" w:eastAsia="es-ES"/>
              </w:rPr>
            </w:pPr>
            <w:r w:rsidRPr="00C747FF">
              <w:rPr>
                <w:rFonts w:ascii="Arial Narrow" w:hAnsi="Arial Narrow" w:cs="Arial"/>
                <w:color w:val="000000"/>
                <w:lang w:val="es-ES" w:eastAsia="es-ES"/>
              </w:rPr>
              <w:t>1.859</w:t>
            </w:r>
          </w:p>
        </w:tc>
      </w:tr>
      <w:tr w:rsidR="00C747FF" w:rsidRPr="00C747FF" w:rsidTr="00C747FF">
        <w:trPr>
          <w:trHeight w:val="300"/>
        </w:trPr>
        <w:tc>
          <w:tcPr>
            <w:tcW w:w="3893" w:type="pct"/>
            <w:tcBorders>
              <w:top w:val="nil"/>
              <w:left w:val="nil"/>
              <w:bottom w:val="single" w:sz="4" w:space="0" w:color="auto"/>
              <w:right w:val="nil"/>
            </w:tcBorders>
            <w:shd w:val="clear" w:color="auto" w:fill="auto"/>
            <w:noWrap/>
            <w:vAlign w:val="bottom"/>
            <w:hideMark/>
          </w:tcPr>
          <w:p w:rsidR="00C747FF" w:rsidRPr="0081232C" w:rsidRDefault="00C747FF" w:rsidP="00C747FF">
            <w:pPr>
              <w:spacing w:after="0"/>
              <w:ind w:firstLine="0"/>
              <w:jc w:val="left"/>
              <w:rPr>
                <w:rFonts w:ascii="Arial Narrow" w:hAnsi="Arial Narrow" w:cs="Arial"/>
                <w:color w:val="000000"/>
                <w:lang w:val="es-ES" w:eastAsia="es-ES"/>
              </w:rPr>
            </w:pPr>
            <w:r w:rsidRPr="0081232C">
              <w:rPr>
                <w:rFonts w:ascii="Arial Narrow" w:hAnsi="Arial Narrow" w:cs="Arial"/>
                <w:color w:val="000000"/>
                <w:lang w:val="es-ES" w:eastAsia="es-ES"/>
              </w:rPr>
              <w:t>Complemento de puesto directivo</w:t>
            </w:r>
          </w:p>
        </w:tc>
        <w:tc>
          <w:tcPr>
            <w:tcW w:w="1107" w:type="pct"/>
            <w:tcBorders>
              <w:top w:val="nil"/>
              <w:left w:val="nil"/>
              <w:bottom w:val="single" w:sz="4" w:space="0" w:color="auto"/>
              <w:right w:val="nil"/>
            </w:tcBorders>
            <w:shd w:val="clear" w:color="auto" w:fill="auto"/>
            <w:noWrap/>
            <w:vAlign w:val="center"/>
            <w:hideMark/>
          </w:tcPr>
          <w:p w:rsidR="00C747FF" w:rsidRPr="00C747FF" w:rsidRDefault="00C747FF" w:rsidP="00C747FF">
            <w:pPr>
              <w:spacing w:after="0"/>
              <w:ind w:firstLine="0"/>
              <w:jc w:val="right"/>
              <w:rPr>
                <w:rFonts w:ascii="Arial Narrow" w:hAnsi="Arial Narrow" w:cs="Arial"/>
                <w:color w:val="000000"/>
                <w:lang w:val="es-ES" w:eastAsia="es-ES"/>
              </w:rPr>
            </w:pPr>
            <w:r w:rsidRPr="00C747FF">
              <w:rPr>
                <w:rFonts w:ascii="Arial Narrow" w:hAnsi="Arial Narrow" w:cs="Arial"/>
                <w:color w:val="000000"/>
                <w:lang w:val="es-ES" w:eastAsia="es-ES"/>
              </w:rPr>
              <w:t>1.526</w:t>
            </w:r>
          </w:p>
        </w:tc>
      </w:tr>
      <w:tr w:rsidR="00C747FF" w:rsidRPr="00C747FF" w:rsidTr="00C747FF">
        <w:trPr>
          <w:trHeight w:val="300"/>
        </w:trPr>
        <w:tc>
          <w:tcPr>
            <w:tcW w:w="3893" w:type="pct"/>
            <w:tcBorders>
              <w:top w:val="nil"/>
              <w:left w:val="nil"/>
              <w:bottom w:val="single" w:sz="4" w:space="0" w:color="auto"/>
              <w:right w:val="nil"/>
            </w:tcBorders>
            <w:shd w:val="clear" w:color="auto" w:fill="auto"/>
            <w:noWrap/>
            <w:vAlign w:val="center"/>
            <w:hideMark/>
          </w:tcPr>
          <w:p w:rsidR="00C747FF" w:rsidRPr="00C747FF" w:rsidRDefault="00C747FF" w:rsidP="00C747FF">
            <w:pPr>
              <w:spacing w:after="0"/>
              <w:ind w:firstLine="0"/>
              <w:jc w:val="left"/>
              <w:rPr>
                <w:rFonts w:ascii="Arial Narrow" w:hAnsi="Arial Narrow" w:cs="Arial"/>
                <w:color w:val="000000"/>
                <w:lang w:val="es-ES" w:eastAsia="es-ES"/>
              </w:rPr>
            </w:pPr>
            <w:r w:rsidRPr="00C747FF">
              <w:rPr>
                <w:rFonts w:ascii="Arial Narrow" w:hAnsi="Arial Narrow" w:cs="Arial"/>
                <w:color w:val="000000"/>
                <w:lang w:val="es-ES" w:eastAsia="es-ES"/>
              </w:rPr>
              <w:t>Complemento dedicación exclusiva</w:t>
            </w:r>
          </w:p>
        </w:tc>
        <w:tc>
          <w:tcPr>
            <w:tcW w:w="1107" w:type="pct"/>
            <w:tcBorders>
              <w:top w:val="nil"/>
              <w:left w:val="nil"/>
              <w:bottom w:val="single" w:sz="4" w:space="0" w:color="auto"/>
              <w:right w:val="nil"/>
            </w:tcBorders>
            <w:shd w:val="clear" w:color="auto" w:fill="auto"/>
            <w:noWrap/>
            <w:vAlign w:val="center"/>
            <w:hideMark/>
          </w:tcPr>
          <w:p w:rsidR="00C747FF" w:rsidRPr="00C747FF" w:rsidRDefault="00C747FF" w:rsidP="00C747FF">
            <w:pPr>
              <w:spacing w:after="0"/>
              <w:ind w:firstLine="0"/>
              <w:jc w:val="right"/>
              <w:rPr>
                <w:rFonts w:ascii="Arial Narrow" w:hAnsi="Arial Narrow" w:cs="Arial"/>
                <w:color w:val="000000"/>
                <w:lang w:val="es-ES" w:eastAsia="es-ES"/>
              </w:rPr>
            </w:pPr>
            <w:r w:rsidRPr="00C747FF">
              <w:rPr>
                <w:rFonts w:ascii="Arial Narrow" w:hAnsi="Arial Narrow" w:cs="Arial"/>
                <w:color w:val="000000"/>
                <w:lang w:val="es-ES" w:eastAsia="es-ES"/>
              </w:rPr>
              <w:t>1.057</w:t>
            </w:r>
          </w:p>
        </w:tc>
      </w:tr>
      <w:tr w:rsidR="00C747FF" w:rsidRPr="00C747FF" w:rsidTr="00F641C0">
        <w:trPr>
          <w:trHeight w:val="300"/>
        </w:trPr>
        <w:tc>
          <w:tcPr>
            <w:tcW w:w="3893" w:type="pct"/>
            <w:tcBorders>
              <w:top w:val="nil"/>
              <w:left w:val="nil"/>
              <w:bottom w:val="single" w:sz="4" w:space="0" w:color="auto"/>
              <w:right w:val="nil"/>
            </w:tcBorders>
            <w:shd w:val="clear" w:color="auto" w:fill="auto"/>
            <w:noWrap/>
            <w:vAlign w:val="center"/>
            <w:hideMark/>
          </w:tcPr>
          <w:p w:rsidR="00C747FF" w:rsidRPr="00C747FF" w:rsidRDefault="00C747FF" w:rsidP="00C747FF">
            <w:pPr>
              <w:spacing w:after="0"/>
              <w:ind w:firstLine="0"/>
              <w:jc w:val="left"/>
              <w:rPr>
                <w:rFonts w:ascii="Arial Narrow" w:hAnsi="Arial Narrow" w:cs="Arial"/>
                <w:color w:val="000000"/>
                <w:lang w:val="es-ES" w:eastAsia="es-ES"/>
              </w:rPr>
            </w:pPr>
            <w:r w:rsidRPr="00C747FF">
              <w:rPr>
                <w:rFonts w:ascii="Arial Narrow" w:hAnsi="Arial Narrow" w:cs="Arial"/>
                <w:color w:val="000000"/>
                <w:lang w:val="es-ES" w:eastAsia="es-ES"/>
              </w:rPr>
              <w:t xml:space="preserve">Complemento </w:t>
            </w:r>
            <w:proofErr w:type="spellStart"/>
            <w:r w:rsidRPr="00C747FF">
              <w:rPr>
                <w:rFonts w:ascii="Arial Narrow" w:hAnsi="Arial Narrow" w:cs="Arial"/>
                <w:color w:val="000000"/>
                <w:lang w:val="es-ES" w:eastAsia="es-ES"/>
              </w:rPr>
              <w:t>turnicidad</w:t>
            </w:r>
            <w:proofErr w:type="spellEnd"/>
          </w:p>
        </w:tc>
        <w:tc>
          <w:tcPr>
            <w:tcW w:w="1107" w:type="pct"/>
            <w:tcBorders>
              <w:top w:val="nil"/>
              <w:left w:val="nil"/>
              <w:bottom w:val="single" w:sz="4" w:space="0" w:color="auto"/>
              <w:right w:val="nil"/>
            </w:tcBorders>
            <w:shd w:val="clear" w:color="auto" w:fill="auto"/>
            <w:noWrap/>
            <w:vAlign w:val="center"/>
            <w:hideMark/>
          </w:tcPr>
          <w:p w:rsidR="00C747FF" w:rsidRPr="00C747FF" w:rsidRDefault="00C747FF" w:rsidP="00C747FF">
            <w:pPr>
              <w:spacing w:after="0"/>
              <w:ind w:firstLine="0"/>
              <w:jc w:val="right"/>
              <w:rPr>
                <w:rFonts w:ascii="Arial Narrow" w:hAnsi="Arial Narrow" w:cs="Arial"/>
                <w:color w:val="000000"/>
                <w:lang w:val="es-ES" w:eastAsia="es-ES"/>
              </w:rPr>
            </w:pPr>
            <w:r w:rsidRPr="00C747FF">
              <w:rPr>
                <w:rFonts w:ascii="Arial Narrow" w:hAnsi="Arial Narrow" w:cs="Arial"/>
                <w:color w:val="000000"/>
                <w:lang w:val="es-ES" w:eastAsia="es-ES"/>
              </w:rPr>
              <w:t>350</w:t>
            </w:r>
          </w:p>
        </w:tc>
      </w:tr>
      <w:tr w:rsidR="00C747FF" w:rsidRPr="00C747FF" w:rsidTr="00F641C0">
        <w:trPr>
          <w:trHeight w:val="345"/>
        </w:trPr>
        <w:tc>
          <w:tcPr>
            <w:tcW w:w="3893" w:type="pct"/>
            <w:tcBorders>
              <w:top w:val="single" w:sz="4" w:space="0" w:color="auto"/>
              <w:left w:val="nil"/>
              <w:bottom w:val="single" w:sz="4" w:space="0" w:color="auto"/>
              <w:right w:val="nil"/>
            </w:tcBorders>
            <w:shd w:val="clear" w:color="000000" w:fill="FABF8F"/>
            <w:noWrap/>
            <w:vAlign w:val="center"/>
            <w:hideMark/>
          </w:tcPr>
          <w:p w:rsidR="00C747FF" w:rsidRPr="00C747FF" w:rsidRDefault="00C747FF" w:rsidP="00557E3B">
            <w:pPr>
              <w:spacing w:after="0"/>
              <w:ind w:firstLine="0"/>
              <w:jc w:val="left"/>
              <w:rPr>
                <w:rFonts w:ascii="Arial" w:hAnsi="Arial" w:cs="Arial"/>
                <w:sz w:val="18"/>
                <w:szCs w:val="18"/>
                <w:lang w:val="es-ES" w:eastAsia="es-ES"/>
              </w:rPr>
            </w:pPr>
            <w:r w:rsidRPr="00C747FF">
              <w:rPr>
                <w:rFonts w:ascii="Arial" w:hAnsi="Arial" w:cs="Arial"/>
                <w:sz w:val="18"/>
                <w:szCs w:val="18"/>
                <w:lang w:val="es-ES" w:eastAsia="es-ES"/>
              </w:rPr>
              <w:t xml:space="preserve">Total </w:t>
            </w:r>
            <w:r w:rsidR="00557E3B">
              <w:rPr>
                <w:rFonts w:ascii="Arial" w:hAnsi="Arial" w:cs="Arial"/>
                <w:sz w:val="18"/>
                <w:szCs w:val="18"/>
                <w:lang w:val="es-ES" w:eastAsia="es-ES"/>
              </w:rPr>
              <w:t>d</w:t>
            </w:r>
            <w:r w:rsidRPr="00C747FF">
              <w:rPr>
                <w:rFonts w:ascii="Arial" w:hAnsi="Arial" w:cs="Arial"/>
                <w:sz w:val="18"/>
                <w:szCs w:val="18"/>
                <w:lang w:val="es-ES" w:eastAsia="es-ES"/>
              </w:rPr>
              <w:t>iciembre</w:t>
            </w:r>
          </w:p>
        </w:tc>
        <w:tc>
          <w:tcPr>
            <w:tcW w:w="1107" w:type="pct"/>
            <w:tcBorders>
              <w:top w:val="single" w:sz="4" w:space="0" w:color="auto"/>
              <w:left w:val="nil"/>
              <w:bottom w:val="single" w:sz="4" w:space="0" w:color="auto"/>
              <w:right w:val="nil"/>
            </w:tcBorders>
            <w:shd w:val="clear" w:color="000000" w:fill="FABF8F"/>
            <w:noWrap/>
            <w:vAlign w:val="center"/>
            <w:hideMark/>
          </w:tcPr>
          <w:p w:rsidR="00C747FF" w:rsidRPr="00C747FF" w:rsidRDefault="00C747FF" w:rsidP="00C747FF">
            <w:pPr>
              <w:spacing w:after="0"/>
              <w:ind w:firstLine="0"/>
              <w:jc w:val="right"/>
              <w:rPr>
                <w:rFonts w:ascii="Arial" w:hAnsi="Arial" w:cs="Arial"/>
                <w:sz w:val="18"/>
                <w:szCs w:val="18"/>
                <w:lang w:val="es-ES" w:eastAsia="es-ES"/>
              </w:rPr>
            </w:pPr>
            <w:r>
              <w:rPr>
                <w:rFonts w:ascii="Arial" w:hAnsi="Arial" w:cs="Arial"/>
                <w:sz w:val="18"/>
                <w:szCs w:val="18"/>
                <w:lang w:val="es-ES" w:eastAsia="es-ES"/>
              </w:rPr>
              <w:t>185.288</w:t>
            </w:r>
          </w:p>
        </w:tc>
      </w:tr>
    </w:tbl>
    <w:p w:rsidR="00C747FF" w:rsidRDefault="00C747FF" w:rsidP="005A2D38">
      <w:pPr>
        <w:pStyle w:val="texto"/>
        <w:tabs>
          <w:tab w:val="clear" w:pos="2835"/>
          <w:tab w:val="clear" w:pos="3969"/>
          <w:tab w:val="clear" w:pos="5103"/>
          <w:tab w:val="clear" w:pos="6237"/>
          <w:tab w:val="clear" w:pos="7371"/>
          <w:tab w:val="num" w:pos="-1396"/>
          <w:tab w:val="num" w:pos="600"/>
        </w:tabs>
        <w:spacing w:after="240"/>
      </w:pPr>
    </w:p>
    <w:p w:rsidR="00046904" w:rsidRDefault="00046904" w:rsidP="00172D87">
      <w:pPr>
        <w:pStyle w:val="texto"/>
        <w:tabs>
          <w:tab w:val="clear" w:pos="2835"/>
          <w:tab w:val="clear" w:pos="3969"/>
          <w:tab w:val="clear" w:pos="5103"/>
          <w:tab w:val="clear" w:pos="6237"/>
          <w:tab w:val="clear" w:pos="7371"/>
        </w:tabs>
        <w:spacing w:before="240" w:after="120"/>
      </w:pPr>
      <w:r w:rsidRPr="00DB4260">
        <w:t>En términos generales, las retribu</w:t>
      </w:r>
      <w:r w:rsidR="00145EB9">
        <w:t xml:space="preserve">ciones de los trabajadores del </w:t>
      </w:r>
      <w:r w:rsidR="00C747FF">
        <w:t>a</w:t>
      </w:r>
      <w:r w:rsidR="00D426D2">
        <w:t>yuntamiento</w:t>
      </w:r>
      <w:r w:rsidRPr="00DB4260">
        <w:t xml:space="preserve"> se corresponden </w:t>
      </w:r>
      <w:r w:rsidR="00D84A7D">
        <w:t xml:space="preserve">con el salario base del nivel y </w:t>
      </w:r>
      <w:r w:rsidRPr="00DB4260">
        <w:t>con los com</w:t>
      </w:r>
      <w:r>
        <w:t>plementos previstos</w:t>
      </w:r>
      <w:r w:rsidR="00843F44">
        <w:t xml:space="preserve"> </w:t>
      </w:r>
      <w:r w:rsidR="00843F44" w:rsidRPr="009F5A89">
        <w:rPr>
          <w:color w:val="000000" w:themeColor="text1"/>
        </w:rPr>
        <w:t>para los puestos que ocupan según</w:t>
      </w:r>
      <w:r w:rsidRPr="009F5A89">
        <w:rPr>
          <w:color w:val="000000" w:themeColor="text1"/>
        </w:rPr>
        <w:t xml:space="preserve"> la p</w:t>
      </w:r>
      <w:r>
        <w:t>lantilla o</w:t>
      </w:r>
      <w:r w:rsidRPr="00DB4260">
        <w:t>rgánica</w:t>
      </w:r>
      <w:r w:rsidR="00843F44">
        <w:t>.</w:t>
      </w:r>
      <w:r w:rsidRPr="00DB4260">
        <w:t xml:space="preserve"> </w:t>
      </w:r>
    </w:p>
    <w:p w:rsidR="009F07DD" w:rsidRDefault="009F07DD">
      <w:pPr>
        <w:spacing w:after="0"/>
        <w:ind w:firstLine="0"/>
        <w:jc w:val="left"/>
        <w:rPr>
          <w:spacing w:val="6"/>
          <w:sz w:val="26"/>
          <w:szCs w:val="24"/>
        </w:rPr>
      </w:pPr>
    </w:p>
    <w:p w:rsidR="00FE17DC" w:rsidRDefault="00FE17DC">
      <w:pPr>
        <w:spacing w:after="0"/>
        <w:ind w:firstLine="0"/>
        <w:jc w:val="left"/>
        <w:rPr>
          <w:rFonts w:ascii="Arial" w:hAnsi="Arial"/>
          <w:i/>
          <w:iCs/>
          <w:color w:val="000000"/>
          <w:spacing w:val="10"/>
          <w:kern w:val="28"/>
          <w:sz w:val="25"/>
          <w:szCs w:val="26"/>
        </w:rPr>
      </w:pPr>
      <w:r>
        <w:br w:type="page"/>
      </w:r>
    </w:p>
    <w:p w:rsidR="0067725A" w:rsidRPr="00824EB4" w:rsidRDefault="0067725A" w:rsidP="00D56C93">
      <w:pPr>
        <w:pStyle w:val="atitulo3"/>
        <w:spacing w:after="120"/>
      </w:pPr>
      <w:r w:rsidRPr="00824EB4">
        <w:lastRenderedPageBreak/>
        <w:t>Control interno de la nómina</w:t>
      </w:r>
    </w:p>
    <w:p w:rsidR="0067725A" w:rsidRDefault="00020CDB" w:rsidP="007F2A5B">
      <w:pPr>
        <w:pStyle w:val="texto"/>
        <w:tabs>
          <w:tab w:val="clear" w:pos="2835"/>
          <w:tab w:val="clear" w:pos="3969"/>
          <w:tab w:val="clear" w:pos="5103"/>
          <w:tab w:val="clear" w:pos="6237"/>
          <w:tab w:val="clear" w:pos="7371"/>
        </w:tabs>
        <w:spacing w:after="120"/>
      </w:pPr>
      <w:r>
        <w:t>De la revisión efectuada concluimos que</w:t>
      </w:r>
      <w:r w:rsidR="0041217B">
        <w:t xml:space="preserve"> no siempre</w:t>
      </w:r>
      <w:r w:rsidR="00C747FF">
        <w:t xml:space="preserve"> se realiza un adecuado co</w:t>
      </w:r>
      <w:r w:rsidR="00C747FF">
        <w:t>n</w:t>
      </w:r>
      <w:r w:rsidR="00C747FF">
        <w:t xml:space="preserve">trol de la nómina. Hemos detectado dos casos en los que empleados con contrato administrativo percibían trienios, otros dos casos en los que hay dos personas </w:t>
      </w:r>
      <w:r w:rsidR="00557E3B">
        <w:t>asi</w:t>
      </w:r>
      <w:r w:rsidR="00557E3B">
        <w:t>g</w:t>
      </w:r>
      <w:r w:rsidR="00557E3B">
        <w:t>nados a</w:t>
      </w:r>
      <w:r w:rsidR="00A930EA">
        <w:t xml:space="preserve"> </w:t>
      </w:r>
      <w:r w:rsidR="00C747FF">
        <w:t xml:space="preserve">la misma plaza, un caso en el que la persona percibía un complemento que no correspondía a la plaza ocupada, un caso en el que </w:t>
      </w:r>
      <w:r w:rsidR="001D69F4">
        <w:t>no consta</w:t>
      </w:r>
      <w:r w:rsidR="00A930EA">
        <w:t xml:space="preserve"> la modificación del contrato ampliando la jornada laboral a una persona y otro en que no consta la R</w:t>
      </w:r>
      <w:r w:rsidR="00A930EA">
        <w:t>e</w:t>
      </w:r>
      <w:r w:rsidR="00A930EA">
        <w:t>solución del nombramiento de un cargo directivo en la escuela de música.</w:t>
      </w:r>
    </w:p>
    <w:p w:rsidR="009A0556" w:rsidRDefault="00D8353C" w:rsidP="007F2A5B">
      <w:pPr>
        <w:pStyle w:val="texto"/>
        <w:tabs>
          <w:tab w:val="clear" w:pos="2835"/>
          <w:tab w:val="clear" w:pos="3969"/>
          <w:tab w:val="clear" w:pos="5103"/>
          <w:tab w:val="clear" w:pos="6237"/>
          <w:tab w:val="clear" w:pos="7371"/>
        </w:tabs>
        <w:spacing w:after="120"/>
      </w:pPr>
      <w:r>
        <w:t xml:space="preserve">Asimismo, </w:t>
      </w:r>
      <w:r w:rsidR="001D69F4">
        <w:t>no hemos podido comprobar la corrección de las retribuciones vari</w:t>
      </w:r>
      <w:r w:rsidR="001D69F4">
        <w:t>a</w:t>
      </w:r>
      <w:r w:rsidR="001D69F4">
        <w:t xml:space="preserve">bles </w:t>
      </w:r>
      <w:r w:rsidR="009F5A89">
        <w:t xml:space="preserve">por festivos </w:t>
      </w:r>
      <w:r w:rsidR="001D69F4">
        <w:t xml:space="preserve">de la policía municipal </w:t>
      </w:r>
      <w:r w:rsidR="00557E3B" w:rsidRPr="008A365E">
        <w:rPr>
          <w:color w:val="000000" w:themeColor="text1"/>
        </w:rPr>
        <w:t xml:space="preserve">que ascienden a </w:t>
      </w:r>
      <w:r w:rsidR="009F5A89" w:rsidRPr="008A365E">
        <w:rPr>
          <w:color w:val="000000" w:themeColor="text1"/>
        </w:rPr>
        <w:t>112.520 euros,</w:t>
      </w:r>
      <w:r w:rsidR="00557E3B" w:rsidRPr="008A365E">
        <w:rPr>
          <w:color w:val="000000" w:themeColor="text1"/>
        </w:rPr>
        <w:t xml:space="preserve"> </w:t>
      </w:r>
      <w:r w:rsidR="001D69F4">
        <w:t xml:space="preserve">porque </w:t>
      </w:r>
      <w:r>
        <w:t xml:space="preserve">no se envía </w:t>
      </w:r>
      <w:r w:rsidR="001D69F4">
        <w:t xml:space="preserve">el fichero mensual de control presencial al ayuntamiento </w:t>
      </w:r>
      <w:r w:rsidR="00710241">
        <w:t xml:space="preserve">junto a la hoja </w:t>
      </w:r>
      <w:r w:rsidR="001D69F4">
        <w:t>resumen</w:t>
      </w:r>
      <w:r>
        <w:t xml:space="preserve"> </w:t>
      </w:r>
      <w:r w:rsidR="008A365E">
        <w:t>correspondiente</w:t>
      </w:r>
      <w:r>
        <w:t>.</w:t>
      </w:r>
      <w:r w:rsidR="001D69F4">
        <w:t xml:space="preserve"> </w:t>
      </w:r>
    </w:p>
    <w:p w:rsidR="00A930EA" w:rsidRDefault="00A930EA" w:rsidP="007F2A5B">
      <w:pPr>
        <w:pStyle w:val="texto"/>
        <w:tabs>
          <w:tab w:val="clear" w:pos="2835"/>
          <w:tab w:val="clear" w:pos="3969"/>
          <w:tab w:val="clear" w:pos="5103"/>
          <w:tab w:val="clear" w:pos="6237"/>
          <w:tab w:val="clear" w:pos="7371"/>
        </w:tabs>
        <w:spacing w:after="120"/>
        <w:rPr>
          <w:rFonts w:cs="Arial"/>
          <w:spacing w:val="0"/>
        </w:rPr>
      </w:pPr>
      <w:r>
        <w:rPr>
          <w:rFonts w:cs="Arial"/>
          <w:spacing w:val="0"/>
        </w:rPr>
        <w:t xml:space="preserve">No obstante, </w:t>
      </w:r>
      <w:r w:rsidR="009A0556">
        <w:rPr>
          <w:rFonts w:cs="Arial"/>
          <w:spacing w:val="0"/>
        </w:rPr>
        <w:t xml:space="preserve">y </w:t>
      </w:r>
      <w:r>
        <w:rPr>
          <w:rFonts w:cs="Arial"/>
          <w:spacing w:val="0"/>
        </w:rPr>
        <w:t>con motivo de nuestra fiscalización</w:t>
      </w:r>
      <w:r w:rsidR="009A0556">
        <w:rPr>
          <w:rFonts w:cs="Arial"/>
          <w:spacing w:val="0"/>
        </w:rPr>
        <w:t>,</w:t>
      </w:r>
      <w:r>
        <w:rPr>
          <w:rFonts w:cs="Arial"/>
          <w:spacing w:val="0"/>
        </w:rPr>
        <w:t xml:space="preserve"> se </w:t>
      </w:r>
      <w:r w:rsidR="009A0556">
        <w:rPr>
          <w:rFonts w:cs="Arial"/>
          <w:spacing w:val="0"/>
        </w:rPr>
        <w:t>han realizado</w:t>
      </w:r>
      <w:r>
        <w:rPr>
          <w:rFonts w:cs="Arial"/>
          <w:spacing w:val="0"/>
        </w:rPr>
        <w:t xml:space="preserve"> las regulariz</w:t>
      </w:r>
      <w:r>
        <w:rPr>
          <w:rFonts w:cs="Arial"/>
          <w:spacing w:val="0"/>
        </w:rPr>
        <w:t>a</w:t>
      </w:r>
      <w:r>
        <w:rPr>
          <w:rFonts w:cs="Arial"/>
          <w:spacing w:val="0"/>
        </w:rPr>
        <w:t>ciones correspondientes.</w:t>
      </w:r>
    </w:p>
    <w:p w:rsidR="0067725A" w:rsidRDefault="0067725A" w:rsidP="007F2A5B">
      <w:pPr>
        <w:pStyle w:val="texto"/>
        <w:tabs>
          <w:tab w:val="clear" w:pos="2835"/>
          <w:tab w:val="clear" w:pos="3969"/>
          <w:tab w:val="clear" w:pos="5103"/>
          <w:tab w:val="clear" w:pos="6237"/>
          <w:tab w:val="clear" w:pos="7371"/>
        </w:tabs>
        <w:spacing w:after="120"/>
      </w:pPr>
      <w:r w:rsidRPr="00710241">
        <w:t>Recomendamos:</w:t>
      </w:r>
    </w:p>
    <w:p w:rsidR="008A365E" w:rsidRPr="008A365E" w:rsidRDefault="00774132" w:rsidP="00F641C0">
      <w:pPr>
        <w:pStyle w:val="texto"/>
        <w:numPr>
          <w:ilvl w:val="0"/>
          <w:numId w:val="1"/>
        </w:numPr>
        <w:tabs>
          <w:tab w:val="clear" w:pos="2835"/>
          <w:tab w:val="clear" w:pos="3969"/>
          <w:tab w:val="clear" w:pos="5103"/>
          <w:tab w:val="clear" w:pos="6237"/>
          <w:tab w:val="clear" w:pos="7371"/>
          <w:tab w:val="left" w:pos="480"/>
          <w:tab w:val="num" w:pos="720"/>
          <w:tab w:val="num" w:pos="6597"/>
        </w:tabs>
        <w:ind w:left="0" w:firstLine="289"/>
        <w:rPr>
          <w:rFonts w:cs="Arial"/>
          <w:i/>
        </w:rPr>
      </w:pPr>
      <w:r w:rsidRPr="00F641C0">
        <w:rPr>
          <w:i/>
        </w:rPr>
        <w:t>Realizar</w:t>
      </w:r>
      <w:r w:rsidRPr="008A365E">
        <w:rPr>
          <w:rFonts w:cs="Arial"/>
          <w:i/>
        </w:rPr>
        <w:t xml:space="preserve"> contrataciones con régimen laboral solo en los casos previstos en la normativa e incluir los empleados de carácter indefinido no fijo en la siguiente OPE para proceder a su cobertura.</w:t>
      </w:r>
      <w:r w:rsidR="0081232C" w:rsidRPr="008A365E">
        <w:rPr>
          <w:rFonts w:cs="Arial"/>
          <w:i/>
        </w:rPr>
        <w:t xml:space="preserve"> </w:t>
      </w:r>
    </w:p>
    <w:p w:rsidR="0064681E" w:rsidRPr="008A365E" w:rsidRDefault="00B957A5" w:rsidP="00F641C0">
      <w:pPr>
        <w:pStyle w:val="texto"/>
        <w:numPr>
          <w:ilvl w:val="0"/>
          <w:numId w:val="1"/>
        </w:numPr>
        <w:tabs>
          <w:tab w:val="clear" w:pos="2835"/>
          <w:tab w:val="clear" w:pos="3969"/>
          <w:tab w:val="clear" w:pos="5103"/>
          <w:tab w:val="clear" w:pos="6237"/>
          <w:tab w:val="clear" w:pos="7371"/>
          <w:tab w:val="left" w:pos="480"/>
          <w:tab w:val="num" w:pos="720"/>
          <w:tab w:val="num" w:pos="6597"/>
        </w:tabs>
        <w:ind w:left="0" w:firstLine="289"/>
        <w:rPr>
          <w:rFonts w:cs="Arial"/>
          <w:i/>
          <w:color w:val="000000" w:themeColor="text1"/>
        </w:rPr>
      </w:pPr>
      <w:r w:rsidRPr="00F641C0">
        <w:rPr>
          <w:i/>
        </w:rPr>
        <w:t>Reforza</w:t>
      </w:r>
      <w:r w:rsidR="0064681E" w:rsidRPr="00F641C0">
        <w:rPr>
          <w:i/>
        </w:rPr>
        <w:t>r</w:t>
      </w:r>
      <w:r w:rsidR="0064681E" w:rsidRPr="008A365E">
        <w:rPr>
          <w:rFonts w:cs="Arial"/>
          <w:i/>
        </w:rPr>
        <w:t xml:space="preserve"> el control interno del áre</w:t>
      </w:r>
      <w:r w:rsidR="00710241" w:rsidRPr="008A365E">
        <w:rPr>
          <w:rFonts w:cs="Arial"/>
          <w:i/>
        </w:rPr>
        <w:t>a de personal con el fin de evitar que se produzcan los errores detectados</w:t>
      </w:r>
      <w:r w:rsidR="0081232C" w:rsidRPr="008A365E">
        <w:rPr>
          <w:rFonts w:cs="Arial"/>
          <w:i/>
        </w:rPr>
        <w:t xml:space="preserve"> </w:t>
      </w:r>
      <w:r w:rsidR="0081232C" w:rsidRPr="008A365E">
        <w:rPr>
          <w:rFonts w:cs="Arial"/>
          <w:i/>
          <w:color w:val="000000" w:themeColor="text1"/>
        </w:rPr>
        <w:t>en las nóminas</w:t>
      </w:r>
      <w:r w:rsidR="00710241" w:rsidRPr="008A365E">
        <w:rPr>
          <w:rFonts w:cs="Arial"/>
          <w:i/>
          <w:color w:val="000000" w:themeColor="text1"/>
        </w:rPr>
        <w:t>.</w:t>
      </w:r>
      <w:r w:rsidR="0064681E" w:rsidRPr="008A365E">
        <w:rPr>
          <w:rFonts w:cs="Arial"/>
          <w:i/>
          <w:color w:val="000000" w:themeColor="text1"/>
        </w:rPr>
        <w:t xml:space="preserve"> </w:t>
      </w:r>
    </w:p>
    <w:p w:rsidR="00EA160D" w:rsidRDefault="00EA160D" w:rsidP="00D56C93">
      <w:pPr>
        <w:pStyle w:val="texto"/>
        <w:numPr>
          <w:ilvl w:val="0"/>
          <w:numId w:val="1"/>
        </w:numPr>
        <w:tabs>
          <w:tab w:val="clear" w:pos="2835"/>
          <w:tab w:val="clear" w:pos="3969"/>
          <w:tab w:val="clear" w:pos="5103"/>
          <w:tab w:val="clear" w:pos="6237"/>
          <w:tab w:val="clear" w:pos="7371"/>
          <w:tab w:val="left" w:pos="480"/>
          <w:tab w:val="num" w:pos="720"/>
          <w:tab w:val="num" w:pos="6597"/>
        </w:tabs>
        <w:spacing w:after="60"/>
        <w:ind w:left="0" w:firstLine="289"/>
        <w:rPr>
          <w:rFonts w:cs="Arial"/>
          <w:i/>
        </w:rPr>
      </w:pPr>
      <w:r w:rsidRPr="00D8353C">
        <w:rPr>
          <w:i/>
        </w:rPr>
        <w:t xml:space="preserve">Implantar mecanismos adecuados para el control y seguimiento de la jornada laboral de la </w:t>
      </w:r>
      <w:r w:rsidRPr="008A365E">
        <w:rPr>
          <w:i/>
          <w:color w:val="000000" w:themeColor="text1"/>
        </w:rPr>
        <w:t xml:space="preserve">policía </w:t>
      </w:r>
      <w:r w:rsidR="00843F44" w:rsidRPr="008A365E">
        <w:rPr>
          <w:i/>
          <w:color w:val="000000" w:themeColor="text1"/>
        </w:rPr>
        <w:t>municipal</w:t>
      </w:r>
      <w:r w:rsidRPr="008A365E">
        <w:rPr>
          <w:i/>
          <w:color w:val="000000" w:themeColor="text1"/>
        </w:rPr>
        <w:t>.</w:t>
      </w:r>
    </w:p>
    <w:p w:rsidR="0067725A" w:rsidRPr="00BC13C3" w:rsidRDefault="0067725A" w:rsidP="00EA160D">
      <w:pPr>
        <w:pStyle w:val="atitulo3"/>
        <w:spacing w:before="360" w:after="220"/>
      </w:pPr>
      <w:bookmarkStart w:id="114" w:name="_Toc430935369"/>
      <w:bookmarkStart w:id="115" w:name="_Toc455145999"/>
      <w:r w:rsidRPr="00BC13C3">
        <w:t>V</w:t>
      </w:r>
      <w:r>
        <w:t>I</w:t>
      </w:r>
      <w:r w:rsidRPr="00BC13C3">
        <w:t>.</w:t>
      </w:r>
      <w:r>
        <w:t>5</w:t>
      </w:r>
      <w:r w:rsidRPr="00BC13C3">
        <w:t>.</w:t>
      </w:r>
      <w:r w:rsidR="00EA160D">
        <w:t>3</w:t>
      </w:r>
      <w:r w:rsidRPr="00BC13C3">
        <w:t>. Gastos corrie</w:t>
      </w:r>
      <w:r w:rsidR="004A3EF2">
        <w:t xml:space="preserve">ntes en bienes y servicios </w:t>
      </w:r>
      <w:bookmarkEnd w:id="114"/>
      <w:bookmarkEnd w:id="115"/>
    </w:p>
    <w:p w:rsidR="009C38BB" w:rsidRPr="009C38BB" w:rsidRDefault="009C38BB" w:rsidP="009C38BB">
      <w:pPr>
        <w:pStyle w:val="texto"/>
        <w:tabs>
          <w:tab w:val="clear" w:pos="2835"/>
          <w:tab w:val="clear" w:pos="3969"/>
          <w:tab w:val="clear" w:pos="5103"/>
          <w:tab w:val="clear" w:pos="6237"/>
          <w:tab w:val="clear" w:pos="7371"/>
          <w:tab w:val="left" w:pos="142"/>
        </w:tabs>
        <w:spacing w:before="120"/>
        <w:rPr>
          <w:szCs w:val="26"/>
        </w:rPr>
      </w:pPr>
      <w:r w:rsidRPr="009C38BB">
        <w:rPr>
          <w:szCs w:val="26"/>
        </w:rPr>
        <w:t>Los gastos corrientes en bienes y servicios ascendieron a 2,7 millones de euros, representan el 18 por ciento del total de obligaciones reconocidas en el ejercicio y su nivel de ejecución ha sido del 87 por ciento de los créditos definitivos.</w:t>
      </w:r>
      <w:r w:rsidR="00710241">
        <w:rPr>
          <w:szCs w:val="26"/>
        </w:rPr>
        <w:t xml:space="preserve"> </w:t>
      </w:r>
    </w:p>
    <w:p w:rsidR="005507FC" w:rsidRDefault="005507FC" w:rsidP="00D56C93">
      <w:pPr>
        <w:pStyle w:val="texto"/>
        <w:spacing w:after="120"/>
      </w:pPr>
      <w:r w:rsidRPr="00263ABF">
        <w:t xml:space="preserve">Con respecto al ejercicio </w:t>
      </w:r>
      <w:r>
        <w:t>201</w:t>
      </w:r>
      <w:r w:rsidR="009C38BB">
        <w:t>9</w:t>
      </w:r>
      <w:r w:rsidRPr="00263ABF">
        <w:t xml:space="preserve">, </w:t>
      </w:r>
      <w:r w:rsidR="003916A1">
        <w:t xml:space="preserve">dichos </w:t>
      </w:r>
      <w:r>
        <w:t xml:space="preserve">gastos aumentaron un </w:t>
      </w:r>
      <w:r w:rsidR="009C38BB">
        <w:t>tre</w:t>
      </w:r>
      <w:r w:rsidR="007C6E59">
        <w:t>s</w:t>
      </w:r>
      <w:r>
        <w:t xml:space="preserve"> por ciento</w:t>
      </w:r>
      <w:r w:rsidRPr="00263ABF">
        <w:t>, de acuerdo con el siguiente detalle:</w:t>
      </w:r>
    </w:p>
    <w:tbl>
      <w:tblPr>
        <w:tblW w:w="5000" w:type="pct"/>
        <w:tblCellMar>
          <w:left w:w="70" w:type="dxa"/>
          <w:right w:w="70" w:type="dxa"/>
        </w:tblCellMar>
        <w:tblLook w:val="04A0" w:firstRow="1" w:lastRow="0" w:firstColumn="1" w:lastColumn="0" w:noHBand="0" w:noVBand="1"/>
      </w:tblPr>
      <w:tblGrid>
        <w:gridCol w:w="5682"/>
        <w:gridCol w:w="1255"/>
        <w:gridCol w:w="1212"/>
        <w:gridCol w:w="1205"/>
      </w:tblGrid>
      <w:tr w:rsidR="009C38BB" w:rsidRPr="009C38BB" w:rsidTr="00D56C93">
        <w:trPr>
          <w:trHeight w:val="495"/>
        </w:trPr>
        <w:tc>
          <w:tcPr>
            <w:tcW w:w="3037" w:type="pct"/>
            <w:tcBorders>
              <w:top w:val="single" w:sz="4" w:space="0" w:color="auto"/>
              <w:left w:val="nil"/>
              <w:bottom w:val="single" w:sz="4" w:space="0" w:color="auto"/>
              <w:right w:val="nil"/>
            </w:tcBorders>
            <w:shd w:val="clear" w:color="000000" w:fill="FABF8F"/>
            <w:noWrap/>
            <w:vAlign w:val="center"/>
            <w:hideMark/>
          </w:tcPr>
          <w:p w:rsidR="009C38BB" w:rsidRPr="009C38BB" w:rsidRDefault="009C38BB" w:rsidP="009C38BB">
            <w:pPr>
              <w:spacing w:after="0"/>
              <w:ind w:firstLine="0"/>
              <w:jc w:val="left"/>
              <w:rPr>
                <w:rFonts w:ascii="Arial" w:hAnsi="Arial" w:cs="Arial"/>
                <w:color w:val="000000"/>
                <w:sz w:val="18"/>
                <w:szCs w:val="18"/>
                <w:lang w:val="es-ES" w:eastAsia="es-ES"/>
              </w:rPr>
            </w:pPr>
            <w:r w:rsidRPr="009C38BB">
              <w:rPr>
                <w:rFonts w:ascii="Arial" w:hAnsi="Arial" w:cs="Arial"/>
                <w:color w:val="000000"/>
                <w:sz w:val="18"/>
                <w:szCs w:val="18"/>
                <w:lang w:val="es-ES" w:eastAsia="es-ES"/>
              </w:rPr>
              <w:t>Concepto</w:t>
            </w:r>
          </w:p>
        </w:tc>
        <w:tc>
          <w:tcPr>
            <w:tcW w:w="671" w:type="pct"/>
            <w:tcBorders>
              <w:top w:val="single" w:sz="4" w:space="0" w:color="auto"/>
              <w:left w:val="nil"/>
              <w:bottom w:val="single" w:sz="4" w:space="0" w:color="auto"/>
              <w:right w:val="nil"/>
            </w:tcBorders>
            <w:shd w:val="clear" w:color="000000" w:fill="FABF8F"/>
            <w:noWrap/>
            <w:vAlign w:val="center"/>
            <w:hideMark/>
          </w:tcPr>
          <w:p w:rsidR="009C38BB" w:rsidRPr="009C38BB" w:rsidRDefault="009C38BB" w:rsidP="009C38BB">
            <w:pPr>
              <w:spacing w:after="0"/>
              <w:ind w:firstLine="0"/>
              <w:jc w:val="right"/>
              <w:rPr>
                <w:rFonts w:ascii="Arial" w:hAnsi="Arial" w:cs="Arial"/>
                <w:color w:val="000000"/>
                <w:sz w:val="18"/>
                <w:szCs w:val="18"/>
                <w:lang w:val="es-ES" w:eastAsia="es-ES"/>
              </w:rPr>
            </w:pPr>
            <w:r w:rsidRPr="009C38BB">
              <w:rPr>
                <w:rFonts w:ascii="Arial" w:hAnsi="Arial" w:cs="Arial"/>
                <w:color w:val="000000"/>
                <w:sz w:val="18"/>
                <w:szCs w:val="18"/>
                <w:lang w:val="es-ES" w:eastAsia="es-ES"/>
              </w:rPr>
              <w:t>ORN 2018</w:t>
            </w:r>
          </w:p>
        </w:tc>
        <w:tc>
          <w:tcPr>
            <w:tcW w:w="648" w:type="pct"/>
            <w:tcBorders>
              <w:top w:val="single" w:sz="4" w:space="0" w:color="auto"/>
              <w:left w:val="nil"/>
              <w:bottom w:val="single" w:sz="4" w:space="0" w:color="auto"/>
              <w:right w:val="nil"/>
            </w:tcBorders>
            <w:shd w:val="clear" w:color="000000" w:fill="FABF8F"/>
            <w:vAlign w:val="center"/>
            <w:hideMark/>
          </w:tcPr>
          <w:p w:rsidR="009C38BB" w:rsidRPr="009C38BB" w:rsidRDefault="009C38BB" w:rsidP="009C38BB">
            <w:pPr>
              <w:spacing w:after="0"/>
              <w:ind w:firstLine="0"/>
              <w:jc w:val="right"/>
              <w:rPr>
                <w:rFonts w:ascii="Arial" w:hAnsi="Arial" w:cs="Arial"/>
                <w:color w:val="000000"/>
                <w:sz w:val="18"/>
                <w:szCs w:val="18"/>
                <w:lang w:val="es-ES" w:eastAsia="es-ES"/>
              </w:rPr>
            </w:pPr>
            <w:r w:rsidRPr="009C38BB">
              <w:rPr>
                <w:rFonts w:ascii="Arial" w:hAnsi="Arial" w:cs="Arial"/>
                <w:color w:val="000000"/>
                <w:sz w:val="18"/>
                <w:szCs w:val="18"/>
                <w:lang w:val="es-ES" w:eastAsia="es-ES"/>
              </w:rPr>
              <w:t>ORN 2019</w:t>
            </w:r>
          </w:p>
        </w:tc>
        <w:tc>
          <w:tcPr>
            <w:tcW w:w="644" w:type="pct"/>
            <w:tcBorders>
              <w:top w:val="single" w:sz="4" w:space="0" w:color="auto"/>
              <w:left w:val="nil"/>
              <w:bottom w:val="single" w:sz="4" w:space="0" w:color="auto"/>
              <w:right w:val="nil"/>
            </w:tcBorders>
            <w:shd w:val="clear" w:color="000000" w:fill="FABF8F"/>
            <w:vAlign w:val="center"/>
            <w:hideMark/>
          </w:tcPr>
          <w:p w:rsidR="009C38BB" w:rsidRPr="009C38BB" w:rsidRDefault="00B65F4E" w:rsidP="009C38BB">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 Variación 2019/</w:t>
            </w:r>
            <w:r w:rsidR="009C38BB" w:rsidRPr="009C38BB">
              <w:rPr>
                <w:rFonts w:ascii="Arial" w:hAnsi="Arial" w:cs="Arial"/>
                <w:color w:val="000000"/>
                <w:sz w:val="18"/>
                <w:szCs w:val="18"/>
                <w:lang w:val="es-ES" w:eastAsia="es-ES"/>
              </w:rPr>
              <w:t>2018</w:t>
            </w:r>
          </w:p>
        </w:tc>
      </w:tr>
      <w:tr w:rsidR="009C38BB" w:rsidRPr="009C38BB" w:rsidTr="00D56C93">
        <w:trPr>
          <w:trHeight w:val="227"/>
        </w:trPr>
        <w:tc>
          <w:tcPr>
            <w:tcW w:w="3037" w:type="pct"/>
            <w:tcBorders>
              <w:top w:val="single" w:sz="4" w:space="0" w:color="auto"/>
              <w:left w:val="nil"/>
              <w:bottom w:val="single" w:sz="2" w:space="0" w:color="auto"/>
              <w:right w:val="nil"/>
            </w:tcBorders>
            <w:shd w:val="clear" w:color="auto" w:fill="auto"/>
            <w:noWrap/>
            <w:vAlign w:val="center"/>
            <w:hideMark/>
          </w:tcPr>
          <w:p w:rsidR="009C38BB" w:rsidRPr="00D56C93" w:rsidRDefault="009C38BB" w:rsidP="009C38BB">
            <w:pPr>
              <w:spacing w:after="0"/>
              <w:ind w:firstLine="0"/>
              <w:jc w:val="left"/>
              <w:rPr>
                <w:rFonts w:ascii="Arial Narrow" w:hAnsi="Arial Narrow"/>
                <w:color w:val="000000"/>
                <w:lang w:val="es-ES" w:eastAsia="es-ES"/>
              </w:rPr>
            </w:pPr>
            <w:r w:rsidRPr="00D56C93">
              <w:rPr>
                <w:rFonts w:ascii="Arial Narrow" w:hAnsi="Arial Narrow"/>
                <w:color w:val="000000"/>
                <w:lang w:val="es-ES" w:eastAsia="es-ES"/>
              </w:rPr>
              <w:t>Arrendamientos de inmovilizado material</w:t>
            </w:r>
          </w:p>
        </w:tc>
        <w:tc>
          <w:tcPr>
            <w:tcW w:w="671" w:type="pct"/>
            <w:tcBorders>
              <w:top w:val="single" w:sz="4" w:space="0" w:color="auto"/>
              <w:left w:val="nil"/>
              <w:bottom w:val="single" w:sz="2" w:space="0" w:color="auto"/>
              <w:right w:val="nil"/>
            </w:tcBorders>
            <w:shd w:val="clear" w:color="auto" w:fill="auto"/>
            <w:vAlign w:val="center"/>
            <w:hideMark/>
          </w:tcPr>
          <w:p w:rsidR="009C38BB" w:rsidRPr="00D56C93" w:rsidRDefault="009C38BB" w:rsidP="009C38BB">
            <w:pPr>
              <w:spacing w:after="0"/>
              <w:ind w:firstLine="0"/>
              <w:jc w:val="right"/>
              <w:rPr>
                <w:rFonts w:ascii="Arial Narrow" w:hAnsi="Arial Narrow"/>
                <w:color w:val="000000"/>
                <w:lang w:val="es-ES" w:eastAsia="es-ES"/>
              </w:rPr>
            </w:pPr>
            <w:r w:rsidRPr="00D56C93">
              <w:rPr>
                <w:rFonts w:ascii="Arial Narrow" w:hAnsi="Arial Narrow"/>
                <w:color w:val="000000"/>
                <w:lang w:val="es-ES" w:eastAsia="es-ES"/>
              </w:rPr>
              <w:t>20.539</w:t>
            </w:r>
          </w:p>
        </w:tc>
        <w:tc>
          <w:tcPr>
            <w:tcW w:w="648" w:type="pct"/>
            <w:tcBorders>
              <w:top w:val="single" w:sz="4" w:space="0" w:color="auto"/>
              <w:left w:val="nil"/>
              <w:bottom w:val="single" w:sz="2" w:space="0" w:color="auto"/>
              <w:right w:val="nil"/>
            </w:tcBorders>
            <w:shd w:val="clear" w:color="auto" w:fill="auto"/>
            <w:vAlign w:val="center"/>
            <w:hideMark/>
          </w:tcPr>
          <w:p w:rsidR="009C38BB" w:rsidRPr="00D56C93" w:rsidRDefault="009C38BB" w:rsidP="009C38BB">
            <w:pPr>
              <w:spacing w:after="0"/>
              <w:ind w:firstLine="0"/>
              <w:jc w:val="right"/>
              <w:rPr>
                <w:rFonts w:ascii="Arial Narrow" w:hAnsi="Arial Narrow"/>
                <w:color w:val="000000"/>
                <w:lang w:val="es-ES" w:eastAsia="es-ES"/>
              </w:rPr>
            </w:pPr>
            <w:r w:rsidRPr="00D56C93">
              <w:rPr>
                <w:rFonts w:ascii="Arial Narrow" w:hAnsi="Arial Narrow"/>
                <w:color w:val="000000"/>
                <w:lang w:val="es-ES" w:eastAsia="es-ES"/>
              </w:rPr>
              <w:t>12.931</w:t>
            </w:r>
          </w:p>
        </w:tc>
        <w:tc>
          <w:tcPr>
            <w:tcW w:w="644" w:type="pct"/>
            <w:tcBorders>
              <w:top w:val="single" w:sz="4" w:space="0" w:color="auto"/>
              <w:left w:val="nil"/>
              <w:bottom w:val="single" w:sz="2" w:space="0" w:color="auto"/>
              <w:right w:val="nil"/>
            </w:tcBorders>
            <w:shd w:val="clear" w:color="auto" w:fill="auto"/>
            <w:vAlign w:val="center"/>
            <w:hideMark/>
          </w:tcPr>
          <w:p w:rsidR="009C38BB" w:rsidRPr="00D56C93" w:rsidRDefault="009C38BB" w:rsidP="009C38BB">
            <w:pPr>
              <w:spacing w:after="0"/>
              <w:ind w:firstLine="0"/>
              <w:jc w:val="right"/>
              <w:rPr>
                <w:rFonts w:ascii="Arial Narrow" w:hAnsi="Arial Narrow"/>
                <w:color w:val="000000"/>
                <w:lang w:val="es-ES" w:eastAsia="es-ES"/>
              </w:rPr>
            </w:pPr>
            <w:r w:rsidRPr="00D56C93">
              <w:rPr>
                <w:rFonts w:ascii="Arial Narrow" w:hAnsi="Arial Narrow"/>
                <w:color w:val="000000"/>
                <w:lang w:val="es-ES" w:eastAsia="es-ES"/>
              </w:rPr>
              <w:t>-37</w:t>
            </w:r>
          </w:p>
        </w:tc>
      </w:tr>
      <w:tr w:rsidR="009C38BB" w:rsidRPr="009C38BB" w:rsidTr="00D56C93">
        <w:trPr>
          <w:trHeight w:val="227"/>
        </w:trPr>
        <w:tc>
          <w:tcPr>
            <w:tcW w:w="3037" w:type="pct"/>
            <w:tcBorders>
              <w:top w:val="single" w:sz="2" w:space="0" w:color="auto"/>
              <w:left w:val="nil"/>
              <w:bottom w:val="single" w:sz="2" w:space="0" w:color="auto"/>
              <w:right w:val="nil"/>
            </w:tcBorders>
            <w:shd w:val="clear" w:color="auto" w:fill="auto"/>
            <w:noWrap/>
            <w:vAlign w:val="center"/>
            <w:hideMark/>
          </w:tcPr>
          <w:p w:rsidR="009C38BB" w:rsidRPr="00D56C93" w:rsidRDefault="009C38BB" w:rsidP="00B3358E">
            <w:pPr>
              <w:spacing w:after="0"/>
              <w:ind w:firstLine="0"/>
              <w:jc w:val="left"/>
              <w:rPr>
                <w:rFonts w:ascii="Arial Narrow" w:hAnsi="Arial Narrow"/>
                <w:color w:val="000000"/>
                <w:lang w:val="es-ES" w:eastAsia="es-ES"/>
              </w:rPr>
            </w:pPr>
            <w:r w:rsidRPr="00D56C93">
              <w:rPr>
                <w:rFonts w:ascii="Arial Narrow" w:hAnsi="Arial Narrow"/>
                <w:color w:val="000000"/>
                <w:lang w:val="es-ES" w:eastAsia="es-ES"/>
              </w:rPr>
              <w:t xml:space="preserve">Reparación, conservación y mantenimiento </w:t>
            </w:r>
            <w:proofErr w:type="spellStart"/>
            <w:r w:rsidRPr="00D56C93">
              <w:rPr>
                <w:rFonts w:ascii="Arial Narrow" w:hAnsi="Arial Narrow"/>
                <w:color w:val="000000"/>
                <w:lang w:val="es-ES" w:eastAsia="es-ES"/>
              </w:rPr>
              <w:t>inm.mat</w:t>
            </w:r>
            <w:r w:rsidR="00B3358E" w:rsidRPr="00D56C93">
              <w:rPr>
                <w:rFonts w:ascii="Arial Narrow" w:hAnsi="Arial Narrow"/>
                <w:color w:val="000000"/>
                <w:lang w:val="es-ES" w:eastAsia="es-ES"/>
              </w:rPr>
              <w:t>erial</w:t>
            </w:r>
            <w:proofErr w:type="spellEnd"/>
          </w:p>
        </w:tc>
        <w:tc>
          <w:tcPr>
            <w:tcW w:w="671" w:type="pct"/>
            <w:tcBorders>
              <w:top w:val="single" w:sz="2" w:space="0" w:color="auto"/>
              <w:left w:val="nil"/>
              <w:bottom w:val="single" w:sz="2" w:space="0" w:color="auto"/>
              <w:right w:val="nil"/>
            </w:tcBorders>
            <w:shd w:val="clear" w:color="auto" w:fill="auto"/>
            <w:vAlign w:val="center"/>
            <w:hideMark/>
          </w:tcPr>
          <w:p w:rsidR="009C38BB" w:rsidRPr="00D56C93" w:rsidRDefault="009C38BB" w:rsidP="009C38BB">
            <w:pPr>
              <w:spacing w:after="0"/>
              <w:ind w:firstLine="0"/>
              <w:jc w:val="right"/>
              <w:rPr>
                <w:rFonts w:ascii="Arial Narrow" w:hAnsi="Arial Narrow"/>
                <w:color w:val="000000"/>
                <w:lang w:val="es-ES" w:eastAsia="es-ES"/>
              </w:rPr>
            </w:pPr>
            <w:r w:rsidRPr="00D56C93">
              <w:rPr>
                <w:rFonts w:ascii="Arial Narrow" w:hAnsi="Arial Narrow"/>
                <w:color w:val="000000"/>
                <w:lang w:val="es-ES" w:eastAsia="es-ES"/>
              </w:rPr>
              <w:t>364.867</w:t>
            </w:r>
          </w:p>
        </w:tc>
        <w:tc>
          <w:tcPr>
            <w:tcW w:w="648" w:type="pct"/>
            <w:tcBorders>
              <w:top w:val="single" w:sz="2" w:space="0" w:color="auto"/>
              <w:left w:val="nil"/>
              <w:bottom w:val="single" w:sz="2" w:space="0" w:color="auto"/>
              <w:right w:val="nil"/>
            </w:tcBorders>
            <w:shd w:val="clear" w:color="auto" w:fill="auto"/>
            <w:noWrap/>
            <w:vAlign w:val="center"/>
            <w:hideMark/>
          </w:tcPr>
          <w:p w:rsidR="009C38BB" w:rsidRPr="00D56C93" w:rsidRDefault="009C38BB" w:rsidP="009C38BB">
            <w:pPr>
              <w:spacing w:after="0"/>
              <w:ind w:firstLine="0"/>
              <w:jc w:val="right"/>
              <w:rPr>
                <w:rFonts w:ascii="Arial Narrow" w:hAnsi="Arial Narrow"/>
                <w:color w:val="000000"/>
                <w:lang w:val="es-ES" w:eastAsia="es-ES"/>
              </w:rPr>
            </w:pPr>
            <w:r w:rsidRPr="00D56C93">
              <w:rPr>
                <w:rFonts w:ascii="Arial Narrow" w:hAnsi="Arial Narrow"/>
                <w:color w:val="000000"/>
                <w:lang w:val="es-ES" w:eastAsia="es-ES"/>
              </w:rPr>
              <w:t>332.550</w:t>
            </w:r>
          </w:p>
        </w:tc>
        <w:tc>
          <w:tcPr>
            <w:tcW w:w="644" w:type="pct"/>
            <w:tcBorders>
              <w:top w:val="single" w:sz="2" w:space="0" w:color="auto"/>
              <w:left w:val="nil"/>
              <w:bottom w:val="single" w:sz="2" w:space="0" w:color="auto"/>
              <w:right w:val="nil"/>
            </w:tcBorders>
            <w:shd w:val="clear" w:color="auto" w:fill="auto"/>
            <w:vAlign w:val="center"/>
            <w:hideMark/>
          </w:tcPr>
          <w:p w:rsidR="009C38BB" w:rsidRPr="00D56C93" w:rsidRDefault="009C38BB" w:rsidP="009C38BB">
            <w:pPr>
              <w:spacing w:after="0"/>
              <w:ind w:firstLine="0"/>
              <w:jc w:val="right"/>
              <w:rPr>
                <w:rFonts w:ascii="Arial Narrow" w:hAnsi="Arial Narrow"/>
                <w:color w:val="000000"/>
                <w:lang w:val="es-ES" w:eastAsia="es-ES"/>
              </w:rPr>
            </w:pPr>
            <w:r w:rsidRPr="00D56C93">
              <w:rPr>
                <w:rFonts w:ascii="Arial Narrow" w:hAnsi="Arial Narrow"/>
                <w:color w:val="000000"/>
                <w:lang w:val="es-ES" w:eastAsia="es-ES"/>
              </w:rPr>
              <w:t>-9</w:t>
            </w:r>
          </w:p>
        </w:tc>
      </w:tr>
      <w:tr w:rsidR="009C38BB" w:rsidRPr="009C38BB" w:rsidTr="00D56C93">
        <w:trPr>
          <w:trHeight w:val="227"/>
        </w:trPr>
        <w:tc>
          <w:tcPr>
            <w:tcW w:w="3037" w:type="pct"/>
            <w:tcBorders>
              <w:top w:val="single" w:sz="2" w:space="0" w:color="auto"/>
              <w:left w:val="nil"/>
              <w:bottom w:val="single" w:sz="2" w:space="0" w:color="auto"/>
              <w:right w:val="nil"/>
            </w:tcBorders>
            <w:shd w:val="clear" w:color="auto" w:fill="auto"/>
            <w:noWrap/>
            <w:vAlign w:val="center"/>
            <w:hideMark/>
          </w:tcPr>
          <w:p w:rsidR="009C38BB" w:rsidRPr="00D56C93" w:rsidRDefault="009C38BB" w:rsidP="009C38BB">
            <w:pPr>
              <w:spacing w:after="0"/>
              <w:ind w:firstLine="0"/>
              <w:jc w:val="left"/>
              <w:rPr>
                <w:rFonts w:ascii="Arial Narrow" w:hAnsi="Arial Narrow"/>
                <w:color w:val="000000"/>
                <w:lang w:val="es-ES" w:eastAsia="es-ES"/>
              </w:rPr>
            </w:pPr>
            <w:r w:rsidRPr="00D56C93">
              <w:rPr>
                <w:rFonts w:ascii="Arial Narrow" w:hAnsi="Arial Narrow"/>
                <w:color w:val="000000"/>
                <w:lang w:val="es-ES" w:eastAsia="es-ES"/>
              </w:rPr>
              <w:t xml:space="preserve">Material no </w:t>
            </w:r>
            <w:proofErr w:type="spellStart"/>
            <w:r w:rsidRPr="00D56C93">
              <w:rPr>
                <w:rFonts w:ascii="Arial Narrow" w:hAnsi="Arial Narrow"/>
                <w:color w:val="000000"/>
                <w:lang w:val="es-ES" w:eastAsia="es-ES"/>
              </w:rPr>
              <w:t>inventariable</w:t>
            </w:r>
            <w:proofErr w:type="spellEnd"/>
          </w:p>
        </w:tc>
        <w:tc>
          <w:tcPr>
            <w:tcW w:w="671" w:type="pct"/>
            <w:tcBorders>
              <w:top w:val="single" w:sz="2" w:space="0" w:color="auto"/>
              <w:left w:val="nil"/>
              <w:bottom w:val="single" w:sz="2" w:space="0" w:color="auto"/>
              <w:right w:val="nil"/>
            </w:tcBorders>
            <w:shd w:val="clear" w:color="auto" w:fill="auto"/>
            <w:vAlign w:val="center"/>
            <w:hideMark/>
          </w:tcPr>
          <w:p w:rsidR="009C38BB" w:rsidRPr="00D56C93" w:rsidRDefault="009C38BB" w:rsidP="009C38BB">
            <w:pPr>
              <w:spacing w:after="0"/>
              <w:ind w:firstLine="0"/>
              <w:jc w:val="right"/>
              <w:rPr>
                <w:rFonts w:ascii="Arial Narrow" w:hAnsi="Arial Narrow"/>
                <w:color w:val="000000"/>
                <w:lang w:val="es-ES" w:eastAsia="es-ES"/>
              </w:rPr>
            </w:pPr>
            <w:r w:rsidRPr="00D56C93">
              <w:rPr>
                <w:rFonts w:ascii="Arial Narrow" w:hAnsi="Arial Narrow"/>
                <w:color w:val="000000"/>
                <w:lang w:val="es-ES" w:eastAsia="es-ES"/>
              </w:rPr>
              <w:t>33.802</w:t>
            </w:r>
          </w:p>
        </w:tc>
        <w:tc>
          <w:tcPr>
            <w:tcW w:w="648" w:type="pct"/>
            <w:tcBorders>
              <w:top w:val="single" w:sz="2" w:space="0" w:color="auto"/>
              <w:left w:val="nil"/>
              <w:bottom w:val="single" w:sz="2" w:space="0" w:color="auto"/>
              <w:right w:val="nil"/>
            </w:tcBorders>
            <w:shd w:val="clear" w:color="auto" w:fill="auto"/>
            <w:noWrap/>
            <w:vAlign w:val="center"/>
            <w:hideMark/>
          </w:tcPr>
          <w:p w:rsidR="009C38BB" w:rsidRPr="00D56C93" w:rsidRDefault="009C38BB" w:rsidP="009C38BB">
            <w:pPr>
              <w:spacing w:after="0"/>
              <w:ind w:firstLine="0"/>
              <w:jc w:val="right"/>
              <w:rPr>
                <w:rFonts w:ascii="Arial Narrow" w:hAnsi="Arial Narrow"/>
                <w:color w:val="000000"/>
                <w:lang w:val="es-ES" w:eastAsia="es-ES"/>
              </w:rPr>
            </w:pPr>
            <w:r w:rsidRPr="00D56C93">
              <w:rPr>
                <w:rFonts w:ascii="Arial Narrow" w:hAnsi="Arial Narrow"/>
                <w:color w:val="000000"/>
                <w:lang w:val="es-ES" w:eastAsia="es-ES"/>
              </w:rPr>
              <w:t>41.007</w:t>
            </w:r>
          </w:p>
        </w:tc>
        <w:tc>
          <w:tcPr>
            <w:tcW w:w="644" w:type="pct"/>
            <w:tcBorders>
              <w:top w:val="single" w:sz="2" w:space="0" w:color="auto"/>
              <w:left w:val="nil"/>
              <w:bottom w:val="single" w:sz="2" w:space="0" w:color="auto"/>
              <w:right w:val="nil"/>
            </w:tcBorders>
            <w:shd w:val="clear" w:color="auto" w:fill="auto"/>
            <w:vAlign w:val="center"/>
            <w:hideMark/>
          </w:tcPr>
          <w:p w:rsidR="009C38BB" w:rsidRPr="00D56C93" w:rsidRDefault="009C38BB" w:rsidP="009C38BB">
            <w:pPr>
              <w:spacing w:after="0"/>
              <w:ind w:firstLine="0"/>
              <w:jc w:val="right"/>
              <w:rPr>
                <w:rFonts w:ascii="Arial Narrow" w:hAnsi="Arial Narrow"/>
                <w:color w:val="000000"/>
                <w:lang w:val="es-ES" w:eastAsia="es-ES"/>
              </w:rPr>
            </w:pPr>
            <w:r w:rsidRPr="00D56C93">
              <w:rPr>
                <w:rFonts w:ascii="Arial Narrow" w:hAnsi="Arial Narrow"/>
                <w:color w:val="000000"/>
                <w:lang w:val="es-ES" w:eastAsia="es-ES"/>
              </w:rPr>
              <w:t>21</w:t>
            </w:r>
          </w:p>
        </w:tc>
      </w:tr>
      <w:tr w:rsidR="009C38BB" w:rsidRPr="009C38BB" w:rsidTr="00D56C93">
        <w:trPr>
          <w:trHeight w:val="227"/>
        </w:trPr>
        <w:tc>
          <w:tcPr>
            <w:tcW w:w="3037" w:type="pct"/>
            <w:tcBorders>
              <w:top w:val="single" w:sz="2" w:space="0" w:color="auto"/>
              <w:left w:val="nil"/>
              <w:bottom w:val="single" w:sz="2" w:space="0" w:color="auto"/>
              <w:right w:val="nil"/>
            </w:tcBorders>
            <w:shd w:val="clear" w:color="auto" w:fill="auto"/>
            <w:noWrap/>
            <w:vAlign w:val="center"/>
            <w:hideMark/>
          </w:tcPr>
          <w:p w:rsidR="009C38BB" w:rsidRPr="00D56C93" w:rsidRDefault="009C38BB" w:rsidP="009C38BB">
            <w:pPr>
              <w:spacing w:after="0"/>
              <w:ind w:firstLine="0"/>
              <w:jc w:val="left"/>
              <w:rPr>
                <w:rFonts w:ascii="Arial Narrow" w:hAnsi="Arial Narrow"/>
                <w:color w:val="000000"/>
                <w:lang w:val="es-ES" w:eastAsia="es-ES"/>
              </w:rPr>
            </w:pPr>
            <w:r w:rsidRPr="00D56C93">
              <w:rPr>
                <w:rFonts w:ascii="Arial Narrow" w:hAnsi="Arial Narrow"/>
                <w:color w:val="000000"/>
                <w:lang w:val="es-ES" w:eastAsia="es-ES"/>
              </w:rPr>
              <w:t>Suministros y telecomunicaciones</w:t>
            </w:r>
          </w:p>
        </w:tc>
        <w:tc>
          <w:tcPr>
            <w:tcW w:w="671" w:type="pct"/>
            <w:tcBorders>
              <w:top w:val="single" w:sz="2" w:space="0" w:color="auto"/>
              <w:left w:val="nil"/>
              <w:bottom w:val="single" w:sz="2" w:space="0" w:color="auto"/>
              <w:right w:val="nil"/>
            </w:tcBorders>
            <w:shd w:val="clear" w:color="auto" w:fill="auto"/>
            <w:vAlign w:val="center"/>
            <w:hideMark/>
          </w:tcPr>
          <w:p w:rsidR="009C38BB" w:rsidRPr="00D56C93" w:rsidRDefault="009C38BB" w:rsidP="009C38BB">
            <w:pPr>
              <w:spacing w:after="0"/>
              <w:ind w:firstLine="0"/>
              <w:jc w:val="right"/>
              <w:rPr>
                <w:rFonts w:ascii="Arial Narrow" w:hAnsi="Arial Narrow"/>
                <w:color w:val="000000"/>
                <w:lang w:val="es-ES" w:eastAsia="es-ES"/>
              </w:rPr>
            </w:pPr>
            <w:r w:rsidRPr="00D56C93">
              <w:rPr>
                <w:rFonts w:ascii="Arial Narrow" w:hAnsi="Arial Narrow"/>
                <w:color w:val="000000"/>
                <w:lang w:val="es-ES" w:eastAsia="es-ES"/>
              </w:rPr>
              <w:t>835.029</w:t>
            </w:r>
          </w:p>
        </w:tc>
        <w:tc>
          <w:tcPr>
            <w:tcW w:w="648" w:type="pct"/>
            <w:tcBorders>
              <w:top w:val="single" w:sz="2" w:space="0" w:color="auto"/>
              <w:left w:val="nil"/>
              <w:bottom w:val="single" w:sz="2" w:space="0" w:color="auto"/>
              <w:right w:val="nil"/>
            </w:tcBorders>
            <w:shd w:val="clear" w:color="auto" w:fill="auto"/>
            <w:noWrap/>
            <w:vAlign w:val="center"/>
            <w:hideMark/>
          </w:tcPr>
          <w:p w:rsidR="009C38BB" w:rsidRPr="00D56C93" w:rsidRDefault="009C38BB" w:rsidP="009C38BB">
            <w:pPr>
              <w:spacing w:after="0"/>
              <w:ind w:firstLine="0"/>
              <w:jc w:val="right"/>
              <w:rPr>
                <w:rFonts w:ascii="Arial Narrow" w:hAnsi="Arial Narrow"/>
                <w:color w:val="000000"/>
                <w:lang w:val="es-ES" w:eastAsia="es-ES"/>
              </w:rPr>
            </w:pPr>
            <w:r w:rsidRPr="00D56C93">
              <w:rPr>
                <w:rFonts w:ascii="Arial Narrow" w:hAnsi="Arial Narrow"/>
                <w:color w:val="000000"/>
                <w:lang w:val="es-ES" w:eastAsia="es-ES"/>
              </w:rPr>
              <w:t>965.423</w:t>
            </w:r>
          </w:p>
        </w:tc>
        <w:tc>
          <w:tcPr>
            <w:tcW w:w="644" w:type="pct"/>
            <w:tcBorders>
              <w:top w:val="single" w:sz="2" w:space="0" w:color="auto"/>
              <w:left w:val="nil"/>
              <w:bottom w:val="single" w:sz="2" w:space="0" w:color="auto"/>
              <w:right w:val="nil"/>
            </w:tcBorders>
            <w:shd w:val="clear" w:color="auto" w:fill="auto"/>
            <w:vAlign w:val="center"/>
            <w:hideMark/>
          </w:tcPr>
          <w:p w:rsidR="009C38BB" w:rsidRPr="00D56C93" w:rsidRDefault="009C38BB" w:rsidP="009C38BB">
            <w:pPr>
              <w:spacing w:after="0"/>
              <w:ind w:firstLine="0"/>
              <w:jc w:val="right"/>
              <w:rPr>
                <w:rFonts w:ascii="Arial Narrow" w:hAnsi="Arial Narrow"/>
                <w:color w:val="000000"/>
                <w:lang w:val="es-ES" w:eastAsia="es-ES"/>
              </w:rPr>
            </w:pPr>
            <w:r w:rsidRPr="00D56C93">
              <w:rPr>
                <w:rFonts w:ascii="Arial Narrow" w:hAnsi="Arial Narrow"/>
                <w:color w:val="000000"/>
                <w:lang w:val="es-ES" w:eastAsia="es-ES"/>
              </w:rPr>
              <w:t>16</w:t>
            </w:r>
          </w:p>
        </w:tc>
      </w:tr>
      <w:tr w:rsidR="009C38BB" w:rsidRPr="009C38BB" w:rsidTr="00D56C93">
        <w:trPr>
          <w:trHeight w:val="227"/>
        </w:trPr>
        <w:tc>
          <w:tcPr>
            <w:tcW w:w="3037" w:type="pct"/>
            <w:tcBorders>
              <w:top w:val="single" w:sz="2" w:space="0" w:color="auto"/>
              <w:left w:val="nil"/>
              <w:bottom w:val="single" w:sz="2" w:space="0" w:color="auto"/>
              <w:right w:val="nil"/>
            </w:tcBorders>
            <w:shd w:val="clear" w:color="auto" w:fill="auto"/>
            <w:noWrap/>
            <w:vAlign w:val="center"/>
            <w:hideMark/>
          </w:tcPr>
          <w:p w:rsidR="009C38BB" w:rsidRPr="00D56C93" w:rsidRDefault="009C38BB" w:rsidP="009C38BB">
            <w:pPr>
              <w:spacing w:after="0"/>
              <w:ind w:firstLine="0"/>
              <w:jc w:val="left"/>
              <w:rPr>
                <w:rFonts w:ascii="Arial Narrow" w:hAnsi="Arial Narrow"/>
                <w:color w:val="000000"/>
                <w:lang w:val="es-ES" w:eastAsia="es-ES"/>
              </w:rPr>
            </w:pPr>
            <w:r w:rsidRPr="00D56C93">
              <w:rPr>
                <w:rFonts w:ascii="Arial Narrow" w:hAnsi="Arial Narrow"/>
                <w:color w:val="000000"/>
                <w:lang w:val="es-ES" w:eastAsia="es-ES"/>
              </w:rPr>
              <w:t>Primas de seguros y tributos</w:t>
            </w:r>
          </w:p>
        </w:tc>
        <w:tc>
          <w:tcPr>
            <w:tcW w:w="671" w:type="pct"/>
            <w:tcBorders>
              <w:top w:val="single" w:sz="2" w:space="0" w:color="auto"/>
              <w:left w:val="nil"/>
              <w:bottom w:val="single" w:sz="2" w:space="0" w:color="auto"/>
              <w:right w:val="nil"/>
            </w:tcBorders>
            <w:shd w:val="clear" w:color="auto" w:fill="auto"/>
            <w:vAlign w:val="center"/>
            <w:hideMark/>
          </w:tcPr>
          <w:p w:rsidR="009C38BB" w:rsidRPr="00D56C93" w:rsidRDefault="009C38BB" w:rsidP="009C38BB">
            <w:pPr>
              <w:spacing w:after="0"/>
              <w:ind w:firstLine="0"/>
              <w:jc w:val="right"/>
              <w:rPr>
                <w:rFonts w:ascii="Arial Narrow" w:hAnsi="Arial Narrow"/>
                <w:color w:val="000000"/>
                <w:lang w:val="es-ES" w:eastAsia="es-ES"/>
              </w:rPr>
            </w:pPr>
            <w:r w:rsidRPr="00D56C93">
              <w:rPr>
                <w:rFonts w:ascii="Arial Narrow" w:hAnsi="Arial Narrow"/>
                <w:color w:val="000000"/>
                <w:lang w:val="es-ES" w:eastAsia="es-ES"/>
              </w:rPr>
              <w:t>24.619</w:t>
            </w:r>
          </w:p>
        </w:tc>
        <w:tc>
          <w:tcPr>
            <w:tcW w:w="648" w:type="pct"/>
            <w:tcBorders>
              <w:top w:val="single" w:sz="2" w:space="0" w:color="auto"/>
              <w:left w:val="nil"/>
              <w:bottom w:val="single" w:sz="2" w:space="0" w:color="auto"/>
              <w:right w:val="nil"/>
            </w:tcBorders>
            <w:shd w:val="clear" w:color="auto" w:fill="auto"/>
            <w:noWrap/>
            <w:vAlign w:val="center"/>
            <w:hideMark/>
          </w:tcPr>
          <w:p w:rsidR="009C38BB" w:rsidRPr="00D56C93" w:rsidRDefault="009C38BB" w:rsidP="009C38BB">
            <w:pPr>
              <w:spacing w:after="0"/>
              <w:ind w:firstLine="0"/>
              <w:jc w:val="right"/>
              <w:rPr>
                <w:rFonts w:ascii="Arial Narrow" w:hAnsi="Arial Narrow"/>
                <w:color w:val="000000"/>
                <w:lang w:val="es-ES" w:eastAsia="es-ES"/>
              </w:rPr>
            </w:pPr>
            <w:r w:rsidRPr="00D56C93">
              <w:rPr>
                <w:rFonts w:ascii="Arial Narrow" w:hAnsi="Arial Narrow"/>
                <w:color w:val="000000"/>
                <w:lang w:val="es-ES" w:eastAsia="es-ES"/>
              </w:rPr>
              <w:t>25.637</w:t>
            </w:r>
          </w:p>
        </w:tc>
        <w:tc>
          <w:tcPr>
            <w:tcW w:w="644" w:type="pct"/>
            <w:tcBorders>
              <w:top w:val="single" w:sz="2" w:space="0" w:color="auto"/>
              <w:left w:val="nil"/>
              <w:bottom w:val="single" w:sz="2" w:space="0" w:color="auto"/>
              <w:right w:val="nil"/>
            </w:tcBorders>
            <w:shd w:val="clear" w:color="auto" w:fill="auto"/>
            <w:vAlign w:val="center"/>
            <w:hideMark/>
          </w:tcPr>
          <w:p w:rsidR="009C38BB" w:rsidRPr="00D56C93" w:rsidRDefault="009C38BB" w:rsidP="009C38BB">
            <w:pPr>
              <w:spacing w:after="0"/>
              <w:ind w:firstLine="0"/>
              <w:jc w:val="right"/>
              <w:rPr>
                <w:rFonts w:ascii="Arial Narrow" w:hAnsi="Arial Narrow"/>
                <w:color w:val="000000"/>
                <w:lang w:val="es-ES" w:eastAsia="es-ES"/>
              </w:rPr>
            </w:pPr>
            <w:r w:rsidRPr="00D56C93">
              <w:rPr>
                <w:rFonts w:ascii="Arial Narrow" w:hAnsi="Arial Narrow"/>
                <w:color w:val="000000"/>
                <w:lang w:val="es-ES" w:eastAsia="es-ES"/>
              </w:rPr>
              <w:t>4</w:t>
            </w:r>
          </w:p>
        </w:tc>
      </w:tr>
      <w:tr w:rsidR="009C38BB" w:rsidRPr="009C38BB" w:rsidTr="00D56C93">
        <w:trPr>
          <w:trHeight w:val="227"/>
        </w:trPr>
        <w:tc>
          <w:tcPr>
            <w:tcW w:w="3037" w:type="pct"/>
            <w:tcBorders>
              <w:top w:val="single" w:sz="2" w:space="0" w:color="auto"/>
              <w:left w:val="nil"/>
              <w:bottom w:val="single" w:sz="2" w:space="0" w:color="auto"/>
              <w:right w:val="nil"/>
            </w:tcBorders>
            <w:shd w:val="clear" w:color="auto" w:fill="auto"/>
            <w:noWrap/>
            <w:vAlign w:val="center"/>
            <w:hideMark/>
          </w:tcPr>
          <w:p w:rsidR="009C38BB" w:rsidRPr="00D56C93" w:rsidRDefault="009C38BB" w:rsidP="009C38BB">
            <w:pPr>
              <w:spacing w:after="0"/>
              <w:ind w:firstLine="0"/>
              <w:jc w:val="left"/>
              <w:rPr>
                <w:rFonts w:ascii="Arial Narrow" w:hAnsi="Arial Narrow"/>
                <w:color w:val="000000"/>
                <w:lang w:val="es-ES" w:eastAsia="es-ES"/>
              </w:rPr>
            </w:pPr>
            <w:r w:rsidRPr="00D56C93">
              <w:rPr>
                <w:rFonts w:ascii="Arial Narrow" w:hAnsi="Arial Narrow"/>
                <w:color w:val="000000"/>
                <w:lang w:val="es-ES" w:eastAsia="es-ES"/>
              </w:rPr>
              <w:t>Atenciones protocolarias y representativas</w:t>
            </w:r>
          </w:p>
        </w:tc>
        <w:tc>
          <w:tcPr>
            <w:tcW w:w="671" w:type="pct"/>
            <w:tcBorders>
              <w:top w:val="single" w:sz="2" w:space="0" w:color="auto"/>
              <w:left w:val="nil"/>
              <w:bottom w:val="single" w:sz="2" w:space="0" w:color="auto"/>
              <w:right w:val="nil"/>
            </w:tcBorders>
            <w:shd w:val="clear" w:color="auto" w:fill="auto"/>
            <w:vAlign w:val="center"/>
            <w:hideMark/>
          </w:tcPr>
          <w:p w:rsidR="009C38BB" w:rsidRPr="00D56C93" w:rsidRDefault="009C38BB" w:rsidP="009C38BB">
            <w:pPr>
              <w:spacing w:after="0"/>
              <w:ind w:firstLine="0"/>
              <w:jc w:val="right"/>
              <w:rPr>
                <w:rFonts w:ascii="Arial Narrow" w:hAnsi="Arial Narrow"/>
                <w:color w:val="000000"/>
                <w:lang w:val="es-ES" w:eastAsia="es-ES"/>
              </w:rPr>
            </w:pPr>
            <w:r w:rsidRPr="00D56C93">
              <w:rPr>
                <w:rFonts w:ascii="Arial Narrow" w:hAnsi="Arial Narrow"/>
                <w:color w:val="000000"/>
                <w:lang w:val="es-ES" w:eastAsia="es-ES"/>
              </w:rPr>
              <w:t>10.836</w:t>
            </w:r>
          </w:p>
        </w:tc>
        <w:tc>
          <w:tcPr>
            <w:tcW w:w="648" w:type="pct"/>
            <w:tcBorders>
              <w:top w:val="single" w:sz="2" w:space="0" w:color="auto"/>
              <w:left w:val="nil"/>
              <w:bottom w:val="single" w:sz="2" w:space="0" w:color="auto"/>
              <w:right w:val="nil"/>
            </w:tcBorders>
            <w:shd w:val="clear" w:color="auto" w:fill="auto"/>
            <w:noWrap/>
            <w:vAlign w:val="center"/>
            <w:hideMark/>
          </w:tcPr>
          <w:p w:rsidR="009C38BB" w:rsidRPr="00D56C93" w:rsidRDefault="009C38BB" w:rsidP="009C38BB">
            <w:pPr>
              <w:spacing w:after="0"/>
              <w:ind w:firstLine="0"/>
              <w:jc w:val="right"/>
              <w:rPr>
                <w:rFonts w:ascii="Arial Narrow" w:hAnsi="Arial Narrow"/>
                <w:color w:val="000000"/>
                <w:lang w:val="es-ES" w:eastAsia="es-ES"/>
              </w:rPr>
            </w:pPr>
            <w:r w:rsidRPr="00D56C93">
              <w:rPr>
                <w:rFonts w:ascii="Arial Narrow" w:hAnsi="Arial Narrow"/>
                <w:color w:val="000000"/>
                <w:lang w:val="es-ES" w:eastAsia="es-ES"/>
              </w:rPr>
              <w:t>10.650</w:t>
            </w:r>
          </w:p>
        </w:tc>
        <w:tc>
          <w:tcPr>
            <w:tcW w:w="644" w:type="pct"/>
            <w:tcBorders>
              <w:top w:val="single" w:sz="2" w:space="0" w:color="auto"/>
              <w:left w:val="nil"/>
              <w:bottom w:val="single" w:sz="2" w:space="0" w:color="auto"/>
              <w:right w:val="nil"/>
            </w:tcBorders>
            <w:shd w:val="clear" w:color="auto" w:fill="auto"/>
            <w:vAlign w:val="center"/>
            <w:hideMark/>
          </w:tcPr>
          <w:p w:rsidR="009C38BB" w:rsidRPr="00D56C93" w:rsidRDefault="009C38BB" w:rsidP="009C38BB">
            <w:pPr>
              <w:spacing w:after="0"/>
              <w:ind w:firstLine="0"/>
              <w:jc w:val="right"/>
              <w:rPr>
                <w:rFonts w:ascii="Arial Narrow" w:hAnsi="Arial Narrow"/>
                <w:color w:val="000000"/>
                <w:lang w:val="es-ES" w:eastAsia="es-ES"/>
              </w:rPr>
            </w:pPr>
            <w:r w:rsidRPr="00D56C93">
              <w:rPr>
                <w:rFonts w:ascii="Arial Narrow" w:hAnsi="Arial Narrow"/>
                <w:color w:val="000000"/>
                <w:lang w:val="es-ES" w:eastAsia="es-ES"/>
              </w:rPr>
              <w:t>-2</w:t>
            </w:r>
          </w:p>
        </w:tc>
      </w:tr>
      <w:tr w:rsidR="009C38BB" w:rsidRPr="009C38BB" w:rsidTr="00D56C93">
        <w:trPr>
          <w:trHeight w:val="227"/>
        </w:trPr>
        <w:tc>
          <w:tcPr>
            <w:tcW w:w="3037" w:type="pct"/>
            <w:tcBorders>
              <w:top w:val="single" w:sz="2" w:space="0" w:color="auto"/>
              <w:left w:val="nil"/>
              <w:bottom w:val="single" w:sz="2" w:space="0" w:color="auto"/>
              <w:right w:val="nil"/>
            </w:tcBorders>
            <w:shd w:val="clear" w:color="auto" w:fill="auto"/>
            <w:noWrap/>
            <w:vAlign w:val="center"/>
            <w:hideMark/>
          </w:tcPr>
          <w:p w:rsidR="009C38BB" w:rsidRPr="00D56C93" w:rsidRDefault="009C38BB" w:rsidP="009C38BB">
            <w:pPr>
              <w:spacing w:after="0"/>
              <w:ind w:firstLine="0"/>
              <w:jc w:val="left"/>
              <w:rPr>
                <w:rFonts w:ascii="Arial Narrow" w:hAnsi="Arial Narrow"/>
                <w:color w:val="000000"/>
                <w:lang w:val="es-ES" w:eastAsia="es-ES"/>
              </w:rPr>
            </w:pPr>
            <w:r w:rsidRPr="00D56C93">
              <w:rPr>
                <w:rFonts w:ascii="Arial Narrow" w:hAnsi="Arial Narrow"/>
                <w:color w:val="000000"/>
                <w:lang w:val="es-ES" w:eastAsia="es-ES"/>
              </w:rPr>
              <w:t>Trabajos realizados por otras empresas</w:t>
            </w:r>
          </w:p>
        </w:tc>
        <w:tc>
          <w:tcPr>
            <w:tcW w:w="671" w:type="pct"/>
            <w:tcBorders>
              <w:top w:val="single" w:sz="2" w:space="0" w:color="auto"/>
              <w:left w:val="nil"/>
              <w:bottom w:val="single" w:sz="2" w:space="0" w:color="auto"/>
              <w:right w:val="nil"/>
            </w:tcBorders>
            <w:shd w:val="clear" w:color="auto" w:fill="auto"/>
            <w:vAlign w:val="center"/>
            <w:hideMark/>
          </w:tcPr>
          <w:p w:rsidR="009C38BB" w:rsidRPr="00D56C93" w:rsidRDefault="009C38BB" w:rsidP="009C38BB">
            <w:pPr>
              <w:spacing w:after="0"/>
              <w:ind w:firstLine="0"/>
              <w:jc w:val="right"/>
              <w:rPr>
                <w:rFonts w:ascii="Arial Narrow" w:hAnsi="Arial Narrow"/>
                <w:color w:val="000000"/>
                <w:lang w:val="es-ES" w:eastAsia="es-ES"/>
              </w:rPr>
            </w:pPr>
            <w:r w:rsidRPr="00D56C93">
              <w:rPr>
                <w:rFonts w:ascii="Arial Narrow" w:hAnsi="Arial Narrow"/>
                <w:color w:val="000000"/>
                <w:lang w:val="es-ES" w:eastAsia="es-ES"/>
              </w:rPr>
              <w:t>1.200.754</w:t>
            </w:r>
          </w:p>
        </w:tc>
        <w:tc>
          <w:tcPr>
            <w:tcW w:w="648" w:type="pct"/>
            <w:tcBorders>
              <w:top w:val="single" w:sz="2" w:space="0" w:color="auto"/>
              <w:left w:val="nil"/>
              <w:bottom w:val="single" w:sz="2" w:space="0" w:color="auto"/>
              <w:right w:val="nil"/>
            </w:tcBorders>
            <w:shd w:val="clear" w:color="auto" w:fill="auto"/>
            <w:noWrap/>
            <w:vAlign w:val="center"/>
            <w:hideMark/>
          </w:tcPr>
          <w:p w:rsidR="009C38BB" w:rsidRPr="00D56C93" w:rsidRDefault="009C38BB" w:rsidP="009C38BB">
            <w:pPr>
              <w:spacing w:after="0"/>
              <w:ind w:firstLine="0"/>
              <w:jc w:val="right"/>
              <w:rPr>
                <w:rFonts w:ascii="Arial Narrow" w:hAnsi="Arial Narrow"/>
                <w:color w:val="000000"/>
                <w:lang w:val="es-ES" w:eastAsia="es-ES"/>
              </w:rPr>
            </w:pPr>
            <w:r w:rsidRPr="00D56C93">
              <w:rPr>
                <w:rFonts w:ascii="Arial Narrow" w:hAnsi="Arial Narrow"/>
                <w:color w:val="000000"/>
                <w:lang w:val="es-ES" w:eastAsia="es-ES"/>
              </w:rPr>
              <w:t>1.157.992</w:t>
            </w:r>
          </w:p>
        </w:tc>
        <w:tc>
          <w:tcPr>
            <w:tcW w:w="644" w:type="pct"/>
            <w:tcBorders>
              <w:top w:val="single" w:sz="2" w:space="0" w:color="auto"/>
              <w:left w:val="nil"/>
              <w:bottom w:val="single" w:sz="2" w:space="0" w:color="auto"/>
              <w:right w:val="nil"/>
            </w:tcBorders>
            <w:shd w:val="clear" w:color="auto" w:fill="auto"/>
            <w:vAlign w:val="center"/>
            <w:hideMark/>
          </w:tcPr>
          <w:p w:rsidR="009C38BB" w:rsidRPr="00D56C93" w:rsidRDefault="009C38BB" w:rsidP="009C38BB">
            <w:pPr>
              <w:spacing w:after="0"/>
              <w:ind w:firstLine="0"/>
              <w:jc w:val="right"/>
              <w:rPr>
                <w:rFonts w:ascii="Arial Narrow" w:hAnsi="Arial Narrow"/>
                <w:color w:val="000000"/>
                <w:lang w:val="es-ES" w:eastAsia="es-ES"/>
              </w:rPr>
            </w:pPr>
            <w:r w:rsidRPr="00D56C93">
              <w:rPr>
                <w:rFonts w:ascii="Arial Narrow" w:hAnsi="Arial Narrow"/>
                <w:color w:val="000000"/>
                <w:lang w:val="es-ES" w:eastAsia="es-ES"/>
              </w:rPr>
              <w:t>-4</w:t>
            </w:r>
          </w:p>
        </w:tc>
      </w:tr>
      <w:tr w:rsidR="009C38BB" w:rsidRPr="009C38BB" w:rsidTr="00D56C93">
        <w:trPr>
          <w:trHeight w:val="227"/>
        </w:trPr>
        <w:tc>
          <w:tcPr>
            <w:tcW w:w="3037" w:type="pct"/>
            <w:tcBorders>
              <w:top w:val="single" w:sz="2" w:space="0" w:color="auto"/>
              <w:left w:val="nil"/>
              <w:bottom w:val="single" w:sz="4" w:space="0" w:color="auto"/>
              <w:right w:val="nil"/>
            </w:tcBorders>
            <w:shd w:val="clear" w:color="auto" w:fill="auto"/>
            <w:noWrap/>
            <w:vAlign w:val="center"/>
            <w:hideMark/>
          </w:tcPr>
          <w:p w:rsidR="009C38BB" w:rsidRPr="00D56C93" w:rsidRDefault="009C38BB" w:rsidP="009C38BB">
            <w:pPr>
              <w:spacing w:after="0"/>
              <w:ind w:firstLine="0"/>
              <w:jc w:val="left"/>
              <w:rPr>
                <w:rFonts w:ascii="Arial Narrow" w:hAnsi="Arial Narrow"/>
                <w:color w:val="000000"/>
                <w:lang w:val="es-ES" w:eastAsia="es-ES"/>
              </w:rPr>
            </w:pPr>
            <w:r w:rsidRPr="00D56C93">
              <w:rPr>
                <w:rFonts w:ascii="Arial Narrow" w:hAnsi="Arial Narrow"/>
                <w:color w:val="000000"/>
                <w:lang w:val="es-ES" w:eastAsia="es-ES"/>
              </w:rPr>
              <w:t>Dietas, locomoción y otras indemnizaciones</w:t>
            </w:r>
          </w:p>
        </w:tc>
        <w:tc>
          <w:tcPr>
            <w:tcW w:w="671" w:type="pct"/>
            <w:tcBorders>
              <w:top w:val="single" w:sz="2" w:space="0" w:color="auto"/>
              <w:left w:val="nil"/>
              <w:bottom w:val="single" w:sz="4" w:space="0" w:color="auto"/>
              <w:right w:val="nil"/>
            </w:tcBorders>
            <w:shd w:val="clear" w:color="auto" w:fill="auto"/>
            <w:vAlign w:val="center"/>
            <w:hideMark/>
          </w:tcPr>
          <w:p w:rsidR="009C38BB" w:rsidRPr="00D56C93" w:rsidRDefault="009C38BB" w:rsidP="009C38BB">
            <w:pPr>
              <w:spacing w:after="0"/>
              <w:ind w:firstLine="0"/>
              <w:jc w:val="right"/>
              <w:rPr>
                <w:rFonts w:ascii="Arial Narrow" w:hAnsi="Arial Narrow"/>
                <w:color w:val="000000"/>
                <w:lang w:val="es-ES" w:eastAsia="es-ES"/>
              </w:rPr>
            </w:pPr>
            <w:r w:rsidRPr="00D56C93">
              <w:rPr>
                <w:rFonts w:ascii="Arial Narrow" w:hAnsi="Arial Narrow"/>
                <w:color w:val="000000"/>
                <w:lang w:val="es-ES" w:eastAsia="es-ES"/>
              </w:rPr>
              <w:t>53.713</w:t>
            </w:r>
          </w:p>
        </w:tc>
        <w:tc>
          <w:tcPr>
            <w:tcW w:w="648" w:type="pct"/>
            <w:tcBorders>
              <w:top w:val="single" w:sz="2" w:space="0" w:color="auto"/>
              <w:left w:val="nil"/>
              <w:bottom w:val="single" w:sz="4" w:space="0" w:color="auto"/>
              <w:right w:val="nil"/>
            </w:tcBorders>
            <w:shd w:val="clear" w:color="auto" w:fill="auto"/>
            <w:noWrap/>
            <w:vAlign w:val="center"/>
            <w:hideMark/>
          </w:tcPr>
          <w:p w:rsidR="009C38BB" w:rsidRPr="00D56C93" w:rsidRDefault="009C38BB" w:rsidP="009C38BB">
            <w:pPr>
              <w:spacing w:after="0"/>
              <w:ind w:firstLine="0"/>
              <w:jc w:val="right"/>
              <w:rPr>
                <w:rFonts w:ascii="Arial Narrow" w:hAnsi="Arial Narrow"/>
                <w:color w:val="000000"/>
                <w:lang w:val="es-ES" w:eastAsia="es-ES"/>
              </w:rPr>
            </w:pPr>
            <w:r w:rsidRPr="00D56C93">
              <w:rPr>
                <w:rFonts w:ascii="Arial Narrow" w:hAnsi="Arial Narrow"/>
                <w:color w:val="000000"/>
                <w:lang w:val="es-ES" w:eastAsia="es-ES"/>
              </w:rPr>
              <w:t>74.366</w:t>
            </w:r>
          </w:p>
        </w:tc>
        <w:tc>
          <w:tcPr>
            <w:tcW w:w="644" w:type="pct"/>
            <w:tcBorders>
              <w:top w:val="single" w:sz="2" w:space="0" w:color="auto"/>
              <w:left w:val="nil"/>
              <w:bottom w:val="single" w:sz="4" w:space="0" w:color="auto"/>
              <w:right w:val="nil"/>
            </w:tcBorders>
            <w:shd w:val="clear" w:color="auto" w:fill="auto"/>
            <w:vAlign w:val="center"/>
            <w:hideMark/>
          </w:tcPr>
          <w:p w:rsidR="009C38BB" w:rsidRPr="00D56C93" w:rsidRDefault="009C38BB" w:rsidP="009C38BB">
            <w:pPr>
              <w:spacing w:after="0"/>
              <w:ind w:firstLine="0"/>
              <w:jc w:val="right"/>
              <w:rPr>
                <w:rFonts w:ascii="Arial Narrow" w:hAnsi="Arial Narrow"/>
                <w:color w:val="000000"/>
                <w:lang w:val="es-ES" w:eastAsia="es-ES"/>
              </w:rPr>
            </w:pPr>
            <w:r w:rsidRPr="00D56C93">
              <w:rPr>
                <w:rFonts w:ascii="Arial Narrow" w:hAnsi="Arial Narrow"/>
                <w:color w:val="000000"/>
                <w:lang w:val="es-ES" w:eastAsia="es-ES"/>
              </w:rPr>
              <w:t>38</w:t>
            </w:r>
          </w:p>
        </w:tc>
      </w:tr>
      <w:tr w:rsidR="009C38BB" w:rsidRPr="009C38BB" w:rsidTr="00AA6794">
        <w:trPr>
          <w:trHeight w:val="227"/>
        </w:trPr>
        <w:tc>
          <w:tcPr>
            <w:tcW w:w="3037" w:type="pct"/>
            <w:tcBorders>
              <w:top w:val="single" w:sz="4" w:space="0" w:color="auto"/>
              <w:left w:val="nil"/>
              <w:bottom w:val="single" w:sz="4" w:space="0" w:color="auto"/>
              <w:right w:val="nil"/>
            </w:tcBorders>
            <w:shd w:val="clear" w:color="auto" w:fill="auto"/>
            <w:noWrap/>
            <w:vAlign w:val="center"/>
            <w:hideMark/>
          </w:tcPr>
          <w:p w:rsidR="009C38BB" w:rsidRPr="00D56C93" w:rsidRDefault="009C38BB" w:rsidP="001D69F4">
            <w:pPr>
              <w:spacing w:after="0"/>
              <w:ind w:firstLine="0"/>
              <w:jc w:val="left"/>
              <w:rPr>
                <w:rFonts w:ascii="Arial Narrow" w:hAnsi="Arial Narrow"/>
                <w:color w:val="000000"/>
                <w:lang w:val="es-ES" w:eastAsia="es-ES"/>
              </w:rPr>
            </w:pPr>
            <w:r w:rsidRPr="00D56C93">
              <w:rPr>
                <w:rFonts w:ascii="Arial Narrow" w:hAnsi="Arial Narrow"/>
                <w:color w:val="000000"/>
                <w:lang w:val="es-ES" w:eastAsia="es-ES"/>
              </w:rPr>
              <w:t xml:space="preserve">Trabajos realizados por </w:t>
            </w:r>
            <w:r w:rsidR="001D69F4" w:rsidRPr="00D56C93">
              <w:rPr>
                <w:rFonts w:ascii="Arial Narrow" w:hAnsi="Arial Narrow"/>
                <w:color w:val="000000"/>
                <w:lang w:val="es-ES" w:eastAsia="es-ES"/>
              </w:rPr>
              <w:t>AAPP</w:t>
            </w:r>
            <w:r w:rsidRPr="00D56C93">
              <w:rPr>
                <w:rFonts w:ascii="Arial Narrow" w:hAnsi="Arial Narrow"/>
                <w:color w:val="000000"/>
                <w:lang w:val="es-ES" w:eastAsia="es-ES"/>
              </w:rPr>
              <w:t>, OEP e instituciones sin ánimo lucro</w:t>
            </w:r>
          </w:p>
        </w:tc>
        <w:tc>
          <w:tcPr>
            <w:tcW w:w="671" w:type="pct"/>
            <w:tcBorders>
              <w:top w:val="single" w:sz="4" w:space="0" w:color="auto"/>
              <w:left w:val="nil"/>
              <w:bottom w:val="single" w:sz="4" w:space="0" w:color="auto"/>
              <w:right w:val="nil"/>
            </w:tcBorders>
            <w:shd w:val="clear" w:color="auto" w:fill="auto"/>
            <w:vAlign w:val="center"/>
            <w:hideMark/>
          </w:tcPr>
          <w:p w:rsidR="009C38BB" w:rsidRPr="00D56C93" w:rsidRDefault="009C38BB" w:rsidP="009C38BB">
            <w:pPr>
              <w:spacing w:after="0"/>
              <w:ind w:firstLine="0"/>
              <w:jc w:val="right"/>
              <w:rPr>
                <w:rFonts w:ascii="Arial Narrow" w:hAnsi="Arial Narrow"/>
                <w:color w:val="000000"/>
                <w:lang w:val="es-ES" w:eastAsia="es-ES"/>
              </w:rPr>
            </w:pPr>
            <w:r w:rsidRPr="00D56C93">
              <w:rPr>
                <w:rFonts w:ascii="Arial Narrow" w:hAnsi="Arial Narrow"/>
                <w:color w:val="000000"/>
                <w:lang w:val="es-ES" w:eastAsia="es-ES"/>
              </w:rPr>
              <w:t>76.192</w:t>
            </w:r>
          </w:p>
        </w:tc>
        <w:tc>
          <w:tcPr>
            <w:tcW w:w="648" w:type="pct"/>
            <w:tcBorders>
              <w:top w:val="single" w:sz="4" w:space="0" w:color="auto"/>
              <w:left w:val="nil"/>
              <w:bottom w:val="single" w:sz="4" w:space="0" w:color="auto"/>
              <w:right w:val="nil"/>
            </w:tcBorders>
            <w:shd w:val="clear" w:color="auto" w:fill="auto"/>
            <w:noWrap/>
            <w:vAlign w:val="center"/>
            <w:hideMark/>
          </w:tcPr>
          <w:p w:rsidR="009C38BB" w:rsidRPr="00D56C93" w:rsidRDefault="009C38BB" w:rsidP="009C38BB">
            <w:pPr>
              <w:spacing w:after="0"/>
              <w:ind w:firstLine="0"/>
              <w:jc w:val="right"/>
              <w:rPr>
                <w:rFonts w:ascii="Arial Narrow" w:hAnsi="Arial Narrow"/>
                <w:color w:val="000000"/>
                <w:lang w:val="es-ES" w:eastAsia="es-ES"/>
              </w:rPr>
            </w:pPr>
            <w:r w:rsidRPr="00D56C93">
              <w:rPr>
                <w:rFonts w:ascii="Arial Narrow" w:hAnsi="Arial Narrow"/>
                <w:color w:val="000000"/>
                <w:lang w:val="es-ES" w:eastAsia="es-ES"/>
              </w:rPr>
              <w:t>79.418</w:t>
            </w:r>
          </w:p>
        </w:tc>
        <w:tc>
          <w:tcPr>
            <w:tcW w:w="644" w:type="pct"/>
            <w:tcBorders>
              <w:top w:val="single" w:sz="4" w:space="0" w:color="auto"/>
              <w:left w:val="nil"/>
              <w:bottom w:val="single" w:sz="4" w:space="0" w:color="auto"/>
              <w:right w:val="nil"/>
            </w:tcBorders>
            <w:shd w:val="clear" w:color="auto" w:fill="auto"/>
            <w:vAlign w:val="center"/>
            <w:hideMark/>
          </w:tcPr>
          <w:p w:rsidR="009C38BB" w:rsidRPr="00D56C93" w:rsidRDefault="009C38BB" w:rsidP="009C38BB">
            <w:pPr>
              <w:spacing w:after="0"/>
              <w:ind w:firstLine="0"/>
              <w:jc w:val="right"/>
              <w:rPr>
                <w:rFonts w:ascii="Arial Narrow" w:hAnsi="Arial Narrow"/>
                <w:color w:val="000000"/>
                <w:lang w:val="es-ES" w:eastAsia="es-ES"/>
              </w:rPr>
            </w:pPr>
            <w:r w:rsidRPr="00D56C93">
              <w:rPr>
                <w:rFonts w:ascii="Arial Narrow" w:hAnsi="Arial Narrow"/>
                <w:color w:val="000000"/>
                <w:lang w:val="es-ES" w:eastAsia="es-ES"/>
              </w:rPr>
              <w:t>4</w:t>
            </w:r>
          </w:p>
        </w:tc>
      </w:tr>
      <w:tr w:rsidR="009C38BB" w:rsidRPr="009C38BB" w:rsidTr="00AA6794">
        <w:trPr>
          <w:trHeight w:val="300"/>
        </w:trPr>
        <w:tc>
          <w:tcPr>
            <w:tcW w:w="3037" w:type="pct"/>
            <w:tcBorders>
              <w:top w:val="single" w:sz="4" w:space="0" w:color="auto"/>
              <w:left w:val="nil"/>
              <w:bottom w:val="single" w:sz="4" w:space="0" w:color="auto"/>
              <w:right w:val="nil"/>
            </w:tcBorders>
            <w:shd w:val="clear" w:color="000000" w:fill="FABF8F"/>
            <w:noWrap/>
            <w:vAlign w:val="center"/>
            <w:hideMark/>
          </w:tcPr>
          <w:p w:rsidR="009C38BB" w:rsidRPr="009C38BB" w:rsidRDefault="009C38BB" w:rsidP="009C38BB">
            <w:pPr>
              <w:spacing w:after="0"/>
              <w:ind w:firstLine="0"/>
              <w:jc w:val="left"/>
              <w:rPr>
                <w:rFonts w:ascii="Arial" w:hAnsi="Arial" w:cs="Arial"/>
                <w:color w:val="000000"/>
                <w:sz w:val="18"/>
                <w:szCs w:val="18"/>
                <w:lang w:val="es-ES" w:eastAsia="es-ES"/>
              </w:rPr>
            </w:pPr>
            <w:r w:rsidRPr="009C38BB">
              <w:rPr>
                <w:rFonts w:ascii="Arial" w:hAnsi="Arial" w:cs="Arial"/>
                <w:color w:val="000000"/>
                <w:sz w:val="18"/>
                <w:szCs w:val="18"/>
                <w:lang w:val="es-ES" w:eastAsia="es-ES"/>
              </w:rPr>
              <w:t>Total</w:t>
            </w:r>
          </w:p>
        </w:tc>
        <w:tc>
          <w:tcPr>
            <w:tcW w:w="671" w:type="pct"/>
            <w:tcBorders>
              <w:top w:val="single" w:sz="4" w:space="0" w:color="auto"/>
              <w:left w:val="nil"/>
              <w:bottom w:val="single" w:sz="4" w:space="0" w:color="auto"/>
              <w:right w:val="nil"/>
            </w:tcBorders>
            <w:shd w:val="clear" w:color="000000" w:fill="FABF8F"/>
            <w:noWrap/>
            <w:vAlign w:val="center"/>
            <w:hideMark/>
          </w:tcPr>
          <w:p w:rsidR="009C38BB" w:rsidRPr="009C38BB" w:rsidRDefault="009C38BB" w:rsidP="009C38BB">
            <w:pPr>
              <w:spacing w:after="0"/>
              <w:ind w:firstLine="0"/>
              <w:jc w:val="right"/>
              <w:rPr>
                <w:rFonts w:ascii="Arial" w:hAnsi="Arial" w:cs="Arial"/>
                <w:color w:val="000000"/>
                <w:sz w:val="18"/>
                <w:szCs w:val="18"/>
                <w:lang w:val="es-ES" w:eastAsia="es-ES"/>
              </w:rPr>
            </w:pPr>
            <w:r w:rsidRPr="009C38BB">
              <w:rPr>
                <w:rFonts w:ascii="Arial" w:hAnsi="Arial" w:cs="Arial"/>
                <w:color w:val="000000"/>
                <w:sz w:val="18"/>
                <w:szCs w:val="18"/>
                <w:lang w:val="es-ES" w:eastAsia="es-ES"/>
              </w:rPr>
              <w:t>2.620.351</w:t>
            </w:r>
          </w:p>
        </w:tc>
        <w:tc>
          <w:tcPr>
            <w:tcW w:w="648" w:type="pct"/>
            <w:tcBorders>
              <w:top w:val="single" w:sz="4" w:space="0" w:color="auto"/>
              <w:left w:val="nil"/>
              <w:bottom w:val="single" w:sz="4" w:space="0" w:color="auto"/>
              <w:right w:val="nil"/>
            </w:tcBorders>
            <w:shd w:val="clear" w:color="000000" w:fill="FABF8F"/>
            <w:noWrap/>
            <w:vAlign w:val="center"/>
            <w:hideMark/>
          </w:tcPr>
          <w:p w:rsidR="009C38BB" w:rsidRPr="009C38BB" w:rsidRDefault="009C38BB" w:rsidP="009C38BB">
            <w:pPr>
              <w:spacing w:after="0"/>
              <w:ind w:firstLine="0"/>
              <w:jc w:val="right"/>
              <w:rPr>
                <w:rFonts w:ascii="Arial" w:hAnsi="Arial" w:cs="Arial"/>
                <w:color w:val="000000"/>
                <w:sz w:val="18"/>
                <w:szCs w:val="18"/>
                <w:lang w:val="es-ES" w:eastAsia="es-ES"/>
              </w:rPr>
            </w:pPr>
            <w:r w:rsidRPr="009C38BB">
              <w:rPr>
                <w:rFonts w:ascii="Arial" w:hAnsi="Arial" w:cs="Arial"/>
                <w:color w:val="000000"/>
                <w:sz w:val="18"/>
                <w:szCs w:val="18"/>
                <w:lang w:val="es-ES" w:eastAsia="es-ES"/>
              </w:rPr>
              <w:t>2.699.973</w:t>
            </w:r>
          </w:p>
        </w:tc>
        <w:tc>
          <w:tcPr>
            <w:tcW w:w="644" w:type="pct"/>
            <w:tcBorders>
              <w:top w:val="single" w:sz="4" w:space="0" w:color="auto"/>
              <w:left w:val="nil"/>
              <w:bottom w:val="single" w:sz="4" w:space="0" w:color="auto"/>
              <w:right w:val="nil"/>
            </w:tcBorders>
            <w:shd w:val="clear" w:color="000000" w:fill="FABF8F"/>
            <w:vAlign w:val="center"/>
            <w:hideMark/>
          </w:tcPr>
          <w:p w:rsidR="009C38BB" w:rsidRPr="009C38BB" w:rsidRDefault="009C38BB" w:rsidP="009C38BB">
            <w:pPr>
              <w:spacing w:after="0"/>
              <w:ind w:firstLine="0"/>
              <w:jc w:val="right"/>
              <w:rPr>
                <w:rFonts w:ascii="Arial" w:hAnsi="Arial" w:cs="Arial"/>
                <w:color w:val="000000"/>
                <w:sz w:val="18"/>
                <w:szCs w:val="18"/>
                <w:lang w:val="es-ES" w:eastAsia="es-ES"/>
              </w:rPr>
            </w:pPr>
            <w:r w:rsidRPr="009C38BB">
              <w:rPr>
                <w:rFonts w:ascii="Arial" w:hAnsi="Arial" w:cs="Arial"/>
                <w:color w:val="000000"/>
                <w:sz w:val="18"/>
                <w:szCs w:val="18"/>
                <w:lang w:val="es-ES" w:eastAsia="es-ES"/>
              </w:rPr>
              <w:t>3</w:t>
            </w:r>
          </w:p>
        </w:tc>
      </w:tr>
    </w:tbl>
    <w:p w:rsidR="0067725A" w:rsidRPr="008A365E" w:rsidRDefault="00172D87" w:rsidP="00487859">
      <w:pPr>
        <w:pStyle w:val="texto"/>
        <w:tabs>
          <w:tab w:val="clear" w:pos="2835"/>
          <w:tab w:val="clear" w:pos="3969"/>
          <w:tab w:val="clear" w:pos="5103"/>
          <w:tab w:val="clear" w:pos="6237"/>
          <w:tab w:val="clear" w:pos="7371"/>
        </w:tabs>
        <w:spacing w:before="220" w:after="240"/>
        <w:rPr>
          <w:color w:val="000000" w:themeColor="text1"/>
        </w:rPr>
      </w:pPr>
      <w:r w:rsidRPr="008A365E">
        <w:rPr>
          <w:color w:val="000000" w:themeColor="text1"/>
          <w:lang w:val="es-ES"/>
        </w:rPr>
        <w:lastRenderedPageBreak/>
        <w:t>Hemos analizado la siguiente</w:t>
      </w:r>
      <w:r w:rsidR="0067725A" w:rsidRPr="008A365E">
        <w:rPr>
          <w:color w:val="000000" w:themeColor="text1"/>
        </w:rPr>
        <w:t xml:space="preserve"> muestra </w:t>
      </w:r>
      <w:r w:rsidRPr="008A365E">
        <w:rPr>
          <w:color w:val="000000" w:themeColor="text1"/>
        </w:rPr>
        <w:t>de gastos</w:t>
      </w:r>
      <w:r w:rsidR="00264A87" w:rsidRPr="008A365E">
        <w:rPr>
          <w:color w:val="000000" w:themeColor="text1"/>
        </w:rPr>
        <w:t xml:space="preserve"> </w:t>
      </w:r>
      <w:r w:rsidR="008A365E" w:rsidRPr="008A365E">
        <w:rPr>
          <w:color w:val="000000" w:themeColor="text1"/>
        </w:rPr>
        <w:t>que representan un 34 por ciento del total de gastos del capítulo 2.</w:t>
      </w:r>
    </w:p>
    <w:tbl>
      <w:tblPr>
        <w:tblW w:w="5000" w:type="pct"/>
        <w:jc w:val="center"/>
        <w:tblLook w:val="01E0" w:firstRow="1" w:lastRow="1" w:firstColumn="1" w:lastColumn="1" w:noHBand="0" w:noVBand="0"/>
      </w:tblPr>
      <w:tblGrid>
        <w:gridCol w:w="5408"/>
        <w:gridCol w:w="1929"/>
        <w:gridCol w:w="2093"/>
      </w:tblGrid>
      <w:tr w:rsidR="0067725A" w:rsidRPr="00487859" w:rsidTr="00476319">
        <w:trPr>
          <w:trHeight w:val="255"/>
          <w:jc w:val="center"/>
        </w:trPr>
        <w:tc>
          <w:tcPr>
            <w:tcW w:w="3890" w:type="pct"/>
            <w:gridSpan w:val="2"/>
            <w:tcBorders>
              <w:top w:val="single" w:sz="4" w:space="0" w:color="auto"/>
              <w:bottom w:val="single" w:sz="4" w:space="0" w:color="auto"/>
            </w:tcBorders>
            <w:shd w:val="clear" w:color="auto" w:fill="FABF8F" w:themeFill="accent6" w:themeFillTint="99"/>
            <w:vAlign w:val="center"/>
          </w:tcPr>
          <w:p w:rsidR="0067725A" w:rsidRPr="00487859" w:rsidRDefault="0067725A" w:rsidP="004D712A">
            <w:pPr>
              <w:spacing w:after="0"/>
              <w:ind w:firstLine="0"/>
              <w:jc w:val="left"/>
              <w:rPr>
                <w:rFonts w:ascii="Arial" w:eastAsia="Calibri" w:hAnsi="Arial" w:cs="Arial"/>
                <w:sz w:val="18"/>
                <w:szCs w:val="18"/>
                <w:lang w:eastAsia="es-ES"/>
              </w:rPr>
            </w:pPr>
            <w:r w:rsidRPr="00487859">
              <w:rPr>
                <w:rFonts w:ascii="Arial" w:eastAsia="Calibri" w:hAnsi="Arial" w:cs="Arial"/>
                <w:sz w:val="18"/>
                <w:szCs w:val="18"/>
                <w:lang w:eastAsia="es-ES"/>
              </w:rPr>
              <w:t>Partidas presupuestarias</w:t>
            </w:r>
            <w:r w:rsidR="00120015" w:rsidRPr="00487859">
              <w:rPr>
                <w:rFonts w:ascii="Arial" w:eastAsia="Calibri" w:hAnsi="Arial" w:cs="Arial"/>
                <w:sz w:val="18"/>
                <w:szCs w:val="18"/>
                <w:lang w:eastAsia="es-ES"/>
              </w:rPr>
              <w:t>/servicios</w:t>
            </w:r>
          </w:p>
        </w:tc>
        <w:tc>
          <w:tcPr>
            <w:tcW w:w="1110" w:type="pct"/>
            <w:tcBorders>
              <w:top w:val="single" w:sz="4" w:space="0" w:color="auto"/>
              <w:bottom w:val="single" w:sz="4" w:space="0" w:color="auto"/>
            </w:tcBorders>
            <w:shd w:val="clear" w:color="auto" w:fill="FABF8F" w:themeFill="accent6" w:themeFillTint="99"/>
            <w:vAlign w:val="center"/>
          </w:tcPr>
          <w:p w:rsidR="0067725A" w:rsidRPr="00487859" w:rsidRDefault="0067725A" w:rsidP="00CF14CF">
            <w:pPr>
              <w:spacing w:after="0"/>
              <w:ind w:firstLine="0"/>
              <w:jc w:val="right"/>
              <w:rPr>
                <w:rFonts w:ascii="Arial" w:hAnsi="Arial" w:cs="Arial"/>
                <w:color w:val="000000"/>
                <w:sz w:val="18"/>
                <w:szCs w:val="18"/>
                <w:lang w:val="es-ES" w:eastAsia="es-ES"/>
              </w:rPr>
            </w:pPr>
            <w:r w:rsidRPr="00487859">
              <w:rPr>
                <w:rFonts w:ascii="Arial" w:hAnsi="Arial" w:cs="Arial"/>
                <w:color w:val="000000"/>
                <w:sz w:val="18"/>
                <w:szCs w:val="18"/>
                <w:lang w:val="es-ES" w:eastAsia="es-ES"/>
              </w:rPr>
              <w:t>O</w:t>
            </w:r>
            <w:r w:rsidR="003916A1" w:rsidRPr="00487859">
              <w:rPr>
                <w:rFonts w:ascii="Arial" w:hAnsi="Arial" w:cs="Arial"/>
                <w:color w:val="000000"/>
                <w:sz w:val="18"/>
                <w:szCs w:val="18"/>
                <w:lang w:val="es-ES" w:eastAsia="es-ES"/>
              </w:rPr>
              <w:t>RN</w:t>
            </w:r>
            <w:r w:rsidRPr="00487859">
              <w:rPr>
                <w:rFonts w:ascii="Arial" w:hAnsi="Arial" w:cs="Arial"/>
                <w:color w:val="000000"/>
                <w:sz w:val="18"/>
                <w:szCs w:val="18"/>
                <w:lang w:val="es-ES" w:eastAsia="es-ES"/>
              </w:rPr>
              <w:t xml:space="preserve"> 201</w:t>
            </w:r>
            <w:r w:rsidR="00CF14CF">
              <w:rPr>
                <w:rFonts w:ascii="Arial" w:hAnsi="Arial" w:cs="Arial"/>
                <w:color w:val="000000"/>
                <w:sz w:val="18"/>
                <w:szCs w:val="18"/>
                <w:lang w:val="es-ES" w:eastAsia="es-ES"/>
              </w:rPr>
              <w:t>9</w:t>
            </w:r>
          </w:p>
        </w:tc>
      </w:tr>
      <w:tr w:rsidR="00AF3326" w:rsidRPr="004F2656" w:rsidTr="00476319">
        <w:trPr>
          <w:trHeight w:val="198"/>
          <w:jc w:val="center"/>
        </w:trPr>
        <w:tc>
          <w:tcPr>
            <w:tcW w:w="2867" w:type="pct"/>
            <w:tcBorders>
              <w:top w:val="single" w:sz="2" w:space="0" w:color="auto"/>
              <w:bottom w:val="single" w:sz="2" w:space="0" w:color="auto"/>
            </w:tcBorders>
            <w:shd w:val="clear" w:color="auto" w:fill="auto"/>
            <w:vAlign w:val="center"/>
          </w:tcPr>
          <w:p w:rsidR="00AF3326" w:rsidRPr="004F2656" w:rsidRDefault="00AF3326" w:rsidP="00923423">
            <w:pPr>
              <w:spacing w:after="0"/>
              <w:ind w:firstLine="0"/>
              <w:jc w:val="left"/>
              <w:rPr>
                <w:rFonts w:ascii="Arial Narrow" w:eastAsia="Calibri" w:hAnsi="Arial Narrow" w:cs="Calibri"/>
                <w:lang w:eastAsia="es-ES"/>
              </w:rPr>
            </w:pPr>
            <w:r>
              <w:rPr>
                <w:rFonts w:ascii="Arial Narrow" w:eastAsia="Calibri" w:hAnsi="Arial Narrow" w:cs="Calibri"/>
                <w:lang w:eastAsia="es-ES"/>
              </w:rPr>
              <w:t xml:space="preserve">Energía eléctrica y gas </w:t>
            </w:r>
          </w:p>
        </w:tc>
        <w:tc>
          <w:tcPr>
            <w:tcW w:w="2133" w:type="pct"/>
            <w:gridSpan w:val="2"/>
            <w:tcBorders>
              <w:top w:val="single" w:sz="2" w:space="0" w:color="auto"/>
              <w:bottom w:val="single" w:sz="2" w:space="0" w:color="auto"/>
            </w:tcBorders>
            <w:shd w:val="clear" w:color="auto" w:fill="auto"/>
            <w:vAlign w:val="center"/>
          </w:tcPr>
          <w:p w:rsidR="00AF3326" w:rsidRPr="004F2656" w:rsidRDefault="00AF3326" w:rsidP="00923423">
            <w:pPr>
              <w:spacing w:after="0"/>
              <w:ind w:firstLine="0"/>
              <w:jc w:val="right"/>
              <w:rPr>
                <w:rFonts w:ascii="Arial Narrow" w:hAnsi="Arial Narrow"/>
                <w:lang w:val="es-ES" w:eastAsia="es-ES"/>
              </w:rPr>
            </w:pPr>
            <w:r>
              <w:rPr>
                <w:rFonts w:ascii="Arial Narrow" w:hAnsi="Arial Narrow"/>
                <w:lang w:val="es-ES" w:eastAsia="es-ES"/>
              </w:rPr>
              <w:t>329.215</w:t>
            </w:r>
          </w:p>
        </w:tc>
      </w:tr>
      <w:tr w:rsidR="0067725A" w:rsidRPr="004F2656" w:rsidTr="00476319">
        <w:trPr>
          <w:trHeight w:val="198"/>
          <w:jc w:val="center"/>
        </w:trPr>
        <w:tc>
          <w:tcPr>
            <w:tcW w:w="2867" w:type="pct"/>
            <w:tcBorders>
              <w:top w:val="single" w:sz="4" w:space="0" w:color="auto"/>
              <w:bottom w:val="single" w:sz="2" w:space="0" w:color="auto"/>
            </w:tcBorders>
            <w:shd w:val="clear" w:color="auto" w:fill="auto"/>
            <w:vAlign w:val="center"/>
          </w:tcPr>
          <w:p w:rsidR="0067725A" w:rsidRPr="004F2656" w:rsidRDefault="001D69F4" w:rsidP="004D712A">
            <w:pPr>
              <w:spacing w:after="0"/>
              <w:ind w:firstLine="0"/>
              <w:jc w:val="left"/>
              <w:rPr>
                <w:rFonts w:ascii="Arial Narrow" w:eastAsia="Calibri" w:hAnsi="Arial Narrow" w:cs="Calibri"/>
                <w:lang w:eastAsia="es-ES"/>
              </w:rPr>
            </w:pPr>
            <w:r>
              <w:rPr>
                <w:rFonts w:ascii="Arial Narrow" w:eastAsia="Calibri" w:hAnsi="Arial Narrow" w:cs="Calibri"/>
                <w:lang w:eastAsia="es-ES"/>
              </w:rPr>
              <w:t>Mantenimiento zonas verdes</w:t>
            </w:r>
          </w:p>
        </w:tc>
        <w:tc>
          <w:tcPr>
            <w:tcW w:w="2133" w:type="pct"/>
            <w:gridSpan w:val="2"/>
            <w:tcBorders>
              <w:top w:val="single" w:sz="4" w:space="0" w:color="auto"/>
              <w:bottom w:val="single" w:sz="2" w:space="0" w:color="auto"/>
            </w:tcBorders>
            <w:shd w:val="clear" w:color="auto" w:fill="auto"/>
            <w:vAlign w:val="center"/>
          </w:tcPr>
          <w:p w:rsidR="0067725A" w:rsidRPr="004F2656" w:rsidRDefault="001D69F4" w:rsidP="004D712A">
            <w:pPr>
              <w:spacing w:after="0"/>
              <w:ind w:firstLine="0"/>
              <w:jc w:val="right"/>
              <w:rPr>
                <w:rFonts w:ascii="Arial Narrow" w:hAnsi="Arial Narrow"/>
                <w:lang w:val="es-ES" w:eastAsia="es-ES"/>
              </w:rPr>
            </w:pPr>
            <w:r>
              <w:rPr>
                <w:rFonts w:ascii="Arial Narrow" w:hAnsi="Arial Narrow"/>
                <w:lang w:val="es-ES" w:eastAsia="es-ES"/>
              </w:rPr>
              <w:t>197.980</w:t>
            </w:r>
          </w:p>
        </w:tc>
      </w:tr>
      <w:tr w:rsidR="00172D87" w:rsidRPr="004F2656" w:rsidTr="00476319">
        <w:trPr>
          <w:trHeight w:val="198"/>
          <w:jc w:val="center"/>
        </w:trPr>
        <w:tc>
          <w:tcPr>
            <w:tcW w:w="2867" w:type="pct"/>
            <w:tcBorders>
              <w:top w:val="single" w:sz="2" w:space="0" w:color="auto"/>
              <w:bottom w:val="single" w:sz="2" w:space="0" w:color="auto"/>
            </w:tcBorders>
            <w:shd w:val="clear" w:color="auto" w:fill="auto"/>
            <w:vAlign w:val="center"/>
          </w:tcPr>
          <w:p w:rsidR="00172D87" w:rsidRPr="004F2656" w:rsidRDefault="001D69F4" w:rsidP="006F3AEA">
            <w:pPr>
              <w:spacing w:after="0"/>
              <w:ind w:firstLine="0"/>
              <w:jc w:val="left"/>
              <w:rPr>
                <w:rFonts w:ascii="Arial Narrow" w:eastAsia="Calibri" w:hAnsi="Arial Narrow" w:cs="Calibri"/>
                <w:lang w:eastAsia="es-ES"/>
              </w:rPr>
            </w:pPr>
            <w:r>
              <w:rPr>
                <w:rFonts w:ascii="Arial Narrow" w:eastAsia="Calibri" w:hAnsi="Arial Narrow" w:cs="Calibri"/>
                <w:lang w:eastAsia="es-ES"/>
              </w:rPr>
              <w:t>Señalización vertical y horizontal</w:t>
            </w:r>
          </w:p>
        </w:tc>
        <w:tc>
          <w:tcPr>
            <w:tcW w:w="2133" w:type="pct"/>
            <w:gridSpan w:val="2"/>
            <w:tcBorders>
              <w:top w:val="single" w:sz="2" w:space="0" w:color="auto"/>
              <w:bottom w:val="single" w:sz="2" w:space="0" w:color="auto"/>
            </w:tcBorders>
            <w:shd w:val="clear" w:color="auto" w:fill="auto"/>
            <w:vAlign w:val="center"/>
          </w:tcPr>
          <w:p w:rsidR="00172D87" w:rsidRPr="004F2656" w:rsidRDefault="001D69F4" w:rsidP="006F3AEA">
            <w:pPr>
              <w:spacing w:after="0"/>
              <w:ind w:firstLine="0"/>
              <w:jc w:val="right"/>
              <w:rPr>
                <w:rFonts w:ascii="Arial Narrow" w:hAnsi="Arial Narrow"/>
                <w:lang w:val="es-ES" w:eastAsia="es-ES"/>
              </w:rPr>
            </w:pPr>
            <w:r>
              <w:rPr>
                <w:rFonts w:ascii="Arial Narrow" w:hAnsi="Arial Narrow"/>
                <w:lang w:val="es-ES" w:eastAsia="es-ES"/>
              </w:rPr>
              <w:t>130.542</w:t>
            </w:r>
          </w:p>
        </w:tc>
      </w:tr>
      <w:tr w:rsidR="00172D87" w:rsidRPr="004F2656" w:rsidTr="00476319">
        <w:trPr>
          <w:trHeight w:val="198"/>
          <w:jc w:val="center"/>
        </w:trPr>
        <w:tc>
          <w:tcPr>
            <w:tcW w:w="2867" w:type="pct"/>
            <w:tcBorders>
              <w:top w:val="single" w:sz="2" w:space="0" w:color="auto"/>
              <w:bottom w:val="single" w:sz="2" w:space="0" w:color="auto"/>
            </w:tcBorders>
            <w:shd w:val="clear" w:color="auto" w:fill="auto"/>
            <w:vAlign w:val="center"/>
          </w:tcPr>
          <w:p w:rsidR="00172D87" w:rsidRPr="004F2656" w:rsidRDefault="001D69F4" w:rsidP="006F3AEA">
            <w:pPr>
              <w:spacing w:after="0"/>
              <w:ind w:firstLine="0"/>
              <w:jc w:val="left"/>
              <w:rPr>
                <w:rFonts w:ascii="Arial Narrow" w:eastAsia="Calibri" w:hAnsi="Arial Narrow" w:cs="Calibri"/>
                <w:lang w:eastAsia="es-ES"/>
              </w:rPr>
            </w:pPr>
            <w:r>
              <w:rPr>
                <w:rFonts w:ascii="Arial Narrow" w:eastAsia="Calibri" w:hAnsi="Arial Narrow" w:cs="Calibri"/>
                <w:lang w:eastAsia="es-ES"/>
              </w:rPr>
              <w:t>Gestión cobro de multas</w:t>
            </w:r>
          </w:p>
        </w:tc>
        <w:tc>
          <w:tcPr>
            <w:tcW w:w="2133" w:type="pct"/>
            <w:gridSpan w:val="2"/>
            <w:tcBorders>
              <w:top w:val="single" w:sz="2" w:space="0" w:color="auto"/>
              <w:bottom w:val="single" w:sz="2" w:space="0" w:color="auto"/>
            </w:tcBorders>
            <w:shd w:val="clear" w:color="auto" w:fill="auto"/>
            <w:vAlign w:val="center"/>
          </w:tcPr>
          <w:p w:rsidR="00172D87" w:rsidRPr="004F2656" w:rsidRDefault="001D69F4" w:rsidP="006F3AEA">
            <w:pPr>
              <w:spacing w:after="0"/>
              <w:ind w:firstLine="0"/>
              <w:jc w:val="right"/>
              <w:rPr>
                <w:rFonts w:ascii="Arial Narrow" w:hAnsi="Arial Narrow"/>
                <w:lang w:val="es-ES" w:eastAsia="es-ES"/>
              </w:rPr>
            </w:pPr>
            <w:r w:rsidRPr="00264F6A">
              <w:rPr>
                <w:rFonts w:ascii="Arial Narrow" w:hAnsi="Arial Narrow"/>
                <w:color w:val="000000"/>
                <w:sz w:val="18"/>
                <w:szCs w:val="18"/>
                <w:lang w:val="es-ES"/>
              </w:rPr>
              <w:t>103.627</w:t>
            </w:r>
          </w:p>
        </w:tc>
      </w:tr>
      <w:tr w:rsidR="001D69F4" w:rsidRPr="004F2656" w:rsidTr="00476319">
        <w:trPr>
          <w:trHeight w:val="198"/>
          <w:jc w:val="center"/>
        </w:trPr>
        <w:tc>
          <w:tcPr>
            <w:tcW w:w="2867" w:type="pct"/>
            <w:tcBorders>
              <w:top w:val="single" w:sz="2" w:space="0" w:color="auto"/>
              <w:bottom w:val="single" w:sz="4" w:space="0" w:color="auto"/>
            </w:tcBorders>
            <w:shd w:val="clear" w:color="auto" w:fill="auto"/>
            <w:vAlign w:val="center"/>
          </w:tcPr>
          <w:p w:rsidR="001D69F4" w:rsidRPr="004F2656" w:rsidRDefault="001D69F4" w:rsidP="00710241">
            <w:pPr>
              <w:spacing w:after="0"/>
              <w:ind w:firstLine="0"/>
              <w:jc w:val="left"/>
              <w:rPr>
                <w:rFonts w:ascii="Arial Narrow" w:eastAsia="Calibri" w:hAnsi="Arial Narrow" w:cs="Calibri"/>
                <w:lang w:eastAsia="es-ES"/>
              </w:rPr>
            </w:pPr>
            <w:r>
              <w:rPr>
                <w:rFonts w:ascii="Arial Narrow" w:eastAsia="Calibri" w:hAnsi="Arial Narrow" w:cs="Calibri"/>
                <w:lang w:eastAsia="es-ES"/>
              </w:rPr>
              <w:t>Servicios informáticos</w:t>
            </w:r>
            <w:r w:rsidR="00710241">
              <w:rPr>
                <w:rFonts w:ascii="Arial Narrow" w:eastAsia="Calibri" w:hAnsi="Arial Narrow" w:cs="Calibri"/>
                <w:lang w:eastAsia="es-ES"/>
              </w:rPr>
              <w:t xml:space="preserve"> </w:t>
            </w:r>
          </w:p>
        </w:tc>
        <w:tc>
          <w:tcPr>
            <w:tcW w:w="2133" w:type="pct"/>
            <w:gridSpan w:val="2"/>
            <w:tcBorders>
              <w:top w:val="single" w:sz="2" w:space="0" w:color="auto"/>
              <w:bottom w:val="single" w:sz="4" w:space="0" w:color="auto"/>
            </w:tcBorders>
            <w:shd w:val="clear" w:color="auto" w:fill="auto"/>
            <w:vAlign w:val="center"/>
          </w:tcPr>
          <w:p w:rsidR="001D69F4" w:rsidRPr="004F2656" w:rsidRDefault="001D69F4" w:rsidP="007730E9">
            <w:pPr>
              <w:spacing w:after="0"/>
              <w:ind w:firstLine="0"/>
              <w:jc w:val="right"/>
              <w:rPr>
                <w:rFonts w:ascii="Arial Narrow" w:hAnsi="Arial Narrow"/>
                <w:lang w:val="es-ES" w:eastAsia="es-ES"/>
              </w:rPr>
            </w:pPr>
            <w:r>
              <w:rPr>
                <w:rFonts w:ascii="Arial Narrow" w:hAnsi="Arial Narrow"/>
                <w:lang w:val="es-ES" w:eastAsia="es-ES"/>
              </w:rPr>
              <w:t>77.418</w:t>
            </w:r>
          </w:p>
        </w:tc>
      </w:tr>
      <w:tr w:rsidR="00172D87" w:rsidRPr="004F2656" w:rsidTr="00476319">
        <w:trPr>
          <w:trHeight w:val="198"/>
          <w:jc w:val="center"/>
        </w:trPr>
        <w:tc>
          <w:tcPr>
            <w:tcW w:w="2867" w:type="pct"/>
            <w:tcBorders>
              <w:top w:val="single" w:sz="4" w:space="0" w:color="auto"/>
              <w:bottom w:val="single" w:sz="4" w:space="0" w:color="auto"/>
            </w:tcBorders>
            <w:shd w:val="clear" w:color="auto" w:fill="auto"/>
            <w:vAlign w:val="center"/>
          </w:tcPr>
          <w:p w:rsidR="00172D87" w:rsidRPr="004F2656" w:rsidRDefault="001D69F4" w:rsidP="001D69F4">
            <w:pPr>
              <w:spacing w:after="0"/>
              <w:ind w:firstLine="0"/>
              <w:jc w:val="left"/>
              <w:rPr>
                <w:rFonts w:ascii="Arial Narrow" w:eastAsia="Calibri" w:hAnsi="Arial Narrow" w:cs="Calibri"/>
                <w:lang w:eastAsia="es-ES"/>
              </w:rPr>
            </w:pPr>
            <w:r>
              <w:rPr>
                <w:rFonts w:ascii="Arial Narrow" w:eastAsia="Calibri" w:hAnsi="Arial Narrow" w:cs="Calibri"/>
                <w:lang w:eastAsia="es-ES"/>
              </w:rPr>
              <w:t>Acciones fomento actividad económica</w:t>
            </w:r>
          </w:p>
        </w:tc>
        <w:tc>
          <w:tcPr>
            <w:tcW w:w="2133" w:type="pct"/>
            <w:gridSpan w:val="2"/>
            <w:tcBorders>
              <w:top w:val="single" w:sz="4" w:space="0" w:color="auto"/>
              <w:bottom w:val="single" w:sz="4" w:space="0" w:color="auto"/>
            </w:tcBorders>
            <w:shd w:val="clear" w:color="auto" w:fill="auto"/>
            <w:vAlign w:val="center"/>
          </w:tcPr>
          <w:p w:rsidR="00172D87" w:rsidRPr="004F2656" w:rsidRDefault="001D69F4" w:rsidP="006F3AEA">
            <w:pPr>
              <w:spacing w:after="0"/>
              <w:ind w:firstLine="0"/>
              <w:jc w:val="right"/>
              <w:rPr>
                <w:rFonts w:ascii="Arial Narrow" w:hAnsi="Arial Narrow"/>
                <w:lang w:val="es-ES" w:eastAsia="es-ES"/>
              </w:rPr>
            </w:pPr>
            <w:r>
              <w:rPr>
                <w:rFonts w:ascii="Arial Narrow" w:hAnsi="Arial Narrow"/>
                <w:lang w:val="es-ES" w:eastAsia="es-ES"/>
              </w:rPr>
              <w:t>70.223</w:t>
            </w:r>
          </w:p>
        </w:tc>
      </w:tr>
    </w:tbl>
    <w:p w:rsidR="0067725A" w:rsidRDefault="0067725A" w:rsidP="00487859">
      <w:pPr>
        <w:pStyle w:val="texto"/>
        <w:tabs>
          <w:tab w:val="left" w:pos="708"/>
        </w:tabs>
        <w:spacing w:before="240" w:after="160"/>
      </w:pPr>
      <w:r w:rsidRPr="00D947CE">
        <w:t xml:space="preserve">De nuestra </w:t>
      </w:r>
      <w:r w:rsidR="004537A3">
        <w:t xml:space="preserve">revisión </w:t>
      </w:r>
      <w:r w:rsidR="00F063F9">
        <w:t>concluimos</w:t>
      </w:r>
      <w:r w:rsidRPr="00D947CE">
        <w:t xml:space="preserve"> que,</w:t>
      </w:r>
      <w:r>
        <w:t xml:space="preserve"> en general,</w:t>
      </w:r>
      <w:r w:rsidRPr="00D947CE">
        <w:t xml:space="preserve"> en la muestra fiscalizada los gastos están justificados, aprobados, intervenidos</w:t>
      </w:r>
      <w:r w:rsidR="00265D80">
        <w:t xml:space="preserve"> y correctamente</w:t>
      </w:r>
      <w:r w:rsidRPr="008B2583">
        <w:t xml:space="preserve"> contabilizados y pagados</w:t>
      </w:r>
      <w:r w:rsidR="00F063F9">
        <w:t>. No obstante, señalamos las siguientes deficiencias</w:t>
      </w:r>
      <w:r w:rsidR="00EF0CF7">
        <w:t>:</w:t>
      </w:r>
    </w:p>
    <w:p w:rsidR="00AF3326" w:rsidRPr="00E045F3" w:rsidRDefault="00E5690B" w:rsidP="00D56C93">
      <w:pPr>
        <w:pStyle w:val="texto"/>
        <w:numPr>
          <w:ilvl w:val="0"/>
          <w:numId w:val="1"/>
        </w:numPr>
        <w:tabs>
          <w:tab w:val="clear" w:pos="2835"/>
          <w:tab w:val="clear" w:pos="3969"/>
          <w:tab w:val="clear" w:pos="5103"/>
          <w:tab w:val="clear" w:pos="6237"/>
          <w:tab w:val="clear" w:pos="7371"/>
          <w:tab w:val="left" w:pos="480"/>
          <w:tab w:val="num" w:pos="720"/>
          <w:tab w:val="num" w:pos="6597"/>
        </w:tabs>
        <w:ind w:left="0" w:firstLine="289"/>
        <w:rPr>
          <w:rFonts w:cs="Arial"/>
          <w:spacing w:val="4"/>
        </w:rPr>
      </w:pPr>
      <w:r w:rsidRPr="00E045F3">
        <w:rPr>
          <w:rFonts w:cs="Arial"/>
          <w:spacing w:val="4"/>
        </w:rPr>
        <w:t>En el contrato de mantenimiento de zonas verdes</w:t>
      </w:r>
      <w:r w:rsidR="00E045F3">
        <w:rPr>
          <w:rFonts w:cs="Arial"/>
          <w:spacing w:val="4"/>
        </w:rPr>
        <w:t xml:space="preserve"> n</w:t>
      </w:r>
      <w:r w:rsidR="00AF3326" w:rsidRPr="00E045F3">
        <w:rPr>
          <w:rFonts w:cs="Arial"/>
          <w:spacing w:val="4"/>
        </w:rPr>
        <w:t>o se realiza el seguimiento y comprobación del cumplimiento de las condiciones especiales de ejecución establ</w:t>
      </w:r>
      <w:r w:rsidR="00AF3326" w:rsidRPr="00E045F3">
        <w:rPr>
          <w:rFonts w:cs="Arial"/>
          <w:spacing w:val="4"/>
        </w:rPr>
        <w:t>e</w:t>
      </w:r>
      <w:r w:rsidR="00AF3326" w:rsidRPr="00E045F3">
        <w:rPr>
          <w:rFonts w:cs="Arial"/>
          <w:spacing w:val="4"/>
        </w:rPr>
        <w:t xml:space="preserve">cidas en el pliego de </w:t>
      </w:r>
      <w:r w:rsidR="00555A53" w:rsidRPr="00E045F3">
        <w:rPr>
          <w:rFonts w:cs="Arial"/>
          <w:spacing w:val="4"/>
        </w:rPr>
        <w:t>cláusulas</w:t>
      </w:r>
      <w:r w:rsidR="00AF3326" w:rsidRPr="00E045F3">
        <w:rPr>
          <w:rFonts w:cs="Arial"/>
          <w:spacing w:val="4"/>
        </w:rPr>
        <w:t xml:space="preserve"> administrativas </w:t>
      </w:r>
      <w:r w:rsidR="00E045F3">
        <w:rPr>
          <w:rFonts w:cs="Arial"/>
          <w:spacing w:val="4"/>
        </w:rPr>
        <w:t xml:space="preserve">particulares </w:t>
      </w:r>
      <w:r w:rsidR="00AF3326" w:rsidRPr="00E045F3">
        <w:rPr>
          <w:rFonts w:cs="Arial"/>
          <w:spacing w:val="4"/>
        </w:rPr>
        <w:t>(PCAP en adelante).</w:t>
      </w:r>
    </w:p>
    <w:p w:rsidR="00B52CAB" w:rsidRPr="00731B43" w:rsidRDefault="00120015" w:rsidP="00D56C93">
      <w:pPr>
        <w:pStyle w:val="texto"/>
        <w:numPr>
          <w:ilvl w:val="0"/>
          <w:numId w:val="1"/>
        </w:numPr>
        <w:tabs>
          <w:tab w:val="clear" w:pos="2835"/>
          <w:tab w:val="clear" w:pos="3969"/>
          <w:tab w:val="clear" w:pos="5103"/>
          <w:tab w:val="clear" w:pos="6237"/>
          <w:tab w:val="clear" w:pos="7371"/>
          <w:tab w:val="left" w:pos="480"/>
          <w:tab w:val="num" w:pos="720"/>
          <w:tab w:val="num" w:pos="6597"/>
        </w:tabs>
        <w:ind w:left="0" w:firstLine="289"/>
        <w:rPr>
          <w:rFonts w:cs="Arial"/>
        </w:rPr>
      </w:pPr>
      <w:r w:rsidRPr="00731B43">
        <w:rPr>
          <w:rFonts w:cs="Arial"/>
        </w:rPr>
        <w:t>El</w:t>
      </w:r>
      <w:r w:rsidR="00B52CAB" w:rsidRPr="00731B43">
        <w:rPr>
          <w:rFonts w:cs="Arial"/>
        </w:rPr>
        <w:t xml:space="preserve"> </w:t>
      </w:r>
      <w:r w:rsidR="00172D87" w:rsidRPr="00731B43">
        <w:rPr>
          <w:rFonts w:cs="Arial"/>
        </w:rPr>
        <w:t xml:space="preserve">servicio de </w:t>
      </w:r>
      <w:r w:rsidR="001D69F4" w:rsidRPr="00731B43">
        <w:rPr>
          <w:rFonts w:cs="Arial"/>
        </w:rPr>
        <w:t>gestión de multas</w:t>
      </w:r>
      <w:r w:rsidR="00172D87" w:rsidRPr="00731B43">
        <w:rPr>
          <w:rFonts w:cs="Arial"/>
        </w:rPr>
        <w:t xml:space="preserve"> </w:t>
      </w:r>
      <w:r w:rsidR="00276661" w:rsidRPr="00731B43">
        <w:rPr>
          <w:rFonts w:cs="Arial"/>
        </w:rPr>
        <w:t>lo</w:t>
      </w:r>
      <w:r w:rsidR="00B52CAB" w:rsidRPr="00731B43">
        <w:rPr>
          <w:rFonts w:cs="Arial"/>
        </w:rPr>
        <w:t xml:space="preserve"> ha</w:t>
      </w:r>
      <w:r w:rsidRPr="00731B43">
        <w:rPr>
          <w:rFonts w:cs="Arial"/>
        </w:rPr>
        <w:t xml:space="preserve"> </w:t>
      </w:r>
      <w:r w:rsidR="00B52CAB" w:rsidRPr="00731B43">
        <w:rPr>
          <w:rFonts w:cs="Arial"/>
        </w:rPr>
        <w:t>seguido prestando el anterior adjudicat</w:t>
      </w:r>
      <w:r w:rsidR="00B52CAB" w:rsidRPr="00731B43">
        <w:rPr>
          <w:rFonts w:cs="Arial"/>
        </w:rPr>
        <w:t>a</w:t>
      </w:r>
      <w:r w:rsidR="00B52CAB" w:rsidRPr="00731B43">
        <w:rPr>
          <w:rFonts w:cs="Arial"/>
        </w:rPr>
        <w:t>rio</w:t>
      </w:r>
      <w:r w:rsidR="001D69F4" w:rsidRPr="00731B43">
        <w:rPr>
          <w:rFonts w:cs="Arial"/>
        </w:rPr>
        <w:t xml:space="preserve"> hasta mayo de 2019</w:t>
      </w:r>
      <w:r w:rsidR="00B52CAB" w:rsidRPr="00731B43">
        <w:rPr>
          <w:rFonts w:cs="Arial"/>
        </w:rPr>
        <w:t>, a pesar de haber agotado todas las prórrogas previstas</w:t>
      </w:r>
      <w:r w:rsidR="00D53619" w:rsidRPr="00731B43">
        <w:rPr>
          <w:rFonts w:cs="Arial"/>
        </w:rPr>
        <w:t xml:space="preserve"> en julio de 2018</w:t>
      </w:r>
      <w:r w:rsidR="001D69F4" w:rsidRPr="00731B43">
        <w:rPr>
          <w:rFonts w:cs="Arial"/>
        </w:rPr>
        <w:t>. El gasto reconocido en 2019</w:t>
      </w:r>
      <w:r w:rsidR="00172D87" w:rsidRPr="00731B43">
        <w:rPr>
          <w:rFonts w:cs="Arial"/>
        </w:rPr>
        <w:t xml:space="preserve"> </w:t>
      </w:r>
      <w:r w:rsidR="00D53619" w:rsidRPr="00731B43">
        <w:rPr>
          <w:rFonts w:cs="Arial"/>
        </w:rPr>
        <w:t xml:space="preserve">a favor de dicha empresa </w:t>
      </w:r>
      <w:r w:rsidR="00172D87" w:rsidRPr="00731B43">
        <w:rPr>
          <w:rFonts w:cs="Arial"/>
        </w:rPr>
        <w:t xml:space="preserve">ha sido de </w:t>
      </w:r>
      <w:r w:rsidR="00E045F3" w:rsidRPr="00731B43">
        <w:rPr>
          <w:rFonts w:cs="Arial"/>
        </w:rPr>
        <w:t>141.674</w:t>
      </w:r>
      <w:r w:rsidR="00AF3326" w:rsidRPr="00731B43">
        <w:rPr>
          <w:rFonts w:cs="Arial"/>
        </w:rPr>
        <w:t xml:space="preserve"> euros</w:t>
      </w:r>
      <w:r w:rsidR="00D53619" w:rsidRPr="00731B43">
        <w:rPr>
          <w:rFonts w:cs="Arial"/>
        </w:rPr>
        <w:t>.</w:t>
      </w:r>
    </w:p>
    <w:p w:rsidR="0067725A" w:rsidRPr="0052081A" w:rsidRDefault="0067725A" w:rsidP="00824EB4">
      <w:pPr>
        <w:pStyle w:val="atitulo3"/>
      </w:pPr>
      <w:r w:rsidRPr="00AF3326">
        <w:t>Licitación y adjudicación de contratos</w:t>
      </w:r>
    </w:p>
    <w:p w:rsidR="00EA160D" w:rsidRDefault="00172D87" w:rsidP="00342ED6">
      <w:pPr>
        <w:pStyle w:val="texto"/>
        <w:tabs>
          <w:tab w:val="clear" w:pos="2835"/>
          <w:tab w:val="clear" w:pos="3969"/>
          <w:tab w:val="clear" w:pos="5103"/>
          <w:tab w:val="clear" w:pos="6237"/>
          <w:tab w:val="clear" w:pos="7371"/>
        </w:tabs>
        <w:spacing w:after="260"/>
      </w:pPr>
      <w:r>
        <w:t>Hemos</w:t>
      </w:r>
      <w:r w:rsidR="0067725A" w:rsidRPr="0075265C">
        <w:t xml:space="preserve"> revisado las siguientes </w:t>
      </w:r>
      <w:r w:rsidR="0067725A">
        <w:t>licitaciones</w:t>
      </w:r>
      <w:r w:rsidR="002E5F59">
        <w:t>,</w:t>
      </w:r>
      <w:r w:rsidR="0067725A">
        <w:t xml:space="preserve"> así como su adjudicación y la ejec</w:t>
      </w:r>
      <w:r w:rsidR="0067725A">
        <w:t>u</w:t>
      </w:r>
      <w:r w:rsidR="0067725A">
        <w:t>ción del gasto correspondiente en este año:</w:t>
      </w:r>
      <w:r w:rsidR="0081232C">
        <w:t xml:space="preserve"> </w:t>
      </w:r>
    </w:p>
    <w:tbl>
      <w:tblPr>
        <w:tblW w:w="4993" w:type="pct"/>
        <w:jc w:val="center"/>
        <w:tblLayout w:type="fixed"/>
        <w:tblCellMar>
          <w:left w:w="70" w:type="dxa"/>
          <w:right w:w="70" w:type="dxa"/>
        </w:tblCellMar>
        <w:tblLook w:val="04A0" w:firstRow="1" w:lastRow="0" w:firstColumn="1" w:lastColumn="0" w:noHBand="0" w:noVBand="1"/>
      </w:tblPr>
      <w:tblGrid>
        <w:gridCol w:w="4152"/>
        <w:gridCol w:w="1699"/>
        <w:gridCol w:w="852"/>
        <w:gridCol w:w="140"/>
        <w:gridCol w:w="921"/>
        <w:gridCol w:w="919"/>
        <w:gridCol w:w="658"/>
      </w:tblGrid>
      <w:tr w:rsidR="0081232C" w:rsidRPr="00A536E4" w:rsidTr="00FE2791">
        <w:trPr>
          <w:trHeight w:val="413"/>
          <w:jc w:val="center"/>
        </w:trPr>
        <w:tc>
          <w:tcPr>
            <w:tcW w:w="2221" w:type="pct"/>
            <w:tcBorders>
              <w:top w:val="single" w:sz="4" w:space="0" w:color="auto"/>
              <w:left w:val="nil"/>
              <w:bottom w:val="single" w:sz="4" w:space="0" w:color="auto"/>
              <w:right w:val="nil"/>
            </w:tcBorders>
            <w:shd w:val="clear" w:color="auto" w:fill="FABF8F" w:themeFill="accent6" w:themeFillTint="99"/>
            <w:vAlign w:val="center"/>
            <w:hideMark/>
          </w:tcPr>
          <w:p w:rsidR="0081232C" w:rsidRPr="00A536E4" w:rsidRDefault="0081232C" w:rsidP="004D712A">
            <w:pPr>
              <w:spacing w:after="0"/>
              <w:ind w:firstLine="0"/>
              <w:jc w:val="left"/>
              <w:rPr>
                <w:rFonts w:ascii="Arial" w:hAnsi="Arial" w:cs="Arial"/>
                <w:color w:val="000000"/>
                <w:sz w:val="16"/>
                <w:szCs w:val="16"/>
                <w:lang w:val="es-ES" w:eastAsia="es-ES"/>
              </w:rPr>
            </w:pPr>
            <w:r w:rsidRPr="00A536E4">
              <w:rPr>
                <w:rFonts w:ascii="Arial" w:hAnsi="Arial" w:cs="Arial"/>
                <w:color w:val="000000"/>
                <w:sz w:val="16"/>
                <w:szCs w:val="16"/>
                <w:lang w:eastAsia="es-ES"/>
              </w:rPr>
              <w:t>Contrato</w:t>
            </w:r>
          </w:p>
        </w:tc>
        <w:tc>
          <w:tcPr>
            <w:tcW w:w="909" w:type="pct"/>
            <w:tcBorders>
              <w:top w:val="single" w:sz="4" w:space="0" w:color="auto"/>
              <w:left w:val="nil"/>
              <w:bottom w:val="single" w:sz="4" w:space="0" w:color="auto"/>
              <w:right w:val="nil"/>
            </w:tcBorders>
            <w:shd w:val="clear" w:color="auto" w:fill="FABF8F" w:themeFill="accent6" w:themeFillTint="99"/>
            <w:vAlign w:val="center"/>
            <w:hideMark/>
          </w:tcPr>
          <w:p w:rsidR="0081232C" w:rsidRPr="00A536E4" w:rsidRDefault="0081232C" w:rsidP="00D5528B">
            <w:pPr>
              <w:spacing w:after="0"/>
              <w:ind w:firstLine="0"/>
              <w:jc w:val="center"/>
              <w:rPr>
                <w:rFonts w:ascii="Arial" w:hAnsi="Arial" w:cs="Arial"/>
                <w:color w:val="000000"/>
                <w:sz w:val="16"/>
                <w:szCs w:val="16"/>
                <w:lang w:val="es-ES" w:eastAsia="es-ES"/>
              </w:rPr>
            </w:pPr>
            <w:r w:rsidRPr="00A536E4">
              <w:rPr>
                <w:rFonts w:ascii="Arial" w:hAnsi="Arial" w:cs="Arial"/>
                <w:color w:val="000000"/>
                <w:sz w:val="16"/>
                <w:szCs w:val="16"/>
                <w:lang w:eastAsia="es-ES"/>
              </w:rPr>
              <w:t>Procedimiento</w:t>
            </w:r>
          </w:p>
        </w:tc>
        <w:tc>
          <w:tcPr>
            <w:tcW w:w="531" w:type="pct"/>
            <w:gridSpan w:val="2"/>
            <w:tcBorders>
              <w:top w:val="single" w:sz="4" w:space="0" w:color="auto"/>
              <w:left w:val="nil"/>
              <w:bottom w:val="single" w:sz="4" w:space="0" w:color="auto"/>
              <w:right w:val="nil"/>
            </w:tcBorders>
            <w:shd w:val="clear" w:color="auto" w:fill="FABF8F" w:themeFill="accent6" w:themeFillTint="99"/>
            <w:vAlign w:val="center"/>
            <w:hideMark/>
          </w:tcPr>
          <w:p w:rsidR="0081232C" w:rsidRPr="00A536E4" w:rsidRDefault="0081232C" w:rsidP="00D5528B">
            <w:pPr>
              <w:spacing w:after="0"/>
              <w:ind w:firstLine="0"/>
              <w:jc w:val="right"/>
              <w:rPr>
                <w:rFonts w:ascii="Arial" w:hAnsi="Arial" w:cs="Arial"/>
                <w:color w:val="000000"/>
                <w:sz w:val="16"/>
                <w:szCs w:val="16"/>
                <w:lang w:eastAsia="es-ES"/>
              </w:rPr>
            </w:pPr>
            <w:r w:rsidRPr="00A536E4">
              <w:rPr>
                <w:rFonts w:ascii="Arial" w:hAnsi="Arial" w:cs="Arial"/>
                <w:color w:val="000000"/>
                <w:sz w:val="16"/>
                <w:szCs w:val="16"/>
                <w:lang w:eastAsia="es-ES"/>
              </w:rPr>
              <w:t>Nº</w:t>
            </w:r>
          </w:p>
          <w:p w:rsidR="0081232C" w:rsidRPr="00A536E4" w:rsidRDefault="00EA5DA2" w:rsidP="00EA5DA2">
            <w:pPr>
              <w:spacing w:after="0"/>
              <w:ind w:firstLine="0"/>
              <w:jc w:val="right"/>
              <w:rPr>
                <w:rFonts w:ascii="Arial" w:hAnsi="Arial" w:cs="Arial"/>
                <w:color w:val="000000"/>
                <w:sz w:val="16"/>
                <w:szCs w:val="16"/>
                <w:lang w:val="es-ES" w:eastAsia="es-ES"/>
              </w:rPr>
            </w:pPr>
            <w:r>
              <w:rPr>
                <w:rFonts w:ascii="Arial" w:hAnsi="Arial" w:cs="Arial"/>
                <w:color w:val="000000"/>
                <w:sz w:val="16"/>
                <w:szCs w:val="16"/>
                <w:lang w:eastAsia="es-ES"/>
              </w:rPr>
              <w:t>l</w:t>
            </w:r>
            <w:r w:rsidR="0081232C" w:rsidRPr="00A536E4">
              <w:rPr>
                <w:rFonts w:ascii="Arial" w:hAnsi="Arial" w:cs="Arial"/>
                <w:color w:val="000000"/>
                <w:sz w:val="16"/>
                <w:szCs w:val="16"/>
                <w:lang w:eastAsia="es-ES"/>
              </w:rPr>
              <w:t>icitadores</w:t>
            </w:r>
          </w:p>
        </w:tc>
        <w:tc>
          <w:tcPr>
            <w:tcW w:w="493" w:type="pct"/>
            <w:tcBorders>
              <w:top w:val="single" w:sz="4" w:space="0" w:color="auto"/>
              <w:left w:val="nil"/>
              <w:bottom w:val="single" w:sz="4" w:space="0" w:color="auto"/>
              <w:right w:val="nil"/>
            </w:tcBorders>
            <w:shd w:val="clear" w:color="auto" w:fill="FABF8F" w:themeFill="accent6" w:themeFillTint="99"/>
            <w:vAlign w:val="center"/>
          </w:tcPr>
          <w:p w:rsidR="0081232C" w:rsidRPr="00A536E4" w:rsidRDefault="0081232C" w:rsidP="00D5528B">
            <w:pPr>
              <w:spacing w:after="0"/>
              <w:ind w:firstLine="0"/>
              <w:jc w:val="right"/>
              <w:rPr>
                <w:rFonts w:ascii="Arial" w:hAnsi="Arial" w:cs="Arial"/>
                <w:color w:val="000000"/>
                <w:sz w:val="16"/>
                <w:szCs w:val="16"/>
                <w:lang w:eastAsia="es-ES"/>
              </w:rPr>
            </w:pPr>
            <w:r w:rsidRPr="00A536E4">
              <w:rPr>
                <w:rFonts w:ascii="Arial" w:hAnsi="Arial" w:cs="Arial"/>
                <w:color w:val="000000"/>
                <w:sz w:val="16"/>
                <w:szCs w:val="16"/>
                <w:lang w:eastAsia="es-ES"/>
              </w:rPr>
              <w:t>Importe licitación*</w:t>
            </w:r>
          </w:p>
        </w:tc>
        <w:tc>
          <w:tcPr>
            <w:tcW w:w="492" w:type="pct"/>
            <w:tcBorders>
              <w:top w:val="single" w:sz="4" w:space="0" w:color="auto"/>
              <w:left w:val="nil"/>
              <w:bottom w:val="single" w:sz="4" w:space="0" w:color="auto"/>
              <w:right w:val="nil"/>
            </w:tcBorders>
            <w:shd w:val="clear" w:color="auto" w:fill="FABF8F" w:themeFill="accent6" w:themeFillTint="99"/>
            <w:vAlign w:val="center"/>
            <w:hideMark/>
          </w:tcPr>
          <w:p w:rsidR="0081232C" w:rsidRPr="00A536E4" w:rsidRDefault="0081232C" w:rsidP="00EA5DA2">
            <w:pPr>
              <w:spacing w:after="0"/>
              <w:ind w:firstLine="0"/>
              <w:jc w:val="right"/>
              <w:rPr>
                <w:rFonts w:ascii="Arial" w:hAnsi="Arial" w:cs="Arial"/>
                <w:color w:val="000000"/>
                <w:sz w:val="16"/>
                <w:szCs w:val="16"/>
                <w:lang w:val="es-ES" w:eastAsia="es-ES"/>
              </w:rPr>
            </w:pPr>
            <w:r w:rsidRPr="00A536E4">
              <w:rPr>
                <w:rFonts w:ascii="Arial" w:hAnsi="Arial" w:cs="Arial"/>
                <w:color w:val="000000"/>
                <w:sz w:val="16"/>
                <w:szCs w:val="16"/>
                <w:lang w:eastAsia="es-ES"/>
              </w:rPr>
              <w:t>Precio</w:t>
            </w:r>
            <w:r>
              <w:rPr>
                <w:rFonts w:ascii="Arial" w:hAnsi="Arial" w:cs="Arial"/>
                <w:color w:val="000000"/>
                <w:sz w:val="16"/>
                <w:szCs w:val="16"/>
                <w:lang w:eastAsia="es-ES"/>
              </w:rPr>
              <w:t xml:space="preserve"> </w:t>
            </w:r>
            <w:r w:rsidR="00EA5DA2">
              <w:rPr>
                <w:rFonts w:ascii="Arial" w:hAnsi="Arial" w:cs="Arial"/>
                <w:color w:val="000000"/>
                <w:sz w:val="16"/>
                <w:szCs w:val="16"/>
                <w:lang w:eastAsia="es-ES"/>
              </w:rPr>
              <w:t>a</w:t>
            </w:r>
            <w:r w:rsidRPr="00A536E4">
              <w:rPr>
                <w:rFonts w:ascii="Arial" w:hAnsi="Arial" w:cs="Arial"/>
                <w:color w:val="000000"/>
                <w:sz w:val="16"/>
                <w:szCs w:val="16"/>
                <w:lang w:eastAsia="es-ES"/>
              </w:rPr>
              <w:t>djudica*</w:t>
            </w:r>
          </w:p>
        </w:tc>
        <w:tc>
          <w:tcPr>
            <w:tcW w:w="352" w:type="pct"/>
            <w:tcBorders>
              <w:top w:val="single" w:sz="4" w:space="0" w:color="auto"/>
              <w:left w:val="nil"/>
              <w:bottom w:val="single" w:sz="4" w:space="0" w:color="auto"/>
              <w:right w:val="nil"/>
            </w:tcBorders>
            <w:shd w:val="clear" w:color="auto" w:fill="FABF8F" w:themeFill="accent6" w:themeFillTint="99"/>
            <w:vAlign w:val="center"/>
            <w:hideMark/>
          </w:tcPr>
          <w:p w:rsidR="0081232C" w:rsidRPr="00A536E4" w:rsidRDefault="0081232C" w:rsidP="00D5528B">
            <w:pPr>
              <w:spacing w:after="0"/>
              <w:ind w:firstLine="0"/>
              <w:jc w:val="right"/>
              <w:rPr>
                <w:rFonts w:ascii="Arial" w:hAnsi="Arial" w:cs="Arial"/>
                <w:color w:val="000000"/>
                <w:sz w:val="16"/>
                <w:szCs w:val="16"/>
                <w:lang w:val="es-ES" w:eastAsia="es-ES"/>
              </w:rPr>
            </w:pPr>
            <w:r w:rsidRPr="00A536E4">
              <w:rPr>
                <w:rFonts w:ascii="Arial" w:hAnsi="Arial" w:cs="Arial"/>
                <w:color w:val="000000"/>
                <w:sz w:val="16"/>
                <w:szCs w:val="16"/>
                <w:lang w:val="es-ES" w:eastAsia="es-ES"/>
              </w:rPr>
              <w:t>% Baja</w:t>
            </w:r>
          </w:p>
        </w:tc>
      </w:tr>
      <w:tr w:rsidR="0081232C" w:rsidRPr="00A536E4" w:rsidTr="00FE2791">
        <w:trPr>
          <w:trHeight w:val="227"/>
          <w:jc w:val="center"/>
        </w:trPr>
        <w:tc>
          <w:tcPr>
            <w:tcW w:w="2221" w:type="pct"/>
            <w:tcBorders>
              <w:top w:val="single" w:sz="4" w:space="0" w:color="auto"/>
              <w:left w:val="nil"/>
              <w:bottom w:val="single" w:sz="2" w:space="0" w:color="auto"/>
              <w:right w:val="nil"/>
            </w:tcBorders>
            <w:shd w:val="clear" w:color="auto" w:fill="auto"/>
            <w:noWrap/>
            <w:vAlign w:val="center"/>
          </w:tcPr>
          <w:p w:rsidR="00EA5DA2" w:rsidRDefault="00B3358E" w:rsidP="00AF3326">
            <w:pPr>
              <w:spacing w:after="0"/>
              <w:ind w:firstLine="0"/>
              <w:jc w:val="left"/>
              <w:rPr>
                <w:rFonts w:ascii="Arial Narrow" w:hAnsi="Arial Narrow"/>
                <w:color w:val="000000"/>
                <w:sz w:val="18"/>
                <w:szCs w:val="18"/>
                <w:lang w:val="es-ES" w:eastAsia="es-ES"/>
              </w:rPr>
            </w:pPr>
            <w:r>
              <w:rPr>
                <w:rFonts w:ascii="Arial Narrow" w:hAnsi="Arial Narrow"/>
                <w:color w:val="000000"/>
                <w:sz w:val="18"/>
                <w:szCs w:val="18"/>
                <w:lang w:val="es-ES" w:eastAsia="es-ES"/>
              </w:rPr>
              <w:t>Mantenimiento</w:t>
            </w:r>
            <w:r w:rsidR="0081232C">
              <w:rPr>
                <w:rFonts w:ascii="Arial Narrow" w:hAnsi="Arial Narrow"/>
                <w:color w:val="000000"/>
                <w:sz w:val="18"/>
                <w:szCs w:val="18"/>
                <w:lang w:val="es-ES" w:eastAsia="es-ES"/>
              </w:rPr>
              <w:t>, suministro e instalación de señalización</w:t>
            </w:r>
            <w:r>
              <w:rPr>
                <w:rFonts w:ascii="Arial Narrow" w:hAnsi="Arial Narrow"/>
                <w:color w:val="000000"/>
                <w:sz w:val="18"/>
                <w:szCs w:val="18"/>
                <w:lang w:val="es-ES" w:eastAsia="es-ES"/>
              </w:rPr>
              <w:t xml:space="preserve"> </w:t>
            </w:r>
          </w:p>
          <w:p w:rsidR="0081232C" w:rsidRPr="00A536E4" w:rsidRDefault="00B3358E" w:rsidP="00AF3326">
            <w:pPr>
              <w:spacing w:after="0"/>
              <w:ind w:firstLine="0"/>
              <w:jc w:val="left"/>
              <w:rPr>
                <w:rFonts w:ascii="Arial Narrow" w:hAnsi="Arial Narrow"/>
                <w:color w:val="000000"/>
                <w:sz w:val="18"/>
                <w:szCs w:val="18"/>
                <w:lang w:val="es-ES" w:eastAsia="es-ES"/>
              </w:rPr>
            </w:pPr>
            <w:r>
              <w:rPr>
                <w:rFonts w:ascii="Arial Narrow" w:hAnsi="Arial Narrow"/>
                <w:color w:val="000000"/>
                <w:sz w:val="18"/>
                <w:szCs w:val="18"/>
                <w:lang w:val="es-ES" w:eastAsia="es-ES"/>
              </w:rPr>
              <w:t xml:space="preserve">vertical y horizontal en </w:t>
            </w:r>
            <w:proofErr w:type="spellStart"/>
            <w:r>
              <w:rPr>
                <w:rFonts w:ascii="Arial Narrow" w:hAnsi="Arial Narrow"/>
                <w:color w:val="000000"/>
                <w:sz w:val="18"/>
                <w:szCs w:val="18"/>
                <w:lang w:val="es-ES" w:eastAsia="es-ES"/>
              </w:rPr>
              <w:t>Egüés</w:t>
            </w:r>
            <w:proofErr w:type="spellEnd"/>
          </w:p>
        </w:tc>
        <w:tc>
          <w:tcPr>
            <w:tcW w:w="909" w:type="pct"/>
            <w:tcBorders>
              <w:top w:val="single" w:sz="4" w:space="0" w:color="auto"/>
              <w:left w:val="nil"/>
              <w:bottom w:val="single" w:sz="2" w:space="0" w:color="auto"/>
              <w:right w:val="nil"/>
            </w:tcBorders>
            <w:shd w:val="clear" w:color="auto" w:fill="auto"/>
            <w:vAlign w:val="center"/>
          </w:tcPr>
          <w:p w:rsidR="0081232C" w:rsidRPr="00A536E4" w:rsidRDefault="0081232C" w:rsidP="00D5528B">
            <w:pPr>
              <w:spacing w:after="0"/>
              <w:ind w:firstLine="0"/>
              <w:jc w:val="center"/>
              <w:rPr>
                <w:rFonts w:ascii="Arial Narrow" w:hAnsi="Arial Narrow"/>
                <w:sz w:val="18"/>
                <w:szCs w:val="18"/>
                <w:lang w:val="es-ES" w:eastAsia="es-ES"/>
              </w:rPr>
            </w:pPr>
            <w:r w:rsidRPr="00A536E4">
              <w:rPr>
                <w:rFonts w:ascii="Arial Narrow" w:hAnsi="Arial Narrow"/>
                <w:sz w:val="18"/>
                <w:szCs w:val="18"/>
                <w:lang w:val="es-ES" w:eastAsia="es-ES"/>
              </w:rPr>
              <w:t>Abierto inferior al u</w:t>
            </w:r>
            <w:r w:rsidRPr="00A536E4">
              <w:rPr>
                <w:rFonts w:ascii="Arial Narrow" w:hAnsi="Arial Narrow"/>
                <w:sz w:val="18"/>
                <w:szCs w:val="18"/>
                <w:lang w:val="es-ES" w:eastAsia="es-ES"/>
              </w:rPr>
              <w:t>m</w:t>
            </w:r>
            <w:r w:rsidRPr="00A536E4">
              <w:rPr>
                <w:rFonts w:ascii="Arial Narrow" w:hAnsi="Arial Narrow"/>
                <w:sz w:val="18"/>
                <w:szCs w:val="18"/>
                <w:lang w:val="es-ES" w:eastAsia="es-ES"/>
              </w:rPr>
              <w:t>bral  comunitario</w:t>
            </w:r>
          </w:p>
        </w:tc>
        <w:tc>
          <w:tcPr>
            <w:tcW w:w="456" w:type="pct"/>
            <w:tcBorders>
              <w:top w:val="single" w:sz="4" w:space="0" w:color="auto"/>
              <w:left w:val="nil"/>
              <w:bottom w:val="single" w:sz="2" w:space="0" w:color="auto"/>
              <w:right w:val="nil"/>
            </w:tcBorders>
            <w:shd w:val="clear" w:color="auto" w:fill="auto"/>
            <w:vAlign w:val="center"/>
          </w:tcPr>
          <w:p w:rsidR="0081232C" w:rsidRPr="00A536E4" w:rsidRDefault="0081232C" w:rsidP="00D5528B">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2</w:t>
            </w:r>
          </w:p>
        </w:tc>
        <w:tc>
          <w:tcPr>
            <w:tcW w:w="568" w:type="pct"/>
            <w:gridSpan w:val="2"/>
            <w:tcBorders>
              <w:top w:val="single" w:sz="4" w:space="0" w:color="auto"/>
              <w:left w:val="nil"/>
              <w:bottom w:val="single" w:sz="2" w:space="0" w:color="auto"/>
              <w:right w:val="nil"/>
            </w:tcBorders>
            <w:vAlign w:val="center"/>
          </w:tcPr>
          <w:p w:rsidR="0081232C" w:rsidRPr="00A536E4" w:rsidRDefault="0081232C" w:rsidP="00D5528B">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49.587</w:t>
            </w:r>
          </w:p>
        </w:tc>
        <w:tc>
          <w:tcPr>
            <w:tcW w:w="492" w:type="pct"/>
            <w:tcBorders>
              <w:top w:val="single" w:sz="4" w:space="0" w:color="auto"/>
              <w:left w:val="nil"/>
              <w:bottom w:val="single" w:sz="2" w:space="0" w:color="auto"/>
              <w:right w:val="nil"/>
            </w:tcBorders>
            <w:shd w:val="clear" w:color="auto" w:fill="auto"/>
            <w:noWrap/>
            <w:vAlign w:val="center"/>
          </w:tcPr>
          <w:p w:rsidR="0081232C" w:rsidRPr="00A536E4" w:rsidRDefault="0081232C" w:rsidP="00D861AE">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45.123</w:t>
            </w:r>
          </w:p>
        </w:tc>
        <w:tc>
          <w:tcPr>
            <w:tcW w:w="352" w:type="pct"/>
            <w:tcBorders>
              <w:top w:val="single" w:sz="4" w:space="0" w:color="auto"/>
              <w:left w:val="nil"/>
              <w:bottom w:val="single" w:sz="2" w:space="0" w:color="auto"/>
              <w:right w:val="nil"/>
            </w:tcBorders>
            <w:shd w:val="clear" w:color="auto" w:fill="auto"/>
            <w:noWrap/>
            <w:vAlign w:val="center"/>
          </w:tcPr>
          <w:p w:rsidR="0081232C" w:rsidRPr="00A536E4" w:rsidRDefault="0081232C" w:rsidP="00D5528B">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9</w:t>
            </w:r>
          </w:p>
        </w:tc>
      </w:tr>
      <w:tr w:rsidR="0081232C" w:rsidRPr="00A536E4" w:rsidTr="00FE2791">
        <w:trPr>
          <w:trHeight w:val="227"/>
          <w:jc w:val="center"/>
        </w:trPr>
        <w:tc>
          <w:tcPr>
            <w:tcW w:w="2221" w:type="pct"/>
            <w:tcBorders>
              <w:top w:val="single" w:sz="2" w:space="0" w:color="auto"/>
              <w:left w:val="nil"/>
              <w:bottom w:val="single" w:sz="4" w:space="0" w:color="auto"/>
              <w:right w:val="nil"/>
            </w:tcBorders>
            <w:shd w:val="clear" w:color="auto" w:fill="auto"/>
            <w:noWrap/>
            <w:vAlign w:val="center"/>
          </w:tcPr>
          <w:p w:rsidR="0081232C" w:rsidRPr="00A536E4" w:rsidRDefault="0081232C" w:rsidP="004B7D31">
            <w:pPr>
              <w:spacing w:after="0"/>
              <w:ind w:firstLine="0"/>
              <w:rPr>
                <w:rFonts w:ascii="Arial Narrow" w:hAnsi="Arial Narrow"/>
                <w:sz w:val="18"/>
                <w:szCs w:val="18"/>
                <w:lang w:val="es-ES" w:eastAsia="es-ES"/>
              </w:rPr>
            </w:pPr>
            <w:r>
              <w:rPr>
                <w:rFonts w:ascii="Arial Narrow" w:hAnsi="Arial Narrow"/>
                <w:sz w:val="18"/>
                <w:szCs w:val="18"/>
                <w:lang w:val="es-ES" w:eastAsia="es-ES"/>
              </w:rPr>
              <w:t>Suministro de energía eléctrica y gas</w:t>
            </w:r>
            <w:r w:rsidRPr="00A536E4">
              <w:rPr>
                <w:rFonts w:ascii="Arial Narrow" w:hAnsi="Arial Narrow"/>
                <w:sz w:val="18"/>
                <w:szCs w:val="18"/>
                <w:lang w:val="es-ES" w:eastAsia="es-ES"/>
              </w:rPr>
              <w:t xml:space="preserve">. </w:t>
            </w:r>
            <w:r>
              <w:rPr>
                <w:rFonts w:ascii="Arial Narrow" w:hAnsi="Arial Narrow"/>
                <w:sz w:val="18"/>
                <w:szCs w:val="18"/>
                <w:lang w:val="es-ES" w:eastAsia="es-ES"/>
              </w:rPr>
              <w:t>Acuerdo Marco</w:t>
            </w:r>
          </w:p>
        </w:tc>
        <w:tc>
          <w:tcPr>
            <w:tcW w:w="909" w:type="pct"/>
            <w:tcBorders>
              <w:top w:val="single" w:sz="2" w:space="0" w:color="auto"/>
              <w:left w:val="nil"/>
              <w:bottom w:val="single" w:sz="4" w:space="0" w:color="auto"/>
              <w:right w:val="nil"/>
            </w:tcBorders>
            <w:shd w:val="clear" w:color="auto" w:fill="auto"/>
            <w:vAlign w:val="center"/>
          </w:tcPr>
          <w:p w:rsidR="0081232C" w:rsidRPr="00A536E4" w:rsidRDefault="0081232C" w:rsidP="00E5690B">
            <w:pPr>
              <w:spacing w:after="0"/>
              <w:ind w:firstLine="0"/>
              <w:jc w:val="center"/>
              <w:rPr>
                <w:rFonts w:ascii="Arial Narrow" w:hAnsi="Arial Narrow"/>
                <w:sz w:val="18"/>
                <w:szCs w:val="18"/>
                <w:lang w:val="es-ES" w:eastAsia="es-ES"/>
              </w:rPr>
            </w:pPr>
            <w:r>
              <w:rPr>
                <w:rFonts w:ascii="Arial Narrow" w:hAnsi="Arial Narrow"/>
                <w:sz w:val="18"/>
                <w:szCs w:val="18"/>
                <w:lang w:val="es-ES" w:eastAsia="es-ES"/>
              </w:rPr>
              <w:t>Abierto sup</w:t>
            </w:r>
            <w:r w:rsidRPr="00A536E4">
              <w:rPr>
                <w:rFonts w:ascii="Arial Narrow" w:hAnsi="Arial Narrow"/>
                <w:sz w:val="18"/>
                <w:szCs w:val="18"/>
                <w:lang w:val="es-ES" w:eastAsia="es-ES"/>
              </w:rPr>
              <w:t>erior al umbral  comunitario</w:t>
            </w:r>
          </w:p>
        </w:tc>
        <w:tc>
          <w:tcPr>
            <w:tcW w:w="456" w:type="pct"/>
            <w:tcBorders>
              <w:top w:val="single" w:sz="2" w:space="0" w:color="auto"/>
              <w:left w:val="nil"/>
              <w:bottom w:val="single" w:sz="4" w:space="0" w:color="auto"/>
              <w:right w:val="nil"/>
            </w:tcBorders>
            <w:shd w:val="clear" w:color="auto" w:fill="auto"/>
            <w:vAlign w:val="center"/>
          </w:tcPr>
          <w:p w:rsidR="0081232C" w:rsidRPr="00A536E4" w:rsidRDefault="0081232C" w:rsidP="00D5528B">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6</w:t>
            </w:r>
          </w:p>
        </w:tc>
        <w:tc>
          <w:tcPr>
            <w:tcW w:w="568" w:type="pct"/>
            <w:gridSpan w:val="2"/>
            <w:tcBorders>
              <w:top w:val="single" w:sz="2" w:space="0" w:color="auto"/>
              <w:left w:val="nil"/>
              <w:bottom w:val="single" w:sz="4" w:space="0" w:color="auto"/>
              <w:right w:val="nil"/>
            </w:tcBorders>
            <w:vAlign w:val="center"/>
          </w:tcPr>
          <w:p w:rsidR="0081232C" w:rsidRPr="00A536E4" w:rsidRDefault="0081232C" w:rsidP="00E5690B">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371.250</w:t>
            </w:r>
          </w:p>
        </w:tc>
        <w:tc>
          <w:tcPr>
            <w:tcW w:w="492" w:type="pct"/>
            <w:tcBorders>
              <w:top w:val="single" w:sz="2" w:space="0" w:color="auto"/>
              <w:left w:val="nil"/>
              <w:bottom w:val="single" w:sz="4" w:space="0" w:color="auto"/>
              <w:right w:val="nil"/>
            </w:tcBorders>
            <w:shd w:val="clear" w:color="auto" w:fill="auto"/>
            <w:noWrap/>
            <w:vAlign w:val="center"/>
          </w:tcPr>
          <w:p w:rsidR="0081232C" w:rsidRPr="00A536E4" w:rsidRDefault="0081232C" w:rsidP="00DE755E">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371.250</w:t>
            </w:r>
          </w:p>
        </w:tc>
        <w:tc>
          <w:tcPr>
            <w:tcW w:w="352" w:type="pct"/>
            <w:tcBorders>
              <w:top w:val="single" w:sz="2" w:space="0" w:color="auto"/>
              <w:left w:val="nil"/>
              <w:bottom w:val="single" w:sz="4" w:space="0" w:color="auto"/>
              <w:right w:val="nil"/>
            </w:tcBorders>
            <w:shd w:val="clear" w:color="auto" w:fill="auto"/>
            <w:noWrap/>
            <w:vAlign w:val="center"/>
          </w:tcPr>
          <w:p w:rsidR="0081232C" w:rsidRPr="00A536E4" w:rsidRDefault="0081232C" w:rsidP="00D5528B">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0</w:t>
            </w:r>
          </w:p>
        </w:tc>
      </w:tr>
    </w:tbl>
    <w:p w:rsidR="00AF3326" w:rsidRDefault="006D038C" w:rsidP="00FE2791">
      <w:pPr>
        <w:pStyle w:val="texto"/>
        <w:tabs>
          <w:tab w:val="clear" w:pos="2835"/>
          <w:tab w:val="clear" w:pos="3969"/>
          <w:tab w:val="clear" w:pos="5103"/>
          <w:tab w:val="clear" w:pos="6237"/>
          <w:tab w:val="clear" w:pos="7371"/>
          <w:tab w:val="num" w:pos="600"/>
        </w:tabs>
        <w:spacing w:before="60" w:after="100"/>
        <w:ind w:left="98" w:firstLine="0"/>
        <w:jc w:val="left"/>
        <w:rPr>
          <w:rFonts w:ascii="Arial Narrow" w:hAnsi="Arial Narrow"/>
          <w:spacing w:val="0"/>
          <w:sz w:val="16"/>
          <w:szCs w:val="16"/>
          <w:lang w:val="es-ES" w:eastAsia="es-ES"/>
        </w:rPr>
      </w:pPr>
      <w:r w:rsidRPr="006D038C">
        <w:rPr>
          <w:rFonts w:ascii="Arial Narrow" w:hAnsi="Arial Narrow"/>
          <w:spacing w:val="0"/>
          <w:sz w:val="16"/>
          <w:szCs w:val="16"/>
          <w:lang w:val="es-ES" w:eastAsia="es-ES"/>
        </w:rPr>
        <w:t>*</w:t>
      </w:r>
      <w:r w:rsidR="00C92152">
        <w:rPr>
          <w:rFonts w:ascii="Arial Narrow" w:hAnsi="Arial Narrow"/>
          <w:spacing w:val="0"/>
          <w:sz w:val="16"/>
          <w:szCs w:val="16"/>
          <w:lang w:val="es-ES" w:eastAsia="es-ES"/>
        </w:rPr>
        <w:t xml:space="preserve"> </w:t>
      </w:r>
      <w:r w:rsidRPr="006D038C">
        <w:rPr>
          <w:rFonts w:ascii="Arial Narrow" w:hAnsi="Arial Narrow"/>
          <w:spacing w:val="0"/>
          <w:sz w:val="16"/>
          <w:szCs w:val="16"/>
          <w:lang w:val="es-ES" w:eastAsia="es-ES"/>
        </w:rPr>
        <w:t>Importes IVA excluido</w:t>
      </w:r>
      <w:r w:rsidR="00AF3326">
        <w:rPr>
          <w:rFonts w:ascii="Arial Narrow" w:hAnsi="Arial Narrow"/>
          <w:spacing w:val="0"/>
          <w:sz w:val="16"/>
          <w:szCs w:val="16"/>
          <w:lang w:val="es-ES" w:eastAsia="es-ES"/>
        </w:rPr>
        <w:t xml:space="preserve">                                                            </w:t>
      </w:r>
    </w:p>
    <w:p w:rsidR="0067725A" w:rsidRPr="00D83F4A" w:rsidRDefault="0067725A" w:rsidP="00EA5DA2">
      <w:pPr>
        <w:pStyle w:val="texto"/>
        <w:tabs>
          <w:tab w:val="left" w:pos="708"/>
        </w:tabs>
        <w:spacing w:before="240" w:after="160"/>
      </w:pPr>
      <w:r>
        <w:t>En general, la licitación de los contratos y su adjudicación, así como su ejec</w:t>
      </w:r>
      <w:r>
        <w:t>u</w:t>
      </w:r>
      <w:r>
        <w:t xml:space="preserve">ción, </w:t>
      </w:r>
      <w:r w:rsidRPr="003A31CB">
        <w:t xml:space="preserve">se </w:t>
      </w:r>
      <w:r>
        <w:t>ha</w:t>
      </w:r>
      <w:r w:rsidR="00CA587F">
        <w:t>n</w:t>
      </w:r>
      <w:r>
        <w:t xml:space="preserve"> </w:t>
      </w:r>
      <w:r w:rsidRPr="003A31CB">
        <w:t>tramita</w:t>
      </w:r>
      <w:r>
        <w:t xml:space="preserve">do </w:t>
      </w:r>
      <w:r w:rsidRPr="003A31CB">
        <w:t>conforme a la legislación contractual y los gastos están aprobados, interven</w:t>
      </w:r>
      <w:r w:rsidR="00417000">
        <w:t>idos</w:t>
      </w:r>
      <w:r w:rsidRPr="002F25BE">
        <w:t>, justifi</w:t>
      </w:r>
      <w:r w:rsidRPr="008B2583">
        <w:t xml:space="preserve">cados y correctamente contabilizados, y pagados, </w:t>
      </w:r>
      <w:r>
        <w:rPr>
          <w:rFonts w:cs="Arial"/>
        </w:rPr>
        <w:t xml:space="preserve">si bien </w:t>
      </w:r>
      <w:r>
        <w:t>señalamos las siguientes incidencias:</w:t>
      </w:r>
    </w:p>
    <w:p w:rsidR="00AF3326" w:rsidRDefault="00AF3326" w:rsidP="00D56C93">
      <w:pPr>
        <w:pStyle w:val="texto"/>
        <w:numPr>
          <w:ilvl w:val="0"/>
          <w:numId w:val="1"/>
        </w:numPr>
        <w:tabs>
          <w:tab w:val="clear" w:pos="2835"/>
          <w:tab w:val="clear" w:pos="3969"/>
          <w:tab w:val="clear" w:pos="5103"/>
          <w:tab w:val="clear" w:pos="6237"/>
          <w:tab w:val="clear" w:pos="7371"/>
          <w:tab w:val="left" w:pos="480"/>
          <w:tab w:val="num" w:pos="720"/>
          <w:tab w:val="num" w:pos="6597"/>
        </w:tabs>
        <w:ind w:left="0" w:firstLine="289"/>
        <w:rPr>
          <w:rFonts w:cs="Arial"/>
        </w:rPr>
      </w:pPr>
      <w:r>
        <w:rPr>
          <w:rFonts w:cs="Arial"/>
        </w:rPr>
        <w:t xml:space="preserve"> </w:t>
      </w:r>
      <w:r w:rsidRPr="00D56C93">
        <w:t>No</w:t>
      </w:r>
      <w:r>
        <w:rPr>
          <w:rFonts w:cs="Arial"/>
        </w:rPr>
        <w:t xml:space="preserve"> se realiza </w:t>
      </w:r>
      <w:r w:rsidR="00CC0D59">
        <w:rPr>
          <w:rFonts w:cs="Arial"/>
        </w:rPr>
        <w:t>el acto de constitución de las M</w:t>
      </w:r>
      <w:r>
        <w:rPr>
          <w:rFonts w:cs="Arial"/>
        </w:rPr>
        <w:t xml:space="preserve">esas de </w:t>
      </w:r>
      <w:r w:rsidR="00CC0D59">
        <w:rPr>
          <w:rFonts w:cs="Arial"/>
        </w:rPr>
        <w:t>C</w:t>
      </w:r>
      <w:r>
        <w:rPr>
          <w:rFonts w:cs="Arial"/>
        </w:rPr>
        <w:t>ontratación.</w:t>
      </w:r>
      <w:r w:rsidRPr="00AF3326">
        <w:rPr>
          <w:rFonts w:cs="Arial"/>
        </w:rPr>
        <w:t xml:space="preserve"> </w:t>
      </w:r>
    </w:p>
    <w:p w:rsidR="00F8469C" w:rsidRPr="001D45FC" w:rsidRDefault="00F8469C" w:rsidP="00EA5DA2">
      <w:pPr>
        <w:pStyle w:val="texto"/>
        <w:numPr>
          <w:ilvl w:val="0"/>
          <w:numId w:val="1"/>
        </w:numPr>
        <w:tabs>
          <w:tab w:val="clear" w:pos="2835"/>
          <w:tab w:val="clear" w:pos="3969"/>
          <w:tab w:val="clear" w:pos="5103"/>
          <w:tab w:val="clear" w:pos="6237"/>
          <w:tab w:val="clear" w:pos="7371"/>
          <w:tab w:val="left" w:pos="480"/>
          <w:tab w:val="num" w:pos="720"/>
          <w:tab w:val="num" w:pos="6597"/>
        </w:tabs>
        <w:ind w:left="0" w:firstLine="289"/>
        <w:rPr>
          <w:rFonts w:cs="Arial"/>
          <w:color w:val="FF0000"/>
        </w:rPr>
      </w:pPr>
      <w:r w:rsidRPr="008A365E">
        <w:rPr>
          <w:rFonts w:cs="Arial"/>
          <w:color w:val="000000" w:themeColor="text1"/>
        </w:rPr>
        <w:t xml:space="preserve"> La </w:t>
      </w:r>
      <w:r w:rsidRPr="00D56C93">
        <w:t>valoración</w:t>
      </w:r>
      <w:r w:rsidRPr="008A365E">
        <w:rPr>
          <w:rFonts w:cs="Arial"/>
          <w:color w:val="000000" w:themeColor="text1"/>
        </w:rPr>
        <w:t xml:space="preserve"> de la propuesta técnica </w:t>
      </w:r>
      <w:r w:rsidR="00EB2447" w:rsidRPr="008A365E">
        <w:rPr>
          <w:rFonts w:cs="Arial"/>
          <w:color w:val="000000" w:themeColor="text1"/>
        </w:rPr>
        <w:t xml:space="preserve">del contrato de señalización horizontal y vertical </w:t>
      </w:r>
      <w:r w:rsidRPr="008A365E">
        <w:rPr>
          <w:rFonts w:cs="Arial"/>
          <w:color w:val="000000" w:themeColor="text1"/>
        </w:rPr>
        <w:t>incluye varios compromisos</w:t>
      </w:r>
      <w:r w:rsidR="0081232C" w:rsidRPr="008A365E">
        <w:rPr>
          <w:rFonts w:cs="Arial"/>
          <w:color w:val="000000" w:themeColor="text1"/>
        </w:rPr>
        <w:t>, entre otros la realización y actualización del inventario de señales</w:t>
      </w:r>
      <w:r w:rsidRPr="008A365E">
        <w:rPr>
          <w:rFonts w:cs="Arial"/>
          <w:color w:val="000000" w:themeColor="text1"/>
        </w:rPr>
        <w:t xml:space="preserve"> por parte de la adjudicataria que no han sido cumplidos d</w:t>
      </w:r>
      <w:r w:rsidRPr="008A365E">
        <w:rPr>
          <w:rFonts w:cs="Arial"/>
          <w:color w:val="000000" w:themeColor="text1"/>
        </w:rPr>
        <w:t>u</w:t>
      </w:r>
      <w:r w:rsidRPr="00EB2447">
        <w:rPr>
          <w:rFonts w:cs="Arial"/>
        </w:rPr>
        <w:t>rante la ejecución del contrato</w:t>
      </w:r>
      <w:r w:rsidR="00062672">
        <w:rPr>
          <w:rFonts w:cs="Arial"/>
        </w:rPr>
        <w:t xml:space="preserve">. No </w:t>
      </w:r>
      <w:r w:rsidRPr="00EB2447">
        <w:rPr>
          <w:rFonts w:cs="Arial"/>
        </w:rPr>
        <w:t>consta que se hayan impuesto las debidas pen</w:t>
      </w:r>
      <w:r w:rsidRPr="00EB2447">
        <w:rPr>
          <w:rFonts w:cs="Arial"/>
        </w:rPr>
        <w:t>a</w:t>
      </w:r>
      <w:r w:rsidRPr="00EB2447">
        <w:rPr>
          <w:rFonts w:cs="Arial"/>
        </w:rPr>
        <w:t>lizaciones.</w:t>
      </w:r>
      <w:r w:rsidR="008A365E" w:rsidRPr="008A365E">
        <w:rPr>
          <w:rFonts w:cs="Arial"/>
          <w:color w:val="000000" w:themeColor="text1"/>
        </w:rPr>
        <w:t xml:space="preserve"> </w:t>
      </w:r>
    </w:p>
    <w:p w:rsidR="00AF3326" w:rsidRDefault="00AF3326" w:rsidP="00EA5DA2">
      <w:pPr>
        <w:pStyle w:val="texto"/>
        <w:numPr>
          <w:ilvl w:val="0"/>
          <w:numId w:val="1"/>
        </w:numPr>
        <w:tabs>
          <w:tab w:val="clear" w:pos="2835"/>
          <w:tab w:val="clear" w:pos="3969"/>
          <w:tab w:val="clear" w:pos="5103"/>
          <w:tab w:val="clear" w:pos="6237"/>
          <w:tab w:val="clear" w:pos="7371"/>
          <w:tab w:val="left" w:pos="480"/>
          <w:tab w:val="num" w:pos="720"/>
          <w:tab w:val="num" w:pos="6597"/>
        </w:tabs>
        <w:ind w:left="0" w:firstLine="289"/>
        <w:rPr>
          <w:rFonts w:cs="Arial"/>
        </w:rPr>
      </w:pPr>
      <w:r w:rsidRPr="00EB2447">
        <w:rPr>
          <w:rFonts w:cs="Arial"/>
        </w:rPr>
        <w:lastRenderedPageBreak/>
        <w:t xml:space="preserve"> En el pliego de condiciones del contrato </w:t>
      </w:r>
      <w:r w:rsidR="00EB2447">
        <w:rPr>
          <w:rFonts w:cs="Arial"/>
        </w:rPr>
        <w:t>anterior</w:t>
      </w:r>
      <w:r w:rsidRPr="00EB2447">
        <w:rPr>
          <w:rFonts w:cs="Arial"/>
        </w:rPr>
        <w:t xml:space="preserve"> se fijan unas condiciones e</w:t>
      </w:r>
      <w:r w:rsidRPr="00EB2447">
        <w:rPr>
          <w:rFonts w:cs="Arial"/>
        </w:rPr>
        <w:t>s</w:t>
      </w:r>
      <w:r w:rsidRPr="00EB2447">
        <w:rPr>
          <w:rFonts w:cs="Arial"/>
        </w:rPr>
        <w:t xml:space="preserve">peciales </w:t>
      </w:r>
      <w:r w:rsidR="00F8469C" w:rsidRPr="00EB2447">
        <w:rPr>
          <w:rFonts w:cs="Arial"/>
        </w:rPr>
        <w:t xml:space="preserve">de ejecución </w:t>
      </w:r>
      <w:r w:rsidRPr="00EB2447">
        <w:rPr>
          <w:rFonts w:cs="Arial"/>
        </w:rPr>
        <w:t xml:space="preserve">cuyo seguimiento no </w:t>
      </w:r>
      <w:r w:rsidR="00F8469C" w:rsidRPr="00EB2447">
        <w:rPr>
          <w:rFonts w:cs="Arial"/>
        </w:rPr>
        <w:t>ha sido</w:t>
      </w:r>
      <w:r w:rsidRPr="00EB2447">
        <w:rPr>
          <w:rFonts w:cs="Arial"/>
        </w:rPr>
        <w:t xml:space="preserve"> real</w:t>
      </w:r>
      <w:r w:rsidR="00EA160D" w:rsidRPr="00EB2447">
        <w:rPr>
          <w:rFonts w:cs="Arial"/>
        </w:rPr>
        <w:t>izado por el ayuntamiento posteriormente.</w:t>
      </w:r>
    </w:p>
    <w:p w:rsidR="008A365E" w:rsidRPr="00EB2447" w:rsidRDefault="004305C5" w:rsidP="00EA5DA2">
      <w:pPr>
        <w:pStyle w:val="texto"/>
        <w:numPr>
          <w:ilvl w:val="0"/>
          <w:numId w:val="1"/>
        </w:numPr>
        <w:tabs>
          <w:tab w:val="clear" w:pos="2835"/>
          <w:tab w:val="clear" w:pos="3969"/>
          <w:tab w:val="clear" w:pos="5103"/>
          <w:tab w:val="clear" w:pos="6237"/>
          <w:tab w:val="clear" w:pos="7371"/>
          <w:tab w:val="left" w:pos="480"/>
          <w:tab w:val="num" w:pos="720"/>
          <w:tab w:val="num" w:pos="6597"/>
        </w:tabs>
        <w:ind w:left="0" w:firstLine="289"/>
        <w:rPr>
          <w:rFonts w:cs="Arial"/>
        </w:rPr>
      </w:pPr>
      <w:r>
        <w:rPr>
          <w:rFonts w:cs="Arial"/>
          <w:color w:val="000000" w:themeColor="text1"/>
        </w:rPr>
        <w:t>Durante la realización de este informe</w:t>
      </w:r>
      <w:r w:rsidR="008A365E" w:rsidRPr="008A365E">
        <w:rPr>
          <w:rFonts w:cs="Arial"/>
          <w:color w:val="000000" w:themeColor="text1"/>
        </w:rPr>
        <w:t xml:space="preserve"> el ayuntamiento ha enviado a la empresa el correspondiente requerimiento para la subsanación de los incumplim</w:t>
      </w:r>
      <w:r w:rsidR="00F808C1">
        <w:rPr>
          <w:rFonts w:cs="Arial"/>
          <w:color w:val="000000" w:themeColor="text1"/>
        </w:rPr>
        <w:t>i</w:t>
      </w:r>
      <w:r w:rsidR="008A365E" w:rsidRPr="008A365E">
        <w:rPr>
          <w:rFonts w:cs="Arial"/>
          <w:color w:val="000000" w:themeColor="text1"/>
        </w:rPr>
        <w:t>entos</w:t>
      </w:r>
      <w:r w:rsidR="00F70272">
        <w:rPr>
          <w:rFonts w:cs="Arial"/>
          <w:color w:val="000000" w:themeColor="text1"/>
        </w:rPr>
        <w:t xml:space="preserve"> y la justificación de las condiciones especiales de ejecución</w:t>
      </w:r>
      <w:r w:rsidR="00F90F54">
        <w:rPr>
          <w:rFonts w:cs="Arial"/>
          <w:color w:val="000000" w:themeColor="text1"/>
        </w:rPr>
        <w:t xml:space="preserve"> </w:t>
      </w:r>
      <w:r w:rsidR="00E058F8">
        <w:rPr>
          <w:rFonts w:cs="Arial"/>
          <w:color w:val="000000" w:themeColor="text1"/>
        </w:rPr>
        <w:t>citada</w:t>
      </w:r>
      <w:r w:rsidR="008A365E">
        <w:rPr>
          <w:rFonts w:cs="Arial"/>
          <w:color w:val="000000" w:themeColor="text1"/>
        </w:rPr>
        <w:t>s</w:t>
      </w:r>
      <w:r w:rsidR="008A365E" w:rsidRPr="008A365E">
        <w:rPr>
          <w:rFonts w:cs="Arial"/>
          <w:color w:val="000000" w:themeColor="text1"/>
        </w:rPr>
        <w:t>.</w:t>
      </w:r>
    </w:p>
    <w:p w:rsidR="0067725A" w:rsidRPr="00EB2447" w:rsidRDefault="0067725A" w:rsidP="00172D87">
      <w:pPr>
        <w:pStyle w:val="texto"/>
        <w:tabs>
          <w:tab w:val="clear" w:pos="2835"/>
          <w:tab w:val="clear" w:pos="3969"/>
          <w:tab w:val="clear" w:pos="5103"/>
          <w:tab w:val="clear" w:pos="6237"/>
          <w:tab w:val="clear" w:pos="7371"/>
          <w:tab w:val="num" w:pos="720"/>
          <w:tab w:val="num" w:pos="1320"/>
        </w:tabs>
        <w:spacing w:after="160"/>
        <w:ind w:left="142" w:firstLine="0"/>
      </w:pPr>
      <w:r w:rsidRPr="00EB2447">
        <w:t>Recomendamos</w:t>
      </w:r>
      <w:r w:rsidR="008B7668" w:rsidRPr="00EB2447">
        <w:t>:</w:t>
      </w:r>
    </w:p>
    <w:p w:rsidR="00F8469C" w:rsidRPr="00EB2447" w:rsidRDefault="00F8469C" w:rsidP="00CC0D59">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spacing w:after="160"/>
        <w:rPr>
          <w:rFonts w:cs="Arial"/>
          <w:i/>
        </w:rPr>
      </w:pPr>
      <w:r w:rsidRPr="00EB2447">
        <w:rPr>
          <w:rFonts w:cs="Arial"/>
          <w:i/>
        </w:rPr>
        <w:t>Realizar la constitución formal de las Mesas de Contratación.</w:t>
      </w:r>
    </w:p>
    <w:p w:rsidR="00F8469C" w:rsidRPr="00F70272" w:rsidRDefault="00F8469C" w:rsidP="00CC0D59">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spacing w:after="160"/>
        <w:rPr>
          <w:rFonts w:cs="Arial"/>
          <w:i/>
          <w:color w:val="000000" w:themeColor="text1"/>
        </w:rPr>
      </w:pPr>
      <w:r w:rsidRPr="00F70272">
        <w:rPr>
          <w:rFonts w:cs="Arial"/>
          <w:i/>
          <w:color w:val="000000" w:themeColor="text1"/>
        </w:rPr>
        <w:t>Instar a la empresa al cumplimiento de los compromisos incluidos en la oferta técnica e imponer las penalizaciones pertinentes.</w:t>
      </w:r>
    </w:p>
    <w:p w:rsidR="00CC0D59" w:rsidRPr="00AF3326" w:rsidRDefault="00CC0D59" w:rsidP="00CC0D59">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spacing w:after="160"/>
        <w:rPr>
          <w:rFonts w:cs="Arial"/>
          <w:i/>
        </w:rPr>
      </w:pPr>
      <w:r w:rsidRPr="00EB2447">
        <w:rPr>
          <w:rFonts w:cs="Arial"/>
          <w:i/>
        </w:rPr>
        <w:t>Establecer los mecanismos que posibiliten la comprobación del efec</w:t>
      </w:r>
      <w:r>
        <w:rPr>
          <w:rFonts w:cs="Arial"/>
          <w:i/>
        </w:rPr>
        <w:t>tivo cu</w:t>
      </w:r>
      <w:r>
        <w:rPr>
          <w:rFonts w:cs="Arial"/>
          <w:i/>
        </w:rPr>
        <w:t>m</w:t>
      </w:r>
      <w:r>
        <w:rPr>
          <w:rFonts w:cs="Arial"/>
          <w:i/>
        </w:rPr>
        <w:t xml:space="preserve">plimiento de las </w:t>
      </w:r>
      <w:r w:rsidRPr="008A365E">
        <w:rPr>
          <w:rFonts w:cs="Arial"/>
          <w:i/>
          <w:color w:val="000000" w:themeColor="text1"/>
        </w:rPr>
        <w:t xml:space="preserve">condiciones </w:t>
      </w:r>
      <w:r w:rsidR="0081232C" w:rsidRPr="008A365E">
        <w:rPr>
          <w:rFonts w:cs="Arial"/>
          <w:i/>
          <w:color w:val="000000" w:themeColor="text1"/>
        </w:rPr>
        <w:t>especiale</w:t>
      </w:r>
      <w:r w:rsidRPr="008A365E">
        <w:rPr>
          <w:rFonts w:cs="Arial"/>
          <w:i/>
          <w:color w:val="000000" w:themeColor="text1"/>
        </w:rPr>
        <w:t xml:space="preserve">s </w:t>
      </w:r>
      <w:r>
        <w:rPr>
          <w:rFonts w:cs="Arial"/>
          <w:i/>
        </w:rPr>
        <w:t>de ejecución del contrato establecidas en los pliegos.</w:t>
      </w:r>
    </w:p>
    <w:p w:rsidR="00CC0D59" w:rsidRDefault="00CC0D59" w:rsidP="00FB074C">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spacing w:after="160"/>
        <w:rPr>
          <w:rFonts w:cs="Arial"/>
          <w:i/>
        </w:rPr>
      </w:pPr>
      <w:r>
        <w:rPr>
          <w:rFonts w:cs="Arial"/>
          <w:i/>
        </w:rPr>
        <w:t>Establecer una adecuada planificación temporal de los procedimientos de licit</w:t>
      </w:r>
      <w:r>
        <w:rPr>
          <w:rFonts w:cs="Arial"/>
          <w:i/>
        </w:rPr>
        <w:t>a</w:t>
      </w:r>
      <w:r>
        <w:rPr>
          <w:rFonts w:cs="Arial"/>
          <w:i/>
        </w:rPr>
        <w:t>ción de los contratos con el fin de evitar la superación del plazo máximo de vige</w:t>
      </w:r>
      <w:r>
        <w:rPr>
          <w:rFonts w:cs="Arial"/>
          <w:i/>
        </w:rPr>
        <w:t>n</w:t>
      </w:r>
      <w:r>
        <w:rPr>
          <w:rFonts w:cs="Arial"/>
          <w:i/>
        </w:rPr>
        <w:t>cia de los mismos.</w:t>
      </w:r>
    </w:p>
    <w:p w:rsidR="0067725A" w:rsidRPr="00C149E6" w:rsidRDefault="0067725A" w:rsidP="00342ED6">
      <w:pPr>
        <w:pStyle w:val="atitulo3"/>
        <w:spacing w:before="300" w:after="200"/>
      </w:pPr>
      <w:bookmarkStart w:id="116" w:name="_Toc455146000"/>
      <w:r w:rsidRPr="00C149E6">
        <w:t>V</w:t>
      </w:r>
      <w:r>
        <w:t>I</w:t>
      </w:r>
      <w:r w:rsidRPr="00C149E6">
        <w:t>.</w:t>
      </w:r>
      <w:r>
        <w:t>5</w:t>
      </w:r>
      <w:r w:rsidRPr="00C149E6">
        <w:t>.</w:t>
      </w:r>
      <w:r w:rsidR="00FA0054">
        <w:t>4</w:t>
      </w:r>
      <w:r w:rsidRPr="00C149E6">
        <w:t>. Inversiones</w:t>
      </w:r>
      <w:bookmarkEnd w:id="116"/>
    </w:p>
    <w:p w:rsidR="0067725A" w:rsidRDefault="0067725A" w:rsidP="00342ED6">
      <w:pPr>
        <w:pStyle w:val="texto"/>
        <w:tabs>
          <w:tab w:val="clear" w:pos="2835"/>
          <w:tab w:val="clear" w:pos="3969"/>
          <w:tab w:val="clear" w:pos="5103"/>
          <w:tab w:val="clear" w:pos="6237"/>
          <w:tab w:val="clear" w:pos="7371"/>
        </w:tabs>
        <w:spacing w:after="160"/>
      </w:pPr>
      <w:r w:rsidRPr="00DF41C9">
        <w:t xml:space="preserve">Las inversiones </w:t>
      </w:r>
      <w:r w:rsidR="00C4292E">
        <w:t>del ayuntamiento han ascendido a 2,93</w:t>
      </w:r>
      <w:r w:rsidRPr="00DF41C9">
        <w:t xml:space="preserve"> millones de euros</w:t>
      </w:r>
      <w:r w:rsidR="0085660A">
        <w:t xml:space="preserve"> y</w:t>
      </w:r>
      <w:r w:rsidRPr="00DF41C9">
        <w:t xml:space="preserve"> </w:t>
      </w:r>
      <w:r w:rsidR="0085660A">
        <w:t>r</w:t>
      </w:r>
      <w:r w:rsidRPr="00DF41C9">
        <w:t>e</w:t>
      </w:r>
      <w:r w:rsidRPr="00DF41C9">
        <w:t xml:space="preserve">presentan el </w:t>
      </w:r>
      <w:r w:rsidR="00C4292E">
        <w:t xml:space="preserve">20 </w:t>
      </w:r>
      <w:r w:rsidRPr="00DF41C9">
        <w:t xml:space="preserve">por ciento del total de gastos </w:t>
      </w:r>
      <w:r w:rsidR="0085660A">
        <w:t>reconocidos en el</w:t>
      </w:r>
      <w:r w:rsidRPr="00DF41C9">
        <w:t xml:space="preserve"> ejercicio.</w:t>
      </w:r>
      <w:r w:rsidR="00CC0D59">
        <w:t xml:space="preserve"> Se han ejecutado solamente en un 37</w:t>
      </w:r>
      <w:r w:rsidR="005C377B">
        <w:t xml:space="preserve"> por ciento </w:t>
      </w:r>
      <w:r w:rsidR="00CC0D59">
        <w:t xml:space="preserve">debido a la no iniciación de algunas </w:t>
      </w:r>
      <w:r w:rsidR="00CC0D59" w:rsidRPr="008A365E">
        <w:rPr>
          <w:color w:val="000000" w:themeColor="text1"/>
        </w:rPr>
        <w:t>inve</w:t>
      </w:r>
      <w:r w:rsidR="00CC0D59" w:rsidRPr="008A365E">
        <w:rPr>
          <w:color w:val="000000" w:themeColor="text1"/>
        </w:rPr>
        <w:t>r</w:t>
      </w:r>
      <w:r w:rsidR="00CC0D59" w:rsidRPr="008A365E">
        <w:rPr>
          <w:color w:val="000000" w:themeColor="text1"/>
        </w:rPr>
        <w:t xml:space="preserve">siones </w:t>
      </w:r>
      <w:r w:rsidR="00264A87" w:rsidRPr="008A365E">
        <w:rPr>
          <w:color w:val="000000" w:themeColor="text1"/>
        </w:rPr>
        <w:t>de importe significativo</w:t>
      </w:r>
      <w:r w:rsidR="00CC0D59" w:rsidRPr="008A365E">
        <w:rPr>
          <w:color w:val="000000" w:themeColor="text1"/>
        </w:rPr>
        <w:t xml:space="preserve"> </w:t>
      </w:r>
      <w:r w:rsidR="00CC0D59">
        <w:t xml:space="preserve">como el nuevo polideportivo, la </w:t>
      </w:r>
      <w:r w:rsidR="00DF71B3">
        <w:t xml:space="preserve">nueva </w:t>
      </w:r>
      <w:r w:rsidR="00CC0D59">
        <w:t>casa de cu</w:t>
      </w:r>
      <w:r w:rsidR="00CC0D59">
        <w:t>l</w:t>
      </w:r>
      <w:r w:rsidR="00CC0D59">
        <w:t xml:space="preserve">tura, el carril bici de </w:t>
      </w:r>
      <w:proofErr w:type="spellStart"/>
      <w:r w:rsidR="00CC0D59">
        <w:t>Sarriguren</w:t>
      </w:r>
      <w:proofErr w:type="spellEnd"/>
      <w:r w:rsidR="00CC0D59">
        <w:t xml:space="preserve"> y la Pasarela de la Ciudad de la Innovación. Estas inversiones no iniciadas tenían una previsión definitiva de 3,6 millones de euros.</w:t>
      </w:r>
    </w:p>
    <w:p w:rsidR="0067725A" w:rsidRPr="00C33FF2" w:rsidRDefault="00172D87" w:rsidP="0067725A">
      <w:pPr>
        <w:pStyle w:val="texto"/>
        <w:tabs>
          <w:tab w:val="clear" w:pos="2835"/>
          <w:tab w:val="clear" w:pos="3969"/>
          <w:tab w:val="clear" w:pos="5103"/>
          <w:tab w:val="clear" w:pos="6237"/>
          <w:tab w:val="clear" w:pos="7371"/>
        </w:tabs>
        <w:spacing w:after="240"/>
      </w:pPr>
      <w:r>
        <w:t>Hemos</w:t>
      </w:r>
      <w:r w:rsidR="0067725A" w:rsidRPr="00C33FF2">
        <w:t xml:space="preserve"> fiscalizado </w:t>
      </w:r>
      <w:r w:rsidR="006F3AEA">
        <w:t xml:space="preserve">la siguiente muestra de </w:t>
      </w:r>
      <w:r w:rsidR="00BC6E19">
        <w:t>contrat</w:t>
      </w:r>
      <w:r w:rsidR="006F3AEA">
        <w:t>os</w:t>
      </w:r>
      <w:r w:rsidR="00015BEB">
        <w:t>:</w:t>
      </w:r>
    </w:p>
    <w:tbl>
      <w:tblPr>
        <w:tblW w:w="5000" w:type="pct"/>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2913"/>
        <w:gridCol w:w="1802"/>
        <w:gridCol w:w="1258"/>
        <w:gridCol w:w="1207"/>
        <w:gridCol w:w="1579"/>
        <w:gridCol w:w="671"/>
      </w:tblGrid>
      <w:tr w:rsidR="0081232C" w:rsidRPr="00D336D3" w:rsidTr="0081232C">
        <w:trPr>
          <w:trHeight w:val="284"/>
          <w:tblHeader/>
          <w:jc w:val="center"/>
        </w:trPr>
        <w:tc>
          <w:tcPr>
            <w:tcW w:w="1544" w:type="pct"/>
            <w:tcBorders>
              <w:bottom w:val="single" w:sz="4" w:space="0" w:color="auto"/>
            </w:tcBorders>
            <w:shd w:val="clear" w:color="auto" w:fill="FABF8F" w:themeFill="accent6" w:themeFillTint="99"/>
            <w:vAlign w:val="center"/>
          </w:tcPr>
          <w:p w:rsidR="0081232C" w:rsidRPr="00D336D3" w:rsidRDefault="0081232C" w:rsidP="004D712A">
            <w:pPr>
              <w:pStyle w:val="cuadroCabe"/>
              <w:jc w:val="left"/>
              <w:rPr>
                <w:rFonts w:cs="Arial"/>
                <w:szCs w:val="18"/>
              </w:rPr>
            </w:pPr>
            <w:r w:rsidRPr="00D336D3">
              <w:rPr>
                <w:rFonts w:cs="Arial"/>
                <w:szCs w:val="18"/>
              </w:rPr>
              <w:t>Concepto</w:t>
            </w:r>
          </w:p>
        </w:tc>
        <w:tc>
          <w:tcPr>
            <w:tcW w:w="955" w:type="pct"/>
            <w:tcBorders>
              <w:bottom w:val="single" w:sz="4" w:space="0" w:color="auto"/>
            </w:tcBorders>
            <w:shd w:val="clear" w:color="auto" w:fill="FABF8F" w:themeFill="accent6" w:themeFillTint="99"/>
            <w:vAlign w:val="center"/>
          </w:tcPr>
          <w:p w:rsidR="0081232C" w:rsidRPr="00D336D3" w:rsidRDefault="0081232C" w:rsidP="00207B56">
            <w:pPr>
              <w:pStyle w:val="cuadroCabe"/>
              <w:tabs>
                <w:tab w:val="clear" w:pos="2835"/>
              </w:tabs>
              <w:jc w:val="left"/>
              <w:rPr>
                <w:rFonts w:cs="Arial"/>
                <w:szCs w:val="18"/>
              </w:rPr>
            </w:pPr>
            <w:r w:rsidRPr="00D336D3">
              <w:rPr>
                <w:rFonts w:cs="Arial"/>
                <w:szCs w:val="18"/>
              </w:rPr>
              <w:t>Procedimiento</w:t>
            </w:r>
          </w:p>
        </w:tc>
        <w:tc>
          <w:tcPr>
            <w:tcW w:w="667" w:type="pct"/>
            <w:tcBorders>
              <w:bottom w:val="single" w:sz="4" w:space="0" w:color="auto"/>
            </w:tcBorders>
            <w:shd w:val="clear" w:color="auto" w:fill="FABF8F" w:themeFill="accent6" w:themeFillTint="99"/>
            <w:vAlign w:val="center"/>
          </w:tcPr>
          <w:p w:rsidR="0081232C" w:rsidRPr="00D336D3" w:rsidRDefault="0081232C" w:rsidP="00514C8A">
            <w:pPr>
              <w:pStyle w:val="cuadroCabe"/>
              <w:ind w:left="-136"/>
              <w:jc w:val="right"/>
              <w:rPr>
                <w:rFonts w:cs="Arial"/>
                <w:szCs w:val="18"/>
              </w:rPr>
            </w:pPr>
            <w:r>
              <w:rPr>
                <w:rFonts w:cs="Arial"/>
                <w:szCs w:val="18"/>
              </w:rPr>
              <w:t>Número</w:t>
            </w:r>
          </w:p>
          <w:p w:rsidR="0081232C" w:rsidRPr="00D336D3" w:rsidRDefault="0081232C" w:rsidP="00514C8A">
            <w:pPr>
              <w:pStyle w:val="cuadroCabe"/>
              <w:ind w:left="-136"/>
              <w:jc w:val="right"/>
              <w:rPr>
                <w:rFonts w:cs="Arial"/>
                <w:szCs w:val="18"/>
              </w:rPr>
            </w:pPr>
            <w:r w:rsidRPr="00D336D3">
              <w:rPr>
                <w:rFonts w:cs="Arial"/>
                <w:szCs w:val="18"/>
              </w:rPr>
              <w:t>Licitadores</w:t>
            </w:r>
          </w:p>
        </w:tc>
        <w:tc>
          <w:tcPr>
            <w:tcW w:w="640" w:type="pct"/>
            <w:tcBorders>
              <w:bottom w:val="single" w:sz="4" w:space="0" w:color="auto"/>
            </w:tcBorders>
            <w:shd w:val="clear" w:color="auto" w:fill="FABF8F" w:themeFill="accent6" w:themeFillTint="99"/>
            <w:vAlign w:val="center"/>
          </w:tcPr>
          <w:p w:rsidR="0081232C" w:rsidRPr="00D336D3" w:rsidRDefault="0081232C" w:rsidP="00514C8A">
            <w:pPr>
              <w:pStyle w:val="cuadroCabe"/>
              <w:jc w:val="right"/>
              <w:rPr>
                <w:rFonts w:cs="Arial"/>
                <w:szCs w:val="18"/>
              </w:rPr>
            </w:pPr>
            <w:r w:rsidRPr="00D336D3">
              <w:rPr>
                <w:rFonts w:cs="Arial"/>
                <w:szCs w:val="18"/>
              </w:rPr>
              <w:t xml:space="preserve">Precio </w:t>
            </w:r>
          </w:p>
          <w:p w:rsidR="0081232C" w:rsidRPr="00D336D3" w:rsidRDefault="0081232C" w:rsidP="00514C8A">
            <w:pPr>
              <w:pStyle w:val="cuadroCabe"/>
              <w:jc w:val="right"/>
              <w:rPr>
                <w:rFonts w:cs="Arial"/>
                <w:szCs w:val="18"/>
              </w:rPr>
            </w:pPr>
            <w:r w:rsidRPr="00D336D3">
              <w:rPr>
                <w:rFonts w:cs="Arial"/>
                <w:szCs w:val="18"/>
              </w:rPr>
              <w:t>licitación*</w:t>
            </w:r>
          </w:p>
        </w:tc>
        <w:tc>
          <w:tcPr>
            <w:tcW w:w="837" w:type="pct"/>
            <w:tcBorders>
              <w:bottom w:val="single" w:sz="4" w:space="0" w:color="auto"/>
            </w:tcBorders>
            <w:shd w:val="clear" w:color="auto" w:fill="FABF8F" w:themeFill="accent6" w:themeFillTint="99"/>
            <w:vAlign w:val="center"/>
          </w:tcPr>
          <w:p w:rsidR="0081232C" w:rsidRPr="00D336D3" w:rsidRDefault="0081232C" w:rsidP="00514C8A">
            <w:pPr>
              <w:pStyle w:val="cuadroCabe"/>
              <w:jc w:val="right"/>
              <w:rPr>
                <w:rFonts w:cs="Arial"/>
                <w:szCs w:val="18"/>
              </w:rPr>
            </w:pPr>
            <w:r w:rsidRPr="00D336D3">
              <w:rPr>
                <w:rFonts w:cs="Arial"/>
                <w:szCs w:val="18"/>
              </w:rPr>
              <w:t>Precio</w:t>
            </w:r>
          </w:p>
          <w:p w:rsidR="0081232C" w:rsidRPr="00D336D3" w:rsidRDefault="0081232C" w:rsidP="00514C8A">
            <w:pPr>
              <w:pStyle w:val="cuadroCabe"/>
              <w:jc w:val="right"/>
              <w:rPr>
                <w:rFonts w:cs="Arial"/>
                <w:szCs w:val="18"/>
              </w:rPr>
            </w:pPr>
            <w:r w:rsidRPr="00D336D3">
              <w:rPr>
                <w:rFonts w:cs="Arial"/>
                <w:szCs w:val="18"/>
              </w:rPr>
              <w:t>adjudicación*</w:t>
            </w:r>
          </w:p>
        </w:tc>
        <w:tc>
          <w:tcPr>
            <w:tcW w:w="356" w:type="pct"/>
            <w:tcBorders>
              <w:bottom w:val="single" w:sz="4" w:space="0" w:color="auto"/>
            </w:tcBorders>
            <w:shd w:val="clear" w:color="auto" w:fill="FABF8F" w:themeFill="accent6" w:themeFillTint="99"/>
            <w:vAlign w:val="center"/>
          </w:tcPr>
          <w:p w:rsidR="0081232C" w:rsidRPr="00D336D3" w:rsidRDefault="0081232C" w:rsidP="00514C8A">
            <w:pPr>
              <w:pStyle w:val="cuadroCabe"/>
              <w:jc w:val="right"/>
              <w:rPr>
                <w:rFonts w:cs="Arial"/>
                <w:szCs w:val="18"/>
              </w:rPr>
            </w:pPr>
            <w:r w:rsidRPr="00D336D3">
              <w:rPr>
                <w:rFonts w:cs="Arial"/>
                <w:szCs w:val="18"/>
              </w:rPr>
              <w:t xml:space="preserve">% </w:t>
            </w:r>
            <w:r w:rsidR="00514C8A">
              <w:rPr>
                <w:rFonts w:cs="Arial"/>
                <w:szCs w:val="18"/>
              </w:rPr>
              <w:t>B</w:t>
            </w:r>
            <w:r w:rsidRPr="00D336D3">
              <w:rPr>
                <w:rFonts w:cs="Arial"/>
                <w:szCs w:val="18"/>
              </w:rPr>
              <w:t>aja</w:t>
            </w:r>
          </w:p>
        </w:tc>
      </w:tr>
      <w:tr w:rsidR="0081232C" w:rsidRPr="00D336D3" w:rsidTr="0081232C">
        <w:trPr>
          <w:trHeight w:val="255"/>
          <w:jc w:val="center"/>
        </w:trPr>
        <w:tc>
          <w:tcPr>
            <w:tcW w:w="1544" w:type="pct"/>
            <w:tcBorders>
              <w:bottom w:val="single" w:sz="2" w:space="0" w:color="auto"/>
            </w:tcBorders>
            <w:vAlign w:val="center"/>
          </w:tcPr>
          <w:p w:rsidR="0081232C" w:rsidRPr="00D336D3" w:rsidRDefault="0081232C" w:rsidP="007563E1">
            <w:pPr>
              <w:pStyle w:val="cuatexto"/>
              <w:jc w:val="left"/>
              <w:rPr>
                <w:sz w:val="18"/>
                <w:szCs w:val="18"/>
              </w:rPr>
            </w:pPr>
            <w:r>
              <w:rPr>
                <w:sz w:val="18"/>
                <w:szCs w:val="18"/>
              </w:rPr>
              <w:t>Construcción escuela infantil</w:t>
            </w:r>
          </w:p>
        </w:tc>
        <w:tc>
          <w:tcPr>
            <w:tcW w:w="955" w:type="pct"/>
            <w:tcBorders>
              <w:bottom w:val="single" w:sz="2" w:space="0" w:color="auto"/>
            </w:tcBorders>
            <w:vAlign w:val="center"/>
          </w:tcPr>
          <w:p w:rsidR="00514C8A" w:rsidRDefault="0081232C" w:rsidP="00DF71B3">
            <w:pPr>
              <w:pStyle w:val="cuatexto"/>
              <w:jc w:val="left"/>
              <w:rPr>
                <w:sz w:val="18"/>
                <w:szCs w:val="18"/>
              </w:rPr>
            </w:pPr>
            <w:r>
              <w:rPr>
                <w:sz w:val="18"/>
                <w:szCs w:val="18"/>
              </w:rPr>
              <w:t>Abierto</w:t>
            </w:r>
            <w:r w:rsidRPr="00D336D3">
              <w:rPr>
                <w:sz w:val="18"/>
                <w:szCs w:val="18"/>
              </w:rPr>
              <w:t xml:space="preserve"> </w:t>
            </w:r>
            <w:r>
              <w:rPr>
                <w:sz w:val="18"/>
                <w:szCs w:val="18"/>
              </w:rPr>
              <w:t>inferior</w:t>
            </w:r>
          </w:p>
          <w:p w:rsidR="0081232C" w:rsidRPr="00D336D3" w:rsidRDefault="0081232C" w:rsidP="00DF71B3">
            <w:pPr>
              <w:pStyle w:val="cuatexto"/>
              <w:jc w:val="left"/>
              <w:rPr>
                <w:sz w:val="18"/>
                <w:szCs w:val="18"/>
              </w:rPr>
            </w:pPr>
            <w:r>
              <w:rPr>
                <w:sz w:val="18"/>
                <w:szCs w:val="18"/>
              </w:rPr>
              <w:t xml:space="preserve"> umbral comunitario</w:t>
            </w:r>
          </w:p>
        </w:tc>
        <w:tc>
          <w:tcPr>
            <w:tcW w:w="667" w:type="pct"/>
            <w:tcBorders>
              <w:bottom w:val="single" w:sz="2" w:space="0" w:color="auto"/>
            </w:tcBorders>
            <w:vAlign w:val="center"/>
          </w:tcPr>
          <w:p w:rsidR="0081232C" w:rsidRPr="00D336D3" w:rsidRDefault="0081232C" w:rsidP="00514C8A">
            <w:pPr>
              <w:pStyle w:val="cuatexto"/>
              <w:ind w:left="-136"/>
              <w:jc w:val="right"/>
              <w:rPr>
                <w:sz w:val="18"/>
                <w:szCs w:val="18"/>
              </w:rPr>
            </w:pPr>
            <w:r>
              <w:rPr>
                <w:sz w:val="18"/>
                <w:szCs w:val="18"/>
              </w:rPr>
              <w:t>8</w:t>
            </w:r>
          </w:p>
        </w:tc>
        <w:tc>
          <w:tcPr>
            <w:tcW w:w="640" w:type="pct"/>
            <w:tcBorders>
              <w:bottom w:val="single" w:sz="2" w:space="0" w:color="auto"/>
            </w:tcBorders>
            <w:vAlign w:val="center"/>
          </w:tcPr>
          <w:p w:rsidR="0081232C" w:rsidRPr="00D336D3" w:rsidRDefault="0081232C" w:rsidP="00514C8A">
            <w:pPr>
              <w:pStyle w:val="cuatexto"/>
              <w:jc w:val="right"/>
              <w:rPr>
                <w:sz w:val="18"/>
                <w:szCs w:val="18"/>
              </w:rPr>
            </w:pPr>
            <w:r>
              <w:rPr>
                <w:sz w:val="18"/>
                <w:szCs w:val="18"/>
              </w:rPr>
              <w:t>1.582.536</w:t>
            </w:r>
          </w:p>
        </w:tc>
        <w:tc>
          <w:tcPr>
            <w:tcW w:w="837" w:type="pct"/>
            <w:tcBorders>
              <w:bottom w:val="single" w:sz="2" w:space="0" w:color="auto"/>
            </w:tcBorders>
            <w:vAlign w:val="center"/>
          </w:tcPr>
          <w:p w:rsidR="0081232C" w:rsidRPr="00D336D3" w:rsidRDefault="0081232C" w:rsidP="00514C8A">
            <w:pPr>
              <w:pStyle w:val="cuatexto"/>
              <w:jc w:val="right"/>
              <w:rPr>
                <w:sz w:val="18"/>
                <w:szCs w:val="18"/>
              </w:rPr>
            </w:pPr>
            <w:r>
              <w:rPr>
                <w:sz w:val="18"/>
                <w:szCs w:val="18"/>
              </w:rPr>
              <w:t>1.458</w:t>
            </w:r>
            <w:r w:rsidRPr="00D336D3">
              <w:rPr>
                <w:sz w:val="18"/>
                <w:szCs w:val="18"/>
              </w:rPr>
              <w:t>.</w:t>
            </w:r>
            <w:r>
              <w:rPr>
                <w:sz w:val="18"/>
                <w:szCs w:val="18"/>
              </w:rPr>
              <w:t>236</w:t>
            </w:r>
          </w:p>
        </w:tc>
        <w:tc>
          <w:tcPr>
            <w:tcW w:w="356" w:type="pct"/>
            <w:tcBorders>
              <w:bottom w:val="single" w:sz="2" w:space="0" w:color="auto"/>
            </w:tcBorders>
            <w:vAlign w:val="center"/>
          </w:tcPr>
          <w:p w:rsidR="0081232C" w:rsidRPr="00D336D3" w:rsidRDefault="0081232C" w:rsidP="00207B56">
            <w:pPr>
              <w:pStyle w:val="cuatexto"/>
              <w:jc w:val="right"/>
              <w:rPr>
                <w:sz w:val="18"/>
                <w:szCs w:val="18"/>
              </w:rPr>
            </w:pPr>
            <w:r>
              <w:rPr>
                <w:sz w:val="18"/>
                <w:szCs w:val="18"/>
              </w:rPr>
              <w:t>8</w:t>
            </w:r>
          </w:p>
        </w:tc>
      </w:tr>
      <w:tr w:rsidR="0081232C" w:rsidRPr="00D336D3" w:rsidTr="00B84DE3">
        <w:trPr>
          <w:trHeight w:val="284"/>
          <w:jc w:val="center"/>
        </w:trPr>
        <w:tc>
          <w:tcPr>
            <w:tcW w:w="1544" w:type="pct"/>
            <w:tcBorders>
              <w:top w:val="single" w:sz="2" w:space="0" w:color="auto"/>
              <w:bottom w:val="single" w:sz="2" w:space="0" w:color="auto"/>
            </w:tcBorders>
            <w:vAlign w:val="center"/>
          </w:tcPr>
          <w:p w:rsidR="0081232C" w:rsidRPr="00D336D3" w:rsidRDefault="0081232C" w:rsidP="009D3DC5">
            <w:pPr>
              <w:pStyle w:val="cuatexto"/>
              <w:jc w:val="left"/>
              <w:rPr>
                <w:sz w:val="18"/>
                <w:szCs w:val="18"/>
              </w:rPr>
            </w:pPr>
            <w:r>
              <w:rPr>
                <w:sz w:val="18"/>
                <w:szCs w:val="18"/>
              </w:rPr>
              <w:t xml:space="preserve">Reparaciones aceras </w:t>
            </w:r>
            <w:proofErr w:type="spellStart"/>
            <w:r>
              <w:rPr>
                <w:sz w:val="18"/>
                <w:szCs w:val="18"/>
              </w:rPr>
              <w:t>Gorraiz</w:t>
            </w:r>
            <w:proofErr w:type="spellEnd"/>
          </w:p>
        </w:tc>
        <w:tc>
          <w:tcPr>
            <w:tcW w:w="955" w:type="pct"/>
            <w:tcBorders>
              <w:top w:val="single" w:sz="2" w:space="0" w:color="auto"/>
              <w:bottom w:val="single" w:sz="2" w:space="0" w:color="auto"/>
            </w:tcBorders>
            <w:vAlign w:val="center"/>
          </w:tcPr>
          <w:p w:rsidR="00514C8A" w:rsidRDefault="0081232C" w:rsidP="007563E1">
            <w:pPr>
              <w:pStyle w:val="cuatexto"/>
              <w:jc w:val="left"/>
              <w:rPr>
                <w:sz w:val="18"/>
                <w:szCs w:val="18"/>
              </w:rPr>
            </w:pPr>
            <w:r w:rsidRPr="00D336D3">
              <w:rPr>
                <w:sz w:val="18"/>
                <w:szCs w:val="18"/>
              </w:rPr>
              <w:t>Abierto inferior</w:t>
            </w:r>
          </w:p>
          <w:p w:rsidR="0081232C" w:rsidRPr="00D336D3" w:rsidRDefault="0081232C" w:rsidP="007563E1">
            <w:pPr>
              <w:pStyle w:val="cuatexto"/>
              <w:jc w:val="left"/>
              <w:rPr>
                <w:sz w:val="18"/>
                <w:szCs w:val="18"/>
              </w:rPr>
            </w:pPr>
            <w:r w:rsidRPr="00D336D3">
              <w:rPr>
                <w:sz w:val="18"/>
                <w:szCs w:val="18"/>
              </w:rPr>
              <w:t xml:space="preserve"> umbral comunit</w:t>
            </w:r>
            <w:r>
              <w:rPr>
                <w:sz w:val="18"/>
                <w:szCs w:val="18"/>
              </w:rPr>
              <w:t>ario</w:t>
            </w:r>
          </w:p>
        </w:tc>
        <w:tc>
          <w:tcPr>
            <w:tcW w:w="667" w:type="pct"/>
            <w:tcBorders>
              <w:top w:val="single" w:sz="2" w:space="0" w:color="auto"/>
              <w:bottom w:val="single" w:sz="2" w:space="0" w:color="auto"/>
            </w:tcBorders>
            <w:vAlign w:val="center"/>
          </w:tcPr>
          <w:p w:rsidR="0081232C" w:rsidRPr="00D336D3" w:rsidRDefault="0081232C" w:rsidP="00514C8A">
            <w:pPr>
              <w:pStyle w:val="cuatexto"/>
              <w:ind w:left="-136"/>
              <w:jc w:val="right"/>
              <w:rPr>
                <w:sz w:val="18"/>
                <w:szCs w:val="18"/>
              </w:rPr>
            </w:pPr>
            <w:r>
              <w:rPr>
                <w:sz w:val="18"/>
                <w:szCs w:val="18"/>
              </w:rPr>
              <w:t>1</w:t>
            </w:r>
          </w:p>
        </w:tc>
        <w:tc>
          <w:tcPr>
            <w:tcW w:w="640" w:type="pct"/>
            <w:tcBorders>
              <w:top w:val="single" w:sz="2" w:space="0" w:color="auto"/>
              <w:bottom w:val="single" w:sz="2" w:space="0" w:color="auto"/>
            </w:tcBorders>
            <w:vAlign w:val="center"/>
          </w:tcPr>
          <w:p w:rsidR="0081232C" w:rsidRPr="00D336D3" w:rsidRDefault="0081232C" w:rsidP="00514C8A">
            <w:pPr>
              <w:pStyle w:val="cuatexto"/>
              <w:jc w:val="right"/>
              <w:rPr>
                <w:sz w:val="18"/>
                <w:szCs w:val="18"/>
              </w:rPr>
            </w:pPr>
            <w:r w:rsidRPr="00D336D3">
              <w:rPr>
                <w:sz w:val="18"/>
                <w:szCs w:val="18"/>
              </w:rPr>
              <w:t>82.6</w:t>
            </w:r>
            <w:r>
              <w:rPr>
                <w:sz w:val="18"/>
                <w:szCs w:val="18"/>
              </w:rPr>
              <w:t>0</w:t>
            </w:r>
            <w:r w:rsidRPr="00D336D3">
              <w:rPr>
                <w:sz w:val="18"/>
                <w:szCs w:val="18"/>
              </w:rPr>
              <w:t>0</w:t>
            </w:r>
          </w:p>
        </w:tc>
        <w:tc>
          <w:tcPr>
            <w:tcW w:w="837" w:type="pct"/>
            <w:tcBorders>
              <w:top w:val="single" w:sz="2" w:space="0" w:color="auto"/>
              <w:bottom w:val="single" w:sz="2" w:space="0" w:color="auto"/>
            </w:tcBorders>
            <w:vAlign w:val="center"/>
          </w:tcPr>
          <w:p w:rsidR="0081232C" w:rsidRPr="00D336D3" w:rsidRDefault="0081232C" w:rsidP="00514C8A">
            <w:pPr>
              <w:pStyle w:val="cuatexto"/>
              <w:jc w:val="right"/>
              <w:rPr>
                <w:sz w:val="18"/>
                <w:szCs w:val="18"/>
              </w:rPr>
            </w:pPr>
            <w:r w:rsidRPr="00D336D3">
              <w:rPr>
                <w:sz w:val="18"/>
                <w:szCs w:val="18"/>
              </w:rPr>
              <w:t>82.</w:t>
            </w:r>
            <w:r>
              <w:rPr>
                <w:sz w:val="18"/>
                <w:szCs w:val="18"/>
              </w:rPr>
              <w:t>356</w:t>
            </w:r>
          </w:p>
        </w:tc>
        <w:tc>
          <w:tcPr>
            <w:tcW w:w="356" w:type="pct"/>
            <w:tcBorders>
              <w:top w:val="single" w:sz="2" w:space="0" w:color="auto"/>
              <w:bottom w:val="single" w:sz="2" w:space="0" w:color="auto"/>
            </w:tcBorders>
            <w:vAlign w:val="center"/>
          </w:tcPr>
          <w:p w:rsidR="0081232C" w:rsidRPr="00D336D3" w:rsidRDefault="0081232C" w:rsidP="00207B56">
            <w:pPr>
              <w:pStyle w:val="cuatexto"/>
              <w:jc w:val="right"/>
              <w:rPr>
                <w:sz w:val="18"/>
                <w:szCs w:val="18"/>
              </w:rPr>
            </w:pPr>
            <w:r>
              <w:rPr>
                <w:sz w:val="18"/>
                <w:szCs w:val="18"/>
              </w:rPr>
              <w:t>0,3</w:t>
            </w:r>
          </w:p>
        </w:tc>
      </w:tr>
      <w:tr w:rsidR="0081232C" w:rsidRPr="00D336D3" w:rsidTr="00B84DE3">
        <w:trPr>
          <w:trHeight w:val="284"/>
          <w:jc w:val="center"/>
        </w:trPr>
        <w:tc>
          <w:tcPr>
            <w:tcW w:w="1544" w:type="pct"/>
            <w:tcBorders>
              <w:top w:val="single" w:sz="2" w:space="0" w:color="auto"/>
              <w:bottom w:val="single" w:sz="4" w:space="0" w:color="auto"/>
            </w:tcBorders>
            <w:vAlign w:val="center"/>
          </w:tcPr>
          <w:p w:rsidR="0081232C" w:rsidRPr="00D336D3" w:rsidRDefault="0081232C" w:rsidP="00DD0D16">
            <w:pPr>
              <w:spacing w:after="0"/>
              <w:ind w:firstLine="0"/>
              <w:jc w:val="left"/>
              <w:rPr>
                <w:rFonts w:ascii="Arial Narrow" w:eastAsia="Calibri" w:hAnsi="Arial Narrow" w:cs="Calibri"/>
                <w:sz w:val="18"/>
                <w:szCs w:val="18"/>
                <w:lang w:eastAsia="es-ES"/>
              </w:rPr>
            </w:pPr>
            <w:r>
              <w:rPr>
                <w:rFonts w:ascii="Arial Narrow" w:eastAsia="Calibri" w:hAnsi="Arial Narrow" w:cs="Calibri"/>
                <w:sz w:val="18"/>
                <w:szCs w:val="18"/>
                <w:lang w:eastAsia="es-ES"/>
              </w:rPr>
              <w:t>Impermeabilización cubierta polideport</w:t>
            </w:r>
            <w:r>
              <w:rPr>
                <w:rFonts w:ascii="Arial Narrow" w:eastAsia="Calibri" w:hAnsi="Arial Narrow" w:cs="Calibri"/>
                <w:sz w:val="18"/>
                <w:szCs w:val="18"/>
                <w:lang w:eastAsia="es-ES"/>
              </w:rPr>
              <w:t>i</w:t>
            </w:r>
            <w:r>
              <w:rPr>
                <w:rFonts w:ascii="Arial Narrow" w:eastAsia="Calibri" w:hAnsi="Arial Narrow" w:cs="Calibri"/>
                <w:sz w:val="18"/>
                <w:szCs w:val="18"/>
                <w:lang w:eastAsia="es-ES"/>
              </w:rPr>
              <w:t xml:space="preserve">vo </w:t>
            </w:r>
            <w:proofErr w:type="spellStart"/>
            <w:r>
              <w:rPr>
                <w:rFonts w:ascii="Arial Narrow" w:eastAsia="Calibri" w:hAnsi="Arial Narrow" w:cs="Calibri"/>
                <w:sz w:val="18"/>
                <w:szCs w:val="18"/>
                <w:lang w:eastAsia="es-ES"/>
              </w:rPr>
              <w:t>Sarriguren</w:t>
            </w:r>
            <w:proofErr w:type="spellEnd"/>
          </w:p>
        </w:tc>
        <w:tc>
          <w:tcPr>
            <w:tcW w:w="955" w:type="pct"/>
            <w:tcBorders>
              <w:top w:val="single" w:sz="2" w:space="0" w:color="auto"/>
              <w:bottom w:val="single" w:sz="4" w:space="0" w:color="auto"/>
            </w:tcBorders>
            <w:vAlign w:val="center"/>
          </w:tcPr>
          <w:p w:rsidR="00514C8A" w:rsidRDefault="0081232C" w:rsidP="0042520A">
            <w:pPr>
              <w:pStyle w:val="cuatexto"/>
              <w:jc w:val="left"/>
              <w:rPr>
                <w:sz w:val="18"/>
                <w:szCs w:val="18"/>
              </w:rPr>
            </w:pPr>
            <w:r w:rsidRPr="00D336D3">
              <w:rPr>
                <w:sz w:val="18"/>
                <w:szCs w:val="18"/>
              </w:rPr>
              <w:t>Abierto inferior</w:t>
            </w:r>
          </w:p>
          <w:p w:rsidR="0081232C" w:rsidRPr="00D336D3" w:rsidRDefault="0081232C" w:rsidP="0042520A">
            <w:pPr>
              <w:pStyle w:val="cuatexto"/>
              <w:jc w:val="left"/>
              <w:rPr>
                <w:sz w:val="18"/>
                <w:szCs w:val="18"/>
              </w:rPr>
            </w:pPr>
            <w:r w:rsidRPr="00D336D3">
              <w:rPr>
                <w:sz w:val="18"/>
                <w:szCs w:val="18"/>
              </w:rPr>
              <w:t xml:space="preserve"> umbral comunit</w:t>
            </w:r>
            <w:r>
              <w:rPr>
                <w:sz w:val="18"/>
                <w:szCs w:val="18"/>
              </w:rPr>
              <w:t>ario</w:t>
            </w:r>
          </w:p>
        </w:tc>
        <w:tc>
          <w:tcPr>
            <w:tcW w:w="667" w:type="pct"/>
            <w:tcBorders>
              <w:top w:val="single" w:sz="2" w:space="0" w:color="auto"/>
              <w:bottom w:val="single" w:sz="4" w:space="0" w:color="auto"/>
            </w:tcBorders>
            <w:vAlign w:val="center"/>
          </w:tcPr>
          <w:p w:rsidR="0081232C" w:rsidRPr="00D336D3" w:rsidRDefault="0081232C" w:rsidP="00514C8A">
            <w:pPr>
              <w:pStyle w:val="cuatexto"/>
              <w:ind w:left="-136"/>
              <w:jc w:val="right"/>
              <w:rPr>
                <w:sz w:val="18"/>
                <w:szCs w:val="18"/>
              </w:rPr>
            </w:pPr>
            <w:r>
              <w:rPr>
                <w:sz w:val="18"/>
                <w:szCs w:val="18"/>
              </w:rPr>
              <w:t>1</w:t>
            </w:r>
          </w:p>
        </w:tc>
        <w:tc>
          <w:tcPr>
            <w:tcW w:w="640" w:type="pct"/>
            <w:tcBorders>
              <w:top w:val="single" w:sz="2" w:space="0" w:color="auto"/>
              <w:bottom w:val="single" w:sz="4" w:space="0" w:color="auto"/>
            </w:tcBorders>
            <w:vAlign w:val="center"/>
          </w:tcPr>
          <w:p w:rsidR="0081232C" w:rsidRPr="00D336D3" w:rsidRDefault="0081232C" w:rsidP="00514C8A">
            <w:pPr>
              <w:pStyle w:val="cuatexto"/>
              <w:jc w:val="right"/>
              <w:rPr>
                <w:sz w:val="18"/>
                <w:szCs w:val="18"/>
              </w:rPr>
            </w:pPr>
            <w:r>
              <w:rPr>
                <w:sz w:val="18"/>
                <w:szCs w:val="18"/>
              </w:rPr>
              <w:t>305.277</w:t>
            </w:r>
          </w:p>
        </w:tc>
        <w:tc>
          <w:tcPr>
            <w:tcW w:w="837" w:type="pct"/>
            <w:tcBorders>
              <w:top w:val="single" w:sz="2" w:space="0" w:color="auto"/>
              <w:bottom w:val="single" w:sz="4" w:space="0" w:color="auto"/>
            </w:tcBorders>
            <w:vAlign w:val="center"/>
          </w:tcPr>
          <w:p w:rsidR="0081232C" w:rsidRPr="00D336D3" w:rsidRDefault="0081232C" w:rsidP="00514C8A">
            <w:pPr>
              <w:pStyle w:val="cuatexto"/>
              <w:jc w:val="right"/>
              <w:rPr>
                <w:sz w:val="18"/>
                <w:szCs w:val="18"/>
              </w:rPr>
            </w:pPr>
            <w:r>
              <w:rPr>
                <w:sz w:val="18"/>
                <w:szCs w:val="18"/>
              </w:rPr>
              <w:t>259.485</w:t>
            </w:r>
          </w:p>
        </w:tc>
        <w:tc>
          <w:tcPr>
            <w:tcW w:w="356" w:type="pct"/>
            <w:tcBorders>
              <w:top w:val="single" w:sz="2" w:space="0" w:color="auto"/>
              <w:bottom w:val="single" w:sz="4" w:space="0" w:color="auto"/>
            </w:tcBorders>
            <w:vAlign w:val="center"/>
          </w:tcPr>
          <w:p w:rsidR="0081232C" w:rsidRPr="00D336D3" w:rsidRDefault="0081232C" w:rsidP="00CC0D59">
            <w:pPr>
              <w:pStyle w:val="cuatexto"/>
              <w:jc w:val="right"/>
              <w:rPr>
                <w:sz w:val="18"/>
                <w:szCs w:val="18"/>
              </w:rPr>
            </w:pPr>
            <w:r>
              <w:rPr>
                <w:sz w:val="18"/>
                <w:szCs w:val="18"/>
              </w:rPr>
              <w:t>15</w:t>
            </w:r>
          </w:p>
        </w:tc>
      </w:tr>
    </w:tbl>
    <w:p w:rsidR="0067725A" w:rsidRPr="00BD4B90" w:rsidRDefault="0067725A" w:rsidP="00AA5516">
      <w:pPr>
        <w:pStyle w:val="texto"/>
        <w:tabs>
          <w:tab w:val="clear" w:pos="2835"/>
          <w:tab w:val="clear" w:pos="3969"/>
          <w:tab w:val="clear" w:pos="5103"/>
          <w:tab w:val="clear" w:pos="6237"/>
          <w:tab w:val="clear" w:pos="7371"/>
        </w:tabs>
        <w:spacing w:before="60" w:after="0"/>
        <w:ind w:left="-181"/>
        <w:rPr>
          <w:rFonts w:ascii="Arial Narrow" w:hAnsi="Arial Narrow" w:cs="Arial"/>
          <w:sz w:val="16"/>
          <w:szCs w:val="16"/>
        </w:rPr>
      </w:pPr>
      <w:r w:rsidRPr="00BD4B90">
        <w:rPr>
          <w:rFonts w:ascii="Arial Narrow" w:hAnsi="Arial Narrow" w:cs="Arial"/>
          <w:sz w:val="16"/>
          <w:szCs w:val="16"/>
        </w:rPr>
        <w:t>*</w:t>
      </w:r>
      <w:r w:rsidR="00BD4B90">
        <w:rPr>
          <w:rFonts w:ascii="Arial Narrow" w:hAnsi="Arial Narrow" w:cs="Arial"/>
          <w:sz w:val="16"/>
          <w:szCs w:val="16"/>
        </w:rPr>
        <w:t xml:space="preserve"> </w:t>
      </w:r>
      <w:r w:rsidRPr="00BD4B90">
        <w:rPr>
          <w:rFonts w:ascii="Arial Narrow" w:hAnsi="Arial Narrow" w:cs="Arial"/>
          <w:sz w:val="16"/>
          <w:szCs w:val="16"/>
        </w:rPr>
        <w:t>Importes sin IVA</w:t>
      </w:r>
    </w:p>
    <w:p w:rsidR="0067725A" w:rsidRDefault="0067725A" w:rsidP="00507630">
      <w:pPr>
        <w:pStyle w:val="texto"/>
        <w:tabs>
          <w:tab w:val="clear" w:pos="2835"/>
          <w:tab w:val="clear" w:pos="3969"/>
          <w:tab w:val="clear" w:pos="5103"/>
          <w:tab w:val="clear" w:pos="6237"/>
          <w:tab w:val="clear" w:pos="7371"/>
        </w:tabs>
        <w:spacing w:before="240"/>
      </w:pPr>
      <w:r>
        <w:t>En general, la licitación de l</w:t>
      </w:r>
      <w:r w:rsidR="00F210B6">
        <w:t xml:space="preserve">os contratos y su adjudicación </w:t>
      </w:r>
      <w:r w:rsidRPr="003A31CB">
        <w:t xml:space="preserve">se </w:t>
      </w:r>
      <w:r>
        <w:t xml:space="preserve">han </w:t>
      </w:r>
      <w:r w:rsidRPr="003A31CB">
        <w:t>tramita</w:t>
      </w:r>
      <w:r>
        <w:t xml:space="preserve">do </w:t>
      </w:r>
      <w:r w:rsidRPr="003A31CB">
        <w:t>co</w:t>
      </w:r>
      <w:r w:rsidRPr="003A31CB">
        <w:t>n</w:t>
      </w:r>
      <w:r w:rsidRPr="003A31CB">
        <w:t>forme a la legislación</w:t>
      </w:r>
      <w:r w:rsidR="00AA5516">
        <w:t>. L</w:t>
      </w:r>
      <w:r w:rsidRPr="003A31CB">
        <w:t>os gastos están aprobados, intervenidos</w:t>
      </w:r>
      <w:r w:rsidRPr="002F25BE">
        <w:t>, justifi</w:t>
      </w:r>
      <w:r w:rsidRPr="008B2583">
        <w:t>cados y c</w:t>
      </w:r>
      <w:r w:rsidRPr="008B2583">
        <w:t>o</w:t>
      </w:r>
      <w:r w:rsidRPr="008B2583">
        <w:t>rrectamente contabiliza</w:t>
      </w:r>
      <w:r>
        <w:t>dos</w:t>
      </w:r>
      <w:r w:rsidR="00F210B6">
        <w:t xml:space="preserve"> y pagados. S</w:t>
      </w:r>
      <w:r>
        <w:t xml:space="preserve">in embargo, se han detectado </w:t>
      </w:r>
      <w:r w:rsidR="006F3AEA">
        <w:t>algunas inc</w:t>
      </w:r>
      <w:r w:rsidR="006F3AEA">
        <w:t>i</w:t>
      </w:r>
      <w:r w:rsidR="006F3AEA">
        <w:t>dencias</w:t>
      </w:r>
      <w:r>
        <w:t xml:space="preserve"> en la tramitación de los expedientes revisados</w:t>
      </w:r>
      <w:r w:rsidR="00822FA1">
        <w:t>,</w:t>
      </w:r>
      <w:r>
        <w:t xml:space="preserve"> de las cuales señalamos a continuación las más significativas:</w:t>
      </w:r>
    </w:p>
    <w:p w:rsidR="0067725A" w:rsidRDefault="0067725A" w:rsidP="00514C8A">
      <w:pPr>
        <w:pStyle w:val="texto"/>
        <w:numPr>
          <w:ilvl w:val="0"/>
          <w:numId w:val="1"/>
        </w:numPr>
        <w:tabs>
          <w:tab w:val="clear" w:pos="2835"/>
          <w:tab w:val="clear" w:pos="3969"/>
          <w:tab w:val="clear" w:pos="5103"/>
          <w:tab w:val="clear" w:pos="6237"/>
          <w:tab w:val="clear" w:pos="7371"/>
          <w:tab w:val="left" w:pos="480"/>
          <w:tab w:val="num" w:pos="720"/>
          <w:tab w:val="num" w:pos="6597"/>
        </w:tabs>
        <w:ind w:left="0" w:firstLine="289"/>
        <w:rPr>
          <w:rFonts w:cs="Arial"/>
          <w:spacing w:val="2"/>
        </w:rPr>
      </w:pPr>
      <w:r w:rsidRPr="00514C8A">
        <w:rPr>
          <w:rFonts w:cs="Arial"/>
          <w:color w:val="000000" w:themeColor="text1"/>
        </w:rPr>
        <w:t>No</w:t>
      </w:r>
      <w:r>
        <w:rPr>
          <w:rFonts w:cs="Arial"/>
          <w:spacing w:val="2"/>
        </w:rPr>
        <w:t xml:space="preserve"> consta la existencia de un Plan de inversiones.</w:t>
      </w:r>
    </w:p>
    <w:p w:rsidR="00CC0D59" w:rsidRPr="00CC0D59" w:rsidRDefault="00CC0D59" w:rsidP="00514C8A">
      <w:pPr>
        <w:pStyle w:val="texto"/>
        <w:numPr>
          <w:ilvl w:val="0"/>
          <w:numId w:val="1"/>
        </w:numPr>
        <w:tabs>
          <w:tab w:val="clear" w:pos="2835"/>
          <w:tab w:val="clear" w:pos="3969"/>
          <w:tab w:val="clear" w:pos="5103"/>
          <w:tab w:val="clear" w:pos="6237"/>
          <w:tab w:val="clear" w:pos="7371"/>
          <w:tab w:val="left" w:pos="480"/>
          <w:tab w:val="num" w:pos="720"/>
          <w:tab w:val="num" w:pos="6597"/>
        </w:tabs>
        <w:ind w:left="0" w:firstLine="289"/>
        <w:rPr>
          <w:rFonts w:cs="Arial"/>
          <w:spacing w:val="2"/>
        </w:rPr>
      </w:pPr>
      <w:r w:rsidRPr="00514C8A">
        <w:rPr>
          <w:rFonts w:cs="Arial"/>
          <w:color w:val="000000" w:themeColor="text1"/>
        </w:rPr>
        <w:lastRenderedPageBreak/>
        <w:t>En</w:t>
      </w:r>
      <w:r>
        <w:rPr>
          <w:rFonts w:cs="Arial"/>
          <w:spacing w:val="0"/>
        </w:rPr>
        <w:t xml:space="preserve"> el expediente de la obra de reparación de aceras de </w:t>
      </w:r>
      <w:proofErr w:type="spellStart"/>
      <w:r>
        <w:rPr>
          <w:rFonts w:cs="Arial"/>
          <w:spacing w:val="0"/>
        </w:rPr>
        <w:t>Gorraiz</w:t>
      </w:r>
      <w:proofErr w:type="spellEnd"/>
      <w:r>
        <w:rPr>
          <w:rFonts w:cs="Arial"/>
          <w:spacing w:val="0"/>
        </w:rPr>
        <w:t xml:space="preserve"> no consta informe de necesidad, informe jurídico ni acta de constitución de la mesa de contratación. El PCAP establece dos plazos de garantía diferentes y este defecto de forma ha imposibil</w:t>
      </w:r>
      <w:r>
        <w:rPr>
          <w:rFonts w:cs="Arial"/>
          <w:spacing w:val="0"/>
        </w:rPr>
        <w:t>i</w:t>
      </w:r>
      <w:r>
        <w:rPr>
          <w:rFonts w:cs="Arial"/>
          <w:spacing w:val="0"/>
        </w:rPr>
        <w:t>tado la aplicación de penalidades por retraso en la entrega de la obra.</w:t>
      </w:r>
    </w:p>
    <w:p w:rsidR="00CC0D59" w:rsidRPr="00CC0D59" w:rsidRDefault="00CC0D59" w:rsidP="00CC0D59">
      <w:pPr>
        <w:pStyle w:val="texto"/>
        <w:tabs>
          <w:tab w:val="clear" w:pos="2835"/>
          <w:tab w:val="clear" w:pos="3969"/>
          <w:tab w:val="clear" w:pos="5103"/>
          <w:tab w:val="clear" w:pos="6237"/>
          <w:tab w:val="clear" w:pos="7371"/>
          <w:tab w:val="num" w:pos="600"/>
          <w:tab w:val="num" w:pos="720"/>
          <w:tab w:val="num" w:pos="1320"/>
        </w:tabs>
        <w:spacing w:after="240"/>
        <w:rPr>
          <w:rFonts w:cs="Arial"/>
          <w:spacing w:val="2"/>
        </w:rPr>
      </w:pPr>
      <w:r>
        <w:rPr>
          <w:rFonts w:cs="Arial"/>
          <w:spacing w:val="0"/>
        </w:rPr>
        <w:t xml:space="preserve">La </w:t>
      </w:r>
      <w:r w:rsidR="0045751D">
        <w:rPr>
          <w:rFonts w:cs="Arial"/>
          <w:spacing w:val="0"/>
        </w:rPr>
        <w:t xml:space="preserve">fórmula utilizada para la </w:t>
      </w:r>
      <w:r>
        <w:rPr>
          <w:rFonts w:cs="Arial"/>
          <w:spacing w:val="0"/>
        </w:rPr>
        <w:t xml:space="preserve">valoración </w:t>
      </w:r>
      <w:r w:rsidR="0045751D">
        <w:rPr>
          <w:rFonts w:cs="Arial"/>
          <w:spacing w:val="0"/>
        </w:rPr>
        <w:t>económica no se ha realizado me</w:t>
      </w:r>
      <w:r>
        <w:rPr>
          <w:rFonts w:cs="Arial"/>
          <w:spacing w:val="0"/>
        </w:rPr>
        <w:t>diante fó</w:t>
      </w:r>
      <w:r>
        <w:rPr>
          <w:rFonts w:cs="Arial"/>
          <w:spacing w:val="0"/>
        </w:rPr>
        <w:t>r</w:t>
      </w:r>
      <w:r>
        <w:rPr>
          <w:rFonts w:cs="Arial"/>
          <w:spacing w:val="0"/>
        </w:rPr>
        <w:t>mula matemática linealmente proporcional</w:t>
      </w:r>
      <w:r w:rsidR="00EA160D">
        <w:rPr>
          <w:rFonts w:cs="Arial"/>
          <w:spacing w:val="0"/>
        </w:rPr>
        <w:t>, si bien</w:t>
      </w:r>
      <w:r>
        <w:rPr>
          <w:rFonts w:cs="Arial"/>
          <w:spacing w:val="0"/>
        </w:rPr>
        <w:t xml:space="preserve"> no ha tenido efectos debido a que solamente se present</w:t>
      </w:r>
      <w:r w:rsidR="0045751D">
        <w:rPr>
          <w:rFonts w:cs="Arial"/>
          <w:spacing w:val="0"/>
        </w:rPr>
        <w:t>ó</w:t>
      </w:r>
      <w:r>
        <w:rPr>
          <w:rFonts w:cs="Arial"/>
          <w:spacing w:val="0"/>
        </w:rPr>
        <w:t xml:space="preserve"> un licitador.</w:t>
      </w:r>
    </w:p>
    <w:p w:rsidR="00CC0D59" w:rsidRDefault="008F5149" w:rsidP="00514C8A">
      <w:pPr>
        <w:pStyle w:val="texto"/>
        <w:numPr>
          <w:ilvl w:val="0"/>
          <w:numId w:val="1"/>
        </w:numPr>
        <w:tabs>
          <w:tab w:val="clear" w:pos="2835"/>
          <w:tab w:val="clear" w:pos="3969"/>
          <w:tab w:val="clear" w:pos="5103"/>
          <w:tab w:val="clear" w:pos="6237"/>
          <w:tab w:val="clear" w:pos="7371"/>
          <w:tab w:val="left" w:pos="480"/>
          <w:tab w:val="num" w:pos="720"/>
          <w:tab w:val="num" w:pos="6597"/>
        </w:tabs>
        <w:ind w:left="0" w:firstLine="289"/>
        <w:rPr>
          <w:rFonts w:cs="Arial"/>
          <w:spacing w:val="2"/>
        </w:rPr>
      </w:pPr>
      <w:r w:rsidRPr="00514C8A">
        <w:rPr>
          <w:rFonts w:cs="Arial"/>
          <w:color w:val="000000" w:themeColor="text1"/>
        </w:rPr>
        <w:t>En</w:t>
      </w:r>
      <w:r>
        <w:rPr>
          <w:rFonts w:cs="Arial"/>
          <w:spacing w:val="2"/>
        </w:rPr>
        <w:t xml:space="preserve"> el expediente de la obra de impermeabilización del polideportivo no consta justificación de la no división en lotes y tampoco con</w:t>
      </w:r>
      <w:r w:rsidR="00B3358E">
        <w:rPr>
          <w:rFonts w:cs="Arial"/>
          <w:spacing w:val="2"/>
        </w:rPr>
        <w:t>stan todas las actas de la Mesa</w:t>
      </w:r>
      <w:r>
        <w:rPr>
          <w:rFonts w:cs="Arial"/>
          <w:spacing w:val="2"/>
        </w:rPr>
        <w:t>.</w:t>
      </w:r>
    </w:p>
    <w:p w:rsidR="008F5149" w:rsidRDefault="008F5149" w:rsidP="008F5149">
      <w:pPr>
        <w:pStyle w:val="texto"/>
        <w:tabs>
          <w:tab w:val="clear" w:pos="2835"/>
          <w:tab w:val="clear" w:pos="3969"/>
          <w:tab w:val="clear" w:pos="5103"/>
          <w:tab w:val="clear" w:pos="6237"/>
          <w:tab w:val="clear" w:pos="7371"/>
          <w:tab w:val="num" w:pos="600"/>
          <w:tab w:val="num" w:pos="720"/>
          <w:tab w:val="num" w:pos="1320"/>
        </w:tabs>
        <w:spacing w:after="240"/>
        <w:rPr>
          <w:rFonts w:cs="Arial"/>
          <w:spacing w:val="2"/>
        </w:rPr>
      </w:pPr>
      <w:r>
        <w:rPr>
          <w:rFonts w:cs="Arial"/>
          <w:spacing w:val="2"/>
        </w:rPr>
        <w:t>En la ejecución de la obra se han producido dos modificaciones por importe total de 35.977 euros</w:t>
      </w:r>
      <w:r w:rsidRPr="008A365E">
        <w:rPr>
          <w:rFonts w:cs="Arial"/>
          <w:color w:val="000000" w:themeColor="text1"/>
          <w:spacing w:val="2"/>
        </w:rPr>
        <w:t xml:space="preserve">, </w:t>
      </w:r>
      <w:r w:rsidR="00236326" w:rsidRPr="008A365E">
        <w:rPr>
          <w:rFonts w:cs="Arial"/>
          <w:color w:val="000000" w:themeColor="text1"/>
          <w:spacing w:val="2"/>
        </w:rPr>
        <w:t>IVA</w:t>
      </w:r>
      <w:r w:rsidR="0081232C" w:rsidRPr="008A365E">
        <w:rPr>
          <w:rFonts w:cs="Arial"/>
          <w:color w:val="000000" w:themeColor="text1"/>
          <w:spacing w:val="2"/>
        </w:rPr>
        <w:t xml:space="preserve"> incluido, </w:t>
      </w:r>
      <w:r w:rsidRPr="008A365E">
        <w:rPr>
          <w:rFonts w:cs="Arial"/>
          <w:color w:val="000000" w:themeColor="text1"/>
          <w:spacing w:val="2"/>
        </w:rPr>
        <w:t>que suponen el 14 por ciento sobre el importe de adjud</w:t>
      </w:r>
      <w:r w:rsidRPr="008A365E">
        <w:rPr>
          <w:rFonts w:cs="Arial"/>
          <w:color w:val="000000" w:themeColor="text1"/>
          <w:spacing w:val="2"/>
        </w:rPr>
        <w:t>i</w:t>
      </w:r>
      <w:r w:rsidRPr="008A365E">
        <w:rPr>
          <w:rFonts w:cs="Arial"/>
          <w:color w:val="000000" w:themeColor="text1"/>
          <w:spacing w:val="2"/>
        </w:rPr>
        <w:t xml:space="preserve">cación. La segunda modificación </w:t>
      </w:r>
      <w:r w:rsidR="002966A8">
        <w:rPr>
          <w:rFonts w:cs="Arial"/>
          <w:color w:val="000000" w:themeColor="text1"/>
          <w:spacing w:val="2"/>
        </w:rPr>
        <w:t>la</w:t>
      </w:r>
      <w:r w:rsidRPr="008A365E">
        <w:rPr>
          <w:rFonts w:cs="Arial"/>
          <w:color w:val="000000" w:themeColor="text1"/>
          <w:spacing w:val="2"/>
        </w:rPr>
        <w:t xml:space="preserve"> ha aprobado el órgano de contratación una vez realizada la certificación sin</w:t>
      </w:r>
      <w:r w:rsidR="0081232C" w:rsidRPr="008A365E">
        <w:rPr>
          <w:rFonts w:cs="Arial"/>
          <w:color w:val="000000" w:themeColor="text1"/>
          <w:spacing w:val="2"/>
        </w:rPr>
        <w:t xml:space="preserve"> la</w:t>
      </w:r>
      <w:r w:rsidRPr="008A365E">
        <w:rPr>
          <w:rFonts w:cs="Arial"/>
          <w:color w:val="000000" w:themeColor="text1"/>
          <w:spacing w:val="2"/>
        </w:rPr>
        <w:t xml:space="preserve"> tramitación de</w:t>
      </w:r>
      <w:r w:rsidR="0081232C" w:rsidRPr="008A365E">
        <w:rPr>
          <w:rFonts w:cs="Arial"/>
          <w:color w:val="000000" w:themeColor="text1"/>
          <w:spacing w:val="2"/>
        </w:rPr>
        <w:t xml:space="preserve">l </w:t>
      </w:r>
      <w:r w:rsidRPr="008A365E">
        <w:rPr>
          <w:rFonts w:cs="Arial"/>
          <w:color w:val="000000" w:themeColor="text1"/>
          <w:spacing w:val="2"/>
        </w:rPr>
        <w:t xml:space="preserve">expediente </w:t>
      </w:r>
      <w:r w:rsidR="0081232C" w:rsidRPr="008A365E">
        <w:rPr>
          <w:rFonts w:cs="Arial"/>
          <w:color w:val="000000" w:themeColor="text1"/>
          <w:spacing w:val="2"/>
        </w:rPr>
        <w:t>oportuno</w:t>
      </w:r>
      <w:r>
        <w:rPr>
          <w:rFonts w:cs="Arial"/>
          <w:spacing w:val="2"/>
        </w:rPr>
        <w:t xml:space="preserve">. </w:t>
      </w:r>
      <w:r w:rsidR="0045751D">
        <w:rPr>
          <w:rFonts w:cs="Arial"/>
          <w:spacing w:val="2"/>
        </w:rPr>
        <w:t>No</w:t>
      </w:r>
      <w:r>
        <w:rPr>
          <w:rFonts w:cs="Arial"/>
          <w:spacing w:val="2"/>
        </w:rPr>
        <w:t xml:space="preserve"> se ha ajustado la garantía y no se ha dado publicidad a las </w:t>
      </w:r>
      <w:r w:rsidR="0045751D">
        <w:rPr>
          <w:rFonts w:cs="Arial"/>
          <w:spacing w:val="2"/>
        </w:rPr>
        <w:t>modificaciones realizadas</w:t>
      </w:r>
      <w:r>
        <w:rPr>
          <w:rFonts w:cs="Arial"/>
          <w:spacing w:val="2"/>
        </w:rPr>
        <w:t>.</w:t>
      </w:r>
    </w:p>
    <w:p w:rsidR="008F5149" w:rsidRDefault="00BE63D3" w:rsidP="008F5149">
      <w:pPr>
        <w:pStyle w:val="texto"/>
        <w:tabs>
          <w:tab w:val="clear" w:pos="2835"/>
          <w:tab w:val="clear" w:pos="3969"/>
          <w:tab w:val="clear" w:pos="5103"/>
          <w:tab w:val="clear" w:pos="6237"/>
          <w:tab w:val="clear" w:pos="7371"/>
          <w:tab w:val="num" w:pos="600"/>
          <w:tab w:val="num" w:pos="720"/>
          <w:tab w:val="num" w:pos="1320"/>
        </w:tabs>
        <w:spacing w:after="240"/>
        <w:rPr>
          <w:rFonts w:cs="Arial"/>
          <w:spacing w:val="2"/>
        </w:rPr>
      </w:pPr>
      <w:r>
        <w:rPr>
          <w:rFonts w:cs="Arial"/>
          <w:spacing w:val="2"/>
        </w:rPr>
        <w:t>El aparejador municipal informa de que la adjudicataria no ha cumplido su co</w:t>
      </w:r>
      <w:r>
        <w:rPr>
          <w:rFonts w:cs="Arial"/>
          <w:spacing w:val="2"/>
        </w:rPr>
        <w:t>m</w:t>
      </w:r>
      <w:r>
        <w:rPr>
          <w:rFonts w:cs="Arial"/>
          <w:spacing w:val="2"/>
        </w:rPr>
        <w:t>promiso de formación en materia de igualdad</w:t>
      </w:r>
      <w:r w:rsidR="00C56709">
        <w:rPr>
          <w:rFonts w:cs="Arial"/>
          <w:spacing w:val="2"/>
        </w:rPr>
        <w:t>,</w:t>
      </w:r>
      <w:r>
        <w:rPr>
          <w:rFonts w:cs="Arial"/>
          <w:spacing w:val="2"/>
        </w:rPr>
        <w:t xml:space="preserve"> seg</w:t>
      </w:r>
      <w:r w:rsidR="00C56709">
        <w:rPr>
          <w:rFonts w:cs="Arial"/>
          <w:spacing w:val="2"/>
        </w:rPr>
        <w:t>uridad y protección de la salud. L</w:t>
      </w:r>
      <w:r>
        <w:rPr>
          <w:rFonts w:cs="Arial"/>
          <w:spacing w:val="2"/>
        </w:rPr>
        <w:t xml:space="preserve">a Junta de Gobierno Local </w:t>
      </w:r>
      <w:r w:rsidR="00C56709">
        <w:rPr>
          <w:rFonts w:cs="Arial"/>
          <w:spacing w:val="2"/>
        </w:rPr>
        <w:t>decidió</w:t>
      </w:r>
      <w:r>
        <w:rPr>
          <w:rFonts w:cs="Arial"/>
          <w:spacing w:val="2"/>
        </w:rPr>
        <w:t xml:space="preserve"> no imponer las penalidades recogidas en el</w:t>
      </w:r>
      <w:r w:rsidR="00187333">
        <w:rPr>
          <w:rFonts w:cs="Arial"/>
          <w:spacing w:val="2"/>
        </w:rPr>
        <w:t xml:space="preserve"> PCAP </w:t>
      </w:r>
      <w:r w:rsidR="00E834F4">
        <w:rPr>
          <w:rFonts w:cs="Arial"/>
          <w:spacing w:val="2"/>
        </w:rPr>
        <w:t xml:space="preserve">debido a que la empresa se comprometió a impartir dicha formación </w:t>
      </w:r>
      <w:r w:rsidR="00E834F4" w:rsidRPr="003E23AC">
        <w:rPr>
          <w:rFonts w:cs="Arial"/>
          <w:i/>
          <w:spacing w:val="2"/>
        </w:rPr>
        <w:t>a posteriori</w:t>
      </w:r>
      <w:r w:rsidR="00E834F4" w:rsidRPr="008A365E">
        <w:rPr>
          <w:rFonts w:cs="Arial"/>
          <w:spacing w:val="2"/>
        </w:rPr>
        <w:t>.</w:t>
      </w:r>
      <w:r w:rsidR="001D45FC">
        <w:rPr>
          <w:rFonts w:cs="Arial"/>
          <w:spacing w:val="2"/>
        </w:rPr>
        <w:t xml:space="preserve"> </w:t>
      </w:r>
    </w:p>
    <w:p w:rsidR="0045751D" w:rsidRDefault="0045751D" w:rsidP="00514C8A">
      <w:pPr>
        <w:pStyle w:val="texto"/>
        <w:numPr>
          <w:ilvl w:val="0"/>
          <w:numId w:val="1"/>
        </w:numPr>
        <w:tabs>
          <w:tab w:val="clear" w:pos="2835"/>
          <w:tab w:val="clear" w:pos="3969"/>
          <w:tab w:val="clear" w:pos="5103"/>
          <w:tab w:val="clear" w:pos="6237"/>
          <w:tab w:val="clear" w:pos="7371"/>
          <w:tab w:val="left" w:pos="480"/>
          <w:tab w:val="num" w:pos="720"/>
          <w:tab w:val="num" w:pos="6597"/>
        </w:tabs>
        <w:ind w:left="0" w:firstLine="289"/>
        <w:rPr>
          <w:rFonts w:cs="Arial"/>
          <w:spacing w:val="2"/>
        </w:rPr>
      </w:pPr>
      <w:r>
        <w:rPr>
          <w:rFonts w:cs="Arial"/>
          <w:spacing w:val="2"/>
        </w:rPr>
        <w:t>En el expediente de la obra de la escuela infantil se han realizado dos modific</w:t>
      </w:r>
      <w:r>
        <w:rPr>
          <w:rFonts w:cs="Arial"/>
          <w:spacing w:val="2"/>
        </w:rPr>
        <w:t>a</w:t>
      </w:r>
      <w:r>
        <w:rPr>
          <w:rFonts w:cs="Arial"/>
          <w:spacing w:val="2"/>
        </w:rPr>
        <w:t xml:space="preserve">ciones contractuales por importe total de </w:t>
      </w:r>
      <w:r w:rsidR="0081232C">
        <w:rPr>
          <w:rFonts w:cs="Arial"/>
          <w:spacing w:val="2"/>
        </w:rPr>
        <w:t>77.758</w:t>
      </w:r>
      <w:r>
        <w:rPr>
          <w:rFonts w:cs="Arial"/>
          <w:spacing w:val="2"/>
        </w:rPr>
        <w:t xml:space="preserve"> euros</w:t>
      </w:r>
      <w:r w:rsidR="00F8469C">
        <w:rPr>
          <w:rFonts w:cs="Arial"/>
          <w:spacing w:val="2"/>
        </w:rPr>
        <w:t xml:space="preserve">, </w:t>
      </w:r>
      <w:r w:rsidR="00236326">
        <w:rPr>
          <w:rFonts w:cs="Arial"/>
          <w:spacing w:val="2"/>
        </w:rPr>
        <w:t>IVA</w:t>
      </w:r>
      <w:r w:rsidR="00F8469C">
        <w:rPr>
          <w:rFonts w:cs="Arial"/>
          <w:spacing w:val="2"/>
        </w:rPr>
        <w:t xml:space="preserve"> </w:t>
      </w:r>
      <w:r w:rsidR="0081232C">
        <w:rPr>
          <w:rFonts w:cs="Arial"/>
          <w:spacing w:val="2"/>
        </w:rPr>
        <w:t>in</w:t>
      </w:r>
      <w:r w:rsidR="00F8469C">
        <w:rPr>
          <w:rFonts w:cs="Arial"/>
          <w:spacing w:val="2"/>
        </w:rPr>
        <w:t xml:space="preserve">cluido, </w:t>
      </w:r>
      <w:r>
        <w:rPr>
          <w:rFonts w:cs="Arial"/>
          <w:spacing w:val="2"/>
        </w:rPr>
        <w:t xml:space="preserve">sin la realización del trámite establecido por la normativa de contratación. </w:t>
      </w:r>
    </w:p>
    <w:p w:rsidR="0067725A" w:rsidRPr="003D123A" w:rsidRDefault="0067725A" w:rsidP="00507630">
      <w:pPr>
        <w:pStyle w:val="texto"/>
        <w:tabs>
          <w:tab w:val="clear" w:pos="2835"/>
          <w:tab w:val="clear" w:pos="3969"/>
          <w:tab w:val="clear" w:pos="5103"/>
          <w:tab w:val="clear" w:pos="6237"/>
          <w:tab w:val="clear" w:pos="7371"/>
          <w:tab w:val="num" w:pos="720"/>
          <w:tab w:val="num" w:pos="1320"/>
        </w:tabs>
        <w:spacing w:after="120"/>
        <w:ind w:left="-28" w:firstLine="312"/>
      </w:pPr>
      <w:r w:rsidRPr="003D123A">
        <w:t>Recomendamos</w:t>
      </w:r>
      <w:r w:rsidR="003D123A">
        <w:t>:</w:t>
      </w:r>
    </w:p>
    <w:p w:rsidR="0045751D" w:rsidRDefault="0045751D" w:rsidP="00514C8A">
      <w:pPr>
        <w:pStyle w:val="texto"/>
        <w:numPr>
          <w:ilvl w:val="0"/>
          <w:numId w:val="1"/>
        </w:numPr>
        <w:tabs>
          <w:tab w:val="clear" w:pos="2835"/>
          <w:tab w:val="clear" w:pos="3969"/>
          <w:tab w:val="clear" w:pos="5103"/>
          <w:tab w:val="clear" w:pos="6237"/>
          <w:tab w:val="clear" w:pos="7371"/>
          <w:tab w:val="left" w:pos="480"/>
          <w:tab w:val="num" w:pos="720"/>
          <w:tab w:val="num" w:pos="6597"/>
        </w:tabs>
        <w:ind w:left="0" w:firstLine="289"/>
        <w:rPr>
          <w:rFonts w:cs="Arial"/>
          <w:i/>
          <w:spacing w:val="2"/>
        </w:rPr>
      </w:pPr>
      <w:r w:rsidRPr="005C377B">
        <w:rPr>
          <w:rFonts w:cs="Arial"/>
          <w:i/>
          <w:spacing w:val="2"/>
        </w:rPr>
        <w:t xml:space="preserve">Completar los expedientes de contratación con </w:t>
      </w:r>
      <w:r w:rsidR="007A5923" w:rsidRPr="005C377B">
        <w:rPr>
          <w:rFonts w:cs="Arial"/>
          <w:i/>
          <w:spacing w:val="2"/>
        </w:rPr>
        <w:t xml:space="preserve">la documentación requerida </w:t>
      </w:r>
      <w:r w:rsidRPr="005C377B">
        <w:rPr>
          <w:rFonts w:cs="Arial"/>
          <w:i/>
          <w:spacing w:val="2"/>
        </w:rPr>
        <w:t xml:space="preserve">por la normativa contractual </w:t>
      </w:r>
      <w:r w:rsidRPr="001D45FC">
        <w:rPr>
          <w:rFonts w:cs="Arial"/>
          <w:i/>
          <w:spacing w:val="2"/>
        </w:rPr>
        <w:t>como</w:t>
      </w:r>
      <w:r w:rsidR="007A5923" w:rsidRPr="001D45FC">
        <w:rPr>
          <w:rFonts w:cs="Arial"/>
          <w:i/>
          <w:spacing w:val="2"/>
        </w:rPr>
        <w:t xml:space="preserve"> son</w:t>
      </w:r>
      <w:r w:rsidRPr="001D45FC">
        <w:rPr>
          <w:rFonts w:cs="Arial"/>
          <w:i/>
          <w:spacing w:val="2"/>
        </w:rPr>
        <w:t xml:space="preserve"> el informe de necesidad con la justificación de no división en lotes, informe jurídico</w:t>
      </w:r>
      <w:r w:rsidR="007A5923" w:rsidRPr="001D45FC">
        <w:rPr>
          <w:rFonts w:cs="Arial"/>
          <w:i/>
          <w:spacing w:val="2"/>
        </w:rPr>
        <w:t xml:space="preserve"> y</w:t>
      </w:r>
      <w:r w:rsidRPr="001D45FC">
        <w:rPr>
          <w:rFonts w:cs="Arial"/>
          <w:i/>
          <w:spacing w:val="2"/>
        </w:rPr>
        <w:t xml:space="preserve"> actas de la Mesa de Contratación</w:t>
      </w:r>
      <w:r w:rsidRPr="005C377B">
        <w:rPr>
          <w:rFonts w:cs="Arial"/>
          <w:i/>
          <w:spacing w:val="2"/>
        </w:rPr>
        <w:t>.</w:t>
      </w:r>
    </w:p>
    <w:p w:rsidR="00F70272" w:rsidRPr="00F70272" w:rsidRDefault="00F70272" w:rsidP="00514C8A">
      <w:pPr>
        <w:pStyle w:val="texto"/>
        <w:numPr>
          <w:ilvl w:val="0"/>
          <w:numId w:val="1"/>
        </w:numPr>
        <w:tabs>
          <w:tab w:val="clear" w:pos="2835"/>
          <w:tab w:val="clear" w:pos="3969"/>
          <w:tab w:val="clear" w:pos="5103"/>
          <w:tab w:val="clear" w:pos="6237"/>
          <w:tab w:val="clear" w:pos="7371"/>
          <w:tab w:val="left" w:pos="480"/>
          <w:tab w:val="num" w:pos="720"/>
          <w:tab w:val="num" w:pos="6597"/>
        </w:tabs>
        <w:ind w:left="0" w:firstLine="289"/>
        <w:rPr>
          <w:rFonts w:cs="Arial"/>
          <w:i/>
          <w:color w:val="000000" w:themeColor="text1"/>
          <w:spacing w:val="2"/>
        </w:rPr>
      </w:pPr>
      <w:r w:rsidRPr="00514C8A">
        <w:rPr>
          <w:rFonts w:cs="Arial"/>
          <w:i/>
          <w:color w:val="000000" w:themeColor="text1"/>
        </w:rPr>
        <w:t>Reajustar</w:t>
      </w:r>
      <w:r w:rsidRPr="00F70272">
        <w:rPr>
          <w:rFonts w:cs="Arial"/>
          <w:i/>
          <w:color w:val="000000" w:themeColor="text1"/>
          <w:spacing w:val="2"/>
        </w:rPr>
        <w:t xml:space="preserve"> la garantía definitiva en los casos en que se produzcan modificaciones del contrato y proceder a la publicación de estas.</w:t>
      </w:r>
    </w:p>
    <w:p w:rsidR="0045751D" w:rsidRDefault="0045751D" w:rsidP="00514C8A">
      <w:pPr>
        <w:pStyle w:val="texto"/>
        <w:numPr>
          <w:ilvl w:val="0"/>
          <w:numId w:val="1"/>
        </w:numPr>
        <w:tabs>
          <w:tab w:val="clear" w:pos="2835"/>
          <w:tab w:val="clear" w:pos="3969"/>
          <w:tab w:val="clear" w:pos="5103"/>
          <w:tab w:val="clear" w:pos="6237"/>
          <w:tab w:val="clear" w:pos="7371"/>
          <w:tab w:val="left" w:pos="480"/>
          <w:tab w:val="num" w:pos="720"/>
          <w:tab w:val="num" w:pos="6597"/>
        </w:tabs>
        <w:ind w:left="0" w:firstLine="289"/>
        <w:rPr>
          <w:rFonts w:cs="Arial"/>
          <w:i/>
          <w:spacing w:val="2"/>
        </w:rPr>
      </w:pPr>
      <w:r w:rsidRPr="00514C8A">
        <w:rPr>
          <w:rFonts w:cs="Arial"/>
          <w:i/>
          <w:color w:val="000000" w:themeColor="text1"/>
        </w:rPr>
        <w:t>Cumplir</w:t>
      </w:r>
      <w:r w:rsidRPr="005C377B">
        <w:rPr>
          <w:rFonts w:cs="Arial"/>
          <w:i/>
          <w:spacing w:val="2"/>
        </w:rPr>
        <w:t xml:space="preserve"> la tramitación establecida en el caso de que se produzc</w:t>
      </w:r>
      <w:r w:rsidR="007A5923" w:rsidRPr="005C377B">
        <w:rPr>
          <w:rFonts w:cs="Arial"/>
          <w:i/>
          <w:spacing w:val="2"/>
        </w:rPr>
        <w:t>an modificaci</w:t>
      </w:r>
      <w:r w:rsidR="007A5923" w:rsidRPr="005C377B">
        <w:rPr>
          <w:rFonts w:cs="Arial"/>
          <w:i/>
          <w:spacing w:val="2"/>
        </w:rPr>
        <w:t>o</w:t>
      </w:r>
      <w:r w:rsidR="007A5923" w:rsidRPr="005C377B">
        <w:rPr>
          <w:rFonts w:cs="Arial"/>
          <w:i/>
          <w:spacing w:val="2"/>
        </w:rPr>
        <w:t xml:space="preserve">nes contractuales y exigir las penalidades establecidas en los PCAP </w:t>
      </w:r>
      <w:r w:rsidR="00E220FD">
        <w:rPr>
          <w:rFonts w:cs="Arial"/>
          <w:i/>
          <w:spacing w:val="2"/>
        </w:rPr>
        <w:t>por</w:t>
      </w:r>
      <w:r w:rsidR="007A5923" w:rsidRPr="005C377B">
        <w:rPr>
          <w:rFonts w:cs="Arial"/>
          <w:i/>
          <w:spacing w:val="2"/>
        </w:rPr>
        <w:t xml:space="preserve"> incumpl</w:t>
      </w:r>
      <w:r w:rsidR="007A5923" w:rsidRPr="005C377B">
        <w:rPr>
          <w:rFonts w:cs="Arial"/>
          <w:i/>
          <w:spacing w:val="2"/>
        </w:rPr>
        <w:t>i</w:t>
      </w:r>
      <w:r w:rsidR="007A5923" w:rsidRPr="005C377B">
        <w:rPr>
          <w:rFonts w:cs="Arial"/>
          <w:i/>
          <w:spacing w:val="2"/>
        </w:rPr>
        <w:t xml:space="preserve">miento de las </w:t>
      </w:r>
      <w:r w:rsidR="00236326" w:rsidRPr="005C377B">
        <w:rPr>
          <w:rFonts w:cs="Arial"/>
          <w:i/>
          <w:spacing w:val="2"/>
        </w:rPr>
        <w:t>cláusulas</w:t>
      </w:r>
      <w:r w:rsidR="007A5923" w:rsidRPr="005C377B">
        <w:rPr>
          <w:rFonts w:cs="Arial"/>
          <w:i/>
          <w:spacing w:val="2"/>
        </w:rPr>
        <w:t xml:space="preserve"> recogidas en los mismos.</w:t>
      </w:r>
    </w:p>
    <w:p w:rsidR="00F70272" w:rsidRDefault="00F70272" w:rsidP="00514C8A">
      <w:pPr>
        <w:pStyle w:val="texto"/>
        <w:numPr>
          <w:ilvl w:val="0"/>
          <w:numId w:val="1"/>
        </w:numPr>
        <w:tabs>
          <w:tab w:val="clear" w:pos="2835"/>
          <w:tab w:val="clear" w:pos="3969"/>
          <w:tab w:val="clear" w:pos="5103"/>
          <w:tab w:val="clear" w:pos="6237"/>
          <w:tab w:val="clear" w:pos="7371"/>
          <w:tab w:val="left" w:pos="480"/>
          <w:tab w:val="num" w:pos="720"/>
          <w:tab w:val="num" w:pos="6597"/>
        </w:tabs>
        <w:ind w:left="0" w:firstLine="289"/>
        <w:rPr>
          <w:rFonts w:cs="Arial"/>
          <w:i/>
          <w:spacing w:val="2"/>
        </w:rPr>
      </w:pPr>
      <w:r w:rsidRPr="00514C8A">
        <w:rPr>
          <w:rFonts w:cs="Arial"/>
          <w:i/>
          <w:color w:val="000000" w:themeColor="text1"/>
        </w:rPr>
        <w:t>Aprobar</w:t>
      </w:r>
      <w:r w:rsidRPr="00AC108C">
        <w:rPr>
          <w:rFonts w:cs="Arial"/>
          <w:i/>
          <w:spacing w:val="2"/>
        </w:rPr>
        <w:t xml:space="preserve"> un </w:t>
      </w:r>
      <w:r w:rsidR="00E220FD" w:rsidRPr="00AC108C">
        <w:rPr>
          <w:rFonts w:cs="Arial"/>
          <w:i/>
          <w:spacing w:val="2"/>
        </w:rPr>
        <w:t xml:space="preserve">plan </w:t>
      </w:r>
      <w:r w:rsidRPr="00AC108C">
        <w:rPr>
          <w:rFonts w:cs="Arial"/>
          <w:i/>
          <w:spacing w:val="2"/>
        </w:rPr>
        <w:t>de inve</w:t>
      </w:r>
      <w:r w:rsidR="00E220FD">
        <w:rPr>
          <w:rFonts w:cs="Arial"/>
          <w:i/>
          <w:spacing w:val="2"/>
        </w:rPr>
        <w:t>rsiones</w:t>
      </w:r>
      <w:r>
        <w:rPr>
          <w:rFonts w:cs="Arial"/>
          <w:i/>
          <w:spacing w:val="2"/>
        </w:rPr>
        <w:t xml:space="preserve"> que permita </w:t>
      </w:r>
      <w:r w:rsidRPr="00AC108C">
        <w:rPr>
          <w:rFonts w:cs="Arial"/>
          <w:i/>
          <w:spacing w:val="2"/>
        </w:rPr>
        <w:t>realizar una adecuada planificación, así como su seguimiento, control y evaluación posterior.</w:t>
      </w:r>
    </w:p>
    <w:p w:rsidR="00F70272" w:rsidRPr="005C377B" w:rsidRDefault="00F70272" w:rsidP="00514C8A">
      <w:pPr>
        <w:pStyle w:val="texto"/>
        <w:numPr>
          <w:ilvl w:val="0"/>
          <w:numId w:val="1"/>
        </w:numPr>
        <w:tabs>
          <w:tab w:val="clear" w:pos="2835"/>
          <w:tab w:val="clear" w:pos="3969"/>
          <w:tab w:val="clear" w:pos="5103"/>
          <w:tab w:val="clear" w:pos="6237"/>
          <w:tab w:val="clear" w:pos="7371"/>
          <w:tab w:val="left" w:pos="480"/>
          <w:tab w:val="num" w:pos="720"/>
          <w:tab w:val="num" w:pos="6597"/>
        </w:tabs>
        <w:ind w:left="0" w:firstLine="289"/>
        <w:rPr>
          <w:rFonts w:cs="Arial"/>
          <w:i/>
          <w:spacing w:val="2"/>
        </w:rPr>
      </w:pPr>
      <w:r w:rsidRPr="00514C8A">
        <w:rPr>
          <w:rFonts w:cs="Arial"/>
          <w:i/>
          <w:color w:val="000000" w:themeColor="text1"/>
        </w:rPr>
        <w:t>Establecer</w:t>
      </w:r>
      <w:r>
        <w:rPr>
          <w:rFonts w:cs="Arial"/>
          <w:i/>
          <w:spacing w:val="2"/>
        </w:rPr>
        <w:t xml:space="preserve"> en los pliegos fórmulas de valoración económica linealmente propo</w:t>
      </w:r>
      <w:r>
        <w:rPr>
          <w:rFonts w:cs="Arial"/>
          <w:i/>
          <w:spacing w:val="2"/>
        </w:rPr>
        <w:t>r</w:t>
      </w:r>
      <w:r>
        <w:rPr>
          <w:rFonts w:cs="Arial"/>
          <w:i/>
          <w:spacing w:val="2"/>
        </w:rPr>
        <w:t>cionales</w:t>
      </w:r>
      <w:r w:rsidR="00942D49">
        <w:rPr>
          <w:rFonts w:cs="Arial"/>
          <w:i/>
          <w:spacing w:val="2"/>
        </w:rPr>
        <w:t>.</w:t>
      </w:r>
    </w:p>
    <w:p w:rsidR="0067725A" w:rsidRPr="00C149E6" w:rsidRDefault="0067725A" w:rsidP="00B1770F">
      <w:pPr>
        <w:pStyle w:val="atitulo3"/>
        <w:spacing w:before="300" w:after="200"/>
      </w:pPr>
      <w:bookmarkStart w:id="117" w:name="_Toc455146001"/>
      <w:r w:rsidRPr="00C149E6">
        <w:lastRenderedPageBreak/>
        <w:t>V</w:t>
      </w:r>
      <w:r>
        <w:t>I</w:t>
      </w:r>
      <w:r w:rsidRPr="00C149E6">
        <w:t>.</w:t>
      </w:r>
      <w:r>
        <w:t>5</w:t>
      </w:r>
      <w:r w:rsidRPr="00C149E6">
        <w:t>.</w:t>
      </w:r>
      <w:r w:rsidR="00FA0054">
        <w:t>5</w:t>
      </w:r>
      <w:r w:rsidRPr="00C149E6">
        <w:t>. Gastos de transferencias</w:t>
      </w:r>
      <w:bookmarkEnd w:id="117"/>
    </w:p>
    <w:p w:rsidR="0067725A" w:rsidRDefault="0067725A" w:rsidP="00B1770F">
      <w:pPr>
        <w:pStyle w:val="texto"/>
        <w:tabs>
          <w:tab w:val="clear" w:pos="2835"/>
          <w:tab w:val="clear" w:pos="3969"/>
          <w:tab w:val="clear" w:pos="5103"/>
          <w:tab w:val="clear" w:pos="6237"/>
          <w:tab w:val="clear" w:pos="7371"/>
          <w:tab w:val="left" w:pos="480"/>
          <w:tab w:val="num" w:pos="720"/>
          <w:tab w:val="num" w:pos="1320"/>
        </w:tabs>
        <w:spacing w:after="240"/>
        <w:rPr>
          <w:rFonts w:cs="Arial"/>
        </w:rPr>
      </w:pPr>
      <w:r w:rsidRPr="009762DB">
        <w:rPr>
          <w:rFonts w:cs="Arial"/>
        </w:rPr>
        <w:t xml:space="preserve">En el año </w:t>
      </w:r>
      <w:r>
        <w:rPr>
          <w:rFonts w:cs="Arial"/>
        </w:rPr>
        <w:t>201</w:t>
      </w:r>
      <w:r w:rsidR="007A5923">
        <w:rPr>
          <w:rFonts w:cs="Arial"/>
        </w:rPr>
        <w:t>9</w:t>
      </w:r>
      <w:r w:rsidR="009003D7">
        <w:rPr>
          <w:rFonts w:cs="Arial"/>
        </w:rPr>
        <w:t xml:space="preserve">, el </w:t>
      </w:r>
      <w:r w:rsidR="002E076D">
        <w:rPr>
          <w:rFonts w:cs="Arial"/>
        </w:rPr>
        <w:t>a</w:t>
      </w:r>
      <w:r w:rsidR="00D426D2">
        <w:rPr>
          <w:rFonts w:cs="Arial"/>
        </w:rPr>
        <w:t>yuntamiento</w:t>
      </w:r>
      <w:r w:rsidRPr="009762DB">
        <w:rPr>
          <w:rFonts w:cs="Arial"/>
        </w:rPr>
        <w:t xml:space="preserve"> </w:t>
      </w:r>
      <w:r w:rsidR="00214372">
        <w:rPr>
          <w:rFonts w:cs="Arial"/>
        </w:rPr>
        <w:t xml:space="preserve">realizó </w:t>
      </w:r>
      <w:r w:rsidRPr="009762DB">
        <w:rPr>
          <w:rFonts w:cs="Arial"/>
        </w:rPr>
        <w:t>transferencias y subvenciones por un t</w:t>
      </w:r>
      <w:r w:rsidRPr="009762DB">
        <w:rPr>
          <w:rFonts w:cs="Arial"/>
        </w:rPr>
        <w:t>o</w:t>
      </w:r>
      <w:r w:rsidRPr="009762DB">
        <w:rPr>
          <w:rFonts w:cs="Arial"/>
        </w:rPr>
        <w:t xml:space="preserve">tal de </w:t>
      </w:r>
      <w:r w:rsidR="007A5923">
        <w:rPr>
          <w:rFonts w:cs="Arial"/>
        </w:rPr>
        <w:t xml:space="preserve">2,7 </w:t>
      </w:r>
      <w:r w:rsidRPr="009762DB">
        <w:rPr>
          <w:rFonts w:cs="Arial"/>
        </w:rPr>
        <w:t>millones a los siguientes beneficiarios:</w:t>
      </w:r>
    </w:p>
    <w:tbl>
      <w:tblPr>
        <w:tblW w:w="5000" w:type="pct"/>
        <w:tblCellMar>
          <w:left w:w="70" w:type="dxa"/>
          <w:right w:w="70" w:type="dxa"/>
        </w:tblCellMar>
        <w:tblLook w:val="04A0" w:firstRow="1" w:lastRow="0" w:firstColumn="1" w:lastColumn="0" w:noHBand="0" w:noVBand="1"/>
      </w:tblPr>
      <w:tblGrid>
        <w:gridCol w:w="4053"/>
        <w:gridCol w:w="1485"/>
        <w:gridCol w:w="1272"/>
        <w:gridCol w:w="1272"/>
        <w:gridCol w:w="1272"/>
      </w:tblGrid>
      <w:tr w:rsidR="007A5923" w:rsidRPr="007A5923" w:rsidTr="00FE17DC">
        <w:trPr>
          <w:trHeight w:val="285"/>
        </w:trPr>
        <w:tc>
          <w:tcPr>
            <w:tcW w:w="2166" w:type="pct"/>
            <w:tcBorders>
              <w:top w:val="single" w:sz="4" w:space="0" w:color="auto"/>
              <w:left w:val="nil"/>
              <w:bottom w:val="single" w:sz="4" w:space="0" w:color="auto"/>
              <w:right w:val="nil"/>
            </w:tcBorders>
            <w:shd w:val="clear" w:color="000000" w:fill="FABF8F"/>
            <w:vAlign w:val="center"/>
            <w:hideMark/>
          </w:tcPr>
          <w:p w:rsidR="007A5923" w:rsidRPr="007A5923" w:rsidRDefault="007A5923" w:rsidP="007A5923">
            <w:pPr>
              <w:spacing w:after="0"/>
              <w:ind w:firstLine="0"/>
              <w:jc w:val="left"/>
              <w:rPr>
                <w:rFonts w:ascii="Arial" w:hAnsi="Arial" w:cs="Arial"/>
                <w:color w:val="000000"/>
                <w:sz w:val="18"/>
                <w:szCs w:val="18"/>
                <w:lang w:val="es-ES" w:eastAsia="es-ES"/>
              </w:rPr>
            </w:pPr>
            <w:r w:rsidRPr="007A5923">
              <w:rPr>
                <w:rFonts w:ascii="Arial" w:hAnsi="Arial" w:cs="Arial"/>
                <w:color w:val="000000"/>
                <w:sz w:val="18"/>
                <w:szCs w:val="18"/>
                <w:lang w:val="es-ES" w:eastAsia="es-ES"/>
              </w:rPr>
              <w:t> </w:t>
            </w:r>
          </w:p>
        </w:tc>
        <w:tc>
          <w:tcPr>
            <w:tcW w:w="1474" w:type="pct"/>
            <w:gridSpan w:val="2"/>
            <w:tcBorders>
              <w:top w:val="single" w:sz="4" w:space="0" w:color="auto"/>
              <w:left w:val="nil"/>
              <w:bottom w:val="single" w:sz="4" w:space="0" w:color="auto"/>
              <w:right w:val="nil"/>
            </w:tcBorders>
            <w:shd w:val="clear" w:color="000000" w:fill="FABF8F"/>
            <w:vAlign w:val="center"/>
            <w:hideMark/>
          </w:tcPr>
          <w:p w:rsidR="007A5923" w:rsidRPr="00216F88" w:rsidRDefault="00CA2D32" w:rsidP="002E076D">
            <w:pPr>
              <w:spacing w:after="0"/>
              <w:ind w:firstLine="0"/>
              <w:jc w:val="center"/>
              <w:rPr>
                <w:rFonts w:ascii="Arial" w:hAnsi="Arial" w:cs="Arial"/>
                <w:color w:val="000000" w:themeColor="text1"/>
                <w:sz w:val="18"/>
                <w:szCs w:val="18"/>
                <w:lang w:val="es-ES" w:eastAsia="es-ES"/>
              </w:rPr>
            </w:pPr>
            <w:r>
              <w:rPr>
                <w:rFonts w:ascii="Arial" w:hAnsi="Arial" w:cs="Arial"/>
                <w:color w:val="000000" w:themeColor="text1"/>
                <w:sz w:val="18"/>
                <w:szCs w:val="18"/>
                <w:lang w:val="es-ES" w:eastAsia="es-ES"/>
              </w:rPr>
              <w:t xml:space="preserve">  </w:t>
            </w:r>
            <w:r w:rsidR="002E076D" w:rsidRPr="00216F88">
              <w:rPr>
                <w:rFonts w:ascii="Arial" w:hAnsi="Arial" w:cs="Arial"/>
                <w:color w:val="000000" w:themeColor="text1"/>
                <w:sz w:val="18"/>
                <w:szCs w:val="18"/>
                <w:lang w:val="es-ES" w:eastAsia="es-ES"/>
              </w:rPr>
              <w:t>Transferencias c</w:t>
            </w:r>
            <w:r w:rsidR="007A5923" w:rsidRPr="00216F88">
              <w:rPr>
                <w:rFonts w:ascii="Arial" w:hAnsi="Arial" w:cs="Arial"/>
                <w:color w:val="000000" w:themeColor="text1"/>
                <w:sz w:val="18"/>
                <w:szCs w:val="18"/>
                <w:lang w:val="es-ES" w:eastAsia="es-ES"/>
              </w:rPr>
              <w:t>orrientes</w:t>
            </w:r>
          </w:p>
        </w:tc>
        <w:tc>
          <w:tcPr>
            <w:tcW w:w="1361" w:type="pct"/>
            <w:gridSpan w:val="2"/>
            <w:tcBorders>
              <w:top w:val="single" w:sz="4" w:space="0" w:color="auto"/>
              <w:left w:val="nil"/>
              <w:bottom w:val="single" w:sz="4" w:space="0" w:color="auto"/>
              <w:right w:val="nil"/>
            </w:tcBorders>
            <w:shd w:val="clear" w:color="000000" w:fill="FABF8F"/>
            <w:vAlign w:val="center"/>
            <w:hideMark/>
          </w:tcPr>
          <w:p w:rsidR="007A5923" w:rsidRPr="00216F88" w:rsidRDefault="002E076D" w:rsidP="007A5923">
            <w:pPr>
              <w:spacing w:after="0"/>
              <w:ind w:firstLine="0"/>
              <w:jc w:val="center"/>
              <w:rPr>
                <w:rFonts w:ascii="Arial" w:hAnsi="Arial" w:cs="Arial"/>
                <w:color w:val="000000" w:themeColor="text1"/>
                <w:sz w:val="18"/>
                <w:szCs w:val="18"/>
                <w:lang w:val="es-ES" w:eastAsia="es-ES"/>
              </w:rPr>
            </w:pPr>
            <w:r w:rsidRPr="00216F88">
              <w:rPr>
                <w:rFonts w:ascii="Arial" w:hAnsi="Arial" w:cs="Arial"/>
                <w:color w:val="000000" w:themeColor="text1"/>
                <w:sz w:val="18"/>
                <w:szCs w:val="18"/>
                <w:lang w:val="es-ES" w:eastAsia="es-ES"/>
              </w:rPr>
              <w:t>Transferencias d</w:t>
            </w:r>
            <w:r w:rsidR="007A5923" w:rsidRPr="00216F88">
              <w:rPr>
                <w:rFonts w:ascii="Arial" w:hAnsi="Arial" w:cs="Arial"/>
                <w:color w:val="000000" w:themeColor="text1"/>
                <w:sz w:val="18"/>
                <w:szCs w:val="18"/>
                <w:lang w:val="es-ES" w:eastAsia="es-ES"/>
              </w:rPr>
              <w:t>e capital</w:t>
            </w:r>
          </w:p>
        </w:tc>
      </w:tr>
      <w:tr w:rsidR="007A5923" w:rsidRPr="007A5923" w:rsidTr="00514C8A">
        <w:trPr>
          <w:trHeight w:val="495"/>
        </w:trPr>
        <w:tc>
          <w:tcPr>
            <w:tcW w:w="2166" w:type="pct"/>
            <w:tcBorders>
              <w:top w:val="single" w:sz="4" w:space="0" w:color="auto"/>
              <w:left w:val="nil"/>
              <w:bottom w:val="single" w:sz="4" w:space="0" w:color="auto"/>
              <w:right w:val="nil"/>
            </w:tcBorders>
            <w:shd w:val="clear" w:color="000000" w:fill="FABF8F"/>
            <w:vAlign w:val="center"/>
            <w:hideMark/>
          </w:tcPr>
          <w:p w:rsidR="007A5923" w:rsidRPr="007A5923" w:rsidRDefault="007A5923" w:rsidP="007A5923">
            <w:pPr>
              <w:spacing w:after="0"/>
              <w:ind w:firstLine="0"/>
              <w:jc w:val="left"/>
              <w:rPr>
                <w:rFonts w:ascii="Arial" w:hAnsi="Arial" w:cs="Arial"/>
                <w:color w:val="000000"/>
                <w:sz w:val="18"/>
                <w:szCs w:val="18"/>
                <w:lang w:val="es-ES" w:eastAsia="es-ES"/>
              </w:rPr>
            </w:pPr>
            <w:r w:rsidRPr="007A5923">
              <w:rPr>
                <w:rFonts w:ascii="Arial" w:hAnsi="Arial" w:cs="Arial"/>
                <w:color w:val="000000"/>
                <w:sz w:val="18"/>
                <w:szCs w:val="18"/>
                <w:lang w:val="es-ES" w:eastAsia="es-ES"/>
              </w:rPr>
              <w:t> </w:t>
            </w:r>
          </w:p>
        </w:tc>
        <w:tc>
          <w:tcPr>
            <w:tcW w:w="794" w:type="pct"/>
            <w:tcBorders>
              <w:top w:val="single" w:sz="4" w:space="0" w:color="auto"/>
              <w:left w:val="nil"/>
              <w:bottom w:val="single" w:sz="4" w:space="0" w:color="auto"/>
              <w:right w:val="nil"/>
            </w:tcBorders>
            <w:shd w:val="clear" w:color="000000" w:fill="FABF8F"/>
            <w:vAlign w:val="center"/>
            <w:hideMark/>
          </w:tcPr>
          <w:p w:rsidR="007A5923" w:rsidRPr="007A5923" w:rsidRDefault="007A5923" w:rsidP="00514C8A">
            <w:pPr>
              <w:spacing w:after="0"/>
              <w:ind w:firstLine="0"/>
              <w:jc w:val="right"/>
              <w:rPr>
                <w:rFonts w:ascii="Arial" w:hAnsi="Arial" w:cs="Arial"/>
                <w:color w:val="000000"/>
                <w:sz w:val="18"/>
                <w:szCs w:val="18"/>
                <w:lang w:val="es-ES" w:eastAsia="es-ES"/>
              </w:rPr>
            </w:pPr>
            <w:r w:rsidRPr="007A5923">
              <w:rPr>
                <w:rFonts w:ascii="Arial" w:hAnsi="Arial" w:cs="Arial"/>
                <w:color w:val="000000"/>
                <w:sz w:val="18"/>
                <w:szCs w:val="18"/>
                <w:lang w:val="es-ES" w:eastAsia="es-ES"/>
              </w:rPr>
              <w:t>Obligaciones reconocidas</w:t>
            </w:r>
          </w:p>
        </w:tc>
        <w:tc>
          <w:tcPr>
            <w:tcW w:w="680" w:type="pct"/>
            <w:tcBorders>
              <w:top w:val="single" w:sz="4" w:space="0" w:color="auto"/>
              <w:left w:val="nil"/>
              <w:bottom w:val="single" w:sz="4" w:space="0" w:color="auto"/>
              <w:right w:val="nil"/>
            </w:tcBorders>
            <w:shd w:val="clear" w:color="000000" w:fill="FABF8F"/>
            <w:vAlign w:val="center"/>
            <w:hideMark/>
          </w:tcPr>
          <w:p w:rsidR="007A5923" w:rsidRPr="007A5923" w:rsidRDefault="007A5923" w:rsidP="00514C8A">
            <w:pPr>
              <w:spacing w:after="0"/>
              <w:ind w:firstLine="0"/>
              <w:jc w:val="right"/>
              <w:rPr>
                <w:rFonts w:ascii="Arial" w:hAnsi="Arial" w:cs="Arial"/>
                <w:color w:val="000000"/>
                <w:sz w:val="18"/>
                <w:szCs w:val="18"/>
                <w:lang w:val="es-ES" w:eastAsia="es-ES"/>
              </w:rPr>
            </w:pPr>
            <w:r w:rsidRPr="007A5923">
              <w:rPr>
                <w:rFonts w:ascii="Arial" w:hAnsi="Arial" w:cs="Arial"/>
                <w:color w:val="000000"/>
                <w:sz w:val="18"/>
                <w:szCs w:val="18"/>
                <w:lang w:val="es-ES" w:eastAsia="es-ES"/>
              </w:rPr>
              <w:t>% Variación 2019/2018</w:t>
            </w:r>
          </w:p>
        </w:tc>
        <w:tc>
          <w:tcPr>
            <w:tcW w:w="680" w:type="pct"/>
            <w:tcBorders>
              <w:top w:val="single" w:sz="4" w:space="0" w:color="auto"/>
              <w:left w:val="nil"/>
              <w:bottom w:val="single" w:sz="4" w:space="0" w:color="auto"/>
              <w:right w:val="nil"/>
            </w:tcBorders>
            <w:shd w:val="clear" w:color="000000" w:fill="FABF8F"/>
            <w:vAlign w:val="center"/>
            <w:hideMark/>
          </w:tcPr>
          <w:p w:rsidR="007A5923" w:rsidRPr="007A5923" w:rsidRDefault="007A5923" w:rsidP="00514C8A">
            <w:pPr>
              <w:spacing w:after="0"/>
              <w:ind w:firstLine="0"/>
              <w:jc w:val="right"/>
              <w:rPr>
                <w:rFonts w:ascii="Arial" w:hAnsi="Arial" w:cs="Arial"/>
                <w:color w:val="000000"/>
                <w:sz w:val="18"/>
                <w:szCs w:val="18"/>
                <w:lang w:val="es-ES" w:eastAsia="es-ES"/>
              </w:rPr>
            </w:pPr>
            <w:r w:rsidRPr="007A5923">
              <w:rPr>
                <w:rFonts w:ascii="Arial" w:hAnsi="Arial" w:cs="Arial"/>
                <w:color w:val="000000"/>
                <w:sz w:val="18"/>
                <w:szCs w:val="18"/>
                <w:lang w:val="es-ES" w:eastAsia="es-ES"/>
              </w:rPr>
              <w:t>Obligaciones reconocidas</w:t>
            </w:r>
          </w:p>
        </w:tc>
        <w:tc>
          <w:tcPr>
            <w:tcW w:w="680" w:type="pct"/>
            <w:tcBorders>
              <w:top w:val="single" w:sz="4" w:space="0" w:color="auto"/>
              <w:left w:val="nil"/>
              <w:bottom w:val="single" w:sz="4" w:space="0" w:color="auto"/>
              <w:right w:val="nil"/>
            </w:tcBorders>
            <w:shd w:val="clear" w:color="000000" w:fill="FABF8F"/>
            <w:vAlign w:val="center"/>
            <w:hideMark/>
          </w:tcPr>
          <w:p w:rsidR="007A5923" w:rsidRPr="007A5923" w:rsidRDefault="007A5923" w:rsidP="00514C8A">
            <w:pPr>
              <w:spacing w:after="0"/>
              <w:ind w:firstLine="0"/>
              <w:jc w:val="right"/>
              <w:rPr>
                <w:rFonts w:ascii="Arial" w:hAnsi="Arial" w:cs="Arial"/>
                <w:color w:val="000000"/>
                <w:sz w:val="18"/>
                <w:szCs w:val="18"/>
                <w:lang w:val="es-ES" w:eastAsia="es-ES"/>
              </w:rPr>
            </w:pPr>
            <w:r w:rsidRPr="007A5923">
              <w:rPr>
                <w:rFonts w:ascii="Arial" w:hAnsi="Arial" w:cs="Arial"/>
                <w:color w:val="000000"/>
                <w:sz w:val="18"/>
                <w:szCs w:val="18"/>
                <w:lang w:val="es-ES" w:eastAsia="es-ES"/>
              </w:rPr>
              <w:t>% Variación 2019/2018</w:t>
            </w:r>
          </w:p>
        </w:tc>
      </w:tr>
      <w:tr w:rsidR="007A5923" w:rsidRPr="007A5923" w:rsidTr="00514C8A">
        <w:trPr>
          <w:trHeight w:val="270"/>
        </w:trPr>
        <w:tc>
          <w:tcPr>
            <w:tcW w:w="2166" w:type="pct"/>
            <w:tcBorders>
              <w:top w:val="single" w:sz="4" w:space="0" w:color="auto"/>
              <w:left w:val="nil"/>
              <w:bottom w:val="single" w:sz="4" w:space="0" w:color="auto"/>
              <w:right w:val="nil"/>
            </w:tcBorders>
            <w:shd w:val="clear" w:color="auto" w:fill="auto"/>
            <w:noWrap/>
            <w:vAlign w:val="center"/>
            <w:hideMark/>
          </w:tcPr>
          <w:p w:rsidR="007A5923" w:rsidRPr="007A5923" w:rsidRDefault="007A5923" w:rsidP="007A5923">
            <w:pPr>
              <w:spacing w:after="0"/>
              <w:ind w:firstLine="0"/>
              <w:jc w:val="left"/>
              <w:rPr>
                <w:rFonts w:ascii="Arial Narrow" w:hAnsi="Arial Narrow"/>
                <w:color w:val="000000"/>
                <w:sz w:val="18"/>
                <w:szCs w:val="18"/>
                <w:lang w:val="es-ES" w:eastAsia="es-ES"/>
              </w:rPr>
            </w:pPr>
            <w:r w:rsidRPr="007A5923">
              <w:rPr>
                <w:rFonts w:ascii="Arial Narrow" w:hAnsi="Arial Narrow"/>
                <w:color w:val="000000"/>
                <w:sz w:val="18"/>
                <w:szCs w:val="18"/>
                <w:lang w:val="es-ES" w:eastAsia="es-ES"/>
              </w:rPr>
              <w:t>Administración de la Comunidad Foral</w:t>
            </w:r>
          </w:p>
        </w:tc>
        <w:tc>
          <w:tcPr>
            <w:tcW w:w="794" w:type="pct"/>
            <w:tcBorders>
              <w:top w:val="single" w:sz="4" w:space="0" w:color="auto"/>
              <w:left w:val="nil"/>
              <w:bottom w:val="single" w:sz="4" w:space="0" w:color="auto"/>
              <w:right w:val="nil"/>
            </w:tcBorders>
            <w:shd w:val="clear" w:color="auto" w:fill="auto"/>
            <w:noWrap/>
            <w:vAlign w:val="center"/>
            <w:hideMark/>
          </w:tcPr>
          <w:p w:rsidR="007A5923" w:rsidRPr="007A5923" w:rsidRDefault="007A5923" w:rsidP="00514C8A">
            <w:pPr>
              <w:spacing w:after="0"/>
              <w:ind w:firstLine="0"/>
              <w:jc w:val="right"/>
              <w:rPr>
                <w:rFonts w:ascii="Arial Narrow" w:hAnsi="Arial Narrow"/>
                <w:color w:val="000000"/>
                <w:sz w:val="18"/>
                <w:szCs w:val="18"/>
                <w:lang w:val="es-ES" w:eastAsia="es-ES"/>
              </w:rPr>
            </w:pPr>
            <w:r w:rsidRPr="007A5923">
              <w:rPr>
                <w:rFonts w:ascii="Arial Narrow" w:hAnsi="Arial Narrow"/>
                <w:color w:val="000000"/>
                <w:sz w:val="18"/>
                <w:szCs w:val="18"/>
                <w:lang w:val="es-ES" w:eastAsia="es-ES"/>
              </w:rPr>
              <w:t>22.655</w:t>
            </w:r>
          </w:p>
        </w:tc>
        <w:tc>
          <w:tcPr>
            <w:tcW w:w="680" w:type="pct"/>
            <w:tcBorders>
              <w:top w:val="single" w:sz="4" w:space="0" w:color="auto"/>
              <w:left w:val="nil"/>
              <w:bottom w:val="single" w:sz="4" w:space="0" w:color="auto"/>
              <w:right w:val="nil"/>
            </w:tcBorders>
            <w:shd w:val="clear" w:color="auto" w:fill="auto"/>
            <w:noWrap/>
            <w:vAlign w:val="center"/>
            <w:hideMark/>
          </w:tcPr>
          <w:p w:rsidR="007A5923" w:rsidRPr="007A5923" w:rsidRDefault="007A5923" w:rsidP="007A5923">
            <w:pPr>
              <w:spacing w:after="0"/>
              <w:ind w:firstLine="0"/>
              <w:jc w:val="right"/>
              <w:rPr>
                <w:rFonts w:ascii="Arial Narrow" w:hAnsi="Arial Narrow"/>
                <w:color w:val="000000"/>
                <w:sz w:val="18"/>
                <w:szCs w:val="18"/>
                <w:lang w:val="es-ES" w:eastAsia="es-ES"/>
              </w:rPr>
            </w:pPr>
            <w:r w:rsidRPr="007A5923">
              <w:rPr>
                <w:rFonts w:ascii="Arial Narrow" w:hAnsi="Arial Narrow"/>
                <w:color w:val="000000"/>
                <w:sz w:val="18"/>
                <w:szCs w:val="18"/>
                <w:lang w:val="es-ES" w:eastAsia="es-ES"/>
              </w:rPr>
              <w:t>0</w:t>
            </w:r>
          </w:p>
        </w:tc>
        <w:tc>
          <w:tcPr>
            <w:tcW w:w="680" w:type="pct"/>
            <w:tcBorders>
              <w:top w:val="single" w:sz="4" w:space="0" w:color="auto"/>
              <w:left w:val="nil"/>
              <w:bottom w:val="single" w:sz="4" w:space="0" w:color="auto"/>
              <w:right w:val="nil"/>
            </w:tcBorders>
            <w:shd w:val="clear" w:color="auto" w:fill="auto"/>
            <w:noWrap/>
            <w:vAlign w:val="center"/>
            <w:hideMark/>
          </w:tcPr>
          <w:p w:rsidR="007A5923" w:rsidRPr="007A5923" w:rsidRDefault="007A5923" w:rsidP="007A5923">
            <w:pPr>
              <w:spacing w:after="0"/>
              <w:ind w:firstLine="0"/>
              <w:jc w:val="right"/>
              <w:rPr>
                <w:rFonts w:ascii="Arial Narrow" w:hAnsi="Arial Narrow"/>
                <w:color w:val="000000"/>
                <w:sz w:val="18"/>
                <w:szCs w:val="18"/>
                <w:lang w:val="es-ES" w:eastAsia="es-ES"/>
              </w:rPr>
            </w:pPr>
            <w:r w:rsidRPr="007A5923">
              <w:rPr>
                <w:rFonts w:ascii="Arial Narrow" w:hAnsi="Arial Narrow"/>
                <w:color w:val="000000"/>
                <w:sz w:val="18"/>
                <w:szCs w:val="18"/>
                <w:lang w:val="es-ES" w:eastAsia="es-ES"/>
              </w:rPr>
              <w:t>0</w:t>
            </w:r>
          </w:p>
        </w:tc>
        <w:tc>
          <w:tcPr>
            <w:tcW w:w="680" w:type="pct"/>
            <w:tcBorders>
              <w:top w:val="single" w:sz="4" w:space="0" w:color="auto"/>
              <w:left w:val="nil"/>
              <w:bottom w:val="single" w:sz="4" w:space="0" w:color="auto"/>
              <w:right w:val="nil"/>
            </w:tcBorders>
            <w:shd w:val="clear" w:color="auto" w:fill="auto"/>
            <w:noWrap/>
            <w:vAlign w:val="center"/>
            <w:hideMark/>
          </w:tcPr>
          <w:p w:rsidR="007A5923" w:rsidRPr="007A5923" w:rsidRDefault="007A5923" w:rsidP="007A5923">
            <w:pPr>
              <w:spacing w:after="0"/>
              <w:ind w:firstLine="0"/>
              <w:jc w:val="right"/>
              <w:rPr>
                <w:rFonts w:ascii="Arial Narrow" w:hAnsi="Arial Narrow"/>
                <w:color w:val="000000"/>
                <w:sz w:val="18"/>
                <w:szCs w:val="18"/>
                <w:lang w:val="es-ES" w:eastAsia="es-ES"/>
              </w:rPr>
            </w:pPr>
            <w:r w:rsidRPr="007A5923">
              <w:rPr>
                <w:rFonts w:ascii="Arial Narrow" w:hAnsi="Arial Narrow"/>
                <w:color w:val="000000"/>
                <w:sz w:val="18"/>
                <w:szCs w:val="18"/>
                <w:lang w:val="es-ES" w:eastAsia="es-ES"/>
              </w:rPr>
              <w:t>0</w:t>
            </w:r>
          </w:p>
        </w:tc>
      </w:tr>
      <w:tr w:rsidR="007A5923" w:rsidRPr="007A5923" w:rsidTr="007A5923">
        <w:trPr>
          <w:trHeight w:val="270"/>
        </w:trPr>
        <w:tc>
          <w:tcPr>
            <w:tcW w:w="2166" w:type="pct"/>
            <w:tcBorders>
              <w:top w:val="nil"/>
              <w:left w:val="nil"/>
              <w:bottom w:val="single" w:sz="4" w:space="0" w:color="auto"/>
              <w:right w:val="nil"/>
            </w:tcBorders>
            <w:shd w:val="clear" w:color="auto" w:fill="auto"/>
            <w:noWrap/>
            <w:vAlign w:val="center"/>
            <w:hideMark/>
          </w:tcPr>
          <w:p w:rsidR="007A5923" w:rsidRPr="007A5923" w:rsidRDefault="007A5923" w:rsidP="007A5923">
            <w:pPr>
              <w:spacing w:after="0"/>
              <w:ind w:firstLine="0"/>
              <w:jc w:val="left"/>
              <w:rPr>
                <w:rFonts w:ascii="Arial Narrow" w:hAnsi="Arial Narrow"/>
                <w:color w:val="000000"/>
                <w:sz w:val="18"/>
                <w:szCs w:val="18"/>
                <w:lang w:val="es-ES" w:eastAsia="es-ES"/>
              </w:rPr>
            </w:pPr>
            <w:r w:rsidRPr="007A5923">
              <w:rPr>
                <w:rFonts w:ascii="Arial Narrow" w:hAnsi="Arial Narrow"/>
                <w:color w:val="000000"/>
                <w:sz w:val="18"/>
                <w:szCs w:val="18"/>
                <w:lang w:val="es-ES" w:eastAsia="es-ES"/>
              </w:rPr>
              <w:t>Concejos</w:t>
            </w:r>
          </w:p>
        </w:tc>
        <w:tc>
          <w:tcPr>
            <w:tcW w:w="794" w:type="pct"/>
            <w:tcBorders>
              <w:top w:val="nil"/>
              <w:left w:val="nil"/>
              <w:bottom w:val="single" w:sz="4" w:space="0" w:color="auto"/>
              <w:right w:val="nil"/>
            </w:tcBorders>
            <w:shd w:val="clear" w:color="auto" w:fill="auto"/>
            <w:noWrap/>
            <w:vAlign w:val="center"/>
            <w:hideMark/>
          </w:tcPr>
          <w:p w:rsidR="007A5923" w:rsidRPr="007A5923" w:rsidRDefault="007A5923" w:rsidP="00514C8A">
            <w:pPr>
              <w:spacing w:after="0"/>
              <w:ind w:firstLine="0"/>
              <w:jc w:val="right"/>
              <w:rPr>
                <w:rFonts w:ascii="Arial Narrow" w:hAnsi="Arial Narrow"/>
                <w:color w:val="000000"/>
                <w:sz w:val="18"/>
                <w:szCs w:val="18"/>
                <w:lang w:val="es-ES" w:eastAsia="es-ES"/>
              </w:rPr>
            </w:pPr>
            <w:r w:rsidRPr="007A5923">
              <w:rPr>
                <w:rFonts w:ascii="Arial Narrow" w:hAnsi="Arial Narrow"/>
                <w:color w:val="000000"/>
                <w:sz w:val="18"/>
                <w:szCs w:val="18"/>
                <w:lang w:val="es-ES" w:eastAsia="es-ES"/>
              </w:rPr>
              <w:t>58.434</w:t>
            </w:r>
          </w:p>
        </w:tc>
        <w:tc>
          <w:tcPr>
            <w:tcW w:w="680" w:type="pct"/>
            <w:tcBorders>
              <w:top w:val="nil"/>
              <w:left w:val="nil"/>
              <w:bottom w:val="single" w:sz="4" w:space="0" w:color="auto"/>
              <w:right w:val="nil"/>
            </w:tcBorders>
            <w:shd w:val="clear" w:color="auto" w:fill="auto"/>
            <w:noWrap/>
            <w:vAlign w:val="center"/>
            <w:hideMark/>
          </w:tcPr>
          <w:p w:rsidR="007A5923" w:rsidRPr="007A5923" w:rsidRDefault="007A5923" w:rsidP="007A5923">
            <w:pPr>
              <w:spacing w:after="0"/>
              <w:ind w:firstLine="0"/>
              <w:jc w:val="right"/>
              <w:rPr>
                <w:rFonts w:ascii="Arial Narrow" w:hAnsi="Arial Narrow"/>
                <w:color w:val="000000"/>
                <w:sz w:val="18"/>
                <w:szCs w:val="18"/>
                <w:lang w:val="es-ES" w:eastAsia="es-ES"/>
              </w:rPr>
            </w:pPr>
            <w:r w:rsidRPr="007A5923">
              <w:rPr>
                <w:rFonts w:ascii="Arial Narrow" w:hAnsi="Arial Narrow"/>
                <w:color w:val="000000"/>
                <w:sz w:val="18"/>
                <w:szCs w:val="18"/>
                <w:lang w:val="es-ES" w:eastAsia="es-ES"/>
              </w:rPr>
              <w:t>-4</w:t>
            </w:r>
          </w:p>
        </w:tc>
        <w:tc>
          <w:tcPr>
            <w:tcW w:w="680" w:type="pct"/>
            <w:tcBorders>
              <w:top w:val="nil"/>
              <w:left w:val="nil"/>
              <w:bottom w:val="single" w:sz="4" w:space="0" w:color="auto"/>
              <w:right w:val="nil"/>
            </w:tcBorders>
            <w:shd w:val="clear" w:color="auto" w:fill="auto"/>
            <w:noWrap/>
            <w:vAlign w:val="center"/>
            <w:hideMark/>
          </w:tcPr>
          <w:p w:rsidR="007A5923" w:rsidRPr="007A5923" w:rsidRDefault="007A5923" w:rsidP="007A5923">
            <w:pPr>
              <w:spacing w:after="0"/>
              <w:ind w:firstLine="0"/>
              <w:jc w:val="right"/>
              <w:rPr>
                <w:rFonts w:ascii="Arial Narrow" w:hAnsi="Arial Narrow"/>
                <w:color w:val="000000"/>
                <w:sz w:val="18"/>
                <w:szCs w:val="18"/>
                <w:lang w:val="es-ES" w:eastAsia="es-ES"/>
              </w:rPr>
            </w:pPr>
            <w:r w:rsidRPr="007A5923">
              <w:rPr>
                <w:rFonts w:ascii="Arial Narrow" w:hAnsi="Arial Narrow"/>
                <w:color w:val="000000"/>
                <w:sz w:val="18"/>
                <w:szCs w:val="18"/>
                <w:lang w:val="es-ES" w:eastAsia="es-ES"/>
              </w:rPr>
              <w:t>0</w:t>
            </w:r>
          </w:p>
        </w:tc>
        <w:tc>
          <w:tcPr>
            <w:tcW w:w="680" w:type="pct"/>
            <w:tcBorders>
              <w:top w:val="nil"/>
              <w:left w:val="nil"/>
              <w:bottom w:val="single" w:sz="4" w:space="0" w:color="auto"/>
              <w:right w:val="nil"/>
            </w:tcBorders>
            <w:shd w:val="clear" w:color="auto" w:fill="auto"/>
            <w:noWrap/>
            <w:vAlign w:val="center"/>
            <w:hideMark/>
          </w:tcPr>
          <w:p w:rsidR="007A5923" w:rsidRPr="007A5923" w:rsidRDefault="007A5923" w:rsidP="007A5923">
            <w:pPr>
              <w:spacing w:after="0"/>
              <w:ind w:firstLine="0"/>
              <w:jc w:val="right"/>
              <w:rPr>
                <w:rFonts w:ascii="Arial Narrow" w:hAnsi="Arial Narrow"/>
                <w:color w:val="000000"/>
                <w:sz w:val="18"/>
                <w:szCs w:val="18"/>
                <w:lang w:val="es-ES" w:eastAsia="es-ES"/>
              </w:rPr>
            </w:pPr>
            <w:r w:rsidRPr="007A5923">
              <w:rPr>
                <w:rFonts w:ascii="Arial Narrow" w:hAnsi="Arial Narrow"/>
                <w:color w:val="000000"/>
                <w:sz w:val="18"/>
                <w:szCs w:val="18"/>
                <w:lang w:val="es-ES" w:eastAsia="es-ES"/>
              </w:rPr>
              <w:t>0</w:t>
            </w:r>
          </w:p>
        </w:tc>
      </w:tr>
      <w:tr w:rsidR="007A5923" w:rsidRPr="007A5923" w:rsidTr="007A5923">
        <w:trPr>
          <w:trHeight w:val="270"/>
        </w:trPr>
        <w:tc>
          <w:tcPr>
            <w:tcW w:w="2166" w:type="pct"/>
            <w:tcBorders>
              <w:top w:val="nil"/>
              <w:left w:val="nil"/>
              <w:bottom w:val="single" w:sz="4" w:space="0" w:color="auto"/>
              <w:right w:val="nil"/>
            </w:tcBorders>
            <w:shd w:val="clear" w:color="auto" w:fill="auto"/>
            <w:noWrap/>
            <w:vAlign w:val="center"/>
            <w:hideMark/>
          </w:tcPr>
          <w:p w:rsidR="007A5923" w:rsidRPr="007A5923" w:rsidRDefault="007A5923" w:rsidP="007A5923">
            <w:pPr>
              <w:spacing w:after="0"/>
              <w:ind w:firstLine="0"/>
              <w:jc w:val="left"/>
              <w:rPr>
                <w:rFonts w:ascii="Arial Narrow" w:hAnsi="Arial Narrow"/>
                <w:color w:val="000000"/>
                <w:sz w:val="18"/>
                <w:szCs w:val="18"/>
                <w:lang w:val="es-ES" w:eastAsia="es-ES"/>
              </w:rPr>
            </w:pPr>
            <w:r w:rsidRPr="007A5923">
              <w:rPr>
                <w:rFonts w:ascii="Arial Narrow" w:hAnsi="Arial Narrow"/>
                <w:color w:val="000000"/>
                <w:sz w:val="18"/>
                <w:szCs w:val="18"/>
                <w:lang w:val="es-ES" w:eastAsia="es-ES"/>
              </w:rPr>
              <w:t>Mancomunidades</w:t>
            </w:r>
          </w:p>
        </w:tc>
        <w:tc>
          <w:tcPr>
            <w:tcW w:w="794" w:type="pct"/>
            <w:tcBorders>
              <w:top w:val="nil"/>
              <w:left w:val="nil"/>
              <w:bottom w:val="single" w:sz="4" w:space="0" w:color="auto"/>
              <w:right w:val="nil"/>
            </w:tcBorders>
            <w:shd w:val="clear" w:color="auto" w:fill="auto"/>
            <w:noWrap/>
            <w:vAlign w:val="center"/>
            <w:hideMark/>
          </w:tcPr>
          <w:p w:rsidR="007A5923" w:rsidRPr="007A5923" w:rsidRDefault="007A5923" w:rsidP="00514C8A">
            <w:pPr>
              <w:spacing w:after="0"/>
              <w:ind w:firstLine="0"/>
              <w:jc w:val="right"/>
              <w:rPr>
                <w:rFonts w:ascii="Arial Narrow" w:hAnsi="Arial Narrow"/>
                <w:color w:val="000000"/>
                <w:sz w:val="18"/>
                <w:szCs w:val="18"/>
                <w:lang w:val="es-ES" w:eastAsia="es-ES"/>
              </w:rPr>
            </w:pPr>
            <w:r w:rsidRPr="007A5923">
              <w:rPr>
                <w:rFonts w:ascii="Arial Narrow" w:hAnsi="Arial Narrow"/>
                <w:color w:val="000000"/>
                <w:sz w:val="18"/>
                <w:szCs w:val="18"/>
                <w:lang w:val="es-ES" w:eastAsia="es-ES"/>
              </w:rPr>
              <w:t>296.585</w:t>
            </w:r>
          </w:p>
        </w:tc>
        <w:tc>
          <w:tcPr>
            <w:tcW w:w="680" w:type="pct"/>
            <w:tcBorders>
              <w:top w:val="nil"/>
              <w:left w:val="nil"/>
              <w:bottom w:val="single" w:sz="4" w:space="0" w:color="auto"/>
              <w:right w:val="nil"/>
            </w:tcBorders>
            <w:shd w:val="clear" w:color="auto" w:fill="auto"/>
            <w:noWrap/>
            <w:vAlign w:val="center"/>
            <w:hideMark/>
          </w:tcPr>
          <w:p w:rsidR="007A5923" w:rsidRPr="007A5923" w:rsidRDefault="007A5923" w:rsidP="007A5923">
            <w:pPr>
              <w:spacing w:after="0"/>
              <w:ind w:firstLine="0"/>
              <w:jc w:val="right"/>
              <w:rPr>
                <w:rFonts w:ascii="Arial Narrow" w:hAnsi="Arial Narrow"/>
                <w:color w:val="000000"/>
                <w:sz w:val="18"/>
                <w:szCs w:val="18"/>
                <w:lang w:val="es-ES" w:eastAsia="es-ES"/>
              </w:rPr>
            </w:pPr>
            <w:r w:rsidRPr="007A5923">
              <w:rPr>
                <w:rFonts w:ascii="Arial Narrow" w:hAnsi="Arial Narrow"/>
                <w:color w:val="000000"/>
                <w:sz w:val="18"/>
                <w:szCs w:val="18"/>
                <w:lang w:val="es-ES" w:eastAsia="es-ES"/>
              </w:rPr>
              <w:t>4</w:t>
            </w:r>
          </w:p>
        </w:tc>
        <w:tc>
          <w:tcPr>
            <w:tcW w:w="680" w:type="pct"/>
            <w:tcBorders>
              <w:top w:val="nil"/>
              <w:left w:val="nil"/>
              <w:bottom w:val="single" w:sz="4" w:space="0" w:color="auto"/>
              <w:right w:val="nil"/>
            </w:tcBorders>
            <w:shd w:val="clear" w:color="auto" w:fill="auto"/>
            <w:noWrap/>
            <w:vAlign w:val="center"/>
            <w:hideMark/>
          </w:tcPr>
          <w:p w:rsidR="007A5923" w:rsidRPr="007A5923" w:rsidRDefault="007A5923" w:rsidP="007A5923">
            <w:pPr>
              <w:spacing w:after="0"/>
              <w:ind w:firstLine="0"/>
              <w:jc w:val="right"/>
              <w:rPr>
                <w:rFonts w:ascii="Arial Narrow" w:hAnsi="Arial Narrow"/>
                <w:color w:val="000000"/>
                <w:sz w:val="18"/>
                <w:szCs w:val="18"/>
                <w:lang w:val="es-ES" w:eastAsia="es-ES"/>
              </w:rPr>
            </w:pPr>
            <w:r w:rsidRPr="007A5923">
              <w:rPr>
                <w:rFonts w:ascii="Arial Narrow" w:hAnsi="Arial Narrow"/>
                <w:color w:val="000000"/>
                <w:sz w:val="18"/>
                <w:szCs w:val="18"/>
                <w:lang w:val="es-ES" w:eastAsia="es-ES"/>
              </w:rPr>
              <w:t>0</w:t>
            </w:r>
          </w:p>
        </w:tc>
        <w:tc>
          <w:tcPr>
            <w:tcW w:w="680" w:type="pct"/>
            <w:tcBorders>
              <w:top w:val="nil"/>
              <w:left w:val="nil"/>
              <w:bottom w:val="single" w:sz="4" w:space="0" w:color="auto"/>
              <w:right w:val="nil"/>
            </w:tcBorders>
            <w:shd w:val="clear" w:color="auto" w:fill="auto"/>
            <w:noWrap/>
            <w:vAlign w:val="center"/>
            <w:hideMark/>
          </w:tcPr>
          <w:p w:rsidR="007A5923" w:rsidRPr="007A5923" w:rsidRDefault="007A5923" w:rsidP="007A5923">
            <w:pPr>
              <w:spacing w:after="0"/>
              <w:ind w:firstLine="0"/>
              <w:jc w:val="right"/>
              <w:rPr>
                <w:rFonts w:ascii="Arial Narrow" w:hAnsi="Arial Narrow"/>
                <w:color w:val="000000"/>
                <w:sz w:val="18"/>
                <w:szCs w:val="18"/>
                <w:lang w:val="es-ES" w:eastAsia="es-ES"/>
              </w:rPr>
            </w:pPr>
            <w:r w:rsidRPr="007A5923">
              <w:rPr>
                <w:rFonts w:ascii="Arial Narrow" w:hAnsi="Arial Narrow"/>
                <w:color w:val="000000"/>
                <w:sz w:val="18"/>
                <w:szCs w:val="18"/>
                <w:lang w:val="es-ES" w:eastAsia="es-ES"/>
              </w:rPr>
              <w:t>0</w:t>
            </w:r>
          </w:p>
        </w:tc>
      </w:tr>
      <w:tr w:rsidR="007A5923" w:rsidRPr="007A5923" w:rsidTr="007A5923">
        <w:trPr>
          <w:trHeight w:val="270"/>
        </w:trPr>
        <w:tc>
          <w:tcPr>
            <w:tcW w:w="2166" w:type="pct"/>
            <w:tcBorders>
              <w:top w:val="nil"/>
              <w:left w:val="nil"/>
              <w:bottom w:val="single" w:sz="4" w:space="0" w:color="auto"/>
              <w:right w:val="nil"/>
            </w:tcBorders>
            <w:shd w:val="clear" w:color="auto" w:fill="auto"/>
            <w:noWrap/>
            <w:vAlign w:val="center"/>
            <w:hideMark/>
          </w:tcPr>
          <w:p w:rsidR="007A5923" w:rsidRPr="007A5923" w:rsidRDefault="007A5923" w:rsidP="007A5923">
            <w:pPr>
              <w:spacing w:after="0"/>
              <w:ind w:firstLine="0"/>
              <w:jc w:val="left"/>
              <w:rPr>
                <w:rFonts w:ascii="Arial Narrow" w:hAnsi="Arial Narrow"/>
                <w:color w:val="000000"/>
                <w:sz w:val="18"/>
                <w:szCs w:val="18"/>
                <w:lang w:val="es-ES" w:eastAsia="es-ES"/>
              </w:rPr>
            </w:pPr>
            <w:r w:rsidRPr="007A5923">
              <w:rPr>
                <w:rFonts w:ascii="Arial Narrow" w:hAnsi="Arial Narrow"/>
                <w:color w:val="000000"/>
                <w:sz w:val="18"/>
                <w:szCs w:val="18"/>
                <w:lang w:val="es-ES" w:eastAsia="es-ES"/>
              </w:rPr>
              <w:t>Municipios</w:t>
            </w:r>
          </w:p>
        </w:tc>
        <w:tc>
          <w:tcPr>
            <w:tcW w:w="794" w:type="pct"/>
            <w:tcBorders>
              <w:top w:val="nil"/>
              <w:left w:val="nil"/>
              <w:bottom w:val="single" w:sz="4" w:space="0" w:color="auto"/>
              <w:right w:val="nil"/>
            </w:tcBorders>
            <w:shd w:val="clear" w:color="auto" w:fill="auto"/>
            <w:noWrap/>
            <w:vAlign w:val="center"/>
            <w:hideMark/>
          </w:tcPr>
          <w:p w:rsidR="007A5923" w:rsidRPr="007A5923" w:rsidRDefault="007A5923" w:rsidP="00514C8A">
            <w:pPr>
              <w:spacing w:after="0"/>
              <w:ind w:firstLine="0"/>
              <w:jc w:val="right"/>
              <w:rPr>
                <w:rFonts w:ascii="Arial Narrow" w:hAnsi="Arial Narrow"/>
                <w:color w:val="000000"/>
                <w:sz w:val="18"/>
                <w:szCs w:val="18"/>
                <w:lang w:val="es-ES" w:eastAsia="es-ES"/>
              </w:rPr>
            </w:pPr>
            <w:r w:rsidRPr="007A5923">
              <w:rPr>
                <w:rFonts w:ascii="Arial Narrow" w:hAnsi="Arial Narrow"/>
                <w:color w:val="000000"/>
                <w:sz w:val="18"/>
                <w:szCs w:val="18"/>
                <w:lang w:val="es-ES" w:eastAsia="es-ES"/>
              </w:rPr>
              <w:t>0</w:t>
            </w:r>
          </w:p>
        </w:tc>
        <w:tc>
          <w:tcPr>
            <w:tcW w:w="680" w:type="pct"/>
            <w:tcBorders>
              <w:top w:val="nil"/>
              <w:left w:val="nil"/>
              <w:bottom w:val="single" w:sz="4" w:space="0" w:color="auto"/>
              <w:right w:val="nil"/>
            </w:tcBorders>
            <w:shd w:val="clear" w:color="auto" w:fill="auto"/>
            <w:noWrap/>
            <w:vAlign w:val="center"/>
            <w:hideMark/>
          </w:tcPr>
          <w:p w:rsidR="007A5923" w:rsidRPr="007A5923" w:rsidRDefault="007A5923" w:rsidP="007A5923">
            <w:pPr>
              <w:spacing w:after="0"/>
              <w:ind w:firstLine="0"/>
              <w:jc w:val="right"/>
              <w:rPr>
                <w:rFonts w:ascii="Arial Narrow" w:hAnsi="Arial Narrow"/>
                <w:color w:val="000000"/>
                <w:sz w:val="18"/>
                <w:szCs w:val="18"/>
                <w:lang w:val="es-ES" w:eastAsia="es-ES"/>
              </w:rPr>
            </w:pPr>
            <w:r w:rsidRPr="007A5923">
              <w:rPr>
                <w:rFonts w:ascii="Arial Narrow" w:hAnsi="Arial Narrow"/>
                <w:color w:val="000000"/>
                <w:sz w:val="18"/>
                <w:szCs w:val="18"/>
                <w:lang w:val="es-ES" w:eastAsia="es-ES"/>
              </w:rPr>
              <w:t>-100</w:t>
            </w:r>
          </w:p>
        </w:tc>
        <w:tc>
          <w:tcPr>
            <w:tcW w:w="680" w:type="pct"/>
            <w:tcBorders>
              <w:top w:val="nil"/>
              <w:left w:val="nil"/>
              <w:bottom w:val="single" w:sz="4" w:space="0" w:color="auto"/>
              <w:right w:val="nil"/>
            </w:tcBorders>
            <w:shd w:val="clear" w:color="auto" w:fill="auto"/>
            <w:noWrap/>
            <w:vAlign w:val="center"/>
            <w:hideMark/>
          </w:tcPr>
          <w:p w:rsidR="007A5923" w:rsidRPr="007A5923" w:rsidRDefault="007A5923" w:rsidP="007A5923">
            <w:pPr>
              <w:spacing w:after="0"/>
              <w:ind w:firstLine="0"/>
              <w:jc w:val="right"/>
              <w:rPr>
                <w:rFonts w:ascii="Arial Narrow" w:hAnsi="Arial Narrow"/>
                <w:color w:val="000000"/>
                <w:sz w:val="18"/>
                <w:szCs w:val="18"/>
                <w:lang w:val="es-ES" w:eastAsia="es-ES"/>
              </w:rPr>
            </w:pPr>
            <w:r w:rsidRPr="007A5923">
              <w:rPr>
                <w:rFonts w:ascii="Arial Narrow" w:hAnsi="Arial Narrow"/>
                <w:color w:val="000000"/>
                <w:sz w:val="18"/>
                <w:szCs w:val="18"/>
                <w:lang w:val="es-ES" w:eastAsia="es-ES"/>
              </w:rPr>
              <w:t>14.622</w:t>
            </w:r>
          </w:p>
        </w:tc>
        <w:tc>
          <w:tcPr>
            <w:tcW w:w="680" w:type="pct"/>
            <w:tcBorders>
              <w:top w:val="nil"/>
              <w:left w:val="nil"/>
              <w:bottom w:val="single" w:sz="4" w:space="0" w:color="auto"/>
              <w:right w:val="nil"/>
            </w:tcBorders>
            <w:shd w:val="clear" w:color="auto" w:fill="auto"/>
            <w:noWrap/>
            <w:vAlign w:val="center"/>
            <w:hideMark/>
          </w:tcPr>
          <w:p w:rsidR="007A5923" w:rsidRPr="007A5923" w:rsidRDefault="007A5923" w:rsidP="007A5923">
            <w:pPr>
              <w:spacing w:after="0"/>
              <w:ind w:firstLine="0"/>
              <w:jc w:val="right"/>
              <w:rPr>
                <w:rFonts w:ascii="Arial Narrow" w:hAnsi="Arial Narrow"/>
                <w:color w:val="000000"/>
                <w:sz w:val="18"/>
                <w:szCs w:val="18"/>
                <w:lang w:val="es-ES" w:eastAsia="es-ES"/>
              </w:rPr>
            </w:pPr>
            <w:r w:rsidRPr="007A5923">
              <w:rPr>
                <w:rFonts w:ascii="Arial Narrow" w:hAnsi="Arial Narrow"/>
                <w:color w:val="000000"/>
                <w:sz w:val="18"/>
                <w:szCs w:val="18"/>
                <w:lang w:val="es-ES" w:eastAsia="es-ES"/>
              </w:rPr>
              <w:t>4</w:t>
            </w:r>
          </w:p>
        </w:tc>
      </w:tr>
      <w:tr w:rsidR="007A5923" w:rsidRPr="007A5923" w:rsidTr="007A5923">
        <w:trPr>
          <w:trHeight w:val="270"/>
        </w:trPr>
        <w:tc>
          <w:tcPr>
            <w:tcW w:w="2166" w:type="pct"/>
            <w:tcBorders>
              <w:top w:val="nil"/>
              <w:left w:val="nil"/>
              <w:bottom w:val="single" w:sz="4" w:space="0" w:color="auto"/>
              <w:right w:val="nil"/>
            </w:tcBorders>
            <w:shd w:val="clear" w:color="auto" w:fill="auto"/>
            <w:noWrap/>
            <w:vAlign w:val="center"/>
            <w:hideMark/>
          </w:tcPr>
          <w:p w:rsidR="007A5923" w:rsidRPr="007A5923" w:rsidRDefault="007A5923" w:rsidP="007A5923">
            <w:pPr>
              <w:spacing w:after="0"/>
              <w:ind w:firstLine="0"/>
              <w:jc w:val="left"/>
              <w:rPr>
                <w:rFonts w:ascii="Arial Narrow" w:hAnsi="Arial Narrow"/>
                <w:color w:val="000000"/>
                <w:sz w:val="18"/>
                <w:szCs w:val="18"/>
                <w:lang w:val="es-ES" w:eastAsia="es-ES"/>
              </w:rPr>
            </w:pPr>
            <w:r w:rsidRPr="007A5923">
              <w:rPr>
                <w:rFonts w:ascii="Arial Narrow" w:hAnsi="Arial Narrow"/>
                <w:color w:val="000000"/>
                <w:sz w:val="18"/>
                <w:szCs w:val="18"/>
                <w:lang w:val="es-ES" w:eastAsia="es-ES"/>
              </w:rPr>
              <w:t>Empresas privadas</w:t>
            </w:r>
          </w:p>
        </w:tc>
        <w:tc>
          <w:tcPr>
            <w:tcW w:w="794" w:type="pct"/>
            <w:tcBorders>
              <w:top w:val="nil"/>
              <w:left w:val="nil"/>
              <w:bottom w:val="single" w:sz="4" w:space="0" w:color="auto"/>
              <w:right w:val="nil"/>
            </w:tcBorders>
            <w:shd w:val="clear" w:color="auto" w:fill="auto"/>
            <w:noWrap/>
            <w:vAlign w:val="center"/>
            <w:hideMark/>
          </w:tcPr>
          <w:p w:rsidR="007A5923" w:rsidRPr="007A5923" w:rsidRDefault="007A5923" w:rsidP="00514C8A">
            <w:pPr>
              <w:spacing w:after="0"/>
              <w:ind w:firstLine="0"/>
              <w:jc w:val="right"/>
              <w:rPr>
                <w:rFonts w:ascii="Arial Narrow" w:hAnsi="Arial Narrow"/>
                <w:color w:val="000000"/>
                <w:sz w:val="18"/>
                <w:szCs w:val="18"/>
                <w:lang w:val="es-ES" w:eastAsia="es-ES"/>
              </w:rPr>
            </w:pPr>
            <w:r w:rsidRPr="007A5923">
              <w:rPr>
                <w:rFonts w:ascii="Arial Narrow" w:hAnsi="Arial Narrow"/>
                <w:color w:val="000000"/>
                <w:sz w:val="18"/>
                <w:szCs w:val="18"/>
                <w:lang w:val="es-ES" w:eastAsia="es-ES"/>
              </w:rPr>
              <w:t>198.695</w:t>
            </w:r>
          </w:p>
        </w:tc>
        <w:tc>
          <w:tcPr>
            <w:tcW w:w="680" w:type="pct"/>
            <w:tcBorders>
              <w:top w:val="nil"/>
              <w:left w:val="nil"/>
              <w:bottom w:val="single" w:sz="4" w:space="0" w:color="auto"/>
              <w:right w:val="nil"/>
            </w:tcBorders>
            <w:shd w:val="clear" w:color="auto" w:fill="auto"/>
            <w:noWrap/>
            <w:vAlign w:val="center"/>
            <w:hideMark/>
          </w:tcPr>
          <w:p w:rsidR="007A5923" w:rsidRPr="007A5923" w:rsidRDefault="007A5923" w:rsidP="007A5923">
            <w:pPr>
              <w:spacing w:after="0"/>
              <w:ind w:firstLine="0"/>
              <w:jc w:val="right"/>
              <w:rPr>
                <w:rFonts w:ascii="Arial Narrow" w:hAnsi="Arial Narrow"/>
                <w:color w:val="000000"/>
                <w:sz w:val="18"/>
                <w:szCs w:val="18"/>
                <w:lang w:val="es-ES" w:eastAsia="es-ES"/>
              </w:rPr>
            </w:pPr>
            <w:r w:rsidRPr="007A5923">
              <w:rPr>
                <w:rFonts w:ascii="Arial Narrow" w:hAnsi="Arial Narrow"/>
                <w:color w:val="000000"/>
                <w:sz w:val="18"/>
                <w:szCs w:val="18"/>
                <w:lang w:val="es-ES" w:eastAsia="es-ES"/>
              </w:rPr>
              <w:t>12</w:t>
            </w:r>
          </w:p>
        </w:tc>
        <w:tc>
          <w:tcPr>
            <w:tcW w:w="680" w:type="pct"/>
            <w:tcBorders>
              <w:top w:val="nil"/>
              <w:left w:val="nil"/>
              <w:bottom w:val="single" w:sz="4" w:space="0" w:color="auto"/>
              <w:right w:val="nil"/>
            </w:tcBorders>
            <w:shd w:val="clear" w:color="auto" w:fill="auto"/>
            <w:noWrap/>
            <w:vAlign w:val="center"/>
            <w:hideMark/>
          </w:tcPr>
          <w:p w:rsidR="007A5923" w:rsidRPr="007A5923" w:rsidRDefault="007A5923" w:rsidP="007A5923">
            <w:pPr>
              <w:spacing w:after="0"/>
              <w:ind w:firstLine="0"/>
              <w:jc w:val="right"/>
              <w:rPr>
                <w:rFonts w:ascii="Arial Narrow" w:hAnsi="Arial Narrow"/>
                <w:color w:val="000000"/>
                <w:sz w:val="18"/>
                <w:szCs w:val="18"/>
                <w:lang w:val="es-ES" w:eastAsia="es-ES"/>
              </w:rPr>
            </w:pPr>
            <w:r w:rsidRPr="007A5923">
              <w:rPr>
                <w:rFonts w:ascii="Arial Narrow" w:hAnsi="Arial Narrow"/>
                <w:color w:val="000000"/>
                <w:sz w:val="18"/>
                <w:szCs w:val="18"/>
                <w:lang w:val="es-ES" w:eastAsia="es-ES"/>
              </w:rPr>
              <w:t>0</w:t>
            </w:r>
          </w:p>
        </w:tc>
        <w:tc>
          <w:tcPr>
            <w:tcW w:w="680" w:type="pct"/>
            <w:tcBorders>
              <w:top w:val="nil"/>
              <w:left w:val="nil"/>
              <w:bottom w:val="single" w:sz="4" w:space="0" w:color="auto"/>
              <w:right w:val="nil"/>
            </w:tcBorders>
            <w:shd w:val="clear" w:color="auto" w:fill="auto"/>
            <w:noWrap/>
            <w:vAlign w:val="center"/>
            <w:hideMark/>
          </w:tcPr>
          <w:p w:rsidR="007A5923" w:rsidRPr="007A5923" w:rsidRDefault="007A5923" w:rsidP="007A5923">
            <w:pPr>
              <w:spacing w:after="0"/>
              <w:ind w:firstLine="0"/>
              <w:jc w:val="right"/>
              <w:rPr>
                <w:rFonts w:ascii="Arial Narrow" w:hAnsi="Arial Narrow"/>
                <w:color w:val="000000"/>
                <w:sz w:val="18"/>
                <w:szCs w:val="18"/>
                <w:lang w:val="es-ES" w:eastAsia="es-ES"/>
              </w:rPr>
            </w:pPr>
            <w:r w:rsidRPr="007A5923">
              <w:rPr>
                <w:rFonts w:ascii="Arial Narrow" w:hAnsi="Arial Narrow"/>
                <w:color w:val="000000"/>
                <w:sz w:val="18"/>
                <w:szCs w:val="18"/>
                <w:lang w:val="es-ES" w:eastAsia="es-ES"/>
              </w:rPr>
              <w:t>0</w:t>
            </w:r>
          </w:p>
        </w:tc>
      </w:tr>
      <w:tr w:rsidR="007A5923" w:rsidRPr="007A5923" w:rsidTr="007A5923">
        <w:trPr>
          <w:trHeight w:val="270"/>
        </w:trPr>
        <w:tc>
          <w:tcPr>
            <w:tcW w:w="2166" w:type="pct"/>
            <w:tcBorders>
              <w:top w:val="nil"/>
              <w:left w:val="nil"/>
              <w:bottom w:val="single" w:sz="4" w:space="0" w:color="auto"/>
              <w:right w:val="nil"/>
            </w:tcBorders>
            <w:shd w:val="clear" w:color="auto" w:fill="auto"/>
            <w:noWrap/>
            <w:vAlign w:val="center"/>
            <w:hideMark/>
          </w:tcPr>
          <w:p w:rsidR="007A5923" w:rsidRPr="007A5923" w:rsidRDefault="007A5923" w:rsidP="007A5923">
            <w:pPr>
              <w:spacing w:after="0"/>
              <w:ind w:firstLine="0"/>
              <w:jc w:val="left"/>
              <w:rPr>
                <w:rFonts w:ascii="Arial Narrow" w:hAnsi="Arial Narrow"/>
                <w:color w:val="000000"/>
                <w:sz w:val="18"/>
                <w:szCs w:val="18"/>
                <w:lang w:val="es-ES" w:eastAsia="es-ES"/>
              </w:rPr>
            </w:pPr>
            <w:r w:rsidRPr="007A5923">
              <w:rPr>
                <w:rFonts w:ascii="Arial Narrow" w:hAnsi="Arial Narrow"/>
                <w:color w:val="000000"/>
                <w:sz w:val="18"/>
                <w:szCs w:val="18"/>
                <w:lang w:val="es-ES" w:eastAsia="es-ES"/>
              </w:rPr>
              <w:t xml:space="preserve">Entes </w:t>
            </w:r>
            <w:proofErr w:type="spellStart"/>
            <w:r w:rsidRPr="007A5923">
              <w:rPr>
                <w:rFonts w:ascii="Arial Narrow" w:hAnsi="Arial Narrow"/>
                <w:color w:val="000000"/>
                <w:sz w:val="18"/>
                <w:szCs w:val="18"/>
                <w:lang w:val="es-ES" w:eastAsia="es-ES"/>
              </w:rPr>
              <w:t>púb</w:t>
            </w:r>
            <w:proofErr w:type="spellEnd"/>
            <w:r w:rsidRPr="007A5923">
              <w:rPr>
                <w:rFonts w:ascii="Arial Narrow" w:hAnsi="Arial Narrow"/>
                <w:color w:val="000000"/>
                <w:sz w:val="18"/>
                <w:szCs w:val="18"/>
                <w:lang w:val="es-ES" w:eastAsia="es-ES"/>
              </w:rPr>
              <w:t xml:space="preserve">. </w:t>
            </w:r>
            <w:proofErr w:type="gramStart"/>
            <w:r w:rsidRPr="007A5923">
              <w:rPr>
                <w:rFonts w:ascii="Arial Narrow" w:hAnsi="Arial Narrow"/>
                <w:color w:val="000000"/>
                <w:sz w:val="18"/>
                <w:szCs w:val="18"/>
                <w:lang w:val="es-ES" w:eastAsia="es-ES"/>
              </w:rPr>
              <w:t>y</w:t>
            </w:r>
            <w:proofErr w:type="gramEnd"/>
            <w:r w:rsidRPr="007A5923">
              <w:rPr>
                <w:rFonts w:ascii="Arial Narrow" w:hAnsi="Arial Narrow"/>
                <w:color w:val="000000"/>
                <w:sz w:val="18"/>
                <w:szCs w:val="18"/>
                <w:lang w:val="es-ES" w:eastAsia="es-ES"/>
              </w:rPr>
              <w:t xml:space="preserve"> </w:t>
            </w:r>
            <w:proofErr w:type="spellStart"/>
            <w:r w:rsidRPr="007A5923">
              <w:rPr>
                <w:rFonts w:ascii="Arial Narrow" w:hAnsi="Arial Narrow"/>
                <w:color w:val="000000"/>
                <w:sz w:val="18"/>
                <w:szCs w:val="18"/>
                <w:lang w:val="es-ES" w:eastAsia="es-ES"/>
              </w:rPr>
              <w:t>soc.</w:t>
            </w:r>
            <w:proofErr w:type="spellEnd"/>
            <w:r w:rsidRPr="007A5923">
              <w:rPr>
                <w:rFonts w:ascii="Arial Narrow" w:hAnsi="Arial Narrow"/>
                <w:color w:val="000000"/>
                <w:sz w:val="18"/>
                <w:szCs w:val="18"/>
                <w:lang w:val="es-ES" w:eastAsia="es-ES"/>
              </w:rPr>
              <w:t xml:space="preserve"> </w:t>
            </w:r>
            <w:proofErr w:type="spellStart"/>
            <w:proofErr w:type="gramStart"/>
            <w:r w:rsidRPr="007A5923">
              <w:rPr>
                <w:rFonts w:ascii="Arial Narrow" w:hAnsi="Arial Narrow"/>
                <w:color w:val="000000"/>
                <w:sz w:val="18"/>
                <w:szCs w:val="18"/>
                <w:lang w:val="es-ES" w:eastAsia="es-ES"/>
              </w:rPr>
              <w:t>mercant</w:t>
            </w:r>
            <w:proofErr w:type="spellEnd"/>
            <w:proofErr w:type="gramEnd"/>
            <w:r w:rsidRPr="007A5923">
              <w:rPr>
                <w:rFonts w:ascii="Arial Narrow" w:hAnsi="Arial Narrow"/>
                <w:color w:val="000000"/>
                <w:sz w:val="18"/>
                <w:szCs w:val="18"/>
                <w:lang w:val="es-ES" w:eastAsia="es-ES"/>
              </w:rPr>
              <w:t xml:space="preserve">. </w:t>
            </w:r>
            <w:proofErr w:type="gramStart"/>
            <w:r w:rsidRPr="007A5923">
              <w:rPr>
                <w:rFonts w:ascii="Arial Narrow" w:hAnsi="Arial Narrow"/>
                <w:color w:val="000000"/>
                <w:sz w:val="18"/>
                <w:szCs w:val="18"/>
                <w:lang w:val="es-ES" w:eastAsia="es-ES"/>
              </w:rPr>
              <w:t>de</w:t>
            </w:r>
            <w:proofErr w:type="gramEnd"/>
            <w:r w:rsidRPr="007A5923">
              <w:rPr>
                <w:rFonts w:ascii="Arial Narrow" w:hAnsi="Arial Narrow"/>
                <w:color w:val="000000"/>
                <w:sz w:val="18"/>
                <w:szCs w:val="18"/>
                <w:lang w:val="es-ES" w:eastAsia="es-ES"/>
              </w:rPr>
              <w:t xml:space="preserve"> la </w:t>
            </w:r>
            <w:proofErr w:type="spellStart"/>
            <w:r w:rsidRPr="007A5923">
              <w:rPr>
                <w:rFonts w:ascii="Arial Narrow" w:hAnsi="Arial Narrow"/>
                <w:color w:val="000000"/>
                <w:sz w:val="18"/>
                <w:szCs w:val="18"/>
                <w:lang w:val="es-ES" w:eastAsia="es-ES"/>
              </w:rPr>
              <w:t>ent</w:t>
            </w:r>
            <w:proofErr w:type="spellEnd"/>
            <w:r w:rsidRPr="007A5923">
              <w:rPr>
                <w:rFonts w:ascii="Arial Narrow" w:hAnsi="Arial Narrow"/>
                <w:color w:val="000000"/>
                <w:sz w:val="18"/>
                <w:szCs w:val="18"/>
                <w:lang w:val="es-ES" w:eastAsia="es-ES"/>
              </w:rPr>
              <w:t>..local</w:t>
            </w:r>
          </w:p>
        </w:tc>
        <w:tc>
          <w:tcPr>
            <w:tcW w:w="794" w:type="pct"/>
            <w:tcBorders>
              <w:top w:val="nil"/>
              <w:left w:val="nil"/>
              <w:bottom w:val="single" w:sz="4" w:space="0" w:color="auto"/>
              <w:right w:val="nil"/>
            </w:tcBorders>
            <w:shd w:val="clear" w:color="auto" w:fill="auto"/>
            <w:noWrap/>
            <w:vAlign w:val="center"/>
            <w:hideMark/>
          </w:tcPr>
          <w:p w:rsidR="007A5923" w:rsidRPr="007A5923" w:rsidRDefault="007A5923" w:rsidP="00514C8A">
            <w:pPr>
              <w:spacing w:after="0"/>
              <w:ind w:firstLine="0"/>
              <w:jc w:val="right"/>
              <w:rPr>
                <w:rFonts w:ascii="Arial Narrow" w:hAnsi="Arial Narrow"/>
                <w:color w:val="000000"/>
                <w:sz w:val="18"/>
                <w:szCs w:val="18"/>
                <w:lang w:val="es-ES" w:eastAsia="es-ES"/>
              </w:rPr>
            </w:pPr>
            <w:r w:rsidRPr="007A5923">
              <w:rPr>
                <w:rFonts w:ascii="Arial Narrow" w:hAnsi="Arial Narrow"/>
                <w:color w:val="000000"/>
                <w:sz w:val="18"/>
                <w:szCs w:val="18"/>
                <w:lang w:val="es-ES" w:eastAsia="es-ES"/>
              </w:rPr>
              <w:t>1.733.01</w:t>
            </w:r>
            <w:r w:rsidR="00843F44">
              <w:rPr>
                <w:rFonts w:ascii="Arial Narrow" w:hAnsi="Arial Narrow"/>
                <w:color w:val="000000"/>
                <w:sz w:val="18"/>
                <w:szCs w:val="18"/>
                <w:lang w:val="es-ES" w:eastAsia="es-ES"/>
              </w:rPr>
              <w:t>7</w:t>
            </w:r>
          </w:p>
        </w:tc>
        <w:tc>
          <w:tcPr>
            <w:tcW w:w="680" w:type="pct"/>
            <w:tcBorders>
              <w:top w:val="nil"/>
              <w:left w:val="nil"/>
              <w:bottom w:val="single" w:sz="4" w:space="0" w:color="auto"/>
              <w:right w:val="nil"/>
            </w:tcBorders>
            <w:shd w:val="clear" w:color="auto" w:fill="auto"/>
            <w:noWrap/>
            <w:vAlign w:val="center"/>
            <w:hideMark/>
          </w:tcPr>
          <w:p w:rsidR="007A5923" w:rsidRPr="007A5923" w:rsidRDefault="007A5923" w:rsidP="007A5923">
            <w:pPr>
              <w:spacing w:after="0"/>
              <w:ind w:firstLine="0"/>
              <w:jc w:val="right"/>
              <w:rPr>
                <w:rFonts w:ascii="Arial Narrow" w:hAnsi="Arial Narrow"/>
                <w:color w:val="000000"/>
                <w:sz w:val="18"/>
                <w:szCs w:val="18"/>
                <w:lang w:val="es-ES" w:eastAsia="es-ES"/>
              </w:rPr>
            </w:pPr>
            <w:r w:rsidRPr="007A5923">
              <w:rPr>
                <w:rFonts w:ascii="Arial Narrow" w:hAnsi="Arial Narrow"/>
                <w:color w:val="000000"/>
                <w:sz w:val="18"/>
                <w:szCs w:val="18"/>
                <w:lang w:val="es-ES" w:eastAsia="es-ES"/>
              </w:rPr>
              <w:t>8</w:t>
            </w:r>
          </w:p>
        </w:tc>
        <w:tc>
          <w:tcPr>
            <w:tcW w:w="680" w:type="pct"/>
            <w:tcBorders>
              <w:top w:val="nil"/>
              <w:left w:val="nil"/>
              <w:bottom w:val="single" w:sz="4" w:space="0" w:color="auto"/>
              <w:right w:val="nil"/>
            </w:tcBorders>
            <w:shd w:val="clear" w:color="auto" w:fill="auto"/>
            <w:noWrap/>
            <w:vAlign w:val="center"/>
            <w:hideMark/>
          </w:tcPr>
          <w:p w:rsidR="007A5923" w:rsidRPr="007A5923" w:rsidRDefault="007A5923" w:rsidP="007A5923">
            <w:pPr>
              <w:spacing w:after="0"/>
              <w:ind w:firstLine="0"/>
              <w:jc w:val="right"/>
              <w:rPr>
                <w:rFonts w:ascii="Arial Narrow" w:hAnsi="Arial Narrow"/>
                <w:color w:val="000000"/>
                <w:sz w:val="18"/>
                <w:szCs w:val="18"/>
                <w:lang w:val="es-ES" w:eastAsia="es-ES"/>
              </w:rPr>
            </w:pPr>
            <w:r w:rsidRPr="007A5923">
              <w:rPr>
                <w:rFonts w:ascii="Arial Narrow" w:hAnsi="Arial Narrow"/>
                <w:color w:val="000000"/>
                <w:sz w:val="18"/>
                <w:szCs w:val="18"/>
                <w:lang w:val="es-ES" w:eastAsia="es-ES"/>
              </w:rPr>
              <w:t>0</w:t>
            </w:r>
          </w:p>
        </w:tc>
        <w:tc>
          <w:tcPr>
            <w:tcW w:w="680" w:type="pct"/>
            <w:tcBorders>
              <w:top w:val="nil"/>
              <w:left w:val="nil"/>
              <w:bottom w:val="single" w:sz="4" w:space="0" w:color="auto"/>
              <w:right w:val="nil"/>
            </w:tcBorders>
            <w:shd w:val="clear" w:color="auto" w:fill="auto"/>
            <w:noWrap/>
            <w:vAlign w:val="center"/>
            <w:hideMark/>
          </w:tcPr>
          <w:p w:rsidR="007A5923" w:rsidRPr="007A5923" w:rsidRDefault="007A5923" w:rsidP="007A5923">
            <w:pPr>
              <w:spacing w:after="0"/>
              <w:ind w:firstLine="0"/>
              <w:jc w:val="right"/>
              <w:rPr>
                <w:rFonts w:ascii="Arial Narrow" w:hAnsi="Arial Narrow"/>
                <w:color w:val="000000"/>
                <w:sz w:val="18"/>
                <w:szCs w:val="18"/>
                <w:lang w:val="es-ES" w:eastAsia="es-ES"/>
              </w:rPr>
            </w:pPr>
            <w:r w:rsidRPr="007A5923">
              <w:rPr>
                <w:rFonts w:ascii="Arial Narrow" w:hAnsi="Arial Narrow"/>
                <w:color w:val="000000"/>
                <w:sz w:val="18"/>
                <w:szCs w:val="18"/>
                <w:lang w:val="es-ES" w:eastAsia="es-ES"/>
              </w:rPr>
              <w:t>0</w:t>
            </w:r>
          </w:p>
        </w:tc>
      </w:tr>
      <w:tr w:rsidR="007A5923" w:rsidRPr="007A5923" w:rsidTr="007A5923">
        <w:trPr>
          <w:trHeight w:val="270"/>
        </w:trPr>
        <w:tc>
          <w:tcPr>
            <w:tcW w:w="2166" w:type="pct"/>
            <w:tcBorders>
              <w:top w:val="nil"/>
              <w:left w:val="nil"/>
              <w:bottom w:val="single" w:sz="4" w:space="0" w:color="auto"/>
              <w:right w:val="nil"/>
            </w:tcBorders>
            <w:shd w:val="clear" w:color="auto" w:fill="auto"/>
            <w:noWrap/>
            <w:vAlign w:val="center"/>
            <w:hideMark/>
          </w:tcPr>
          <w:p w:rsidR="007A5923" w:rsidRPr="007A5923" w:rsidRDefault="007A5923" w:rsidP="007A5923">
            <w:pPr>
              <w:spacing w:after="0"/>
              <w:ind w:firstLine="0"/>
              <w:jc w:val="left"/>
              <w:rPr>
                <w:rFonts w:ascii="Arial Narrow" w:hAnsi="Arial Narrow"/>
                <w:color w:val="000000"/>
                <w:sz w:val="18"/>
                <w:szCs w:val="18"/>
                <w:lang w:val="es-ES" w:eastAsia="es-ES"/>
              </w:rPr>
            </w:pPr>
            <w:r w:rsidRPr="007A5923">
              <w:rPr>
                <w:rFonts w:ascii="Arial Narrow" w:hAnsi="Arial Narrow"/>
                <w:color w:val="000000"/>
                <w:sz w:val="18"/>
                <w:szCs w:val="18"/>
                <w:lang w:val="es-ES" w:eastAsia="es-ES"/>
              </w:rPr>
              <w:t>Familias</w:t>
            </w:r>
          </w:p>
        </w:tc>
        <w:tc>
          <w:tcPr>
            <w:tcW w:w="794" w:type="pct"/>
            <w:tcBorders>
              <w:top w:val="nil"/>
              <w:left w:val="nil"/>
              <w:bottom w:val="single" w:sz="4" w:space="0" w:color="auto"/>
              <w:right w:val="nil"/>
            </w:tcBorders>
            <w:shd w:val="clear" w:color="auto" w:fill="auto"/>
            <w:noWrap/>
            <w:vAlign w:val="center"/>
            <w:hideMark/>
          </w:tcPr>
          <w:p w:rsidR="007A5923" w:rsidRPr="007A5923" w:rsidRDefault="007A5923" w:rsidP="00514C8A">
            <w:pPr>
              <w:spacing w:after="0"/>
              <w:ind w:firstLine="0"/>
              <w:jc w:val="right"/>
              <w:rPr>
                <w:rFonts w:ascii="Arial Narrow" w:hAnsi="Arial Narrow"/>
                <w:color w:val="000000"/>
                <w:sz w:val="18"/>
                <w:szCs w:val="18"/>
                <w:lang w:val="es-ES" w:eastAsia="es-ES"/>
              </w:rPr>
            </w:pPr>
            <w:r w:rsidRPr="007A5923">
              <w:rPr>
                <w:rFonts w:ascii="Arial Narrow" w:hAnsi="Arial Narrow"/>
                <w:color w:val="000000"/>
                <w:sz w:val="18"/>
                <w:szCs w:val="18"/>
                <w:lang w:val="es-ES" w:eastAsia="es-ES"/>
              </w:rPr>
              <w:t>79.058</w:t>
            </w:r>
          </w:p>
        </w:tc>
        <w:tc>
          <w:tcPr>
            <w:tcW w:w="680" w:type="pct"/>
            <w:tcBorders>
              <w:top w:val="nil"/>
              <w:left w:val="nil"/>
              <w:bottom w:val="single" w:sz="4" w:space="0" w:color="auto"/>
              <w:right w:val="nil"/>
            </w:tcBorders>
            <w:shd w:val="clear" w:color="auto" w:fill="auto"/>
            <w:noWrap/>
            <w:vAlign w:val="center"/>
            <w:hideMark/>
          </w:tcPr>
          <w:p w:rsidR="007A5923" w:rsidRPr="007A5923" w:rsidRDefault="007A5923" w:rsidP="007A5923">
            <w:pPr>
              <w:spacing w:after="0"/>
              <w:ind w:firstLine="0"/>
              <w:jc w:val="right"/>
              <w:rPr>
                <w:rFonts w:ascii="Arial Narrow" w:hAnsi="Arial Narrow"/>
                <w:color w:val="000000"/>
                <w:sz w:val="18"/>
                <w:szCs w:val="18"/>
                <w:lang w:val="es-ES" w:eastAsia="es-ES"/>
              </w:rPr>
            </w:pPr>
            <w:r w:rsidRPr="007A5923">
              <w:rPr>
                <w:rFonts w:ascii="Arial Narrow" w:hAnsi="Arial Narrow"/>
                <w:color w:val="000000"/>
                <w:sz w:val="18"/>
                <w:szCs w:val="18"/>
                <w:lang w:val="es-ES" w:eastAsia="es-ES"/>
              </w:rPr>
              <w:t>-39</w:t>
            </w:r>
          </w:p>
        </w:tc>
        <w:tc>
          <w:tcPr>
            <w:tcW w:w="680" w:type="pct"/>
            <w:tcBorders>
              <w:top w:val="nil"/>
              <w:left w:val="nil"/>
              <w:bottom w:val="single" w:sz="4" w:space="0" w:color="auto"/>
              <w:right w:val="nil"/>
            </w:tcBorders>
            <w:shd w:val="clear" w:color="auto" w:fill="auto"/>
            <w:noWrap/>
            <w:vAlign w:val="center"/>
            <w:hideMark/>
          </w:tcPr>
          <w:p w:rsidR="007A5923" w:rsidRPr="007A5923" w:rsidRDefault="007A5923" w:rsidP="007A5923">
            <w:pPr>
              <w:spacing w:after="0"/>
              <w:ind w:firstLine="0"/>
              <w:jc w:val="right"/>
              <w:rPr>
                <w:rFonts w:ascii="Arial Narrow" w:hAnsi="Arial Narrow"/>
                <w:color w:val="000000"/>
                <w:sz w:val="18"/>
                <w:szCs w:val="18"/>
                <w:lang w:val="es-ES" w:eastAsia="es-ES"/>
              </w:rPr>
            </w:pPr>
            <w:r w:rsidRPr="007A5923">
              <w:rPr>
                <w:rFonts w:ascii="Arial Narrow" w:hAnsi="Arial Narrow"/>
                <w:color w:val="000000"/>
                <w:sz w:val="18"/>
                <w:szCs w:val="18"/>
                <w:lang w:val="es-ES" w:eastAsia="es-ES"/>
              </w:rPr>
              <w:t>0</w:t>
            </w:r>
          </w:p>
        </w:tc>
        <w:tc>
          <w:tcPr>
            <w:tcW w:w="680" w:type="pct"/>
            <w:tcBorders>
              <w:top w:val="nil"/>
              <w:left w:val="nil"/>
              <w:bottom w:val="single" w:sz="4" w:space="0" w:color="auto"/>
              <w:right w:val="nil"/>
            </w:tcBorders>
            <w:shd w:val="clear" w:color="auto" w:fill="auto"/>
            <w:noWrap/>
            <w:vAlign w:val="center"/>
            <w:hideMark/>
          </w:tcPr>
          <w:p w:rsidR="007A5923" w:rsidRPr="007A5923" w:rsidRDefault="007A5923" w:rsidP="007A5923">
            <w:pPr>
              <w:spacing w:after="0"/>
              <w:ind w:firstLine="0"/>
              <w:jc w:val="right"/>
              <w:rPr>
                <w:rFonts w:ascii="Arial Narrow" w:hAnsi="Arial Narrow"/>
                <w:color w:val="000000"/>
                <w:sz w:val="18"/>
                <w:szCs w:val="18"/>
                <w:lang w:val="es-ES" w:eastAsia="es-ES"/>
              </w:rPr>
            </w:pPr>
            <w:r w:rsidRPr="007A5923">
              <w:rPr>
                <w:rFonts w:ascii="Arial Narrow" w:hAnsi="Arial Narrow"/>
                <w:color w:val="000000"/>
                <w:sz w:val="18"/>
                <w:szCs w:val="18"/>
                <w:lang w:val="es-ES" w:eastAsia="es-ES"/>
              </w:rPr>
              <w:t>0</w:t>
            </w:r>
          </w:p>
        </w:tc>
      </w:tr>
      <w:tr w:rsidR="007A5923" w:rsidRPr="007A5923" w:rsidTr="007A5923">
        <w:trPr>
          <w:trHeight w:val="270"/>
        </w:trPr>
        <w:tc>
          <w:tcPr>
            <w:tcW w:w="2166" w:type="pct"/>
            <w:tcBorders>
              <w:top w:val="nil"/>
              <w:left w:val="nil"/>
              <w:bottom w:val="single" w:sz="4" w:space="0" w:color="auto"/>
              <w:right w:val="nil"/>
            </w:tcBorders>
            <w:shd w:val="clear" w:color="auto" w:fill="auto"/>
            <w:noWrap/>
            <w:vAlign w:val="center"/>
            <w:hideMark/>
          </w:tcPr>
          <w:p w:rsidR="007A5923" w:rsidRPr="007A5923" w:rsidRDefault="007A5923" w:rsidP="007A5923">
            <w:pPr>
              <w:spacing w:after="0"/>
              <w:ind w:firstLine="0"/>
              <w:jc w:val="left"/>
              <w:rPr>
                <w:rFonts w:ascii="Arial Narrow" w:hAnsi="Arial Narrow"/>
                <w:color w:val="000000"/>
                <w:sz w:val="18"/>
                <w:szCs w:val="18"/>
                <w:lang w:val="es-ES" w:eastAsia="es-ES"/>
              </w:rPr>
            </w:pPr>
            <w:r w:rsidRPr="007A5923">
              <w:rPr>
                <w:rFonts w:ascii="Arial Narrow" w:hAnsi="Arial Narrow"/>
                <w:color w:val="000000"/>
                <w:sz w:val="18"/>
                <w:szCs w:val="18"/>
                <w:lang w:val="es-ES" w:eastAsia="es-ES"/>
              </w:rPr>
              <w:t>Instituciones sin fines de lucro</w:t>
            </w:r>
          </w:p>
        </w:tc>
        <w:tc>
          <w:tcPr>
            <w:tcW w:w="794" w:type="pct"/>
            <w:tcBorders>
              <w:top w:val="nil"/>
              <w:left w:val="nil"/>
              <w:bottom w:val="single" w:sz="4" w:space="0" w:color="auto"/>
              <w:right w:val="nil"/>
            </w:tcBorders>
            <w:shd w:val="clear" w:color="auto" w:fill="auto"/>
            <w:noWrap/>
            <w:vAlign w:val="center"/>
            <w:hideMark/>
          </w:tcPr>
          <w:p w:rsidR="007A5923" w:rsidRPr="007A5923" w:rsidRDefault="007A5923" w:rsidP="00514C8A">
            <w:pPr>
              <w:spacing w:after="0"/>
              <w:ind w:firstLine="0"/>
              <w:jc w:val="right"/>
              <w:rPr>
                <w:rFonts w:ascii="Arial Narrow" w:hAnsi="Arial Narrow"/>
                <w:color w:val="000000"/>
                <w:sz w:val="18"/>
                <w:szCs w:val="18"/>
                <w:lang w:val="es-ES" w:eastAsia="es-ES"/>
              </w:rPr>
            </w:pPr>
            <w:r w:rsidRPr="007A5923">
              <w:rPr>
                <w:rFonts w:ascii="Arial Narrow" w:hAnsi="Arial Narrow"/>
                <w:color w:val="000000"/>
                <w:sz w:val="18"/>
                <w:szCs w:val="18"/>
                <w:lang w:val="es-ES" w:eastAsia="es-ES"/>
              </w:rPr>
              <w:t>228.948</w:t>
            </w:r>
          </w:p>
        </w:tc>
        <w:tc>
          <w:tcPr>
            <w:tcW w:w="680" w:type="pct"/>
            <w:tcBorders>
              <w:top w:val="nil"/>
              <w:left w:val="nil"/>
              <w:bottom w:val="single" w:sz="4" w:space="0" w:color="auto"/>
              <w:right w:val="nil"/>
            </w:tcBorders>
            <w:shd w:val="clear" w:color="auto" w:fill="auto"/>
            <w:noWrap/>
            <w:vAlign w:val="center"/>
            <w:hideMark/>
          </w:tcPr>
          <w:p w:rsidR="007A5923" w:rsidRPr="007A5923" w:rsidRDefault="007A5923" w:rsidP="007A5923">
            <w:pPr>
              <w:spacing w:after="0"/>
              <w:ind w:firstLine="0"/>
              <w:jc w:val="right"/>
              <w:rPr>
                <w:rFonts w:ascii="Arial Narrow" w:hAnsi="Arial Narrow"/>
                <w:color w:val="000000"/>
                <w:sz w:val="18"/>
                <w:szCs w:val="18"/>
                <w:lang w:val="es-ES" w:eastAsia="es-ES"/>
              </w:rPr>
            </w:pPr>
            <w:r w:rsidRPr="007A5923">
              <w:rPr>
                <w:rFonts w:ascii="Arial Narrow" w:hAnsi="Arial Narrow"/>
                <w:color w:val="000000"/>
                <w:sz w:val="18"/>
                <w:szCs w:val="18"/>
                <w:lang w:val="es-ES" w:eastAsia="es-ES"/>
              </w:rPr>
              <w:t>-6</w:t>
            </w:r>
          </w:p>
        </w:tc>
        <w:tc>
          <w:tcPr>
            <w:tcW w:w="680" w:type="pct"/>
            <w:tcBorders>
              <w:top w:val="nil"/>
              <w:left w:val="nil"/>
              <w:bottom w:val="single" w:sz="4" w:space="0" w:color="auto"/>
              <w:right w:val="nil"/>
            </w:tcBorders>
            <w:shd w:val="clear" w:color="auto" w:fill="auto"/>
            <w:noWrap/>
            <w:vAlign w:val="center"/>
            <w:hideMark/>
          </w:tcPr>
          <w:p w:rsidR="007A5923" w:rsidRPr="007A5923" w:rsidRDefault="007A5923" w:rsidP="007A5923">
            <w:pPr>
              <w:spacing w:after="0"/>
              <w:ind w:firstLine="0"/>
              <w:jc w:val="right"/>
              <w:rPr>
                <w:rFonts w:ascii="Arial Narrow" w:hAnsi="Arial Narrow"/>
                <w:color w:val="000000"/>
                <w:sz w:val="18"/>
                <w:szCs w:val="18"/>
                <w:lang w:val="es-ES" w:eastAsia="es-ES"/>
              </w:rPr>
            </w:pPr>
            <w:r w:rsidRPr="007A5923">
              <w:rPr>
                <w:rFonts w:ascii="Arial Narrow" w:hAnsi="Arial Narrow"/>
                <w:color w:val="000000"/>
                <w:sz w:val="18"/>
                <w:szCs w:val="18"/>
                <w:lang w:val="es-ES" w:eastAsia="es-ES"/>
              </w:rPr>
              <w:t>0</w:t>
            </w:r>
          </w:p>
        </w:tc>
        <w:tc>
          <w:tcPr>
            <w:tcW w:w="680" w:type="pct"/>
            <w:tcBorders>
              <w:top w:val="nil"/>
              <w:left w:val="nil"/>
              <w:bottom w:val="single" w:sz="4" w:space="0" w:color="auto"/>
              <w:right w:val="nil"/>
            </w:tcBorders>
            <w:shd w:val="clear" w:color="auto" w:fill="auto"/>
            <w:noWrap/>
            <w:vAlign w:val="center"/>
            <w:hideMark/>
          </w:tcPr>
          <w:p w:rsidR="007A5923" w:rsidRPr="007A5923" w:rsidRDefault="007A5923" w:rsidP="007A5923">
            <w:pPr>
              <w:spacing w:after="0"/>
              <w:ind w:firstLine="0"/>
              <w:jc w:val="right"/>
              <w:rPr>
                <w:rFonts w:ascii="Arial Narrow" w:hAnsi="Arial Narrow"/>
                <w:color w:val="000000"/>
                <w:sz w:val="18"/>
                <w:szCs w:val="18"/>
                <w:lang w:val="es-ES" w:eastAsia="es-ES"/>
              </w:rPr>
            </w:pPr>
            <w:r w:rsidRPr="007A5923">
              <w:rPr>
                <w:rFonts w:ascii="Arial Narrow" w:hAnsi="Arial Narrow"/>
                <w:color w:val="000000"/>
                <w:sz w:val="18"/>
                <w:szCs w:val="18"/>
                <w:lang w:val="es-ES" w:eastAsia="es-ES"/>
              </w:rPr>
              <w:t>0</w:t>
            </w:r>
          </w:p>
        </w:tc>
      </w:tr>
      <w:tr w:rsidR="007A5923" w:rsidRPr="007A5923" w:rsidTr="007A5923">
        <w:trPr>
          <w:trHeight w:val="270"/>
        </w:trPr>
        <w:tc>
          <w:tcPr>
            <w:tcW w:w="2166" w:type="pct"/>
            <w:tcBorders>
              <w:top w:val="nil"/>
              <w:left w:val="nil"/>
              <w:bottom w:val="single" w:sz="4" w:space="0" w:color="auto"/>
              <w:right w:val="nil"/>
            </w:tcBorders>
            <w:shd w:val="clear" w:color="auto" w:fill="auto"/>
            <w:noWrap/>
            <w:vAlign w:val="center"/>
            <w:hideMark/>
          </w:tcPr>
          <w:p w:rsidR="007A5923" w:rsidRPr="007A5923" w:rsidRDefault="007A5923" w:rsidP="007A5923">
            <w:pPr>
              <w:spacing w:after="0"/>
              <w:ind w:firstLine="0"/>
              <w:jc w:val="left"/>
              <w:rPr>
                <w:rFonts w:ascii="Arial Narrow" w:hAnsi="Arial Narrow"/>
                <w:color w:val="000000"/>
                <w:sz w:val="18"/>
                <w:szCs w:val="18"/>
                <w:lang w:val="es-ES" w:eastAsia="es-ES"/>
              </w:rPr>
            </w:pPr>
            <w:r w:rsidRPr="007A5923">
              <w:rPr>
                <w:rFonts w:ascii="Arial Narrow" w:hAnsi="Arial Narrow"/>
                <w:color w:val="000000"/>
                <w:sz w:val="18"/>
                <w:szCs w:val="18"/>
                <w:lang w:val="es-ES" w:eastAsia="es-ES"/>
              </w:rPr>
              <w:t>Otras transferencias</w:t>
            </w:r>
          </w:p>
        </w:tc>
        <w:tc>
          <w:tcPr>
            <w:tcW w:w="794" w:type="pct"/>
            <w:tcBorders>
              <w:top w:val="nil"/>
              <w:left w:val="nil"/>
              <w:bottom w:val="single" w:sz="4" w:space="0" w:color="auto"/>
              <w:right w:val="nil"/>
            </w:tcBorders>
            <w:shd w:val="clear" w:color="auto" w:fill="auto"/>
            <w:noWrap/>
            <w:vAlign w:val="center"/>
            <w:hideMark/>
          </w:tcPr>
          <w:p w:rsidR="007A5923" w:rsidRPr="007A5923" w:rsidRDefault="007A5923" w:rsidP="00514C8A">
            <w:pPr>
              <w:spacing w:after="0"/>
              <w:ind w:firstLine="0"/>
              <w:jc w:val="right"/>
              <w:rPr>
                <w:rFonts w:ascii="Arial Narrow" w:hAnsi="Arial Narrow"/>
                <w:color w:val="000000"/>
                <w:sz w:val="18"/>
                <w:szCs w:val="18"/>
                <w:lang w:val="es-ES" w:eastAsia="es-ES"/>
              </w:rPr>
            </w:pPr>
            <w:r w:rsidRPr="007A5923">
              <w:rPr>
                <w:rFonts w:ascii="Arial Narrow" w:hAnsi="Arial Narrow"/>
                <w:color w:val="000000"/>
                <w:sz w:val="18"/>
                <w:szCs w:val="18"/>
                <w:lang w:val="es-ES" w:eastAsia="es-ES"/>
              </w:rPr>
              <w:t>147.809</w:t>
            </w:r>
          </w:p>
        </w:tc>
        <w:tc>
          <w:tcPr>
            <w:tcW w:w="680" w:type="pct"/>
            <w:tcBorders>
              <w:top w:val="nil"/>
              <w:left w:val="nil"/>
              <w:bottom w:val="single" w:sz="4" w:space="0" w:color="auto"/>
              <w:right w:val="nil"/>
            </w:tcBorders>
            <w:shd w:val="clear" w:color="auto" w:fill="auto"/>
            <w:noWrap/>
            <w:vAlign w:val="center"/>
            <w:hideMark/>
          </w:tcPr>
          <w:p w:rsidR="007A5923" w:rsidRPr="007A5923" w:rsidRDefault="007A5923" w:rsidP="007A5923">
            <w:pPr>
              <w:spacing w:after="0"/>
              <w:ind w:firstLine="0"/>
              <w:jc w:val="right"/>
              <w:rPr>
                <w:rFonts w:ascii="Arial Narrow" w:hAnsi="Arial Narrow"/>
                <w:color w:val="000000"/>
                <w:sz w:val="18"/>
                <w:szCs w:val="18"/>
                <w:lang w:val="es-ES" w:eastAsia="es-ES"/>
              </w:rPr>
            </w:pPr>
            <w:r w:rsidRPr="007A5923">
              <w:rPr>
                <w:rFonts w:ascii="Arial Narrow" w:hAnsi="Arial Narrow"/>
                <w:color w:val="000000"/>
                <w:sz w:val="18"/>
                <w:szCs w:val="18"/>
                <w:lang w:val="es-ES" w:eastAsia="es-ES"/>
              </w:rPr>
              <w:t>-34</w:t>
            </w:r>
          </w:p>
        </w:tc>
        <w:tc>
          <w:tcPr>
            <w:tcW w:w="680" w:type="pct"/>
            <w:tcBorders>
              <w:top w:val="nil"/>
              <w:left w:val="nil"/>
              <w:bottom w:val="single" w:sz="4" w:space="0" w:color="auto"/>
              <w:right w:val="nil"/>
            </w:tcBorders>
            <w:shd w:val="clear" w:color="auto" w:fill="auto"/>
            <w:noWrap/>
            <w:vAlign w:val="center"/>
            <w:hideMark/>
          </w:tcPr>
          <w:p w:rsidR="007A5923" w:rsidRPr="007A5923" w:rsidRDefault="007A5923" w:rsidP="007A5923">
            <w:pPr>
              <w:spacing w:after="0"/>
              <w:ind w:firstLine="0"/>
              <w:jc w:val="right"/>
              <w:rPr>
                <w:rFonts w:ascii="Arial Narrow" w:hAnsi="Arial Narrow"/>
                <w:color w:val="000000"/>
                <w:sz w:val="18"/>
                <w:szCs w:val="18"/>
                <w:lang w:val="es-ES" w:eastAsia="es-ES"/>
              </w:rPr>
            </w:pPr>
            <w:r w:rsidRPr="007A5923">
              <w:rPr>
                <w:rFonts w:ascii="Arial Narrow" w:hAnsi="Arial Narrow"/>
                <w:color w:val="000000"/>
                <w:sz w:val="18"/>
                <w:szCs w:val="18"/>
                <w:lang w:val="es-ES" w:eastAsia="es-ES"/>
              </w:rPr>
              <w:t>0</w:t>
            </w:r>
          </w:p>
        </w:tc>
        <w:tc>
          <w:tcPr>
            <w:tcW w:w="680" w:type="pct"/>
            <w:tcBorders>
              <w:top w:val="nil"/>
              <w:left w:val="nil"/>
              <w:bottom w:val="single" w:sz="4" w:space="0" w:color="auto"/>
              <w:right w:val="nil"/>
            </w:tcBorders>
            <w:shd w:val="clear" w:color="auto" w:fill="auto"/>
            <w:noWrap/>
            <w:vAlign w:val="center"/>
            <w:hideMark/>
          </w:tcPr>
          <w:p w:rsidR="007A5923" w:rsidRPr="007A5923" w:rsidRDefault="007A5923" w:rsidP="007A5923">
            <w:pPr>
              <w:spacing w:after="0"/>
              <w:ind w:firstLine="0"/>
              <w:jc w:val="right"/>
              <w:rPr>
                <w:rFonts w:ascii="Arial Narrow" w:hAnsi="Arial Narrow"/>
                <w:color w:val="000000"/>
                <w:sz w:val="18"/>
                <w:szCs w:val="18"/>
                <w:lang w:val="es-ES" w:eastAsia="es-ES"/>
              </w:rPr>
            </w:pPr>
            <w:r w:rsidRPr="007A5923">
              <w:rPr>
                <w:rFonts w:ascii="Arial Narrow" w:hAnsi="Arial Narrow"/>
                <w:color w:val="000000"/>
                <w:sz w:val="18"/>
                <w:szCs w:val="18"/>
                <w:lang w:val="es-ES" w:eastAsia="es-ES"/>
              </w:rPr>
              <w:t>0</w:t>
            </w:r>
          </w:p>
        </w:tc>
      </w:tr>
      <w:tr w:rsidR="007A5923" w:rsidRPr="007A5923" w:rsidTr="007A5923">
        <w:trPr>
          <w:trHeight w:val="270"/>
        </w:trPr>
        <w:tc>
          <w:tcPr>
            <w:tcW w:w="2166" w:type="pct"/>
            <w:tcBorders>
              <w:top w:val="nil"/>
              <w:left w:val="nil"/>
              <w:bottom w:val="single" w:sz="4" w:space="0" w:color="auto"/>
              <w:right w:val="nil"/>
            </w:tcBorders>
            <w:shd w:val="clear" w:color="000000" w:fill="FABF8F"/>
            <w:vAlign w:val="center"/>
            <w:hideMark/>
          </w:tcPr>
          <w:p w:rsidR="007A5923" w:rsidRPr="007A5923" w:rsidRDefault="007A5923" w:rsidP="007A5923">
            <w:pPr>
              <w:spacing w:after="0"/>
              <w:ind w:firstLine="0"/>
              <w:jc w:val="left"/>
              <w:rPr>
                <w:rFonts w:ascii="Arial" w:hAnsi="Arial" w:cs="Arial"/>
                <w:color w:val="000000"/>
                <w:sz w:val="18"/>
                <w:szCs w:val="18"/>
                <w:lang w:val="es-ES" w:eastAsia="es-ES"/>
              </w:rPr>
            </w:pPr>
            <w:r w:rsidRPr="007A5923">
              <w:rPr>
                <w:rFonts w:ascii="Arial" w:hAnsi="Arial" w:cs="Arial"/>
                <w:color w:val="000000"/>
                <w:sz w:val="18"/>
                <w:szCs w:val="18"/>
                <w:lang w:val="es-ES" w:eastAsia="es-ES"/>
              </w:rPr>
              <w:t>Total</w:t>
            </w:r>
          </w:p>
        </w:tc>
        <w:tc>
          <w:tcPr>
            <w:tcW w:w="794" w:type="pct"/>
            <w:tcBorders>
              <w:top w:val="nil"/>
              <w:left w:val="nil"/>
              <w:bottom w:val="single" w:sz="4" w:space="0" w:color="auto"/>
              <w:right w:val="nil"/>
            </w:tcBorders>
            <w:shd w:val="clear" w:color="000000" w:fill="FABF8F"/>
            <w:vAlign w:val="center"/>
            <w:hideMark/>
          </w:tcPr>
          <w:p w:rsidR="007A5923" w:rsidRPr="007A5923" w:rsidRDefault="007A5923" w:rsidP="00514C8A">
            <w:pPr>
              <w:spacing w:after="0"/>
              <w:ind w:firstLine="0"/>
              <w:jc w:val="right"/>
              <w:rPr>
                <w:rFonts w:ascii="Arial" w:hAnsi="Arial" w:cs="Arial"/>
                <w:color w:val="000000"/>
                <w:sz w:val="18"/>
                <w:szCs w:val="18"/>
                <w:lang w:val="es-ES" w:eastAsia="es-ES"/>
              </w:rPr>
            </w:pPr>
            <w:r w:rsidRPr="007A5923">
              <w:rPr>
                <w:rFonts w:ascii="Arial" w:hAnsi="Arial" w:cs="Arial"/>
                <w:color w:val="000000"/>
                <w:sz w:val="18"/>
                <w:szCs w:val="18"/>
                <w:lang w:val="es-ES" w:eastAsia="es-ES"/>
              </w:rPr>
              <w:t>2.765.201</w:t>
            </w:r>
          </w:p>
        </w:tc>
        <w:tc>
          <w:tcPr>
            <w:tcW w:w="680" w:type="pct"/>
            <w:tcBorders>
              <w:top w:val="nil"/>
              <w:left w:val="nil"/>
              <w:bottom w:val="single" w:sz="4" w:space="0" w:color="auto"/>
              <w:right w:val="nil"/>
            </w:tcBorders>
            <w:shd w:val="clear" w:color="000000" w:fill="FABF8F"/>
            <w:vAlign w:val="center"/>
            <w:hideMark/>
          </w:tcPr>
          <w:p w:rsidR="007A5923" w:rsidRPr="007A5923" w:rsidRDefault="007A5923" w:rsidP="007A5923">
            <w:pPr>
              <w:spacing w:after="0"/>
              <w:ind w:firstLine="0"/>
              <w:jc w:val="right"/>
              <w:rPr>
                <w:rFonts w:ascii="Arial" w:hAnsi="Arial" w:cs="Arial"/>
                <w:color w:val="000000"/>
                <w:sz w:val="18"/>
                <w:szCs w:val="18"/>
                <w:lang w:val="es-ES" w:eastAsia="es-ES"/>
              </w:rPr>
            </w:pPr>
            <w:r w:rsidRPr="007A5923">
              <w:rPr>
                <w:rFonts w:ascii="Arial" w:hAnsi="Arial" w:cs="Arial"/>
                <w:color w:val="000000"/>
                <w:sz w:val="18"/>
                <w:szCs w:val="18"/>
                <w:lang w:val="es-ES" w:eastAsia="es-ES"/>
              </w:rPr>
              <w:t>1</w:t>
            </w:r>
          </w:p>
        </w:tc>
        <w:tc>
          <w:tcPr>
            <w:tcW w:w="680" w:type="pct"/>
            <w:tcBorders>
              <w:top w:val="nil"/>
              <w:left w:val="nil"/>
              <w:bottom w:val="single" w:sz="4" w:space="0" w:color="auto"/>
              <w:right w:val="nil"/>
            </w:tcBorders>
            <w:shd w:val="clear" w:color="000000" w:fill="FABF8F"/>
            <w:vAlign w:val="center"/>
            <w:hideMark/>
          </w:tcPr>
          <w:p w:rsidR="007A5923" w:rsidRPr="007A5923" w:rsidRDefault="007A5923" w:rsidP="007A5923">
            <w:pPr>
              <w:spacing w:after="0"/>
              <w:ind w:firstLineChars="100" w:firstLine="180"/>
              <w:jc w:val="right"/>
              <w:rPr>
                <w:rFonts w:ascii="Arial" w:hAnsi="Arial" w:cs="Arial"/>
                <w:color w:val="000000"/>
                <w:sz w:val="18"/>
                <w:szCs w:val="18"/>
                <w:lang w:val="es-ES" w:eastAsia="es-ES"/>
              </w:rPr>
            </w:pPr>
            <w:r w:rsidRPr="007A5923">
              <w:rPr>
                <w:rFonts w:ascii="Arial" w:hAnsi="Arial" w:cs="Arial"/>
                <w:color w:val="000000"/>
                <w:sz w:val="18"/>
                <w:szCs w:val="18"/>
                <w:lang w:val="es-ES" w:eastAsia="es-ES"/>
              </w:rPr>
              <w:t>14.622</w:t>
            </w:r>
          </w:p>
        </w:tc>
        <w:tc>
          <w:tcPr>
            <w:tcW w:w="680" w:type="pct"/>
            <w:tcBorders>
              <w:top w:val="nil"/>
              <w:left w:val="nil"/>
              <w:bottom w:val="single" w:sz="4" w:space="0" w:color="auto"/>
              <w:right w:val="nil"/>
            </w:tcBorders>
            <w:shd w:val="clear" w:color="000000" w:fill="FABF8F"/>
            <w:vAlign w:val="center"/>
            <w:hideMark/>
          </w:tcPr>
          <w:p w:rsidR="007A5923" w:rsidRPr="007A5923" w:rsidRDefault="007A5923" w:rsidP="007A5923">
            <w:pPr>
              <w:spacing w:after="0"/>
              <w:ind w:firstLine="0"/>
              <w:jc w:val="right"/>
              <w:rPr>
                <w:rFonts w:ascii="Arial" w:hAnsi="Arial" w:cs="Arial"/>
                <w:color w:val="000000"/>
                <w:sz w:val="18"/>
                <w:szCs w:val="18"/>
                <w:lang w:val="es-ES" w:eastAsia="es-ES"/>
              </w:rPr>
            </w:pPr>
            <w:r w:rsidRPr="007A5923">
              <w:rPr>
                <w:rFonts w:ascii="Arial" w:hAnsi="Arial" w:cs="Arial"/>
                <w:color w:val="000000"/>
                <w:sz w:val="18"/>
                <w:szCs w:val="18"/>
                <w:lang w:val="es-ES" w:eastAsia="es-ES"/>
              </w:rPr>
              <w:t>4</w:t>
            </w:r>
          </w:p>
        </w:tc>
      </w:tr>
    </w:tbl>
    <w:p w:rsidR="0067725A" w:rsidRDefault="0067725A" w:rsidP="005C377B">
      <w:pPr>
        <w:pStyle w:val="texto"/>
        <w:tabs>
          <w:tab w:val="left" w:pos="708"/>
        </w:tabs>
        <w:spacing w:before="240"/>
        <w:rPr>
          <w:rFonts w:cs="Arial"/>
        </w:rPr>
      </w:pPr>
      <w:r w:rsidRPr="00D45E6F">
        <w:rPr>
          <w:rFonts w:cs="Arial"/>
        </w:rPr>
        <w:t xml:space="preserve">Las transferencias y subvenciones corrientes ascendieron a </w:t>
      </w:r>
      <w:r w:rsidR="007A5923">
        <w:rPr>
          <w:rFonts w:cs="Arial"/>
        </w:rPr>
        <w:t>2,7</w:t>
      </w:r>
      <w:r w:rsidRPr="00D45E6F">
        <w:rPr>
          <w:rFonts w:cs="Arial"/>
        </w:rPr>
        <w:t xml:space="preserve"> millones y repr</w:t>
      </w:r>
      <w:r w:rsidRPr="00D45E6F">
        <w:rPr>
          <w:rFonts w:cs="Arial"/>
        </w:rPr>
        <w:t>e</w:t>
      </w:r>
      <w:r w:rsidRPr="00D45E6F">
        <w:rPr>
          <w:rFonts w:cs="Arial"/>
        </w:rPr>
        <w:t>senta</w:t>
      </w:r>
      <w:r w:rsidR="00214372" w:rsidRPr="00D45E6F">
        <w:rPr>
          <w:rFonts w:cs="Arial"/>
        </w:rPr>
        <w:t xml:space="preserve">ron </w:t>
      </w:r>
      <w:r w:rsidRPr="00D45E6F">
        <w:rPr>
          <w:rFonts w:cs="Arial"/>
        </w:rPr>
        <w:t xml:space="preserve">el </w:t>
      </w:r>
      <w:r w:rsidR="005C377B">
        <w:rPr>
          <w:rFonts w:cs="Arial"/>
        </w:rPr>
        <w:t>19</w:t>
      </w:r>
      <w:r w:rsidRPr="00D45E6F">
        <w:rPr>
          <w:rFonts w:cs="Arial"/>
        </w:rPr>
        <w:t xml:space="preserve"> por ciento del total de obligaciones reconocidas en el año 201</w:t>
      </w:r>
      <w:r w:rsidR="005C377B">
        <w:rPr>
          <w:rFonts w:cs="Arial"/>
        </w:rPr>
        <w:t>9</w:t>
      </w:r>
      <w:r w:rsidRPr="00D45E6F">
        <w:rPr>
          <w:rFonts w:cs="Arial"/>
        </w:rPr>
        <w:t>. Su grado de ejecución fue del 9</w:t>
      </w:r>
      <w:r w:rsidR="005C377B">
        <w:rPr>
          <w:rFonts w:cs="Arial"/>
        </w:rPr>
        <w:t>0</w:t>
      </w:r>
      <w:r w:rsidRPr="00D45E6F">
        <w:rPr>
          <w:rFonts w:cs="Arial"/>
        </w:rPr>
        <w:t xml:space="preserve"> por ciento de los créditos definitivos.</w:t>
      </w:r>
      <w:r w:rsidR="005C377B">
        <w:rPr>
          <w:rFonts w:cs="Arial"/>
        </w:rPr>
        <w:t xml:space="preserve"> Respecto al año anterior</w:t>
      </w:r>
      <w:r w:rsidR="007B26F4">
        <w:rPr>
          <w:rFonts w:cs="Arial"/>
        </w:rPr>
        <w:t>,</w:t>
      </w:r>
      <w:r w:rsidR="005C377B">
        <w:rPr>
          <w:rFonts w:cs="Arial"/>
        </w:rPr>
        <w:t xml:space="preserve"> han aumentado en un uno por ciento.</w:t>
      </w:r>
    </w:p>
    <w:p w:rsidR="0067725A" w:rsidRPr="00D45E6F" w:rsidRDefault="0067725A" w:rsidP="00D45E6F">
      <w:pPr>
        <w:pStyle w:val="texto"/>
        <w:tabs>
          <w:tab w:val="left" w:pos="708"/>
        </w:tabs>
        <w:spacing w:before="240"/>
        <w:rPr>
          <w:rFonts w:cs="Arial"/>
        </w:rPr>
      </w:pPr>
      <w:r w:rsidRPr="00D45E6F">
        <w:rPr>
          <w:rFonts w:cs="Arial"/>
        </w:rPr>
        <w:t xml:space="preserve">Las transferencias y subvenciones de capital ascendieron a </w:t>
      </w:r>
      <w:r w:rsidR="005C377B">
        <w:rPr>
          <w:rFonts w:cs="Arial"/>
        </w:rPr>
        <w:t>14.622</w:t>
      </w:r>
      <w:r w:rsidRPr="00D45E6F">
        <w:rPr>
          <w:rFonts w:cs="Arial"/>
        </w:rPr>
        <w:t xml:space="preserve"> </w:t>
      </w:r>
      <w:r w:rsidR="00214372" w:rsidRPr="00D45E6F">
        <w:rPr>
          <w:rFonts w:cs="Arial"/>
        </w:rPr>
        <w:t>euros, lo que supuso</w:t>
      </w:r>
      <w:r w:rsidRPr="00D45E6F">
        <w:rPr>
          <w:rFonts w:cs="Arial"/>
        </w:rPr>
        <w:t xml:space="preserve"> el </w:t>
      </w:r>
      <w:r w:rsidR="005C377B">
        <w:rPr>
          <w:rFonts w:cs="Arial"/>
        </w:rPr>
        <w:t>0,1</w:t>
      </w:r>
      <w:r w:rsidRPr="00D45E6F">
        <w:rPr>
          <w:rFonts w:cs="Arial"/>
        </w:rPr>
        <w:t xml:space="preserve"> por ciento del total de </w:t>
      </w:r>
      <w:r w:rsidR="009D0668" w:rsidRPr="00D45E6F">
        <w:rPr>
          <w:rFonts w:cs="Arial"/>
        </w:rPr>
        <w:t>obligaciones reconocidas</w:t>
      </w:r>
      <w:r w:rsidRPr="00D45E6F">
        <w:rPr>
          <w:rFonts w:cs="Arial"/>
        </w:rPr>
        <w:t xml:space="preserve"> del </w:t>
      </w:r>
      <w:r w:rsidR="00A041D7">
        <w:rPr>
          <w:rFonts w:cs="Arial"/>
        </w:rPr>
        <w:t>a</w:t>
      </w:r>
      <w:r w:rsidR="00D426D2">
        <w:rPr>
          <w:rFonts w:cs="Arial"/>
        </w:rPr>
        <w:t>yuntamiento</w:t>
      </w:r>
      <w:r w:rsidRPr="00D45E6F">
        <w:rPr>
          <w:rFonts w:cs="Arial"/>
        </w:rPr>
        <w:t xml:space="preserve"> en 201</w:t>
      </w:r>
      <w:r w:rsidR="005C377B">
        <w:rPr>
          <w:rFonts w:cs="Arial"/>
        </w:rPr>
        <w:t>9</w:t>
      </w:r>
      <w:r w:rsidR="007B26F4">
        <w:rPr>
          <w:rFonts w:cs="Arial"/>
        </w:rPr>
        <w:t xml:space="preserve">. </w:t>
      </w:r>
      <w:r w:rsidR="007B26F4" w:rsidRPr="00216F88">
        <w:rPr>
          <w:rFonts w:cs="Arial"/>
          <w:color w:val="000000" w:themeColor="text1"/>
        </w:rPr>
        <w:t xml:space="preserve">Han </w:t>
      </w:r>
      <w:r w:rsidR="00264A87" w:rsidRPr="00216F88">
        <w:rPr>
          <w:rFonts w:cs="Arial"/>
          <w:color w:val="000000" w:themeColor="text1"/>
        </w:rPr>
        <w:t xml:space="preserve">aumentado </w:t>
      </w:r>
      <w:r w:rsidR="00E058F8">
        <w:rPr>
          <w:rFonts w:cs="Arial"/>
          <w:color w:val="000000" w:themeColor="text1"/>
        </w:rPr>
        <w:t>un</w:t>
      </w:r>
      <w:r w:rsidR="00264A87" w:rsidRPr="00216F88">
        <w:rPr>
          <w:rFonts w:cs="Arial"/>
          <w:color w:val="000000" w:themeColor="text1"/>
        </w:rPr>
        <w:t xml:space="preserve"> cuatro por ciento</w:t>
      </w:r>
      <w:r w:rsidR="00F90F54">
        <w:rPr>
          <w:rFonts w:cs="Arial"/>
          <w:color w:val="000000" w:themeColor="text1"/>
        </w:rPr>
        <w:t xml:space="preserve"> respecto al ejercicio anterior.</w:t>
      </w:r>
    </w:p>
    <w:p w:rsidR="0067725A" w:rsidRDefault="00172D87" w:rsidP="00D45E6F">
      <w:pPr>
        <w:pStyle w:val="texto"/>
        <w:tabs>
          <w:tab w:val="left" w:pos="708"/>
        </w:tabs>
        <w:spacing w:before="240"/>
        <w:rPr>
          <w:rFonts w:cs="Arial"/>
        </w:rPr>
      </w:pPr>
      <w:r>
        <w:rPr>
          <w:rFonts w:cs="Arial"/>
        </w:rPr>
        <w:t>Hemos</w:t>
      </w:r>
      <w:r w:rsidR="0067725A" w:rsidRPr="009762DB">
        <w:rPr>
          <w:rFonts w:cs="Arial"/>
        </w:rPr>
        <w:t xml:space="preserve"> fiscalizado la siguiente muestra d</w:t>
      </w:r>
      <w:r w:rsidR="005C377B">
        <w:rPr>
          <w:rFonts w:cs="Arial"/>
        </w:rPr>
        <w:t>e transferencias y subvenciones:</w:t>
      </w:r>
    </w:p>
    <w:tbl>
      <w:tblPr>
        <w:tblW w:w="5000" w:type="pct"/>
        <w:tblCellMar>
          <w:left w:w="70" w:type="dxa"/>
          <w:right w:w="70" w:type="dxa"/>
        </w:tblCellMar>
        <w:tblLook w:val="04A0" w:firstRow="1" w:lastRow="0" w:firstColumn="1" w:lastColumn="0" w:noHBand="0" w:noVBand="1"/>
      </w:tblPr>
      <w:tblGrid>
        <w:gridCol w:w="7204"/>
        <w:gridCol w:w="2150"/>
      </w:tblGrid>
      <w:tr w:rsidR="005C377B" w:rsidRPr="00514C8A" w:rsidTr="005F5786">
        <w:trPr>
          <w:trHeight w:val="495"/>
        </w:trPr>
        <w:tc>
          <w:tcPr>
            <w:tcW w:w="3851" w:type="pct"/>
            <w:tcBorders>
              <w:top w:val="single" w:sz="4" w:space="0" w:color="auto"/>
              <w:left w:val="nil"/>
              <w:bottom w:val="single" w:sz="4" w:space="0" w:color="auto"/>
              <w:right w:val="nil"/>
            </w:tcBorders>
            <w:shd w:val="clear" w:color="000000" w:fill="FABF8F"/>
            <w:vAlign w:val="center"/>
            <w:hideMark/>
          </w:tcPr>
          <w:p w:rsidR="005C377B" w:rsidRPr="00514C8A" w:rsidRDefault="005C377B" w:rsidP="005F5786">
            <w:pPr>
              <w:spacing w:after="0"/>
              <w:ind w:firstLine="0"/>
              <w:jc w:val="left"/>
              <w:rPr>
                <w:rFonts w:ascii="Arial" w:hAnsi="Arial" w:cs="Arial"/>
                <w:color w:val="000000"/>
                <w:sz w:val="18"/>
                <w:szCs w:val="18"/>
                <w:lang w:val="es-ES" w:eastAsia="es-ES"/>
              </w:rPr>
            </w:pPr>
            <w:r w:rsidRPr="00514C8A">
              <w:rPr>
                <w:rFonts w:ascii="Arial" w:hAnsi="Arial" w:cs="Arial"/>
                <w:color w:val="000000"/>
                <w:sz w:val="18"/>
                <w:szCs w:val="18"/>
                <w:lang w:val="es-ES" w:eastAsia="es-ES"/>
              </w:rPr>
              <w:t>Concepto</w:t>
            </w:r>
          </w:p>
        </w:tc>
        <w:tc>
          <w:tcPr>
            <w:tcW w:w="1149" w:type="pct"/>
            <w:tcBorders>
              <w:top w:val="single" w:sz="4" w:space="0" w:color="auto"/>
              <w:left w:val="nil"/>
              <w:bottom w:val="single" w:sz="4" w:space="0" w:color="auto"/>
              <w:right w:val="nil"/>
            </w:tcBorders>
            <w:shd w:val="clear" w:color="000000" w:fill="FABF8F"/>
            <w:vAlign w:val="center"/>
            <w:hideMark/>
          </w:tcPr>
          <w:p w:rsidR="00514C8A" w:rsidRDefault="005C377B" w:rsidP="005C377B">
            <w:pPr>
              <w:spacing w:after="0"/>
              <w:ind w:firstLineChars="200" w:firstLine="360"/>
              <w:jc w:val="right"/>
              <w:rPr>
                <w:rFonts w:ascii="Arial" w:hAnsi="Arial" w:cs="Arial"/>
                <w:color w:val="000000"/>
                <w:sz w:val="18"/>
                <w:szCs w:val="18"/>
                <w:lang w:val="es-ES" w:eastAsia="es-ES"/>
              </w:rPr>
            </w:pPr>
            <w:r w:rsidRPr="00514C8A">
              <w:rPr>
                <w:rFonts w:ascii="Arial" w:hAnsi="Arial" w:cs="Arial"/>
                <w:color w:val="000000"/>
                <w:sz w:val="18"/>
                <w:szCs w:val="18"/>
                <w:lang w:val="es-ES" w:eastAsia="es-ES"/>
              </w:rPr>
              <w:t>Obligaciones</w:t>
            </w:r>
          </w:p>
          <w:p w:rsidR="005C377B" w:rsidRPr="00514C8A" w:rsidRDefault="005C377B" w:rsidP="005C377B">
            <w:pPr>
              <w:spacing w:after="0"/>
              <w:ind w:firstLineChars="200" w:firstLine="360"/>
              <w:jc w:val="right"/>
              <w:rPr>
                <w:rFonts w:ascii="Arial" w:hAnsi="Arial" w:cs="Arial"/>
                <w:color w:val="000000"/>
                <w:sz w:val="18"/>
                <w:szCs w:val="18"/>
                <w:lang w:val="es-ES" w:eastAsia="es-ES"/>
              </w:rPr>
            </w:pPr>
            <w:r w:rsidRPr="00514C8A">
              <w:rPr>
                <w:rFonts w:ascii="Arial" w:hAnsi="Arial" w:cs="Arial"/>
                <w:color w:val="000000"/>
                <w:sz w:val="18"/>
                <w:szCs w:val="18"/>
                <w:lang w:val="es-ES" w:eastAsia="es-ES"/>
              </w:rPr>
              <w:t xml:space="preserve"> reconocidas 2019</w:t>
            </w:r>
          </w:p>
        </w:tc>
      </w:tr>
      <w:tr w:rsidR="005C377B" w:rsidRPr="00216F88" w:rsidTr="005C377B">
        <w:trPr>
          <w:trHeight w:val="270"/>
        </w:trPr>
        <w:tc>
          <w:tcPr>
            <w:tcW w:w="3851" w:type="pct"/>
            <w:tcBorders>
              <w:top w:val="nil"/>
              <w:left w:val="nil"/>
              <w:bottom w:val="single" w:sz="4" w:space="0" w:color="auto"/>
              <w:right w:val="nil"/>
            </w:tcBorders>
            <w:shd w:val="clear" w:color="auto" w:fill="auto"/>
            <w:vAlign w:val="center"/>
            <w:hideMark/>
          </w:tcPr>
          <w:p w:rsidR="005C377B" w:rsidRPr="00216F88" w:rsidRDefault="002E076D" w:rsidP="002E076D">
            <w:pPr>
              <w:spacing w:after="0"/>
              <w:ind w:firstLine="0"/>
              <w:jc w:val="left"/>
              <w:rPr>
                <w:rFonts w:ascii="Arial Narrow" w:hAnsi="Arial Narrow"/>
                <w:color w:val="000000" w:themeColor="text1"/>
                <w:sz w:val="18"/>
                <w:szCs w:val="18"/>
                <w:lang w:val="es-ES" w:eastAsia="es-ES"/>
              </w:rPr>
            </w:pPr>
            <w:r w:rsidRPr="00216F88">
              <w:rPr>
                <w:rFonts w:ascii="Arial Narrow" w:hAnsi="Arial Narrow"/>
                <w:color w:val="000000" w:themeColor="text1"/>
                <w:sz w:val="18"/>
                <w:szCs w:val="18"/>
                <w:lang w:val="es-ES" w:eastAsia="es-ES"/>
              </w:rPr>
              <w:t>Tra</w:t>
            </w:r>
            <w:r w:rsidR="005C377B" w:rsidRPr="00216F88">
              <w:rPr>
                <w:rFonts w:ascii="Arial Narrow" w:hAnsi="Arial Narrow"/>
                <w:color w:val="000000" w:themeColor="text1"/>
                <w:sz w:val="18"/>
                <w:szCs w:val="18"/>
                <w:lang w:val="es-ES" w:eastAsia="es-ES"/>
              </w:rPr>
              <w:t>ns</w:t>
            </w:r>
            <w:r w:rsidRPr="00216F88">
              <w:rPr>
                <w:rFonts w:ascii="Arial Narrow" w:hAnsi="Arial Narrow"/>
                <w:color w:val="000000" w:themeColor="text1"/>
                <w:sz w:val="18"/>
                <w:szCs w:val="18"/>
                <w:lang w:val="es-ES" w:eastAsia="es-ES"/>
              </w:rPr>
              <w:t>ferencia a</w:t>
            </w:r>
            <w:r w:rsidR="005C377B" w:rsidRPr="00216F88">
              <w:rPr>
                <w:rFonts w:ascii="Arial Narrow" w:hAnsi="Arial Narrow"/>
                <w:color w:val="000000" w:themeColor="text1"/>
                <w:sz w:val="18"/>
                <w:szCs w:val="18"/>
                <w:lang w:val="es-ES" w:eastAsia="es-ES"/>
              </w:rPr>
              <w:t xml:space="preserve"> encomienda gestión centros 0-3 años</w:t>
            </w:r>
          </w:p>
        </w:tc>
        <w:tc>
          <w:tcPr>
            <w:tcW w:w="1149" w:type="pct"/>
            <w:tcBorders>
              <w:top w:val="nil"/>
              <w:left w:val="nil"/>
              <w:bottom w:val="single" w:sz="4" w:space="0" w:color="auto"/>
              <w:right w:val="nil"/>
            </w:tcBorders>
            <w:shd w:val="clear" w:color="auto" w:fill="auto"/>
            <w:vAlign w:val="center"/>
            <w:hideMark/>
          </w:tcPr>
          <w:p w:rsidR="005C377B" w:rsidRPr="00216F88" w:rsidRDefault="005C377B" w:rsidP="005C377B">
            <w:pPr>
              <w:spacing w:after="0"/>
              <w:ind w:firstLine="0"/>
              <w:jc w:val="right"/>
              <w:rPr>
                <w:rFonts w:ascii="Arial Narrow" w:hAnsi="Arial Narrow"/>
                <w:color w:val="000000" w:themeColor="text1"/>
                <w:sz w:val="18"/>
                <w:szCs w:val="18"/>
                <w:lang w:val="es-ES" w:eastAsia="es-ES"/>
              </w:rPr>
            </w:pPr>
            <w:r w:rsidRPr="00216F88">
              <w:rPr>
                <w:rFonts w:ascii="Arial Narrow" w:hAnsi="Arial Narrow"/>
                <w:color w:val="000000" w:themeColor="text1"/>
                <w:sz w:val="18"/>
                <w:szCs w:val="18"/>
                <w:lang w:val="es-ES" w:eastAsia="es-ES"/>
              </w:rPr>
              <w:t>1.003.795</w:t>
            </w:r>
          </w:p>
        </w:tc>
      </w:tr>
      <w:tr w:rsidR="005C377B" w:rsidRPr="005C377B" w:rsidTr="005C377B">
        <w:trPr>
          <w:trHeight w:val="270"/>
        </w:trPr>
        <w:tc>
          <w:tcPr>
            <w:tcW w:w="3851" w:type="pct"/>
            <w:tcBorders>
              <w:top w:val="nil"/>
              <w:left w:val="nil"/>
              <w:bottom w:val="single" w:sz="4" w:space="0" w:color="auto"/>
              <w:right w:val="nil"/>
            </w:tcBorders>
            <w:shd w:val="clear" w:color="auto" w:fill="auto"/>
            <w:vAlign w:val="center"/>
            <w:hideMark/>
          </w:tcPr>
          <w:p w:rsidR="005C377B" w:rsidRPr="005C377B" w:rsidRDefault="005C377B" w:rsidP="005C377B">
            <w:pPr>
              <w:spacing w:after="0"/>
              <w:ind w:firstLine="0"/>
              <w:jc w:val="left"/>
              <w:rPr>
                <w:rFonts w:ascii="Arial Narrow" w:hAnsi="Arial Narrow"/>
                <w:color w:val="000000"/>
                <w:sz w:val="18"/>
                <w:szCs w:val="18"/>
                <w:lang w:val="es-ES" w:eastAsia="es-ES"/>
              </w:rPr>
            </w:pPr>
            <w:r w:rsidRPr="005C377B">
              <w:rPr>
                <w:rFonts w:ascii="Arial Narrow" w:hAnsi="Arial Narrow"/>
                <w:color w:val="000000"/>
                <w:sz w:val="18"/>
                <w:szCs w:val="18"/>
                <w:lang w:val="es-ES" w:eastAsia="es-ES"/>
              </w:rPr>
              <w:t>Gestión centro atención a familias</w:t>
            </w:r>
          </w:p>
        </w:tc>
        <w:tc>
          <w:tcPr>
            <w:tcW w:w="1149" w:type="pct"/>
            <w:tcBorders>
              <w:top w:val="nil"/>
              <w:left w:val="nil"/>
              <w:bottom w:val="single" w:sz="4" w:space="0" w:color="auto"/>
              <w:right w:val="nil"/>
            </w:tcBorders>
            <w:shd w:val="clear" w:color="auto" w:fill="auto"/>
            <w:vAlign w:val="center"/>
            <w:hideMark/>
          </w:tcPr>
          <w:p w:rsidR="005C377B" w:rsidRPr="005C377B" w:rsidRDefault="005C377B" w:rsidP="005C377B">
            <w:pPr>
              <w:spacing w:after="0"/>
              <w:ind w:firstLine="0"/>
              <w:jc w:val="right"/>
              <w:rPr>
                <w:rFonts w:ascii="Arial Narrow" w:hAnsi="Arial Narrow"/>
                <w:color w:val="000000"/>
                <w:sz w:val="18"/>
                <w:szCs w:val="18"/>
                <w:lang w:val="es-ES" w:eastAsia="es-ES"/>
              </w:rPr>
            </w:pPr>
            <w:r w:rsidRPr="005C377B">
              <w:rPr>
                <w:rFonts w:ascii="Arial Narrow" w:hAnsi="Arial Narrow"/>
                <w:color w:val="000000"/>
                <w:sz w:val="18"/>
                <w:szCs w:val="18"/>
                <w:lang w:val="es-ES" w:eastAsia="es-ES"/>
              </w:rPr>
              <w:t>388.279</w:t>
            </w:r>
          </w:p>
        </w:tc>
      </w:tr>
      <w:tr w:rsidR="005C377B" w:rsidRPr="005C377B" w:rsidTr="005C377B">
        <w:trPr>
          <w:trHeight w:val="270"/>
        </w:trPr>
        <w:tc>
          <w:tcPr>
            <w:tcW w:w="3851" w:type="pct"/>
            <w:tcBorders>
              <w:top w:val="nil"/>
              <w:left w:val="nil"/>
              <w:bottom w:val="single" w:sz="4" w:space="0" w:color="auto"/>
              <w:right w:val="nil"/>
            </w:tcBorders>
            <w:shd w:val="clear" w:color="auto" w:fill="auto"/>
            <w:vAlign w:val="center"/>
            <w:hideMark/>
          </w:tcPr>
          <w:p w:rsidR="005C377B" w:rsidRPr="005C377B" w:rsidRDefault="005C377B" w:rsidP="005C377B">
            <w:pPr>
              <w:spacing w:after="0"/>
              <w:ind w:firstLine="0"/>
              <w:jc w:val="left"/>
              <w:rPr>
                <w:rFonts w:ascii="Arial Narrow" w:hAnsi="Arial Narrow"/>
                <w:color w:val="000000"/>
                <w:sz w:val="18"/>
                <w:szCs w:val="18"/>
                <w:lang w:val="es-ES" w:eastAsia="es-ES"/>
              </w:rPr>
            </w:pPr>
            <w:r w:rsidRPr="005C377B">
              <w:rPr>
                <w:rFonts w:ascii="Arial Narrow" w:hAnsi="Arial Narrow"/>
                <w:color w:val="000000"/>
                <w:sz w:val="18"/>
                <w:szCs w:val="18"/>
                <w:lang w:val="es-ES" w:eastAsia="es-ES"/>
              </w:rPr>
              <w:t>Fomento de empleo y cooperativismo</w:t>
            </w:r>
          </w:p>
        </w:tc>
        <w:tc>
          <w:tcPr>
            <w:tcW w:w="1149" w:type="pct"/>
            <w:tcBorders>
              <w:top w:val="nil"/>
              <w:left w:val="nil"/>
              <w:bottom w:val="single" w:sz="4" w:space="0" w:color="auto"/>
              <w:right w:val="nil"/>
            </w:tcBorders>
            <w:shd w:val="clear" w:color="auto" w:fill="auto"/>
            <w:vAlign w:val="center"/>
            <w:hideMark/>
          </w:tcPr>
          <w:p w:rsidR="005C377B" w:rsidRPr="005C377B" w:rsidRDefault="005C377B" w:rsidP="005C377B">
            <w:pPr>
              <w:spacing w:after="0"/>
              <w:ind w:firstLine="0"/>
              <w:jc w:val="right"/>
              <w:rPr>
                <w:rFonts w:ascii="Arial Narrow" w:hAnsi="Arial Narrow"/>
                <w:color w:val="000000"/>
                <w:sz w:val="18"/>
                <w:szCs w:val="18"/>
                <w:lang w:val="es-ES" w:eastAsia="es-ES"/>
              </w:rPr>
            </w:pPr>
            <w:r w:rsidRPr="005C377B">
              <w:rPr>
                <w:rFonts w:ascii="Arial Narrow" w:hAnsi="Arial Narrow"/>
                <w:color w:val="000000"/>
                <w:sz w:val="18"/>
                <w:szCs w:val="18"/>
                <w:lang w:val="es-ES" w:eastAsia="es-ES"/>
              </w:rPr>
              <w:t>144.401</w:t>
            </w:r>
          </w:p>
        </w:tc>
      </w:tr>
      <w:tr w:rsidR="005C377B" w:rsidRPr="005C377B" w:rsidTr="005C377B">
        <w:trPr>
          <w:trHeight w:val="270"/>
        </w:trPr>
        <w:tc>
          <w:tcPr>
            <w:tcW w:w="3851" w:type="pct"/>
            <w:tcBorders>
              <w:top w:val="nil"/>
              <w:left w:val="nil"/>
              <w:bottom w:val="single" w:sz="4" w:space="0" w:color="auto"/>
              <w:right w:val="nil"/>
            </w:tcBorders>
            <w:shd w:val="clear" w:color="auto" w:fill="auto"/>
            <w:vAlign w:val="center"/>
            <w:hideMark/>
          </w:tcPr>
          <w:p w:rsidR="005C377B" w:rsidRPr="005C377B" w:rsidRDefault="005C377B" w:rsidP="005C377B">
            <w:pPr>
              <w:spacing w:after="0"/>
              <w:ind w:firstLine="0"/>
              <w:jc w:val="left"/>
              <w:rPr>
                <w:rFonts w:ascii="Arial Narrow" w:hAnsi="Arial Narrow"/>
                <w:color w:val="000000"/>
                <w:sz w:val="18"/>
                <w:szCs w:val="18"/>
                <w:lang w:val="es-ES" w:eastAsia="es-ES"/>
              </w:rPr>
            </w:pPr>
            <w:r w:rsidRPr="005C377B">
              <w:rPr>
                <w:rFonts w:ascii="Arial Narrow" w:hAnsi="Arial Narrow"/>
                <w:color w:val="000000"/>
                <w:sz w:val="18"/>
                <w:szCs w:val="18"/>
                <w:lang w:val="es-ES" w:eastAsia="es-ES"/>
              </w:rPr>
              <w:t>Subvención escuelas deportivas municipales</w:t>
            </w:r>
          </w:p>
        </w:tc>
        <w:tc>
          <w:tcPr>
            <w:tcW w:w="1149" w:type="pct"/>
            <w:tcBorders>
              <w:top w:val="nil"/>
              <w:left w:val="nil"/>
              <w:bottom w:val="single" w:sz="4" w:space="0" w:color="auto"/>
              <w:right w:val="nil"/>
            </w:tcBorders>
            <w:shd w:val="clear" w:color="auto" w:fill="auto"/>
            <w:vAlign w:val="center"/>
            <w:hideMark/>
          </w:tcPr>
          <w:p w:rsidR="005C377B" w:rsidRPr="005C377B" w:rsidRDefault="005C377B" w:rsidP="005C377B">
            <w:pPr>
              <w:spacing w:after="0"/>
              <w:ind w:firstLine="0"/>
              <w:jc w:val="right"/>
              <w:rPr>
                <w:rFonts w:ascii="Arial Narrow" w:hAnsi="Arial Narrow"/>
                <w:color w:val="000000"/>
                <w:sz w:val="18"/>
                <w:szCs w:val="18"/>
                <w:lang w:val="es-ES" w:eastAsia="es-ES"/>
              </w:rPr>
            </w:pPr>
            <w:r w:rsidRPr="005C377B">
              <w:rPr>
                <w:rFonts w:ascii="Arial Narrow" w:hAnsi="Arial Narrow"/>
                <w:color w:val="000000"/>
                <w:sz w:val="18"/>
                <w:szCs w:val="18"/>
                <w:lang w:val="es-ES" w:eastAsia="es-ES"/>
              </w:rPr>
              <w:t>79.960</w:t>
            </w:r>
          </w:p>
        </w:tc>
      </w:tr>
      <w:tr w:rsidR="005C377B" w:rsidRPr="005C377B" w:rsidTr="005C377B">
        <w:trPr>
          <w:trHeight w:val="270"/>
        </w:trPr>
        <w:tc>
          <w:tcPr>
            <w:tcW w:w="3851" w:type="pct"/>
            <w:tcBorders>
              <w:top w:val="single" w:sz="4" w:space="0" w:color="auto"/>
              <w:left w:val="nil"/>
              <w:bottom w:val="single" w:sz="4" w:space="0" w:color="auto"/>
              <w:right w:val="nil"/>
            </w:tcBorders>
            <w:shd w:val="clear" w:color="auto" w:fill="auto"/>
            <w:vAlign w:val="center"/>
            <w:hideMark/>
          </w:tcPr>
          <w:p w:rsidR="005C377B" w:rsidRPr="005C377B" w:rsidRDefault="005C377B" w:rsidP="005C377B">
            <w:pPr>
              <w:spacing w:after="0"/>
              <w:ind w:firstLine="0"/>
              <w:jc w:val="left"/>
              <w:rPr>
                <w:rFonts w:ascii="Arial Narrow" w:hAnsi="Arial Narrow"/>
                <w:color w:val="000000"/>
                <w:sz w:val="18"/>
                <w:szCs w:val="18"/>
                <w:lang w:val="es-ES" w:eastAsia="es-ES"/>
              </w:rPr>
            </w:pPr>
            <w:r w:rsidRPr="005C377B">
              <w:rPr>
                <w:rFonts w:ascii="Arial Narrow" w:hAnsi="Arial Narrow"/>
                <w:color w:val="000000"/>
                <w:sz w:val="18"/>
                <w:szCs w:val="18"/>
                <w:lang w:val="es-ES" w:eastAsia="es-ES"/>
              </w:rPr>
              <w:t>Subvención a grupos políticos municipales</w:t>
            </w:r>
          </w:p>
        </w:tc>
        <w:tc>
          <w:tcPr>
            <w:tcW w:w="1149" w:type="pct"/>
            <w:tcBorders>
              <w:top w:val="single" w:sz="4" w:space="0" w:color="auto"/>
              <w:left w:val="nil"/>
              <w:bottom w:val="single" w:sz="4" w:space="0" w:color="auto"/>
              <w:right w:val="nil"/>
            </w:tcBorders>
            <w:shd w:val="clear" w:color="auto" w:fill="auto"/>
            <w:vAlign w:val="center"/>
            <w:hideMark/>
          </w:tcPr>
          <w:p w:rsidR="005C377B" w:rsidRPr="005C377B" w:rsidRDefault="005C377B" w:rsidP="005C377B">
            <w:pPr>
              <w:spacing w:after="0"/>
              <w:ind w:firstLine="0"/>
              <w:jc w:val="right"/>
              <w:rPr>
                <w:rFonts w:ascii="Arial Narrow" w:hAnsi="Arial Narrow"/>
                <w:color w:val="000000"/>
                <w:sz w:val="18"/>
                <w:szCs w:val="18"/>
                <w:lang w:val="es-ES" w:eastAsia="es-ES"/>
              </w:rPr>
            </w:pPr>
            <w:r w:rsidRPr="005C377B">
              <w:rPr>
                <w:rFonts w:ascii="Arial Narrow" w:hAnsi="Arial Narrow"/>
                <w:color w:val="000000"/>
                <w:sz w:val="18"/>
                <w:szCs w:val="18"/>
                <w:lang w:val="es-ES" w:eastAsia="es-ES"/>
              </w:rPr>
              <w:t>41.158</w:t>
            </w:r>
          </w:p>
        </w:tc>
      </w:tr>
      <w:tr w:rsidR="005C377B" w:rsidRPr="005C377B" w:rsidTr="005C377B">
        <w:trPr>
          <w:trHeight w:val="270"/>
        </w:trPr>
        <w:tc>
          <w:tcPr>
            <w:tcW w:w="3851" w:type="pct"/>
            <w:tcBorders>
              <w:top w:val="single" w:sz="4" w:space="0" w:color="auto"/>
              <w:left w:val="nil"/>
              <w:bottom w:val="single" w:sz="4" w:space="0" w:color="auto"/>
              <w:right w:val="nil"/>
            </w:tcBorders>
            <w:shd w:val="clear" w:color="auto" w:fill="auto"/>
            <w:vAlign w:val="center"/>
          </w:tcPr>
          <w:p w:rsidR="005C377B" w:rsidRPr="005C377B" w:rsidRDefault="005C377B" w:rsidP="005C377B">
            <w:pPr>
              <w:spacing w:after="0"/>
              <w:ind w:firstLine="0"/>
              <w:jc w:val="left"/>
              <w:rPr>
                <w:rFonts w:ascii="Arial Narrow" w:hAnsi="Arial Narrow"/>
                <w:color w:val="000000"/>
                <w:sz w:val="18"/>
                <w:szCs w:val="18"/>
                <w:lang w:val="es-ES" w:eastAsia="es-ES"/>
              </w:rPr>
            </w:pPr>
            <w:r>
              <w:rPr>
                <w:rFonts w:ascii="Arial Narrow" w:hAnsi="Arial Narrow"/>
                <w:color w:val="000000"/>
                <w:sz w:val="18"/>
                <w:szCs w:val="18"/>
                <w:lang w:val="es-ES" w:eastAsia="es-ES"/>
              </w:rPr>
              <w:t>Ayudas para compra de bicicletas eléctricas</w:t>
            </w:r>
          </w:p>
        </w:tc>
        <w:tc>
          <w:tcPr>
            <w:tcW w:w="1149" w:type="pct"/>
            <w:tcBorders>
              <w:top w:val="single" w:sz="4" w:space="0" w:color="auto"/>
              <w:left w:val="nil"/>
              <w:bottom w:val="single" w:sz="4" w:space="0" w:color="auto"/>
              <w:right w:val="nil"/>
            </w:tcBorders>
            <w:shd w:val="clear" w:color="auto" w:fill="auto"/>
            <w:vAlign w:val="center"/>
          </w:tcPr>
          <w:p w:rsidR="005C377B" w:rsidRPr="005C377B" w:rsidRDefault="005C377B" w:rsidP="005C377B">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10.658</w:t>
            </w:r>
          </w:p>
        </w:tc>
      </w:tr>
    </w:tbl>
    <w:p w:rsidR="00A00636" w:rsidRDefault="0067725A" w:rsidP="00A503A5">
      <w:pPr>
        <w:pStyle w:val="texto"/>
        <w:tabs>
          <w:tab w:val="clear" w:pos="2835"/>
          <w:tab w:val="clear" w:pos="3969"/>
          <w:tab w:val="clear" w:pos="5103"/>
          <w:tab w:val="clear" w:pos="6237"/>
          <w:tab w:val="clear" w:pos="7371"/>
        </w:tabs>
        <w:spacing w:before="120" w:after="120"/>
      </w:pPr>
      <w:r w:rsidRPr="00AD04E6">
        <w:rPr>
          <w:rFonts w:cs="Arial"/>
        </w:rPr>
        <w:t>En general, todas las transferencias y subvenciones concedidas y pagadas es</w:t>
      </w:r>
      <w:r>
        <w:rPr>
          <w:rFonts w:cs="Arial"/>
        </w:rPr>
        <w:t>tán aprobadas, fiscalizadas y contabilizadas adecuadamente</w:t>
      </w:r>
      <w:r w:rsidRPr="00AD04E6">
        <w:rPr>
          <w:rFonts w:cs="Arial"/>
        </w:rPr>
        <w:t xml:space="preserve"> según los acuerdos o las convocatorias </w:t>
      </w:r>
      <w:r>
        <w:rPr>
          <w:rFonts w:cs="Arial"/>
        </w:rPr>
        <w:t>correspondientes</w:t>
      </w:r>
      <w:r w:rsidR="005C377B">
        <w:rPr>
          <w:rFonts w:cs="Arial"/>
        </w:rPr>
        <w:t>, si bien señalamos los siguientes aspectos</w:t>
      </w:r>
      <w:r w:rsidR="00A00636">
        <w:t>:</w:t>
      </w:r>
    </w:p>
    <w:p w:rsidR="00A00636" w:rsidRPr="005C377B" w:rsidRDefault="00B6176D" w:rsidP="00514C8A">
      <w:pPr>
        <w:pStyle w:val="texto"/>
        <w:numPr>
          <w:ilvl w:val="0"/>
          <w:numId w:val="1"/>
        </w:numPr>
        <w:tabs>
          <w:tab w:val="clear" w:pos="2835"/>
          <w:tab w:val="clear" w:pos="3969"/>
          <w:tab w:val="clear" w:pos="5103"/>
          <w:tab w:val="clear" w:pos="6237"/>
          <w:tab w:val="clear" w:pos="7371"/>
          <w:tab w:val="left" w:pos="480"/>
          <w:tab w:val="num" w:pos="720"/>
          <w:tab w:val="num" w:pos="6597"/>
        </w:tabs>
        <w:ind w:left="0" w:firstLine="289"/>
        <w:rPr>
          <w:rFonts w:cs="Arial"/>
          <w:spacing w:val="2"/>
        </w:rPr>
      </w:pPr>
      <w:r w:rsidRPr="00514C8A">
        <w:rPr>
          <w:rFonts w:cs="Arial"/>
          <w:color w:val="000000" w:themeColor="text1"/>
        </w:rPr>
        <w:t>El</w:t>
      </w:r>
      <w:r>
        <w:rPr>
          <w:rFonts w:cs="Arial"/>
          <w:spacing w:val="0"/>
        </w:rPr>
        <w:t xml:space="preserve"> </w:t>
      </w:r>
      <w:r w:rsidR="00A041D7">
        <w:rPr>
          <w:rFonts w:cs="Arial"/>
          <w:spacing w:val="0"/>
        </w:rPr>
        <w:t>a</w:t>
      </w:r>
      <w:r w:rsidR="00D426D2">
        <w:rPr>
          <w:rFonts w:cs="Arial"/>
          <w:spacing w:val="0"/>
        </w:rPr>
        <w:t>yuntamiento</w:t>
      </w:r>
      <w:r w:rsidR="00A00636">
        <w:rPr>
          <w:rFonts w:cs="Arial"/>
          <w:spacing w:val="0"/>
        </w:rPr>
        <w:t xml:space="preserve"> carece del Plan Estratégico de Subvenciones exigido por la Ley 38/2003, General de Subvenciones</w:t>
      </w:r>
      <w:r w:rsidR="00A00636" w:rsidRPr="00380A33">
        <w:rPr>
          <w:rFonts w:cs="Arial"/>
          <w:spacing w:val="0"/>
        </w:rPr>
        <w:t>.</w:t>
      </w:r>
    </w:p>
    <w:p w:rsidR="005C377B" w:rsidRPr="005C377B" w:rsidRDefault="005C377B" w:rsidP="00514C8A">
      <w:pPr>
        <w:pStyle w:val="texto"/>
        <w:numPr>
          <w:ilvl w:val="0"/>
          <w:numId w:val="1"/>
        </w:numPr>
        <w:tabs>
          <w:tab w:val="clear" w:pos="2835"/>
          <w:tab w:val="clear" w:pos="3969"/>
          <w:tab w:val="clear" w:pos="5103"/>
          <w:tab w:val="clear" w:pos="6237"/>
          <w:tab w:val="clear" w:pos="7371"/>
          <w:tab w:val="left" w:pos="480"/>
          <w:tab w:val="num" w:pos="720"/>
          <w:tab w:val="num" w:pos="6597"/>
        </w:tabs>
        <w:ind w:left="0" w:firstLine="289"/>
        <w:rPr>
          <w:rFonts w:cs="Arial"/>
          <w:spacing w:val="2"/>
        </w:rPr>
      </w:pPr>
      <w:r w:rsidRPr="00514C8A">
        <w:rPr>
          <w:rFonts w:cs="Arial"/>
          <w:color w:val="000000" w:themeColor="text1"/>
        </w:rPr>
        <w:t>En</w:t>
      </w:r>
      <w:r>
        <w:rPr>
          <w:rFonts w:cs="Arial"/>
          <w:spacing w:val="2"/>
        </w:rPr>
        <w:t xml:space="preserve"> la convocatoria de subvenciones a escuelas deportivas municipales se ha d</w:t>
      </w:r>
      <w:r>
        <w:rPr>
          <w:rFonts w:cs="Arial"/>
          <w:spacing w:val="2"/>
        </w:rPr>
        <w:t>e</w:t>
      </w:r>
      <w:r>
        <w:rPr>
          <w:rFonts w:cs="Arial"/>
          <w:spacing w:val="2"/>
        </w:rPr>
        <w:t xml:space="preserve">tectado un caso en el que la subvención abonada había sido superior a la justificada si </w:t>
      </w:r>
      <w:r>
        <w:rPr>
          <w:rFonts w:cs="Arial"/>
          <w:spacing w:val="2"/>
        </w:rPr>
        <w:lastRenderedPageBreak/>
        <w:t xml:space="preserve">bien, con motivo de nuestra fiscalización, han </w:t>
      </w:r>
      <w:r w:rsidR="00E925E6">
        <w:rPr>
          <w:rFonts w:cs="Arial"/>
          <w:spacing w:val="2"/>
        </w:rPr>
        <w:t>tramitado</w:t>
      </w:r>
      <w:r>
        <w:rPr>
          <w:rFonts w:cs="Arial"/>
          <w:spacing w:val="2"/>
        </w:rPr>
        <w:t xml:space="preserve"> el correspondiente expediente de reintegro.</w:t>
      </w:r>
    </w:p>
    <w:p w:rsidR="005C377B" w:rsidRPr="00E81BAA" w:rsidRDefault="005C377B" w:rsidP="00514C8A">
      <w:pPr>
        <w:pStyle w:val="texto"/>
        <w:numPr>
          <w:ilvl w:val="0"/>
          <w:numId w:val="1"/>
        </w:numPr>
        <w:tabs>
          <w:tab w:val="clear" w:pos="2835"/>
          <w:tab w:val="clear" w:pos="3969"/>
          <w:tab w:val="clear" w:pos="5103"/>
          <w:tab w:val="clear" w:pos="6237"/>
          <w:tab w:val="clear" w:pos="7371"/>
          <w:tab w:val="left" w:pos="480"/>
          <w:tab w:val="num" w:pos="720"/>
          <w:tab w:val="num" w:pos="6597"/>
        </w:tabs>
        <w:ind w:left="0" w:firstLine="289"/>
        <w:rPr>
          <w:rFonts w:cs="Arial"/>
          <w:spacing w:val="2"/>
        </w:rPr>
      </w:pPr>
      <w:r w:rsidRPr="00514C8A">
        <w:rPr>
          <w:rFonts w:cs="Arial"/>
          <w:color w:val="000000" w:themeColor="text1"/>
        </w:rPr>
        <w:t>En</w:t>
      </w:r>
      <w:r>
        <w:t xml:space="preserve"> el caso de dos grupos municipales</w:t>
      </w:r>
      <w:r w:rsidR="00E925E6">
        <w:t>,</w:t>
      </w:r>
      <w:r>
        <w:t xml:space="preserve"> las transferencias se han ingresado en cuentas bancarias cuya titularidad y NIF consta a nombre del partido político y no del grupo municipal.</w:t>
      </w:r>
      <w:r w:rsidR="00C4644E">
        <w:t xml:space="preserve"> A fecha actual consta que el ayuntamiento está realizando los trámites oportunos para regularizar la situación.</w:t>
      </w:r>
    </w:p>
    <w:p w:rsidR="00184354" w:rsidRPr="00184354" w:rsidRDefault="0067725A" w:rsidP="00184354">
      <w:pPr>
        <w:pStyle w:val="texto"/>
        <w:tabs>
          <w:tab w:val="clear" w:pos="2835"/>
          <w:tab w:val="clear" w:pos="3969"/>
          <w:tab w:val="clear" w:pos="5103"/>
          <w:tab w:val="clear" w:pos="6237"/>
          <w:tab w:val="clear" w:pos="7371"/>
          <w:tab w:val="left" w:pos="480"/>
          <w:tab w:val="num" w:pos="720"/>
          <w:tab w:val="num" w:pos="1320"/>
        </w:tabs>
        <w:rPr>
          <w:rFonts w:cs="Arial"/>
        </w:rPr>
      </w:pPr>
      <w:r w:rsidRPr="008D686D">
        <w:rPr>
          <w:rFonts w:cs="Arial"/>
        </w:rPr>
        <w:t>Recomendamos:</w:t>
      </w:r>
    </w:p>
    <w:p w:rsidR="00D70C2C" w:rsidRDefault="00D70C2C" w:rsidP="00514C8A">
      <w:pPr>
        <w:pStyle w:val="texto"/>
        <w:numPr>
          <w:ilvl w:val="0"/>
          <w:numId w:val="1"/>
        </w:numPr>
        <w:tabs>
          <w:tab w:val="clear" w:pos="2835"/>
          <w:tab w:val="clear" w:pos="3969"/>
          <w:tab w:val="clear" w:pos="5103"/>
          <w:tab w:val="clear" w:pos="6237"/>
          <w:tab w:val="clear" w:pos="7371"/>
          <w:tab w:val="left" w:pos="480"/>
          <w:tab w:val="num" w:pos="720"/>
          <w:tab w:val="num" w:pos="6597"/>
        </w:tabs>
        <w:ind w:left="0" w:firstLine="289"/>
        <w:rPr>
          <w:rFonts w:cs="Arial"/>
          <w:i/>
        </w:rPr>
      </w:pPr>
      <w:bookmarkStart w:id="118" w:name="_Toc455146002"/>
      <w:r w:rsidRPr="00514C8A">
        <w:rPr>
          <w:rFonts w:cs="Arial"/>
          <w:i/>
          <w:color w:val="000000" w:themeColor="text1"/>
        </w:rPr>
        <w:t>Aprobar</w:t>
      </w:r>
      <w:r w:rsidRPr="00514C8A">
        <w:rPr>
          <w:rFonts w:cs="Arial"/>
          <w:i/>
        </w:rPr>
        <w:t xml:space="preserve"> </w:t>
      </w:r>
      <w:r w:rsidR="005C5B19">
        <w:rPr>
          <w:rFonts w:cs="Arial"/>
          <w:i/>
        </w:rPr>
        <w:t>el</w:t>
      </w:r>
      <w:r w:rsidRPr="00D70C2C">
        <w:rPr>
          <w:rFonts w:cs="Arial"/>
          <w:i/>
        </w:rPr>
        <w:t xml:space="preserve"> Plan Estratégico de </w:t>
      </w:r>
      <w:r w:rsidR="00216F88">
        <w:rPr>
          <w:rFonts w:cs="Arial"/>
          <w:i/>
        </w:rPr>
        <w:t>S</w:t>
      </w:r>
      <w:r w:rsidRPr="00D70C2C">
        <w:rPr>
          <w:rFonts w:cs="Arial"/>
          <w:i/>
        </w:rPr>
        <w:t>ubvenciones.</w:t>
      </w:r>
    </w:p>
    <w:p w:rsidR="005C377B" w:rsidRDefault="005C377B" w:rsidP="00514C8A">
      <w:pPr>
        <w:pStyle w:val="texto"/>
        <w:numPr>
          <w:ilvl w:val="0"/>
          <w:numId w:val="1"/>
        </w:numPr>
        <w:tabs>
          <w:tab w:val="clear" w:pos="2835"/>
          <w:tab w:val="clear" w:pos="3969"/>
          <w:tab w:val="clear" w:pos="5103"/>
          <w:tab w:val="clear" w:pos="6237"/>
          <w:tab w:val="clear" w:pos="7371"/>
          <w:tab w:val="left" w:pos="480"/>
          <w:tab w:val="num" w:pos="720"/>
          <w:tab w:val="num" w:pos="6597"/>
        </w:tabs>
        <w:ind w:left="0" w:firstLine="289"/>
        <w:rPr>
          <w:rFonts w:cs="Arial"/>
          <w:i/>
        </w:rPr>
      </w:pPr>
      <w:r w:rsidRPr="00514C8A">
        <w:rPr>
          <w:rFonts w:cs="Arial"/>
          <w:i/>
          <w:color w:val="000000" w:themeColor="text1"/>
        </w:rPr>
        <w:t>Solicitar</w:t>
      </w:r>
      <w:r>
        <w:rPr>
          <w:rFonts w:cs="Arial"/>
          <w:i/>
        </w:rPr>
        <w:t xml:space="preserve"> a los grupos municipales la acreditación de un NIF propio con su c</w:t>
      </w:r>
      <w:r>
        <w:rPr>
          <w:rFonts w:cs="Arial"/>
          <w:i/>
        </w:rPr>
        <w:t>o</w:t>
      </w:r>
      <w:r>
        <w:rPr>
          <w:rFonts w:cs="Arial"/>
          <w:i/>
        </w:rPr>
        <w:t>rrespondiente cuenta bancaria separada e independiente del partido o coalición política a la que pertenezcan.</w:t>
      </w:r>
      <w:r w:rsidR="002E076D">
        <w:rPr>
          <w:rFonts w:cs="Arial"/>
          <w:i/>
        </w:rPr>
        <w:t xml:space="preserve"> </w:t>
      </w:r>
    </w:p>
    <w:p w:rsidR="0067725A" w:rsidRPr="00C149E6" w:rsidRDefault="0067725A" w:rsidP="00EF7BAE">
      <w:pPr>
        <w:pStyle w:val="atitulo3"/>
        <w:spacing w:before="300"/>
      </w:pPr>
      <w:r w:rsidRPr="00C149E6">
        <w:t>V</w:t>
      </w:r>
      <w:r>
        <w:t>I</w:t>
      </w:r>
      <w:r w:rsidRPr="00C149E6">
        <w:t>.</w:t>
      </w:r>
      <w:r>
        <w:t>5</w:t>
      </w:r>
      <w:r w:rsidRPr="00C149E6">
        <w:t>.</w:t>
      </w:r>
      <w:r w:rsidR="00FA0054">
        <w:t>6</w:t>
      </w:r>
      <w:r w:rsidRPr="00C149E6">
        <w:t>. Tributos, precios públicos y otros ingreso</w:t>
      </w:r>
      <w:bookmarkEnd w:id="118"/>
      <w:r w:rsidR="005A041B">
        <w:t>s</w:t>
      </w:r>
    </w:p>
    <w:p w:rsidR="0067725A" w:rsidRDefault="0067725A" w:rsidP="00907A84">
      <w:pPr>
        <w:pStyle w:val="texto"/>
        <w:tabs>
          <w:tab w:val="clear" w:pos="2835"/>
          <w:tab w:val="clear" w:pos="3969"/>
          <w:tab w:val="clear" w:pos="5103"/>
          <w:tab w:val="clear" w:pos="6237"/>
          <w:tab w:val="clear" w:pos="7371"/>
          <w:tab w:val="left" w:pos="480"/>
          <w:tab w:val="num" w:pos="720"/>
          <w:tab w:val="num" w:pos="1320"/>
        </w:tabs>
        <w:spacing w:after="260"/>
        <w:rPr>
          <w:rFonts w:cs="Arial"/>
        </w:rPr>
      </w:pPr>
      <w:r w:rsidRPr="00532777">
        <w:rPr>
          <w:rFonts w:cs="Arial"/>
        </w:rPr>
        <w:t>Los der</w:t>
      </w:r>
      <w:r>
        <w:rPr>
          <w:rFonts w:cs="Arial"/>
        </w:rPr>
        <w:t>echos reconocidos en el año 201</w:t>
      </w:r>
      <w:r w:rsidR="00687501">
        <w:rPr>
          <w:rFonts w:cs="Arial"/>
        </w:rPr>
        <w:t>9</w:t>
      </w:r>
      <w:r w:rsidRPr="00532777">
        <w:rPr>
          <w:rFonts w:cs="Arial"/>
        </w:rPr>
        <w:t xml:space="preserve"> por tributos, precios públicos y otros ingresos ascendieron a </w:t>
      </w:r>
      <w:r w:rsidR="000E1AE2">
        <w:rPr>
          <w:rFonts w:cs="Arial"/>
        </w:rPr>
        <w:t>7,</w:t>
      </w:r>
      <w:r w:rsidR="00687501">
        <w:rPr>
          <w:rFonts w:cs="Arial"/>
        </w:rPr>
        <w:t>5</w:t>
      </w:r>
      <w:r>
        <w:rPr>
          <w:rFonts w:cs="Arial"/>
        </w:rPr>
        <w:t xml:space="preserve"> </w:t>
      </w:r>
      <w:r w:rsidR="00216F88">
        <w:rPr>
          <w:rFonts w:cs="Arial"/>
        </w:rPr>
        <w:t>millones.</w:t>
      </w:r>
      <w:r w:rsidRPr="00532777">
        <w:rPr>
          <w:rFonts w:cs="Arial"/>
        </w:rPr>
        <w:t xml:space="preserve"> Representan el </w:t>
      </w:r>
      <w:r w:rsidR="00687501">
        <w:rPr>
          <w:rFonts w:cs="Arial"/>
        </w:rPr>
        <w:t>51</w:t>
      </w:r>
      <w:r>
        <w:rPr>
          <w:rFonts w:cs="Arial"/>
        </w:rPr>
        <w:t xml:space="preserve"> </w:t>
      </w:r>
      <w:r w:rsidRPr="00532777">
        <w:rPr>
          <w:rFonts w:cs="Arial"/>
        </w:rPr>
        <w:t>por ciento del tot</w:t>
      </w:r>
      <w:r>
        <w:rPr>
          <w:rFonts w:cs="Arial"/>
        </w:rPr>
        <w:t>al de los ingresos municipales y se corresponden con:</w:t>
      </w:r>
    </w:p>
    <w:tbl>
      <w:tblPr>
        <w:tblW w:w="5000" w:type="pct"/>
        <w:tblCellMar>
          <w:left w:w="70" w:type="dxa"/>
          <w:right w:w="70" w:type="dxa"/>
        </w:tblCellMar>
        <w:tblLook w:val="04A0" w:firstRow="1" w:lastRow="0" w:firstColumn="1" w:lastColumn="0" w:noHBand="0" w:noVBand="1"/>
      </w:tblPr>
      <w:tblGrid>
        <w:gridCol w:w="3471"/>
        <w:gridCol w:w="1702"/>
        <w:gridCol w:w="1278"/>
        <w:gridCol w:w="1629"/>
        <w:gridCol w:w="1274"/>
      </w:tblGrid>
      <w:tr w:rsidR="00687501" w:rsidRPr="00687501" w:rsidTr="00514C8A">
        <w:trPr>
          <w:trHeight w:val="345"/>
        </w:trPr>
        <w:tc>
          <w:tcPr>
            <w:tcW w:w="1855" w:type="pct"/>
            <w:vMerge w:val="restart"/>
            <w:tcBorders>
              <w:top w:val="single" w:sz="4" w:space="0" w:color="auto"/>
              <w:left w:val="nil"/>
              <w:bottom w:val="single" w:sz="4" w:space="0" w:color="auto"/>
              <w:right w:val="nil"/>
            </w:tcBorders>
            <w:shd w:val="clear" w:color="000000" w:fill="FABF8F"/>
            <w:vAlign w:val="center"/>
            <w:hideMark/>
          </w:tcPr>
          <w:p w:rsidR="00687501" w:rsidRPr="00687501" w:rsidRDefault="00687501" w:rsidP="00687501">
            <w:pPr>
              <w:spacing w:after="0"/>
              <w:ind w:firstLine="0"/>
              <w:jc w:val="left"/>
              <w:rPr>
                <w:rFonts w:ascii="Arial" w:hAnsi="Arial" w:cs="Arial"/>
                <w:color w:val="000000"/>
                <w:sz w:val="18"/>
                <w:szCs w:val="18"/>
                <w:lang w:val="es-ES" w:eastAsia="es-ES"/>
              </w:rPr>
            </w:pPr>
            <w:r w:rsidRPr="00687501">
              <w:rPr>
                <w:rFonts w:ascii="Arial" w:hAnsi="Arial" w:cs="Arial"/>
                <w:color w:val="000000"/>
                <w:sz w:val="18"/>
                <w:szCs w:val="18"/>
                <w:lang w:val="es-ES" w:eastAsia="es-ES"/>
              </w:rPr>
              <w:t>Concepto</w:t>
            </w:r>
          </w:p>
        </w:tc>
        <w:tc>
          <w:tcPr>
            <w:tcW w:w="1592" w:type="pct"/>
            <w:gridSpan w:val="2"/>
            <w:tcBorders>
              <w:top w:val="single" w:sz="4" w:space="0" w:color="auto"/>
              <w:left w:val="nil"/>
              <w:bottom w:val="single" w:sz="4" w:space="0" w:color="auto"/>
              <w:right w:val="nil"/>
            </w:tcBorders>
            <w:shd w:val="clear" w:color="000000" w:fill="FABF8F"/>
            <w:vAlign w:val="center"/>
            <w:hideMark/>
          </w:tcPr>
          <w:p w:rsidR="00687501" w:rsidRPr="00687501" w:rsidRDefault="00687501" w:rsidP="00514C8A">
            <w:pPr>
              <w:spacing w:after="0"/>
              <w:ind w:firstLine="0"/>
              <w:jc w:val="center"/>
              <w:rPr>
                <w:rFonts w:ascii="Arial" w:hAnsi="Arial" w:cs="Arial"/>
                <w:color w:val="000000"/>
                <w:sz w:val="18"/>
                <w:szCs w:val="18"/>
                <w:lang w:val="es-ES" w:eastAsia="es-ES"/>
              </w:rPr>
            </w:pPr>
            <w:r w:rsidRPr="00687501">
              <w:rPr>
                <w:rFonts w:ascii="Arial" w:hAnsi="Arial" w:cs="Arial"/>
                <w:color w:val="000000"/>
                <w:sz w:val="18"/>
                <w:szCs w:val="18"/>
                <w:lang w:val="es-ES" w:eastAsia="es-ES"/>
              </w:rPr>
              <w:t>Derechos reconocidos netos</w:t>
            </w:r>
          </w:p>
        </w:tc>
        <w:tc>
          <w:tcPr>
            <w:tcW w:w="871" w:type="pct"/>
            <w:vMerge w:val="restart"/>
            <w:tcBorders>
              <w:top w:val="single" w:sz="4" w:space="0" w:color="auto"/>
              <w:left w:val="nil"/>
              <w:bottom w:val="single" w:sz="4" w:space="0" w:color="auto"/>
              <w:right w:val="nil"/>
            </w:tcBorders>
            <w:shd w:val="clear" w:color="000000" w:fill="FABF8F"/>
            <w:vAlign w:val="center"/>
            <w:hideMark/>
          </w:tcPr>
          <w:p w:rsidR="00B665EA" w:rsidRDefault="00687501" w:rsidP="00687501">
            <w:pPr>
              <w:spacing w:after="0"/>
              <w:ind w:firstLine="0"/>
              <w:jc w:val="right"/>
              <w:rPr>
                <w:rFonts w:ascii="Arial" w:hAnsi="Arial" w:cs="Arial"/>
                <w:color w:val="000000"/>
                <w:sz w:val="18"/>
                <w:szCs w:val="18"/>
                <w:lang w:val="es-ES" w:eastAsia="es-ES"/>
              </w:rPr>
            </w:pPr>
            <w:r w:rsidRPr="00687501">
              <w:rPr>
                <w:rFonts w:ascii="Arial" w:hAnsi="Arial" w:cs="Arial"/>
                <w:color w:val="000000"/>
                <w:sz w:val="18"/>
                <w:szCs w:val="18"/>
                <w:lang w:val="es-ES" w:eastAsia="es-ES"/>
              </w:rPr>
              <w:t xml:space="preserve">% </w:t>
            </w:r>
          </w:p>
          <w:p w:rsidR="00687501" w:rsidRPr="00687501" w:rsidRDefault="00B665EA" w:rsidP="00687501">
            <w:pPr>
              <w:spacing w:after="0"/>
              <w:ind w:firstLine="0"/>
              <w:jc w:val="right"/>
              <w:rPr>
                <w:rFonts w:ascii="Arial" w:hAnsi="Arial" w:cs="Arial"/>
                <w:color w:val="000000"/>
                <w:sz w:val="18"/>
                <w:szCs w:val="18"/>
                <w:lang w:val="es-ES" w:eastAsia="es-ES"/>
              </w:rPr>
            </w:pPr>
            <w:r w:rsidRPr="00687501">
              <w:rPr>
                <w:rFonts w:ascii="Arial" w:hAnsi="Arial" w:cs="Arial"/>
                <w:color w:val="000000"/>
                <w:sz w:val="18"/>
                <w:szCs w:val="18"/>
                <w:lang w:val="es-ES" w:eastAsia="es-ES"/>
              </w:rPr>
              <w:t>Ejecución</w:t>
            </w:r>
          </w:p>
        </w:tc>
        <w:tc>
          <w:tcPr>
            <w:tcW w:w="682" w:type="pct"/>
            <w:vMerge w:val="restart"/>
            <w:tcBorders>
              <w:top w:val="single" w:sz="4" w:space="0" w:color="auto"/>
              <w:left w:val="nil"/>
              <w:bottom w:val="single" w:sz="4" w:space="0" w:color="auto"/>
              <w:right w:val="nil"/>
            </w:tcBorders>
            <w:shd w:val="clear" w:color="000000" w:fill="FABF8F"/>
            <w:vAlign w:val="center"/>
            <w:hideMark/>
          </w:tcPr>
          <w:p w:rsidR="00687501" w:rsidRPr="00687501" w:rsidRDefault="00687501" w:rsidP="00687501">
            <w:pPr>
              <w:spacing w:after="0"/>
              <w:ind w:firstLine="0"/>
              <w:jc w:val="right"/>
              <w:rPr>
                <w:rFonts w:ascii="Arial" w:hAnsi="Arial" w:cs="Arial"/>
                <w:color w:val="000000"/>
                <w:sz w:val="18"/>
                <w:szCs w:val="18"/>
                <w:lang w:val="es-ES" w:eastAsia="es-ES"/>
              </w:rPr>
            </w:pPr>
            <w:r w:rsidRPr="00687501">
              <w:rPr>
                <w:rFonts w:ascii="Arial" w:hAnsi="Arial" w:cs="Arial"/>
                <w:color w:val="000000"/>
                <w:sz w:val="18"/>
                <w:szCs w:val="18"/>
                <w:lang w:val="es-ES" w:eastAsia="es-ES"/>
              </w:rPr>
              <w:t>% Variación 2019/2018</w:t>
            </w:r>
          </w:p>
        </w:tc>
      </w:tr>
      <w:tr w:rsidR="00687501" w:rsidRPr="00687501" w:rsidTr="00514C8A">
        <w:trPr>
          <w:trHeight w:val="300"/>
        </w:trPr>
        <w:tc>
          <w:tcPr>
            <w:tcW w:w="1855" w:type="pct"/>
            <w:vMerge/>
            <w:tcBorders>
              <w:top w:val="single" w:sz="4" w:space="0" w:color="auto"/>
              <w:left w:val="nil"/>
              <w:bottom w:val="single" w:sz="4" w:space="0" w:color="000000"/>
              <w:right w:val="nil"/>
            </w:tcBorders>
            <w:vAlign w:val="center"/>
            <w:hideMark/>
          </w:tcPr>
          <w:p w:rsidR="00687501" w:rsidRPr="00687501" w:rsidRDefault="00687501" w:rsidP="00687501">
            <w:pPr>
              <w:spacing w:after="0"/>
              <w:ind w:firstLine="0"/>
              <w:jc w:val="left"/>
              <w:rPr>
                <w:rFonts w:ascii="Arial" w:hAnsi="Arial" w:cs="Arial"/>
                <w:color w:val="000000"/>
                <w:sz w:val="18"/>
                <w:szCs w:val="18"/>
                <w:lang w:val="es-ES" w:eastAsia="es-ES"/>
              </w:rPr>
            </w:pPr>
          </w:p>
        </w:tc>
        <w:tc>
          <w:tcPr>
            <w:tcW w:w="910" w:type="pct"/>
            <w:tcBorders>
              <w:top w:val="single" w:sz="4" w:space="0" w:color="auto"/>
              <w:left w:val="nil"/>
              <w:bottom w:val="single" w:sz="4" w:space="0" w:color="auto"/>
              <w:right w:val="nil"/>
            </w:tcBorders>
            <w:shd w:val="clear" w:color="000000" w:fill="FABF8F"/>
            <w:vAlign w:val="center"/>
            <w:hideMark/>
          </w:tcPr>
          <w:p w:rsidR="00687501" w:rsidRPr="00687501" w:rsidRDefault="00687501" w:rsidP="00514C8A">
            <w:pPr>
              <w:spacing w:after="0"/>
              <w:ind w:firstLine="0"/>
              <w:jc w:val="center"/>
              <w:rPr>
                <w:rFonts w:ascii="Arial" w:hAnsi="Arial" w:cs="Arial"/>
                <w:color w:val="000000"/>
                <w:sz w:val="18"/>
                <w:szCs w:val="18"/>
                <w:lang w:val="es-ES" w:eastAsia="es-ES"/>
              </w:rPr>
            </w:pPr>
            <w:r w:rsidRPr="00687501">
              <w:rPr>
                <w:rFonts w:ascii="Arial" w:hAnsi="Arial" w:cs="Arial"/>
                <w:color w:val="000000"/>
                <w:sz w:val="18"/>
                <w:szCs w:val="18"/>
                <w:lang w:val="es-ES" w:eastAsia="es-ES"/>
              </w:rPr>
              <w:t>2018</w:t>
            </w:r>
          </w:p>
        </w:tc>
        <w:tc>
          <w:tcPr>
            <w:tcW w:w="683" w:type="pct"/>
            <w:tcBorders>
              <w:top w:val="single" w:sz="4" w:space="0" w:color="auto"/>
              <w:left w:val="nil"/>
              <w:bottom w:val="single" w:sz="4" w:space="0" w:color="auto"/>
              <w:right w:val="nil"/>
            </w:tcBorders>
            <w:shd w:val="clear" w:color="000000" w:fill="FABF8F"/>
            <w:vAlign w:val="center"/>
            <w:hideMark/>
          </w:tcPr>
          <w:p w:rsidR="00687501" w:rsidRPr="00687501" w:rsidRDefault="00687501" w:rsidP="00514C8A">
            <w:pPr>
              <w:spacing w:after="0"/>
              <w:ind w:firstLine="0"/>
              <w:jc w:val="center"/>
              <w:rPr>
                <w:rFonts w:ascii="Arial" w:hAnsi="Arial" w:cs="Arial"/>
                <w:color w:val="000000"/>
                <w:sz w:val="18"/>
                <w:szCs w:val="18"/>
                <w:lang w:val="es-ES" w:eastAsia="es-ES"/>
              </w:rPr>
            </w:pPr>
            <w:r w:rsidRPr="00687501">
              <w:rPr>
                <w:rFonts w:ascii="Arial" w:hAnsi="Arial" w:cs="Arial"/>
                <w:color w:val="000000"/>
                <w:sz w:val="18"/>
                <w:szCs w:val="18"/>
                <w:lang w:val="es-ES" w:eastAsia="es-ES"/>
              </w:rPr>
              <w:t>2019</w:t>
            </w:r>
          </w:p>
        </w:tc>
        <w:tc>
          <w:tcPr>
            <w:tcW w:w="871" w:type="pct"/>
            <w:vMerge/>
            <w:tcBorders>
              <w:top w:val="single" w:sz="4" w:space="0" w:color="auto"/>
              <w:left w:val="nil"/>
              <w:bottom w:val="single" w:sz="4" w:space="0" w:color="000000"/>
              <w:right w:val="nil"/>
            </w:tcBorders>
            <w:vAlign w:val="center"/>
            <w:hideMark/>
          </w:tcPr>
          <w:p w:rsidR="00687501" w:rsidRPr="00687501" w:rsidRDefault="00687501" w:rsidP="00687501">
            <w:pPr>
              <w:spacing w:after="0"/>
              <w:ind w:firstLine="0"/>
              <w:jc w:val="left"/>
              <w:rPr>
                <w:rFonts w:ascii="Arial" w:hAnsi="Arial" w:cs="Arial"/>
                <w:color w:val="000000"/>
                <w:sz w:val="18"/>
                <w:szCs w:val="18"/>
                <w:lang w:val="es-ES" w:eastAsia="es-ES"/>
              </w:rPr>
            </w:pPr>
          </w:p>
        </w:tc>
        <w:tc>
          <w:tcPr>
            <w:tcW w:w="682" w:type="pct"/>
            <w:vMerge/>
            <w:tcBorders>
              <w:top w:val="single" w:sz="4" w:space="0" w:color="auto"/>
              <w:left w:val="nil"/>
              <w:bottom w:val="single" w:sz="4" w:space="0" w:color="000000"/>
              <w:right w:val="nil"/>
            </w:tcBorders>
            <w:vAlign w:val="center"/>
            <w:hideMark/>
          </w:tcPr>
          <w:p w:rsidR="00687501" w:rsidRPr="00687501" w:rsidRDefault="00687501" w:rsidP="00687501">
            <w:pPr>
              <w:spacing w:after="0"/>
              <w:ind w:firstLine="0"/>
              <w:jc w:val="left"/>
              <w:rPr>
                <w:rFonts w:ascii="Arial" w:hAnsi="Arial" w:cs="Arial"/>
                <w:color w:val="000000"/>
                <w:sz w:val="18"/>
                <w:szCs w:val="18"/>
                <w:lang w:val="es-ES" w:eastAsia="es-ES"/>
              </w:rPr>
            </w:pPr>
          </w:p>
        </w:tc>
      </w:tr>
      <w:tr w:rsidR="00687501" w:rsidRPr="00687501" w:rsidTr="00514C8A">
        <w:trPr>
          <w:trHeight w:val="270"/>
        </w:trPr>
        <w:tc>
          <w:tcPr>
            <w:tcW w:w="1855" w:type="pct"/>
            <w:tcBorders>
              <w:top w:val="nil"/>
              <w:left w:val="nil"/>
              <w:bottom w:val="single" w:sz="4" w:space="0" w:color="auto"/>
              <w:right w:val="nil"/>
            </w:tcBorders>
            <w:shd w:val="clear" w:color="auto" w:fill="auto"/>
            <w:vAlign w:val="center"/>
            <w:hideMark/>
          </w:tcPr>
          <w:p w:rsidR="00687501" w:rsidRPr="00687501" w:rsidRDefault="00687501" w:rsidP="00687501">
            <w:pPr>
              <w:spacing w:after="0"/>
              <w:ind w:firstLine="0"/>
              <w:jc w:val="left"/>
              <w:rPr>
                <w:rFonts w:ascii="Arial Narrow" w:hAnsi="Arial Narrow"/>
                <w:color w:val="000000"/>
                <w:lang w:val="es-ES" w:eastAsia="es-ES"/>
              </w:rPr>
            </w:pPr>
            <w:r w:rsidRPr="00687501">
              <w:rPr>
                <w:rFonts w:ascii="Arial Narrow" w:hAnsi="Arial Narrow"/>
                <w:color w:val="000000"/>
                <w:lang w:val="es-ES" w:eastAsia="es-ES"/>
              </w:rPr>
              <w:t>Impuestos directos</w:t>
            </w:r>
          </w:p>
        </w:tc>
        <w:tc>
          <w:tcPr>
            <w:tcW w:w="910" w:type="pct"/>
            <w:tcBorders>
              <w:top w:val="nil"/>
              <w:left w:val="nil"/>
              <w:bottom w:val="single" w:sz="4" w:space="0" w:color="auto"/>
              <w:right w:val="nil"/>
            </w:tcBorders>
            <w:shd w:val="clear" w:color="auto" w:fill="auto"/>
            <w:vAlign w:val="center"/>
            <w:hideMark/>
          </w:tcPr>
          <w:p w:rsidR="00687501" w:rsidRPr="00687501" w:rsidRDefault="00687501" w:rsidP="00514C8A">
            <w:pPr>
              <w:spacing w:after="0"/>
              <w:ind w:firstLine="0"/>
              <w:jc w:val="center"/>
              <w:rPr>
                <w:rFonts w:ascii="Arial Narrow" w:hAnsi="Arial Narrow"/>
                <w:color w:val="000000"/>
                <w:lang w:val="es-ES" w:eastAsia="es-ES"/>
              </w:rPr>
            </w:pPr>
            <w:r w:rsidRPr="00687501">
              <w:rPr>
                <w:rFonts w:ascii="Arial Narrow" w:hAnsi="Arial Narrow"/>
                <w:color w:val="000000"/>
                <w:lang w:val="es-ES" w:eastAsia="es-ES"/>
              </w:rPr>
              <w:t>4.600.070</w:t>
            </w:r>
          </w:p>
        </w:tc>
        <w:tc>
          <w:tcPr>
            <w:tcW w:w="683" w:type="pct"/>
            <w:tcBorders>
              <w:top w:val="nil"/>
              <w:left w:val="nil"/>
              <w:bottom w:val="single" w:sz="4" w:space="0" w:color="auto"/>
              <w:right w:val="nil"/>
            </w:tcBorders>
            <w:shd w:val="clear" w:color="auto" w:fill="auto"/>
            <w:vAlign w:val="center"/>
            <w:hideMark/>
          </w:tcPr>
          <w:p w:rsidR="00687501" w:rsidRPr="00687501" w:rsidRDefault="00687501" w:rsidP="00514C8A">
            <w:pPr>
              <w:spacing w:after="0"/>
              <w:ind w:firstLine="0"/>
              <w:jc w:val="center"/>
              <w:rPr>
                <w:rFonts w:ascii="Arial Narrow" w:hAnsi="Arial Narrow"/>
                <w:color w:val="000000"/>
                <w:lang w:val="es-ES" w:eastAsia="es-ES"/>
              </w:rPr>
            </w:pPr>
            <w:r w:rsidRPr="00687501">
              <w:rPr>
                <w:rFonts w:ascii="Arial Narrow" w:hAnsi="Arial Narrow"/>
                <w:color w:val="000000"/>
                <w:lang w:val="es-ES" w:eastAsia="es-ES"/>
              </w:rPr>
              <w:t>4.848.583</w:t>
            </w:r>
          </w:p>
        </w:tc>
        <w:tc>
          <w:tcPr>
            <w:tcW w:w="871" w:type="pct"/>
            <w:tcBorders>
              <w:top w:val="nil"/>
              <w:left w:val="nil"/>
              <w:bottom w:val="single" w:sz="4" w:space="0" w:color="auto"/>
              <w:right w:val="nil"/>
            </w:tcBorders>
            <w:shd w:val="clear" w:color="auto" w:fill="auto"/>
            <w:vAlign w:val="center"/>
            <w:hideMark/>
          </w:tcPr>
          <w:p w:rsidR="00687501" w:rsidRPr="00687501" w:rsidRDefault="00687501" w:rsidP="00687501">
            <w:pPr>
              <w:spacing w:after="0"/>
              <w:ind w:firstLine="0"/>
              <w:jc w:val="right"/>
              <w:rPr>
                <w:rFonts w:ascii="Arial Narrow" w:hAnsi="Arial Narrow"/>
                <w:color w:val="000000"/>
                <w:lang w:val="es-ES" w:eastAsia="es-ES"/>
              </w:rPr>
            </w:pPr>
            <w:r w:rsidRPr="00687501">
              <w:rPr>
                <w:rFonts w:ascii="Arial Narrow" w:hAnsi="Arial Narrow"/>
                <w:color w:val="000000"/>
                <w:lang w:val="es-ES" w:eastAsia="es-ES"/>
              </w:rPr>
              <w:t>114</w:t>
            </w:r>
          </w:p>
        </w:tc>
        <w:tc>
          <w:tcPr>
            <w:tcW w:w="682" w:type="pct"/>
            <w:tcBorders>
              <w:top w:val="nil"/>
              <w:left w:val="nil"/>
              <w:bottom w:val="single" w:sz="4" w:space="0" w:color="auto"/>
              <w:right w:val="nil"/>
            </w:tcBorders>
            <w:shd w:val="clear" w:color="auto" w:fill="auto"/>
            <w:vAlign w:val="center"/>
            <w:hideMark/>
          </w:tcPr>
          <w:p w:rsidR="00687501" w:rsidRPr="00687501" w:rsidRDefault="00687501" w:rsidP="00687501">
            <w:pPr>
              <w:spacing w:after="0"/>
              <w:ind w:firstLine="0"/>
              <w:jc w:val="right"/>
              <w:rPr>
                <w:rFonts w:ascii="Arial Narrow" w:hAnsi="Arial Narrow"/>
                <w:color w:val="000000"/>
                <w:lang w:val="es-ES" w:eastAsia="es-ES"/>
              </w:rPr>
            </w:pPr>
            <w:r w:rsidRPr="00687501">
              <w:rPr>
                <w:rFonts w:ascii="Arial Narrow" w:hAnsi="Arial Narrow"/>
                <w:color w:val="000000"/>
                <w:lang w:val="es-ES" w:eastAsia="es-ES"/>
              </w:rPr>
              <w:t>5</w:t>
            </w:r>
          </w:p>
        </w:tc>
      </w:tr>
      <w:tr w:rsidR="00687501" w:rsidRPr="00687501" w:rsidTr="00514C8A">
        <w:trPr>
          <w:trHeight w:val="270"/>
        </w:trPr>
        <w:tc>
          <w:tcPr>
            <w:tcW w:w="1855" w:type="pct"/>
            <w:tcBorders>
              <w:top w:val="nil"/>
              <w:left w:val="nil"/>
              <w:bottom w:val="single" w:sz="4" w:space="0" w:color="auto"/>
              <w:right w:val="nil"/>
            </w:tcBorders>
            <w:shd w:val="clear" w:color="auto" w:fill="auto"/>
            <w:vAlign w:val="center"/>
            <w:hideMark/>
          </w:tcPr>
          <w:p w:rsidR="00687501" w:rsidRPr="00687501" w:rsidRDefault="00687501" w:rsidP="00687501">
            <w:pPr>
              <w:spacing w:after="0"/>
              <w:ind w:firstLine="0"/>
              <w:jc w:val="left"/>
              <w:rPr>
                <w:rFonts w:ascii="Arial Narrow" w:hAnsi="Arial Narrow"/>
                <w:color w:val="000000"/>
                <w:lang w:val="es-ES" w:eastAsia="es-ES"/>
              </w:rPr>
            </w:pPr>
            <w:r w:rsidRPr="00687501">
              <w:rPr>
                <w:rFonts w:ascii="Arial Narrow" w:hAnsi="Arial Narrow"/>
                <w:color w:val="000000"/>
                <w:lang w:val="es-ES" w:eastAsia="es-ES"/>
              </w:rPr>
              <w:t>Impuestos indirectos</w:t>
            </w:r>
          </w:p>
        </w:tc>
        <w:tc>
          <w:tcPr>
            <w:tcW w:w="910" w:type="pct"/>
            <w:tcBorders>
              <w:top w:val="nil"/>
              <w:left w:val="nil"/>
              <w:bottom w:val="single" w:sz="4" w:space="0" w:color="auto"/>
              <w:right w:val="nil"/>
            </w:tcBorders>
            <w:shd w:val="clear" w:color="auto" w:fill="auto"/>
            <w:vAlign w:val="center"/>
            <w:hideMark/>
          </w:tcPr>
          <w:p w:rsidR="00687501" w:rsidRPr="00687501" w:rsidRDefault="00687501" w:rsidP="00514C8A">
            <w:pPr>
              <w:spacing w:after="0"/>
              <w:ind w:firstLine="0"/>
              <w:jc w:val="center"/>
              <w:rPr>
                <w:rFonts w:ascii="Arial Narrow" w:hAnsi="Arial Narrow"/>
                <w:color w:val="000000"/>
                <w:lang w:val="es-ES" w:eastAsia="es-ES"/>
              </w:rPr>
            </w:pPr>
            <w:r w:rsidRPr="00687501">
              <w:rPr>
                <w:rFonts w:ascii="Arial Narrow" w:hAnsi="Arial Narrow"/>
                <w:color w:val="000000"/>
                <w:lang w:val="es-ES" w:eastAsia="es-ES"/>
              </w:rPr>
              <w:t>1.412.743</w:t>
            </w:r>
          </w:p>
        </w:tc>
        <w:tc>
          <w:tcPr>
            <w:tcW w:w="683" w:type="pct"/>
            <w:tcBorders>
              <w:top w:val="nil"/>
              <w:left w:val="nil"/>
              <w:bottom w:val="single" w:sz="4" w:space="0" w:color="auto"/>
              <w:right w:val="nil"/>
            </w:tcBorders>
            <w:shd w:val="clear" w:color="auto" w:fill="auto"/>
            <w:vAlign w:val="center"/>
            <w:hideMark/>
          </w:tcPr>
          <w:p w:rsidR="00687501" w:rsidRPr="00687501" w:rsidRDefault="00687501" w:rsidP="00514C8A">
            <w:pPr>
              <w:spacing w:after="0"/>
              <w:ind w:firstLine="0"/>
              <w:jc w:val="center"/>
              <w:rPr>
                <w:rFonts w:ascii="Arial Narrow" w:hAnsi="Arial Narrow"/>
                <w:color w:val="000000"/>
                <w:lang w:val="es-ES" w:eastAsia="es-ES"/>
              </w:rPr>
            </w:pPr>
            <w:r w:rsidRPr="00687501">
              <w:rPr>
                <w:rFonts w:ascii="Arial Narrow" w:hAnsi="Arial Narrow"/>
                <w:color w:val="000000"/>
                <w:lang w:val="es-ES" w:eastAsia="es-ES"/>
              </w:rPr>
              <w:t>867.048</w:t>
            </w:r>
          </w:p>
        </w:tc>
        <w:tc>
          <w:tcPr>
            <w:tcW w:w="871" w:type="pct"/>
            <w:tcBorders>
              <w:top w:val="nil"/>
              <w:left w:val="nil"/>
              <w:bottom w:val="single" w:sz="4" w:space="0" w:color="auto"/>
              <w:right w:val="nil"/>
            </w:tcBorders>
            <w:shd w:val="clear" w:color="auto" w:fill="auto"/>
            <w:vAlign w:val="center"/>
            <w:hideMark/>
          </w:tcPr>
          <w:p w:rsidR="00687501" w:rsidRPr="00687501" w:rsidRDefault="00687501" w:rsidP="00687501">
            <w:pPr>
              <w:spacing w:after="0"/>
              <w:ind w:firstLine="0"/>
              <w:jc w:val="right"/>
              <w:rPr>
                <w:rFonts w:ascii="Arial Narrow" w:hAnsi="Arial Narrow"/>
                <w:color w:val="000000"/>
                <w:lang w:val="es-ES" w:eastAsia="es-ES"/>
              </w:rPr>
            </w:pPr>
            <w:r w:rsidRPr="00687501">
              <w:rPr>
                <w:rFonts w:ascii="Arial Narrow" w:hAnsi="Arial Narrow"/>
                <w:color w:val="000000"/>
                <w:lang w:val="es-ES" w:eastAsia="es-ES"/>
              </w:rPr>
              <w:t>135</w:t>
            </w:r>
          </w:p>
        </w:tc>
        <w:tc>
          <w:tcPr>
            <w:tcW w:w="682" w:type="pct"/>
            <w:tcBorders>
              <w:top w:val="nil"/>
              <w:left w:val="nil"/>
              <w:bottom w:val="single" w:sz="4" w:space="0" w:color="auto"/>
              <w:right w:val="nil"/>
            </w:tcBorders>
            <w:shd w:val="clear" w:color="auto" w:fill="auto"/>
            <w:vAlign w:val="center"/>
            <w:hideMark/>
          </w:tcPr>
          <w:p w:rsidR="00687501" w:rsidRPr="00687501" w:rsidRDefault="00687501" w:rsidP="00687501">
            <w:pPr>
              <w:spacing w:after="0"/>
              <w:ind w:firstLine="0"/>
              <w:jc w:val="right"/>
              <w:rPr>
                <w:rFonts w:ascii="Arial Narrow" w:hAnsi="Arial Narrow"/>
                <w:color w:val="000000"/>
                <w:lang w:val="es-ES" w:eastAsia="es-ES"/>
              </w:rPr>
            </w:pPr>
            <w:r w:rsidRPr="00687501">
              <w:rPr>
                <w:rFonts w:ascii="Arial Narrow" w:hAnsi="Arial Narrow"/>
                <w:color w:val="000000"/>
                <w:lang w:val="es-ES" w:eastAsia="es-ES"/>
              </w:rPr>
              <w:t>-39</w:t>
            </w:r>
          </w:p>
        </w:tc>
      </w:tr>
      <w:tr w:rsidR="00687501" w:rsidRPr="00687501" w:rsidTr="00514C8A">
        <w:trPr>
          <w:trHeight w:val="270"/>
        </w:trPr>
        <w:tc>
          <w:tcPr>
            <w:tcW w:w="1855" w:type="pct"/>
            <w:tcBorders>
              <w:top w:val="nil"/>
              <w:left w:val="nil"/>
              <w:bottom w:val="single" w:sz="4" w:space="0" w:color="auto"/>
              <w:right w:val="nil"/>
            </w:tcBorders>
            <w:shd w:val="clear" w:color="auto" w:fill="auto"/>
            <w:vAlign w:val="center"/>
            <w:hideMark/>
          </w:tcPr>
          <w:p w:rsidR="00687501" w:rsidRPr="00687501" w:rsidRDefault="00687501" w:rsidP="00687501">
            <w:pPr>
              <w:spacing w:after="0"/>
              <w:ind w:firstLine="0"/>
              <w:jc w:val="left"/>
              <w:rPr>
                <w:rFonts w:ascii="Arial Narrow" w:hAnsi="Arial Narrow"/>
                <w:color w:val="000000"/>
                <w:lang w:val="es-ES" w:eastAsia="es-ES"/>
              </w:rPr>
            </w:pPr>
            <w:r w:rsidRPr="00687501">
              <w:rPr>
                <w:rFonts w:ascii="Arial Narrow" w:hAnsi="Arial Narrow"/>
                <w:color w:val="000000"/>
                <w:lang w:val="es-ES" w:eastAsia="es-ES"/>
              </w:rPr>
              <w:t>Tasas, precios públicos y otros ingresos</w:t>
            </w:r>
          </w:p>
        </w:tc>
        <w:tc>
          <w:tcPr>
            <w:tcW w:w="910" w:type="pct"/>
            <w:tcBorders>
              <w:top w:val="nil"/>
              <w:left w:val="nil"/>
              <w:bottom w:val="single" w:sz="4" w:space="0" w:color="auto"/>
              <w:right w:val="nil"/>
            </w:tcBorders>
            <w:shd w:val="clear" w:color="auto" w:fill="auto"/>
            <w:vAlign w:val="center"/>
            <w:hideMark/>
          </w:tcPr>
          <w:p w:rsidR="00687501" w:rsidRPr="00687501" w:rsidRDefault="00687501" w:rsidP="00514C8A">
            <w:pPr>
              <w:spacing w:after="0"/>
              <w:ind w:firstLine="0"/>
              <w:jc w:val="center"/>
              <w:rPr>
                <w:rFonts w:ascii="Arial Narrow" w:hAnsi="Arial Narrow"/>
                <w:color w:val="000000"/>
                <w:lang w:val="es-ES" w:eastAsia="es-ES"/>
              </w:rPr>
            </w:pPr>
            <w:r w:rsidRPr="00687501">
              <w:rPr>
                <w:rFonts w:ascii="Arial Narrow" w:hAnsi="Arial Narrow"/>
                <w:color w:val="000000"/>
                <w:lang w:val="es-ES" w:eastAsia="es-ES"/>
              </w:rPr>
              <w:t>1.965.744</w:t>
            </w:r>
          </w:p>
        </w:tc>
        <w:tc>
          <w:tcPr>
            <w:tcW w:w="683" w:type="pct"/>
            <w:tcBorders>
              <w:top w:val="nil"/>
              <w:left w:val="nil"/>
              <w:bottom w:val="single" w:sz="4" w:space="0" w:color="auto"/>
              <w:right w:val="nil"/>
            </w:tcBorders>
            <w:shd w:val="clear" w:color="auto" w:fill="auto"/>
            <w:vAlign w:val="center"/>
            <w:hideMark/>
          </w:tcPr>
          <w:p w:rsidR="00687501" w:rsidRPr="00687501" w:rsidRDefault="00687501" w:rsidP="00514C8A">
            <w:pPr>
              <w:spacing w:after="0"/>
              <w:ind w:firstLine="0"/>
              <w:jc w:val="center"/>
              <w:rPr>
                <w:rFonts w:ascii="Arial Narrow" w:hAnsi="Arial Narrow"/>
                <w:color w:val="000000"/>
                <w:lang w:val="es-ES" w:eastAsia="es-ES"/>
              </w:rPr>
            </w:pPr>
            <w:r w:rsidRPr="00687501">
              <w:rPr>
                <w:rFonts w:ascii="Arial Narrow" w:hAnsi="Arial Narrow"/>
                <w:color w:val="000000"/>
                <w:lang w:val="es-ES" w:eastAsia="es-ES"/>
              </w:rPr>
              <w:t>1.785.210</w:t>
            </w:r>
          </w:p>
        </w:tc>
        <w:tc>
          <w:tcPr>
            <w:tcW w:w="871" w:type="pct"/>
            <w:tcBorders>
              <w:top w:val="nil"/>
              <w:left w:val="nil"/>
              <w:bottom w:val="single" w:sz="4" w:space="0" w:color="auto"/>
              <w:right w:val="nil"/>
            </w:tcBorders>
            <w:shd w:val="clear" w:color="auto" w:fill="auto"/>
            <w:vAlign w:val="center"/>
            <w:hideMark/>
          </w:tcPr>
          <w:p w:rsidR="00687501" w:rsidRPr="00687501" w:rsidRDefault="00687501" w:rsidP="00687501">
            <w:pPr>
              <w:spacing w:after="0"/>
              <w:ind w:firstLine="0"/>
              <w:jc w:val="right"/>
              <w:rPr>
                <w:rFonts w:ascii="Arial Narrow" w:hAnsi="Arial Narrow"/>
                <w:color w:val="000000"/>
                <w:lang w:val="es-ES" w:eastAsia="es-ES"/>
              </w:rPr>
            </w:pPr>
            <w:r w:rsidRPr="00687501">
              <w:rPr>
                <w:rFonts w:ascii="Arial Narrow" w:hAnsi="Arial Narrow"/>
                <w:color w:val="000000"/>
                <w:lang w:val="es-ES" w:eastAsia="es-ES"/>
              </w:rPr>
              <w:t>110</w:t>
            </w:r>
          </w:p>
        </w:tc>
        <w:tc>
          <w:tcPr>
            <w:tcW w:w="682" w:type="pct"/>
            <w:tcBorders>
              <w:top w:val="nil"/>
              <w:left w:val="nil"/>
              <w:bottom w:val="single" w:sz="4" w:space="0" w:color="auto"/>
              <w:right w:val="nil"/>
            </w:tcBorders>
            <w:shd w:val="clear" w:color="auto" w:fill="auto"/>
            <w:vAlign w:val="center"/>
            <w:hideMark/>
          </w:tcPr>
          <w:p w:rsidR="00687501" w:rsidRPr="00687501" w:rsidRDefault="00687501" w:rsidP="00687501">
            <w:pPr>
              <w:spacing w:after="0"/>
              <w:ind w:firstLine="0"/>
              <w:jc w:val="right"/>
              <w:rPr>
                <w:rFonts w:ascii="Arial Narrow" w:hAnsi="Arial Narrow"/>
                <w:color w:val="000000"/>
                <w:lang w:val="es-ES" w:eastAsia="es-ES"/>
              </w:rPr>
            </w:pPr>
            <w:r w:rsidRPr="00687501">
              <w:rPr>
                <w:rFonts w:ascii="Arial Narrow" w:hAnsi="Arial Narrow"/>
                <w:color w:val="000000"/>
                <w:lang w:val="es-ES" w:eastAsia="es-ES"/>
              </w:rPr>
              <w:t>-9</w:t>
            </w:r>
          </w:p>
        </w:tc>
      </w:tr>
    </w:tbl>
    <w:p w:rsidR="0067725A" w:rsidRPr="00907A84" w:rsidRDefault="0067725A" w:rsidP="0067725A">
      <w:pPr>
        <w:pStyle w:val="texto"/>
        <w:tabs>
          <w:tab w:val="left" w:pos="708"/>
        </w:tabs>
        <w:spacing w:before="280" w:after="180"/>
        <w:rPr>
          <w:rFonts w:ascii="Arial" w:hAnsi="Arial"/>
          <w:i/>
          <w:iCs/>
          <w:color w:val="000000"/>
          <w:spacing w:val="10"/>
          <w:kern w:val="28"/>
          <w:sz w:val="24"/>
        </w:rPr>
      </w:pPr>
      <w:r w:rsidRPr="00907A84">
        <w:rPr>
          <w:rFonts w:ascii="Arial" w:hAnsi="Arial"/>
          <w:i/>
          <w:iCs/>
          <w:color w:val="000000"/>
          <w:spacing w:val="10"/>
          <w:kern w:val="28"/>
          <w:sz w:val="24"/>
        </w:rPr>
        <w:t>Impuestos</w:t>
      </w:r>
    </w:p>
    <w:p w:rsidR="0067725A" w:rsidRDefault="00060302" w:rsidP="00B14557">
      <w:pPr>
        <w:pStyle w:val="texto"/>
        <w:tabs>
          <w:tab w:val="left" w:pos="708"/>
        </w:tabs>
        <w:spacing w:after="220"/>
        <w:rPr>
          <w:szCs w:val="26"/>
        </w:rPr>
      </w:pPr>
      <w:r>
        <w:rPr>
          <w:szCs w:val="26"/>
        </w:rPr>
        <w:t xml:space="preserve">Los impuestos representan el </w:t>
      </w:r>
      <w:r w:rsidR="005757C9">
        <w:rPr>
          <w:szCs w:val="26"/>
        </w:rPr>
        <w:t>3</w:t>
      </w:r>
      <w:r w:rsidR="009B3F03">
        <w:rPr>
          <w:szCs w:val="26"/>
        </w:rPr>
        <w:t>9</w:t>
      </w:r>
      <w:r w:rsidR="0067725A">
        <w:rPr>
          <w:szCs w:val="26"/>
        </w:rPr>
        <w:t xml:space="preserve"> por ciento del total de ingresos municipales y corresponden a:</w:t>
      </w:r>
    </w:p>
    <w:tbl>
      <w:tblPr>
        <w:tblW w:w="5000" w:type="pct"/>
        <w:tblCellMar>
          <w:left w:w="70" w:type="dxa"/>
          <w:right w:w="70" w:type="dxa"/>
        </w:tblCellMar>
        <w:tblLook w:val="04A0" w:firstRow="1" w:lastRow="0" w:firstColumn="1" w:lastColumn="0" w:noHBand="0" w:noVBand="1"/>
      </w:tblPr>
      <w:tblGrid>
        <w:gridCol w:w="4828"/>
        <w:gridCol w:w="1338"/>
        <w:gridCol w:w="1843"/>
        <w:gridCol w:w="1345"/>
      </w:tblGrid>
      <w:tr w:rsidR="009B3F03" w:rsidRPr="009B3F03" w:rsidTr="00B275F3">
        <w:trPr>
          <w:trHeight w:val="420"/>
        </w:trPr>
        <w:tc>
          <w:tcPr>
            <w:tcW w:w="2581" w:type="pct"/>
            <w:tcBorders>
              <w:top w:val="single" w:sz="4" w:space="0" w:color="auto"/>
              <w:left w:val="nil"/>
              <w:bottom w:val="single" w:sz="4" w:space="0" w:color="auto"/>
              <w:right w:val="nil"/>
            </w:tcBorders>
            <w:shd w:val="clear" w:color="000000" w:fill="FABF8F" w:themeFill="accent6" w:themeFillTint="99"/>
            <w:vAlign w:val="center"/>
            <w:hideMark/>
          </w:tcPr>
          <w:p w:rsidR="009B3F03" w:rsidRPr="009B3F03" w:rsidRDefault="009B3F03" w:rsidP="009B3F03">
            <w:pPr>
              <w:spacing w:after="0"/>
              <w:ind w:firstLine="0"/>
              <w:jc w:val="left"/>
              <w:rPr>
                <w:rFonts w:ascii="Arial" w:hAnsi="Arial" w:cs="Arial"/>
                <w:color w:val="000000"/>
                <w:sz w:val="18"/>
                <w:szCs w:val="18"/>
                <w:lang w:val="es-ES" w:eastAsia="es-ES"/>
              </w:rPr>
            </w:pPr>
            <w:r w:rsidRPr="009B3F03">
              <w:rPr>
                <w:rFonts w:ascii="Arial" w:hAnsi="Arial" w:cs="Arial"/>
                <w:color w:val="000000"/>
                <w:sz w:val="18"/>
                <w:szCs w:val="18"/>
                <w:lang w:val="es-ES" w:eastAsia="es-ES"/>
              </w:rPr>
              <w:t>Concepto</w:t>
            </w:r>
          </w:p>
        </w:tc>
        <w:tc>
          <w:tcPr>
            <w:tcW w:w="715" w:type="pct"/>
            <w:tcBorders>
              <w:top w:val="single" w:sz="4" w:space="0" w:color="auto"/>
              <w:left w:val="nil"/>
              <w:bottom w:val="single" w:sz="4" w:space="0" w:color="auto"/>
              <w:right w:val="nil"/>
            </w:tcBorders>
            <w:shd w:val="clear" w:color="000000" w:fill="FABF8F" w:themeFill="accent6" w:themeFillTint="99"/>
            <w:vAlign w:val="center"/>
            <w:hideMark/>
          </w:tcPr>
          <w:p w:rsidR="009B3F03" w:rsidRPr="009B3F03" w:rsidRDefault="009B3F03" w:rsidP="00514C8A">
            <w:pPr>
              <w:spacing w:after="0"/>
              <w:ind w:firstLine="0"/>
              <w:jc w:val="right"/>
              <w:rPr>
                <w:rFonts w:ascii="Arial" w:hAnsi="Arial" w:cs="Arial"/>
                <w:color w:val="000000"/>
                <w:sz w:val="18"/>
                <w:szCs w:val="18"/>
                <w:lang w:val="es-ES" w:eastAsia="es-ES"/>
              </w:rPr>
            </w:pPr>
            <w:r w:rsidRPr="009B3F03">
              <w:rPr>
                <w:rFonts w:ascii="Arial" w:hAnsi="Arial" w:cs="Arial"/>
                <w:color w:val="000000"/>
                <w:sz w:val="18"/>
                <w:szCs w:val="18"/>
                <w:lang w:val="es-ES" w:eastAsia="es-ES"/>
              </w:rPr>
              <w:t>DRN</w:t>
            </w:r>
          </w:p>
        </w:tc>
        <w:tc>
          <w:tcPr>
            <w:tcW w:w="985" w:type="pct"/>
            <w:tcBorders>
              <w:top w:val="single" w:sz="4" w:space="0" w:color="auto"/>
              <w:left w:val="nil"/>
              <w:bottom w:val="single" w:sz="4" w:space="0" w:color="auto"/>
              <w:right w:val="nil"/>
            </w:tcBorders>
            <w:shd w:val="clear" w:color="000000" w:fill="FABF8F" w:themeFill="accent6" w:themeFillTint="99"/>
            <w:vAlign w:val="center"/>
            <w:hideMark/>
          </w:tcPr>
          <w:p w:rsidR="00B665EA" w:rsidRDefault="009B3F03" w:rsidP="00514C8A">
            <w:pPr>
              <w:spacing w:after="0"/>
              <w:ind w:firstLine="0"/>
              <w:jc w:val="right"/>
              <w:rPr>
                <w:rFonts w:ascii="Arial" w:hAnsi="Arial" w:cs="Arial"/>
                <w:color w:val="000000"/>
                <w:sz w:val="18"/>
                <w:szCs w:val="18"/>
                <w:lang w:val="es-ES" w:eastAsia="es-ES"/>
              </w:rPr>
            </w:pPr>
            <w:r w:rsidRPr="009B3F03">
              <w:rPr>
                <w:rFonts w:ascii="Arial" w:hAnsi="Arial" w:cs="Arial"/>
                <w:color w:val="000000"/>
                <w:sz w:val="18"/>
                <w:szCs w:val="18"/>
                <w:lang w:val="es-ES" w:eastAsia="es-ES"/>
              </w:rPr>
              <w:t xml:space="preserve">% s/total </w:t>
            </w:r>
          </w:p>
          <w:p w:rsidR="009B3F03" w:rsidRPr="009B3F03" w:rsidRDefault="009B3F03" w:rsidP="00514C8A">
            <w:pPr>
              <w:spacing w:after="0"/>
              <w:ind w:firstLine="0"/>
              <w:jc w:val="right"/>
              <w:rPr>
                <w:rFonts w:ascii="Arial" w:hAnsi="Arial" w:cs="Arial"/>
                <w:color w:val="000000"/>
                <w:sz w:val="18"/>
                <w:szCs w:val="18"/>
                <w:lang w:val="es-ES" w:eastAsia="es-ES"/>
              </w:rPr>
            </w:pPr>
            <w:r w:rsidRPr="009B3F03">
              <w:rPr>
                <w:rFonts w:ascii="Arial" w:hAnsi="Arial" w:cs="Arial"/>
                <w:color w:val="000000"/>
                <w:sz w:val="18"/>
                <w:szCs w:val="18"/>
                <w:lang w:val="es-ES" w:eastAsia="es-ES"/>
              </w:rPr>
              <w:t>ingresos</w:t>
            </w:r>
          </w:p>
        </w:tc>
        <w:tc>
          <w:tcPr>
            <w:tcW w:w="719" w:type="pct"/>
            <w:tcBorders>
              <w:top w:val="single" w:sz="4" w:space="0" w:color="auto"/>
              <w:left w:val="nil"/>
              <w:bottom w:val="single" w:sz="4" w:space="0" w:color="auto"/>
              <w:right w:val="nil"/>
            </w:tcBorders>
            <w:shd w:val="clear" w:color="000000" w:fill="FABF8F" w:themeFill="accent6" w:themeFillTint="99"/>
            <w:vAlign w:val="center"/>
            <w:hideMark/>
          </w:tcPr>
          <w:p w:rsidR="009B3F03" w:rsidRPr="009B3F03" w:rsidRDefault="009B3F03" w:rsidP="00B275F3">
            <w:pPr>
              <w:spacing w:after="0"/>
              <w:ind w:firstLine="0"/>
              <w:jc w:val="right"/>
              <w:rPr>
                <w:rFonts w:ascii="Arial" w:hAnsi="Arial" w:cs="Arial"/>
                <w:color w:val="000000"/>
                <w:sz w:val="18"/>
                <w:szCs w:val="18"/>
                <w:lang w:val="es-ES" w:eastAsia="es-ES"/>
              </w:rPr>
            </w:pPr>
            <w:r w:rsidRPr="009B3F03">
              <w:rPr>
                <w:rFonts w:ascii="Arial" w:hAnsi="Arial" w:cs="Arial"/>
                <w:color w:val="000000"/>
                <w:sz w:val="18"/>
                <w:szCs w:val="18"/>
                <w:lang w:val="es-ES" w:eastAsia="es-ES"/>
              </w:rPr>
              <w:t xml:space="preserve"> %</w:t>
            </w:r>
            <w:r w:rsidR="00B275F3">
              <w:rPr>
                <w:rFonts w:ascii="Arial" w:hAnsi="Arial" w:cs="Arial"/>
                <w:color w:val="000000"/>
                <w:sz w:val="18"/>
                <w:szCs w:val="18"/>
                <w:lang w:val="es-ES" w:eastAsia="es-ES"/>
              </w:rPr>
              <w:t xml:space="preserve"> </w:t>
            </w:r>
            <w:r w:rsidRPr="009B3F03">
              <w:rPr>
                <w:rFonts w:ascii="Arial" w:hAnsi="Arial" w:cs="Arial"/>
                <w:color w:val="000000"/>
                <w:sz w:val="18"/>
                <w:szCs w:val="18"/>
                <w:lang w:val="es-ES" w:eastAsia="es-ES"/>
              </w:rPr>
              <w:t>Var</w:t>
            </w:r>
            <w:r w:rsidR="00B275F3">
              <w:rPr>
                <w:rFonts w:ascii="Arial" w:hAnsi="Arial" w:cs="Arial"/>
                <w:color w:val="000000"/>
                <w:sz w:val="18"/>
                <w:szCs w:val="18"/>
                <w:lang w:val="es-ES" w:eastAsia="es-ES"/>
              </w:rPr>
              <w:t xml:space="preserve">iación </w:t>
            </w:r>
            <w:r w:rsidRPr="009B3F03">
              <w:rPr>
                <w:rFonts w:ascii="Arial" w:hAnsi="Arial" w:cs="Arial"/>
                <w:color w:val="000000"/>
                <w:sz w:val="18"/>
                <w:szCs w:val="18"/>
                <w:lang w:val="es-ES" w:eastAsia="es-ES"/>
              </w:rPr>
              <w:t>2019/2018</w:t>
            </w:r>
          </w:p>
        </w:tc>
      </w:tr>
      <w:tr w:rsidR="009B3F03" w:rsidRPr="009B3F03" w:rsidTr="00B275F3">
        <w:trPr>
          <w:trHeight w:val="255"/>
        </w:trPr>
        <w:tc>
          <w:tcPr>
            <w:tcW w:w="2581" w:type="pct"/>
            <w:tcBorders>
              <w:top w:val="single" w:sz="4" w:space="0" w:color="auto"/>
              <w:left w:val="nil"/>
              <w:bottom w:val="single" w:sz="4" w:space="0" w:color="auto"/>
              <w:right w:val="nil"/>
            </w:tcBorders>
            <w:shd w:val="clear" w:color="auto" w:fill="auto"/>
            <w:vAlign w:val="center"/>
            <w:hideMark/>
          </w:tcPr>
          <w:p w:rsidR="009B3F03" w:rsidRPr="009B3F03" w:rsidRDefault="009B3F03" w:rsidP="009B3F03">
            <w:pPr>
              <w:spacing w:after="0"/>
              <w:ind w:firstLine="0"/>
              <w:jc w:val="left"/>
              <w:rPr>
                <w:rFonts w:ascii="Arial Narrow" w:hAnsi="Arial Narrow"/>
                <w:b/>
                <w:bCs/>
                <w:color w:val="000000"/>
                <w:sz w:val="18"/>
                <w:szCs w:val="18"/>
                <w:lang w:val="es-ES" w:eastAsia="es-ES"/>
              </w:rPr>
            </w:pPr>
            <w:r w:rsidRPr="009B3F03">
              <w:rPr>
                <w:rFonts w:ascii="Arial Narrow" w:hAnsi="Arial Narrow"/>
                <w:b/>
                <w:bCs/>
                <w:color w:val="000000"/>
                <w:sz w:val="18"/>
                <w:szCs w:val="18"/>
                <w:lang w:val="es-ES" w:eastAsia="es-ES"/>
              </w:rPr>
              <w:t>Impuestos directos</w:t>
            </w:r>
          </w:p>
        </w:tc>
        <w:tc>
          <w:tcPr>
            <w:tcW w:w="715" w:type="pct"/>
            <w:tcBorders>
              <w:top w:val="single" w:sz="4" w:space="0" w:color="auto"/>
              <w:left w:val="nil"/>
              <w:right w:val="nil"/>
            </w:tcBorders>
            <w:shd w:val="clear" w:color="auto" w:fill="auto"/>
            <w:vAlign w:val="center"/>
            <w:hideMark/>
          </w:tcPr>
          <w:p w:rsidR="009B3F03" w:rsidRPr="009B3F03" w:rsidRDefault="009B3F03" w:rsidP="00514C8A">
            <w:pPr>
              <w:spacing w:after="0"/>
              <w:ind w:firstLine="0"/>
              <w:jc w:val="right"/>
              <w:rPr>
                <w:rFonts w:ascii="Arial Narrow" w:hAnsi="Arial Narrow"/>
                <w:b/>
                <w:bCs/>
                <w:color w:val="000000"/>
                <w:sz w:val="18"/>
                <w:szCs w:val="18"/>
                <w:lang w:val="es-ES" w:eastAsia="es-ES"/>
              </w:rPr>
            </w:pPr>
            <w:r w:rsidRPr="009B3F03">
              <w:rPr>
                <w:rFonts w:ascii="Arial Narrow" w:hAnsi="Arial Narrow"/>
                <w:b/>
                <w:bCs/>
                <w:color w:val="000000"/>
                <w:sz w:val="18"/>
                <w:szCs w:val="18"/>
                <w:lang w:val="es-ES" w:eastAsia="es-ES"/>
              </w:rPr>
              <w:t> </w:t>
            </w:r>
          </w:p>
        </w:tc>
        <w:tc>
          <w:tcPr>
            <w:tcW w:w="985" w:type="pct"/>
            <w:tcBorders>
              <w:top w:val="single" w:sz="4" w:space="0" w:color="auto"/>
              <w:left w:val="nil"/>
              <w:right w:val="nil"/>
            </w:tcBorders>
            <w:shd w:val="clear" w:color="auto" w:fill="auto"/>
            <w:vAlign w:val="center"/>
            <w:hideMark/>
          </w:tcPr>
          <w:p w:rsidR="009B3F03" w:rsidRPr="009B3F03" w:rsidRDefault="009B3F03" w:rsidP="009B3F03">
            <w:pPr>
              <w:spacing w:after="0"/>
              <w:ind w:firstLine="0"/>
              <w:jc w:val="left"/>
              <w:rPr>
                <w:rFonts w:ascii="Arial Narrow" w:hAnsi="Arial Narrow"/>
                <w:b/>
                <w:bCs/>
                <w:color w:val="000000"/>
                <w:sz w:val="18"/>
                <w:szCs w:val="18"/>
                <w:lang w:val="es-ES" w:eastAsia="es-ES"/>
              </w:rPr>
            </w:pPr>
            <w:r w:rsidRPr="009B3F03">
              <w:rPr>
                <w:rFonts w:ascii="Arial Narrow" w:hAnsi="Arial Narrow"/>
                <w:b/>
                <w:bCs/>
                <w:color w:val="000000"/>
                <w:sz w:val="18"/>
                <w:szCs w:val="18"/>
                <w:lang w:val="es-ES" w:eastAsia="es-ES"/>
              </w:rPr>
              <w:t> </w:t>
            </w:r>
          </w:p>
        </w:tc>
        <w:tc>
          <w:tcPr>
            <w:tcW w:w="719" w:type="pct"/>
            <w:tcBorders>
              <w:top w:val="single" w:sz="4" w:space="0" w:color="auto"/>
              <w:left w:val="nil"/>
              <w:right w:val="nil"/>
            </w:tcBorders>
            <w:shd w:val="clear" w:color="auto" w:fill="auto"/>
            <w:vAlign w:val="center"/>
            <w:hideMark/>
          </w:tcPr>
          <w:p w:rsidR="009B3F03" w:rsidRPr="009B3F03" w:rsidRDefault="009B3F03" w:rsidP="00B275F3">
            <w:pPr>
              <w:spacing w:after="0"/>
              <w:ind w:firstLine="0"/>
              <w:jc w:val="right"/>
              <w:rPr>
                <w:rFonts w:ascii="Arial Narrow" w:hAnsi="Arial Narrow"/>
                <w:b/>
                <w:bCs/>
                <w:color w:val="000000"/>
                <w:sz w:val="18"/>
                <w:szCs w:val="18"/>
                <w:lang w:val="es-ES" w:eastAsia="es-ES"/>
              </w:rPr>
            </w:pPr>
            <w:r w:rsidRPr="009B3F03">
              <w:rPr>
                <w:rFonts w:ascii="Arial Narrow" w:hAnsi="Arial Narrow"/>
                <w:b/>
                <w:bCs/>
                <w:color w:val="000000"/>
                <w:sz w:val="18"/>
                <w:szCs w:val="18"/>
                <w:lang w:val="es-ES" w:eastAsia="es-ES"/>
              </w:rPr>
              <w:t> </w:t>
            </w:r>
          </w:p>
        </w:tc>
      </w:tr>
      <w:tr w:rsidR="009B3F03" w:rsidRPr="009B3F03" w:rsidTr="00B275F3">
        <w:trPr>
          <w:trHeight w:val="255"/>
        </w:trPr>
        <w:tc>
          <w:tcPr>
            <w:tcW w:w="2581" w:type="pct"/>
            <w:tcBorders>
              <w:top w:val="nil"/>
              <w:left w:val="nil"/>
              <w:bottom w:val="single" w:sz="4" w:space="0" w:color="auto"/>
              <w:right w:val="nil"/>
            </w:tcBorders>
            <w:shd w:val="clear" w:color="auto" w:fill="auto"/>
            <w:vAlign w:val="center"/>
            <w:hideMark/>
          </w:tcPr>
          <w:p w:rsidR="009B3F03" w:rsidRPr="009B3F03" w:rsidRDefault="009B3F03" w:rsidP="00B2176B">
            <w:pPr>
              <w:spacing w:after="0"/>
              <w:ind w:firstLine="0"/>
              <w:jc w:val="left"/>
              <w:rPr>
                <w:rFonts w:ascii="Arial Narrow" w:hAnsi="Arial Narrow"/>
                <w:color w:val="000000"/>
                <w:lang w:val="es-ES" w:eastAsia="es-ES"/>
              </w:rPr>
            </w:pPr>
            <w:r w:rsidRPr="009B3F03">
              <w:rPr>
                <w:rFonts w:ascii="Arial Narrow" w:hAnsi="Arial Narrow"/>
                <w:color w:val="000000"/>
                <w:lang w:val="es-ES" w:eastAsia="es-ES"/>
              </w:rPr>
              <w:t xml:space="preserve">Contribución territorial </w:t>
            </w:r>
          </w:p>
        </w:tc>
        <w:tc>
          <w:tcPr>
            <w:tcW w:w="715" w:type="pct"/>
            <w:tcBorders>
              <w:left w:val="nil"/>
              <w:bottom w:val="single" w:sz="4" w:space="0" w:color="auto"/>
              <w:right w:val="nil"/>
            </w:tcBorders>
            <w:shd w:val="clear" w:color="auto" w:fill="auto"/>
            <w:vAlign w:val="center"/>
            <w:hideMark/>
          </w:tcPr>
          <w:p w:rsidR="009B3F03" w:rsidRPr="009B3F03" w:rsidRDefault="009B3F03" w:rsidP="00514C8A">
            <w:pPr>
              <w:spacing w:after="0"/>
              <w:ind w:firstLine="0"/>
              <w:jc w:val="right"/>
              <w:rPr>
                <w:rFonts w:ascii="Arial Narrow" w:hAnsi="Arial Narrow"/>
                <w:color w:val="000000"/>
                <w:lang w:val="es-ES" w:eastAsia="es-ES"/>
              </w:rPr>
            </w:pPr>
            <w:r w:rsidRPr="009B3F03">
              <w:rPr>
                <w:rFonts w:ascii="Arial Narrow" w:hAnsi="Arial Narrow"/>
                <w:color w:val="000000"/>
                <w:lang w:val="es-ES" w:eastAsia="es-ES"/>
              </w:rPr>
              <w:t>3.098.422</w:t>
            </w:r>
          </w:p>
        </w:tc>
        <w:tc>
          <w:tcPr>
            <w:tcW w:w="985" w:type="pct"/>
            <w:tcBorders>
              <w:left w:val="nil"/>
              <w:bottom w:val="single" w:sz="4" w:space="0" w:color="auto"/>
              <w:right w:val="nil"/>
            </w:tcBorders>
            <w:shd w:val="clear" w:color="auto" w:fill="auto"/>
            <w:vAlign w:val="center"/>
            <w:hideMark/>
          </w:tcPr>
          <w:p w:rsidR="009B3F03" w:rsidRPr="009B3F03" w:rsidRDefault="009B3F03" w:rsidP="009B3F03">
            <w:pPr>
              <w:spacing w:after="0"/>
              <w:ind w:firstLine="0"/>
              <w:jc w:val="right"/>
              <w:rPr>
                <w:rFonts w:ascii="Arial Narrow" w:hAnsi="Arial Narrow"/>
                <w:color w:val="000000"/>
                <w:lang w:val="es-ES" w:eastAsia="es-ES"/>
              </w:rPr>
            </w:pPr>
            <w:r w:rsidRPr="009B3F03">
              <w:rPr>
                <w:rFonts w:ascii="Arial Narrow" w:hAnsi="Arial Narrow"/>
                <w:color w:val="000000"/>
                <w:lang w:val="es-ES" w:eastAsia="es-ES"/>
              </w:rPr>
              <w:t>21</w:t>
            </w:r>
          </w:p>
        </w:tc>
        <w:tc>
          <w:tcPr>
            <w:tcW w:w="719" w:type="pct"/>
            <w:tcBorders>
              <w:left w:val="nil"/>
              <w:bottom w:val="single" w:sz="4" w:space="0" w:color="auto"/>
              <w:right w:val="nil"/>
            </w:tcBorders>
            <w:shd w:val="clear" w:color="auto" w:fill="auto"/>
            <w:vAlign w:val="center"/>
            <w:hideMark/>
          </w:tcPr>
          <w:p w:rsidR="009B3F03" w:rsidRPr="009B3F03" w:rsidRDefault="009B3F03" w:rsidP="009B3F03">
            <w:pPr>
              <w:spacing w:after="0"/>
              <w:ind w:firstLine="0"/>
              <w:jc w:val="right"/>
              <w:rPr>
                <w:rFonts w:ascii="Arial Narrow" w:hAnsi="Arial Narrow"/>
                <w:color w:val="000000"/>
                <w:lang w:val="es-ES" w:eastAsia="es-ES"/>
              </w:rPr>
            </w:pPr>
            <w:r w:rsidRPr="009B3F03">
              <w:rPr>
                <w:rFonts w:ascii="Arial Narrow" w:hAnsi="Arial Narrow"/>
                <w:color w:val="000000"/>
                <w:lang w:val="es-ES" w:eastAsia="es-ES"/>
              </w:rPr>
              <w:t>0</w:t>
            </w:r>
          </w:p>
        </w:tc>
      </w:tr>
      <w:tr w:rsidR="009B3F03" w:rsidRPr="009B3F03" w:rsidTr="00B275F3">
        <w:trPr>
          <w:trHeight w:val="255"/>
        </w:trPr>
        <w:tc>
          <w:tcPr>
            <w:tcW w:w="2581" w:type="pct"/>
            <w:tcBorders>
              <w:top w:val="nil"/>
              <w:left w:val="nil"/>
              <w:bottom w:val="single" w:sz="4" w:space="0" w:color="auto"/>
              <w:right w:val="nil"/>
            </w:tcBorders>
            <w:shd w:val="clear" w:color="auto" w:fill="auto"/>
            <w:vAlign w:val="center"/>
            <w:hideMark/>
          </w:tcPr>
          <w:p w:rsidR="009B3F03" w:rsidRPr="009B3F03" w:rsidRDefault="009B3F03" w:rsidP="009B3F03">
            <w:pPr>
              <w:spacing w:after="0"/>
              <w:ind w:firstLine="0"/>
              <w:jc w:val="left"/>
              <w:rPr>
                <w:rFonts w:ascii="Arial Narrow" w:hAnsi="Arial Narrow"/>
                <w:color w:val="000000"/>
                <w:lang w:val="es-ES" w:eastAsia="es-ES"/>
              </w:rPr>
            </w:pPr>
            <w:r w:rsidRPr="009B3F03">
              <w:rPr>
                <w:rFonts w:ascii="Arial Narrow" w:hAnsi="Arial Narrow"/>
                <w:color w:val="000000"/>
                <w:lang w:val="es-ES" w:eastAsia="es-ES"/>
              </w:rPr>
              <w:t>Impuesto circulación</w:t>
            </w:r>
          </w:p>
        </w:tc>
        <w:tc>
          <w:tcPr>
            <w:tcW w:w="715" w:type="pct"/>
            <w:tcBorders>
              <w:top w:val="nil"/>
              <w:left w:val="nil"/>
              <w:bottom w:val="single" w:sz="4" w:space="0" w:color="auto"/>
              <w:right w:val="nil"/>
            </w:tcBorders>
            <w:shd w:val="clear" w:color="auto" w:fill="auto"/>
            <w:vAlign w:val="center"/>
            <w:hideMark/>
          </w:tcPr>
          <w:p w:rsidR="009B3F03" w:rsidRPr="009B3F03" w:rsidRDefault="009B3F03" w:rsidP="00514C8A">
            <w:pPr>
              <w:spacing w:after="0"/>
              <w:ind w:firstLine="0"/>
              <w:jc w:val="right"/>
              <w:rPr>
                <w:rFonts w:ascii="Arial Narrow" w:hAnsi="Arial Narrow"/>
                <w:color w:val="000000"/>
                <w:lang w:val="es-ES" w:eastAsia="es-ES"/>
              </w:rPr>
            </w:pPr>
            <w:r w:rsidRPr="009B3F03">
              <w:rPr>
                <w:rFonts w:ascii="Arial Narrow" w:hAnsi="Arial Narrow"/>
                <w:color w:val="000000"/>
                <w:lang w:val="es-ES" w:eastAsia="es-ES"/>
              </w:rPr>
              <w:t>921.881</w:t>
            </w:r>
          </w:p>
        </w:tc>
        <w:tc>
          <w:tcPr>
            <w:tcW w:w="985" w:type="pct"/>
            <w:tcBorders>
              <w:top w:val="nil"/>
              <w:left w:val="nil"/>
              <w:bottom w:val="single" w:sz="4" w:space="0" w:color="auto"/>
              <w:right w:val="nil"/>
            </w:tcBorders>
            <w:shd w:val="clear" w:color="auto" w:fill="auto"/>
            <w:vAlign w:val="center"/>
            <w:hideMark/>
          </w:tcPr>
          <w:p w:rsidR="009B3F03" w:rsidRPr="009B3F03" w:rsidRDefault="009B3F03" w:rsidP="009B3F03">
            <w:pPr>
              <w:spacing w:after="0"/>
              <w:ind w:firstLine="0"/>
              <w:jc w:val="right"/>
              <w:rPr>
                <w:rFonts w:ascii="Arial Narrow" w:hAnsi="Arial Narrow"/>
                <w:color w:val="000000"/>
                <w:lang w:val="es-ES" w:eastAsia="es-ES"/>
              </w:rPr>
            </w:pPr>
            <w:r w:rsidRPr="009B3F03">
              <w:rPr>
                <w:rFonts w:ascii="Arial Narrow" w:hAnsi="Arial Narrow"/>
                <w:color w:val="000000"/>
                <w:lang w:val="es-ES" w:eastAsia="es-ES"/>
              </w:rPr>
              <w:t>6</w:t>
            </w:r>
          </w:p>
        </w:tc>
        <w:tc>
          <w:tcPr>
            <w:tcW w:w="719" w:type="pct"/>
            <w:tcBorders>
              <w:top w:val="nil"/>
              <w:left w:val="nil"/>
              <w:bottom w:val="single" w:sz="4" w:space="0" w:color="auto"/>
              <w:right w:val="nil"/>
            </w:tcBorders>
            <w:shd w:val="clear" w:color="auto" w:fill="auto"/>
            <w:vAlign w:val="center"/>
            <w:hideMark/>
          </w:tcPr>
          <w:p w:rsidR="009B3F03" w:rsidRPr="009B3F03" w:rsidRDefault="009B3F03" w:rsidP="009B3F03">
            <w:pPr>
              <w:spacing w:after="0"/>
              <w:ind w:firstLine="0"/>
              <w:jc w:val="right"/>
              <w:rPr>
                <w:rFonts w:ascii="Arial Narrow" w:hAnsi="Arial Narrow"/>
                <w:color w:val="000000"/>
                <w:lang w:val="es-ES" w:eastAsia="es-ES"/>
              </w:rPr>
            </w:pPr>
            <w:r w:rsidRPr="009B3F03">
              <w:rPr>
                <w:rFonts w:ascii="Arial Narrow" w:hAnsi="Arial Narrow"/>
                <w:color w:val="000000"/>
                <w:lang w:val="es-ES" w:eastAsia="es-ES"/>
              </w:rPr>
              <w:t>5</w:t>
            </w:r>
          </w:p>
        </w:tc>
      </w:tr>
      <w:tr w:rsidR="009B3F03" w:rsidRPr="009B3F03" w:rsidTr="00B275F3">
        <w:trPr>
          <w:trHeight w:val="255"/>
        </w:trPr>
        <w:tc>
          <w:tcPr>
            <w:tcW w:w="2581" w:type="pct"/>
            <w:tcBorders>
              <w:top w:val="nil"/>
              <w:left w:val="nil"/>
              <w:bottom w:val="single" w:sz="4" w:space="0" w:color="auto"/>
              <w:right w:val="nil"/>
            </w:tcBorders>
            <w:shd w:val="clear" w:color="auto" w:fill="auto"/>
            <w:vAlign w:val="center"/>
            <w:hideMark/>
          </w:tcPr>
          <w:p w:rsidR="009B3F03" w:rsidRPr="009B3F03" w:rsidRDefault="009B3F03" w:rsidP="009B3F03">
            <w:pPr>
              <w:spacing w:after="0"/>
              <w:ind w:firstLine="0"/>
              <w:jc w:val="left"/>
              <w:rPr>
                <w:rFonts w:ascii="Arial Narrow" w:hAnsi="Arial Narrow"/>
                <w:color w:val="000000"/>
                <w:lang w:val="es-ES" w:eastAsia="es-ES"/>
              </w:rPr>
            </w:pPr>
            <w:r w:rsidRPr="009B3F03">
              <w:rPr>
                <w:rFonts w:ascii="Arial Narrow" w:hAnsi="Arial Narrow"/>
                <w:color w:val="000000"/>
                <w:lang w:val="es-ES" w:eastAsia="es-ES"/>
              </w:rPr>
              <w:t>Imp</w:t>
            </w:r>
            <w:r>
              <w:rPr>
                <w:rFonts w:ascii="Arial Narrow" w:hAnsi="Arial Narrow"/>
                <w:color w:val="000000"/>
                <w:lang w:val="es-ES" w:eastAsia="es-ES"/>
              </w:rPr>
              <w:t>uesto</w:t>
            </w:r>
            <w:r w:rsidRPr="009B3F03">
              <w:rPr>
                <w:rFonts w:ascii="Arial Narrow" w:hAnsi="Arial Narrow"/>
                <w:color w:val="000000"/>
                <w:lang w:val="es-ES" w:eastAsia="es-ES"/>
              </w:rPr>
              <w:t xml:space="preserve"> incremento valor terrenos de naturaleza urbana</w:t>
            </w:r>
          </w:p>
        </w:tc>
        <w:tc>
          <w:tcPr>
            <w:tcW w:w="715" w:type="pct"/>
            <w:tcBorders>
              <w:top w:val="nil"/>
              <w:left w:val="nil"/>
              <w:bottom w:val="single" w:sz="4" w:space="0" w:color="auto"/>
              <w:right w:val="nil"/>
            </w:tcBorders>
            <w:shd w:val="clear" w:color="auto" w:fill="auto"/>
            <w:vAlign w:val="center"/>
            <w:hideMark/>
          </w:tcPr>
          <w:p w:rsidR="009B3F03" w:rsidRPr="009B3F03" w:rsidRDefault="009B3F03" w:rsidP="00514C8A">
            <w:pPr>
              <w:spacing w:after="0"/>
              <w:ind w:firstLine="0"/>
              <w:jc w:val="right"/>
              <w:rPr>
                <w:rFonts w:ascii="Arial Narrow" w:hAnsi="Arial Narrow"/>
                <w:color w:val="000000"/>
                <w:lang w:val="es-ES" w:eastAsia="es-ES"/>
              </w:rPr>
            </w:pPr>
            <w:r w:rsidRPr="009B3F03">
              <w:rPr>
                <w:rFonts w:ascii="Arial Narrow" w:hAnsi="Arial Narrow"/>
                <w:color w:val="000000"/>
                <w:lang w:val="es-ES" w:eastAsia="es-ES"/>
              </w:rPr>
              <w:t>507.283</w:t>
            </w:r>
          </w:p>
        </w:tc>
        <w:tc>
          <w:tcPr>
            <w:tcW w:w="985" w:type="pct"/>
            <w:tcBorders>
              <w:top w:val="nil"/>
              <w:left w:val="nil"/>
              <w:bottom w:val="single" w:sz="4" w:space="0" w:color="auto"/>
              <w:right w:val="nil"/>
            </w:tcBorders>
            <w:shd w:val="clear" w:color="auto" w:fill="auto"/>
            <w:vAlign w:val="center"/>
            <w:hideMark/>
          </w:tcPr>
          <w:p w:rsidR="009B3F03" w:rsidRPr="009B3F03" w:rsidRDefault="009B3F03" w:rsidP="009B3F03">
            <w:pPr>
              <w:spacing w:after="0"/>
              <w:ind w:firstLine="0"/>
              <w:jc w:val="right"/>
              <w:rPr>
                <w:rFonts w:ascii="Arial Narrow" w:hAnsi="Arial Narrow"/>
                <w:color w:val="000000"/>
                <w:lang w:val="es-ES" w:eastAsia="es-ES"/>
              </w:rPr>
            </w:pPr>
            <w:r w:rsidRPr="009B3F03">
              <w:rPr>
                <w:rFonts w:ascii="Arial Narrow" w:hAnsi="Arial Narrow"/>
                <w:color w:val="000000"/>
                <w:lang w:val="es-ES" w:eastAsia="es-ES"/>
              </w:rPr>
              <w:t>3</w:t>
            </w:r>
          </w:p>
        </w:tc>
        <w:tc>
          <w:tcPr>
            <w:tcW w:w="719" w:type="pct"/>
            <w:tcBorders>
              <w:top w:val="nil"/>
              <w:left w:val="nil"/>
              <w:bottom w:val="single" w:sz="4" w:space="0" w:color="auto"/>
              <w:right w:val="nil"/>
            </w:tcBorders>
            <w:shd w:val="clear" w:color="auto" w:fill="auto"/>
            <w:vAlign w:val="center"/>
            <w:hideMark/>
          </w:tcPr>
          <w:p w:rsidR="009B3F03" w:rsidRPr="009B3F03" w:rsidRDefault="009B3F03" w:rsidP="009B3F03">
            <w:pPr>
              <w:spacing w:after="0"/>
              <w:ind w:firstLine="0"/>
              <w:jc w:val="right"/>
              <w:rPr>
                <w:rFonts w:ascii="Arial Narrow" w:hAnsi="Arial Narrow"/>
                <w:color w:val="000000"/>
                <w:lang w:val="es-ES" w:eastAsia="es-ES"/>
              </w:rPr>
            </w:pPr>
            <w:r w:rsidRPr="009B3F03">
              <w:rPr>
                <w:rFonts w:ascii="Arial Narrow" w:hAnsi="Arial Narrow"/>
                <w:color w:val="000000"/>
                <w:lang w:val="es-ES" w:eastAsia="es-ES"/>
              </w:rPr>
              <w:t>76</w:t>
            </w:r>
          </w:p>
        </w:tc>
      </w:tr>
      <w:tr w:rsidR="009B3F03" w:rsidRPr="009B3F03" w:rsidTr="00B275F3">
        <w:trPr>
          <w:trHeight w:val="255"/>
        </w:trPr>
        <w:tc>
          <w:tcPr>
            <w:tcW w:w="2581" w:type="pct"/>
            <w:tcBorders>
              <w:top w:val="nil"/>
              <w:left w:val="nil"/>
              <w:bottom w:val="single" w:sz="4" w:space="0" w:color="auto"/>
              <w:right w:val="nil"/>
            </w:tcBorders>
            <w:shd w:val="clear" w:color="auto" w:fill="auto"/>
            <w:vAlign w:val="center"/>
            <w:hideMark/>
          </w:tcPr>
          <w:p w:rsidR="009B3F03" w:rsidRPr="009B3F03" w:rsidRDefault="009B3F03" w:rsidP="009B3F03">
            <w:pPr>
              <w:spacing w:after="0"/>
              <w:ind w:firstLine="0"/>
              <w:jc w:val="left"/>
              <w:rPr>
                <w:rFonts w:ascii="Arial Narrow" w:hAnsi="Arial Narrow"/>
                <w:color w:val="000000"/>
                <w:lang w:val="es-ES" w:eastAsia="es-ES"/>
              </w:rPr>
            </w:pPr>
            <w:r>
              <w:rPr>
                <w:rFonts w:ascii="Arial Narrow" w:hAnsi="Arial Narrow"/>
                <w:color w:val="000000"/>
                <w:lang w:val="es-ES" w:eastAsia="es-ES"/>
              </w:rPr>
              <w:t>Impuesto</w:t>
            </w:r>
            <w:r w:rsidRPr="009B3F03">
              <w:rPr>
                <w:rFonts w:ascii="Arial Narrow" w:hAnsi="Arial Narrow"/>
                <w:color w:val="000000"/>
                <w:lang w:val="es-ES" w:eastAsia="es-ES"/>
              </w:rPr>
              <w:t xml:space="preserve"> </w:t>
            </w:r>
            <w:r>
              <w:rPr>
                <w:rFonts w:ascii="Arial Narrow" w:hAnsi="Arial Narrow"/>
                <w:color w:val="000000"/>
                <w:lang w:val="es-ES" w:eastAsia="es-ES"/>
              </w:rPr>
              <w:t>a</w:t>
            </w:r>
            <w:r w:rsidRPr="009B3F03">
              <w:rPr>
                <w:rFonts w:ascii="Arial Narrow" w:hAnsi="Arial Narrow"/>
                <w:color w:val="000000"/>
                <w:lang w:val="es-ES" w:eastAsia="es-ES"/>
              </w:rPr>
              <w:t>ctividades económicas</w:t>
            </w:r>
          </w:p>
        </w:tc>
        <w:tc>
          <w:tcPr>
            <w:tcW w:w="715" w:type="pct"/>
            <w:tcBorders>
              <w:top w:val="nil"/>
              <w:left w:val="nil"/>
              <w:bottom w:val="single" w:sz="4" w:space="0" w:color="auto"/>
              <w:right w:val="nil"/>
            </w:tcBorders>
            <w:shd w:val="clear" w:color="auto" w:fill="auto"/>
            <w:vAlign w:val="center"/>
            <w:hideMark/>
          </w:tcPr>
          <w:p w:rsidR="009B3F03" w:rsidRPr="009B3F03" w:rsidRDefault="009B3F03" w:rsidP="00514C8A">
            <w:pPr>
              <w:spacing w:after="0"/>
              <w:ind w:firstLine="0"/>
              <w:jc w:val="right"/>
              <w:rPr>
                <w:rFonts w:ascii="Arial Narrow" w:hAnsi="Arial Narrow"/>
                <w:color w:val="000000"/>
                <w:lang w:val="es-ES" w:eastAsia="es-ES"/>
              </w:rPr>
            </w:pPr>
            <w:r w:rsidRPr="009B3F03">
              <w:rPr>
                <w:rFonts w:ascii="Arial Narrow" w:hAnsi="Arial Narrow"/>
                <w:color w:val="000000"/>
                <w:lang w:val="es-ES" w:eastAsia="es-ES"/>
              </w:rPr>
              <w:t>320.890</w:t>
            </w:r>
          </w:p>
        </w:tc>
        <w:tc>
          <w:tcPr>
            <w:tcW w:w="985" w:type="pct"/>
            <w:tcBorders>
              <w:top w:val="nil"/>
              <w:left w:val="nil"/>
              <w:bottom w:val="single" w:sz="4" w:space="0" w:color="auto"/>
              <w:right w:val="nil"/>
            </w:tcBorders>
            <w:shd w:val="clear" w:color="auto" w:fill="auto"/>
            <w:vAlign w:val="center"/>
            <w:hideMark/>
          </w:tcPr>
          <w:p w:rsidR="009B3F03" w:rsidRPr="009B3F03" w:rsidRDefault="009B3F03" w:rsidP="009B3F03">
            <w:pPr>
              <w:spacing w:after="0"/>
              <w:ind w:firstLine="0"/>
              <w:jc w:val="right"/>
              <w:rPr>
                <w:rFonts w:ascii="Arial Narrow" w:hAnsi="Arial Narrow"/>
                <w:color w:val="000000"/>
                <w:lang w:val="es-ES" w:eastAsia="es-ES"/>
              </w:rPr>
            </w:pPr>
            <w:r w:rsidRPr="009B3F03">
              <w:rPr>
                <w:rFonts w:ascii="Arial Narrow" w:hAnsi="Arial Narrow"/>
                <w:color w:val="000000"/>
                <w:lang w:val="es-ES" w:eastAsia="es-ES"/>
              </w:rPr>
              <w:t>2</w:t>
            </w:r>
          </w:p>
        </w:tc>
        <w:tc>
          <w:tcPr>
            <w:tcW w:w="719" w:type="pct"/>
            <w:tcBorders>
              <w:top w:val="nil"/>
              <w:left w:val="nil"/>
              <w:bottom w:val="single" w:sz="4" w:space="0" w:color="auto"/>
              <w:right w:val="nil"/>
            </w:tcBorders>
            <w:shd w:val="clear" w:color="auto" w:fill="auto"/>
            <w:vAlign w:val="center"/>
            <w:hideMark/>
          </w:tcPr>
          <w:p w:rsidR="009B3F03" w:rsidRPr="009B3F03" w:rsidRDefault="009B3F03" w:rsidP="009B3F03">
            <w:pPr>
              <w:spacing w:after="0"/>
              <w:ind w:firstLine="0"/>
              <w:jc w:val="right"/>
              <w:rPr>
                <w:rFonts w:ascii="Arial Narrow" w:hAnsi="Arial Narrow"/>
                <w:color w:val="000000"/>
                <w:lang w:val="es-ES" w:eastAsia="es-ES"/>
              </w:rPr>
            </w:pPr>
            <w:r w:rsidRPr="009B3F03">
              <w:rPr>
                <w:rFonts w:ascii="Arial Narrow" w:hAnsi="Arial Narrow"/>
                <w:color w:val="000000"/>
                <w:lang w:val="es-ES" w:eastAsia="es-ES"/>
              </w:rPr>
              <w:t>-3</w:t>
            </w:r>
          </w:p>
        </w:tc>
      </w:tr>
      <w:tr w:rsidR="009B3F03" w:rsidRPr="009B3F03" w:rsidTr="00B275F3">
        <w:trPr>
          <w:trHeight w:val="255"/>
        </w:trPr>
        <w:tc>
          <w:tcPr>
            <w:tcW w:w="2581" w:type="pct"/>
            <w:tcBorders>
              <w:top w:val="nil"/>
              <w:left w:val="nil"/>
              <w:bottom w:val="single" w:sz="4" w:space="0" w:color="auto"/>
              <w:right w:val="nil"/>
            </w:tcBorders>
            <w:shd w:val="clear" w:color="auto" w:fill="auto"/>
            <w:vAlign w:val="center"/>
            <w:hideMark/>
          </w:tcPr>
          <w:p w:rsidR="009B3F03" w:rsidRPr="009B3F03" w:rsidRDefault="009B3F03" w:rsidP="009B3F03">
            <w:pPr>
              <w:spacing w:after="0"/>
              <w:ind w:firstLine="0"/>
              <w:jc w:val="left"/>
              <w:rPr>
                <w:rFonts w:ascii="Arial Narrow" w:hAnsi="Arial Narrow"/>
                <w:b/>
                <w:bCs/>
                <w:color w:val="000000"/>
                <w:sz w:val="18"/>
                <w:szCs w:val="18"/>
                <w:lang w:val="es-ES" w:eastAsia="es-ES"/>
              </w:rPr>
            </w:pPr>
            <w:r w:rsidRPr="009B3F03">
              <w:rPr>
                <w:rFonts w:ascii="Arial Narrow" w:hAnsi="Arial Narrow"/>
                <w:b/>
                <w:bCs/>
                <w:color w:val="000000"/>
                <w:sz w:val="18"/>
                <w:szCs w:val="18"/>
                <w:lang w:val="es-ES" w:eastAsia="es-ES"/>
              </w:rPr>
              <w:t>Impuestos indirectos</w:t>
            </w:r>
          </w:p>
        </w:tc>
        <w:tc>
          <w:tcPr>
            <w:tcW w:w="715" w:type="pct"/>
            <w:tcBorders>
              <w:top w:val="single" w:sz="4" w:space="0" w:color="auto"/>
              <w:left w:val="nil"/>
              <w:right w:val="nil"/>
            </w:tcBorders>
            <w:shd w:val="clear" w:color="auto" w:fill="auto"/>
            <w:vAlign w:val="center"/>
            <w:hideMark/>
          </w:tcPr>
          <w:p w:rsidR="009B3F03" w:rsidRPr="009B3F03" w:rsidRDefault="009B3F03" w:rsidP="00514C8A">
            <w:pPr>
              <w:spacing w:after="0"/>
              <w:ind w:firstLine="0"/>
              <w:jc w:val="right"/>
              <w:rPr>
                <w:rFonts w:ascii="Arial Narrow" w:hAnsi="Arial Narrow"/>
                <w:b/>
                <w:bCs/>
                <w:color w:val="000000"/>
                <w:sz w:val="18"/>
                <w:szCs w:val="18"/>
                <w:lang w:val="es-ES" w:eastAsia="es-ES"/>
              </w:rPr>
            </w:pPr>
            <w:r w:rsidRPr="009B3F03">
              <w:rPr>
                <w:rFonts w:ascii="Arial Narrow" w:hAnsi="Arial Narrow"/>
                <w:b/>
                <w:bCs/>
                <w:color w:val="000000"/>
                <w:sz w:val="18"/>
                <w:szCs w:val="18"/>
                <w:lang w:val="es-ES" w:eastAsia="es-ES"/>
              </w:rPr>
              <w:t> </w:t>
            </w:r>
          </w:p>
        </w:tc>
        <w:tc>
          <w:tcPr>
            <w:tcW w:w="985" w:type="pct"/>
            <w:tcBorders>
              <w:top w:val="single" w:sz="4" w:space="0" w:color="auto"/>
              <w:left w:val="nil"/>
              <w:right w:val="nil"/>
            </w:tcBorders>
            <w:shd w:val="clear" w:color="auto" w:fill="auto"/>
            <w:vAlign w:val="center"/>
            <w:hideMark/>
          </w:tcPr>
          <w:p w:rsidR="009B3F03" w:rsidRPr="009B3F03" w:rsidRDefault="009B3F03" w:rsidP="009B3F03">
            <w:pPr>
              <w:spacing w:after="0"/>
              <w:ind w:firstLine="0"/>
              <w:jc w:val="right"/>
              <w:rPr>
                <w:rFonts w:ascii="Arial Narrow" w:hAnsi="Arial Narrow"/>
                <w:color w:val="000000"/>
                <w:lang w:val="es-ES" w:eastAsia="es-ES"/>
              </w:rPr>
            </w:pPr>
            <w:r w:rsidRPr="009B3F03">
              <w:rPr>
                <w:rFonts w:ascii="Arial Narrow" w:hAnsi="Arial Narrow"/>
                <w:color w:val="000000"/>
                <w:lang w:val="es-ES" w:eastAsia="es-ES"/>
              </w:rPr>
              <w:t> </w:t>
            </w:r>
          </w:p>
        </w:tc>
        <w:tc>
          <w:tcPr>
            <w:tcW w:w="719" w:type="pct"/>
            <w:tcBorders>
              <w:top w:val="single" w:sz="4" w:space="0" w:color="auto"/>
              <w:left w:val="nil"/>
              <w:right w:val="nil"/>
            </w:tcBorders>
            <w:shd w:val="clear" w:color="auto" w:fill="auto"/>
            <w:vAlign w:val="center"/>
            <w:hideMark/>
          </w:tcPr>
          <w:p w:rsidR="009B3F03" w:rsidRPr="009B3F03" w:rsidRDefault="009B3F03" w:rsidP="009B3F03">
            <w:pPr>
              <w:spacing w:after="0"/>
              <w:ind w:firstLine="0"/>
              <w:jc w:val="right"/>
              <w:rPr>
                <w:rFonts w:ascii="Arial Narrow" w:hAnsi="Arial Narrow"/>
                <w:b/>
                <w:bCs/>
                <w:color w:val="000000"/>
                <w:sz w:val="18"/>
                <w:szCs w:val="18"/>
                <w:lang w:val="es-ES" w:eastAsia="es-ES"/>
              </w:rPr>
            </w:pPr>
            <w:r w:rsidRPr="009B3F03">
              <w:rPr>
                <w:rFonts w:ascii="Arial Narrow" w:hAnsi="Arial Narrow"/>
                <w:b/>
                <w:bCs/>
                <w:color w:val="000000"/>
                <w:sz w:val="18"/>
                <w:szCs w:val="18"/>
                <w:lang w:val="es-ES" w:eastAsia="es-ES"/>
              </w:rPr>
              <w:t> </w:t>
            </w:r>
          </w:p>
        </w:tc>
      </w:tr>
      <w:tr w:rsidR="009B3F03" w:rsidRPr="009B3F03" w:rsidTr="00B275F3">
        <w:trPr>
          <w:trHeight w:val="255"/>
        </w:trPr>
        <w:tc>
          <w:tcPr>
            <w:tcW w:w="2581" w:type="pct"/>
            <w:tcBorders>
              <w:top w:val="nil"/>
              <w:left w:val="nil"/>
              <w:bottom w:val="single" w:sz="4" w:space="0" w:color="auto"/>
              <w:right w:val="nil"/>
            </w:tcBorders>
            <w:shd w:val="clear" w:color="auto" w:fill="auto"/>
            <w:vAlign w:val="center"/>
            <w:hideMark/>
          </w:tcPr>
          <w:p w:rsidR="009B3F03" w:rsidRPr="009B3F03" w:rsidRDefault="009B3F03" w:rsidP="009B3F03">
            <w:pPr>
              <w:spacing w:after="0"/>
              <w:ind w:firstLine="0"/>
              <w:jc w:val="left"/>
              <w:rPr>
                <w:rFonts w:ascii="Arial Narrow" w:hAnsi="Arial Narrow"/>
                <w:color w:val="000000"/>
                <w:lang w:val="es-ES" w:eastAsia="es-ES"/>
              </w:rPr>
            </w:pPr>
            <w:r w:rsidRPr="009B3F03">
              <w:rPr>
                <w:rFonts w:ascii="Arial Narrow" w:hAnsi="Arial Narrow"/>
                <w:color w:val="000000"/>
                <w:lang w:val="es-ES" w:eastAsia="es-ES"/>
              </w:rPr>
              <w:t>Imp</w:t>
            </w:r>
            <w:r>
              <w:rPr>
                <w:rFonts w:ascii="Arial Narrow" w:hAnsi="Arial Narrow"/>
                <w:color w:val="000000"/>
                <w:lang w:val="es-ES" w:eastAsia="es-ES"/>
              </w:rPr>
              <w:t xml:space="preserve">uesto construcciones, instalaciones </w:t>
            </w:r>
            <w:r w:rsidRPr="009B3F03">
              <w:rPr>
                <w:rFonts w:ascii="Arial Narrow" w:hAnsi="Arial Narrow"/>
                <w:color w:val="000000"/>
                <w:lang w:val="es-ES" w:eastAsia="es-ES"/>
              </w:rPr>
              <w:t>y obras</w:t>
            </w:r>
          </w:p>
        </w:tc>
        <w:tc>
          <w:tcPr>
            <w:tcW w:w="715" w:type="pct"/>
            <w:tcBorders>
              <w:left w:val="nil"/>
              <w:bottom w:val="single" w:sz="4" w:space="0" w:color="auto"/>
              <w:right w:val="nil"/>
            </w:tcBorders>
            <w:shd w:val="clear" w:color="auto" w:fill="auto"/>
            <w:vAlign w:val="center"/>
            <w:hideMark/>
          </w:tcPr>
          <w:p w:rsidR="009B3F03" w:rsidRPr="009B3F03" w:rsidRDefault="009B3F03" w:rsidP="00514C8A">
            <w:pPr>
              <w:spacing w:after="0"/>
              <w:ind w:firstLine="0"/>
              <w:jc w:val="right"/>
              <w:rPr>
                <w:rFonts w:ascii="Arial Narrow" w:hAnsi="Arial Narrow"/>
                <w:color w:val="000000"/>
                <w:lang w:val="es-ES" w:eastAsia="es-ES"/>
              </w:rPr>
            </w:pPr>
            <w:r w:rsidRPr="009B3F03">
              <w:rPr>
                <w:rFonts w:ascii="Arial Narrow" w:hAnsi="Arial Narrow"/>
                <w:color w:val="000000"/>
                <w:lang w:val="es-ES" w:eastAsia="es-ES"/>
              </w:rPr>
              <w:t>867.048</w:t>
            </w:r>
          </w:p>
        </w:tc>
        <w:tc>
          <w:tcPr>
            <w:tcW w:w="985" w:type="pct"/>
            <w:tcBorders>
              <w:left w:val="nil"/>
              <w:bottom w:val="single" w:sz="4" w:space="0" w:color="auto"/>
              <w:right w:val="nil"/>
            </w:tcBorders>
            <w:shd w:val="clear" w:color="auto" w:fill="auto"/>
            <w:vAlign w:val="center"/>
            <w:hideMark/>
          </w:tcPr>
          <w:p w:rsidR="009B3F03" w:rsidRPr="009B3F03" w:rsidRDefault="009B3F03" w:rsidP="009B3F03">
            <w:pPr>
              <w:spacing w:after="0"/>
              <w:ind w:firstLine="0"/>
              <w:jc w:val="right"/>
              <w:rPr>
                <w:rFonts w:ascii="Arial Narrow" w:hAnsi="Arial Narrow"/>
                <w:color w:val="000000"/>
                <w:lang w:val="es-ES" w:eastAsia="es-ES"/>
              </w:rPr>
            </w:pPr>
            <w:r w:rsidRPr="009B3F03">
              <w:rPr>
                <w:rFonts w:ascii="Arial Narrow" w:hAnsi="Arial Narrow"/>
                <w:color w:val="000000"/>
                <w:lang w:val="es-ES" w:eastAsia="es-ES"/>
              </w:rPr>
              <w:t>6</w:t>
            </w:r>
          </w:p>
        </w:tc>
        <w:tc>
          <w:tcPr>
            <w:tcW w:w="719" w:type="pct"/>
            <w:tcBorders>
              <w:left w:val="nil"/>
              <w:bottom w:val="single" w:sz="4" w:space="0" w:color="auto"/>
              <w:right w:val="nil"/>
            </w:tcBorders>
            <w:shd w:val="clear" w:color="auto" w:fill="auto"/>
            <w:vAlign w:val="center"/>
            <w:hideMark/>
          </w:tcPr>
          <w:p w:rsidR="009B3F03" w:rsidRPr="009B3F03" w:rsidRDefault="009B3F03" w:rsidP="009B3F03">
            <w:pPr>
              <w:spacing w:after="0"/>
              <w:ind w:firstLine="0"/>
              <w:jc w:val="right"/>
              <w:rPr>
                <w:rFonts w:ascii="Arial Narrow" w:hAnsi="Arial Narrow"/>
                <w:color w:val="000000"/>
                <w:lang w:val="es-ES" w:eastAsia="es-ES"/>
              </w:rPr>
            </w:pPr>
            <w:r w:rsidRPr="009B3F03">
              <w:rPr>
                <w:rFonts w:ascii="Arial Narrow" w:hAnsi="Arial Narrow"/>
                <w:color w:val="000000"/>
                <w:lang w:val="es-ES" w:eastAsia="es-ES"/>
              </w:rPr>
              <w:t>-39</w:t>
            </w:r>
          </w:p>
        </w:tc>
      </w:tr>
    </w:tbl>
    <w:p w:rsidR="0067725A" w:rsidRPr="00216F88" w:rsidRDefault="0067725A" w:rsidP="00E23E8E">
      <w:pPr>
        <w:pStyle w:val="texto"/>
        <w:tabs>
          <w:tab w:val="left" w:pos="708"/>
        </w:tabs>
        <w:spacing w:before="220"/>
        <w:rPr>
          <w:color w:val="000000" w:themeColor="text1"/>
          <w:szCs w:val="26"/>
        </w:rPr>
      </w:pPr>
      <w:r w:rsidRPr="00532777">
        <w:rPr>
          <w:rFonts w:cs="Arial"/>
        </w:rPr>
        <w:t>Los derechos reconocidos de mayor cuantía corresponden a la contribución u</w:t>
      </w:r>
      <w:r w:rsidRPr="00532777">
        <w:rPr>
          <w:rFonts w:cs="Arial"/>
        </w:rPr>
        <w:t>r</w:t>
      </w:r>
      <w:r w:rsidRPr="00216F88">
        <w:rPr>
          <w:rFonts w:cs="Arial"/>
          <w:color w:val="000000" w:themeColor="text1"/>
        </w:rPr>
        <w:t xml:space="preserve">bana con </w:t>
      </w:r>
      <w:r w:rsidR="009B3F03" w:rsidRPr="00216F88">
        <w:rPr>
          <w:rFonts w:cs="Arial"/>
          <w:color w:val="000000" w:themeColor="text1"/>
        </w:rPr>
        <w:t>3,1</w:t>
      </w:r>
      <w:r w:rsidRPr="00216F88">
        <w:rPr>
          <w:rFonts w:cs="Arial"/>
          <w:color w:val="000000" w:themeColor="text1"/>
        </w:rPr>
        <w:t xml:space="preserve"> millones de euros</w:t>
      </w:r>
      <w:r w:rsidR="009B3F03" w:rsidRPr="00216F88">
        <w:rPr>
          <w:rFonts w:cs="Arial"/>
          <w:color w:val="000000" w:themeColor="text1"/>
        </w:rPr>
        <w:t xml:space="preserve"> </w:t>
      </w:r>
      <w:r w:rsidR="002E076D" w:rsidRPr="00216F88">
        <w:rPr>
          <w:rFonts w:cs="Arial"/>
          <w:color w:val="000000" w:themeColor="text1"/>
        </w:rPr>
        <w:t>sin variación</w:t>
      </w:r>
      <w:r w:rsidR="009B3F03" w:rsidRPr="00216F88">
        <w:rPr>
          <w:rFonts w:cs="Arial"/>
          <w:color w:val="000000" w:themeColor="text1"/>
        </w:rPr>
        <w:t xml:space="preserve"> respecto al ejercicio anterior.</w:t>
      </w:r>
      <w:r w:rsidRPr="00216F88">
        <w:rPr>
          <w:rFonts w:cs="Arial"/>
          <w:color w:val="000000" w:themeColor="text1"/>
        </w:rPr>
        <w:t xml:space="preserve"> </w:t>
      </w:r>
    </w:p>
    <w:p w:rsidR="0067725A" w:rsidRDefault="0067725A" w:rsidP="00E23E8E">
      <w:pPr>
        <w:pStyle w:val="texto"/>
        <w:tabs>
          <w:tab w:val="left" w:pos="708"/>
        </w:tabs>
        <w:rPr>
          <w:spacing w:val="4"/>
          <w:szCs w:val="26"/>
        </w:rPr>
      </w:pPr>
      <w:r>
        <w:rPr>
          <w:spacing w:val="4"/>
          <w:szCs w:val="26"/>
        </w:rPr>
        <w:t>S</w:t>
      </w:r>
      <w:r w:rsidR="00214372">
        <w:rPr>
          <w:spacing w:val="4"/>
          <w:szCs w:val="26"/>
        </w:rPr>
        <w:t xml:space="preserve">on </w:t>
      </w:r>
      <w:r w:rsidR="0079287D">
        <w:rPr>
          <w:spacing w:val="4"/>
          <w:szCs w:val="26"/>
        </w:rPr>
        <w:t>significativos los siguientes aspectos:</w:t>
      </w:r>
    </w:p>
    <w:p w:rsidR="00BE26BA" w:rsidRDefault="00E33693" w:rsidP="0047343E">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rPr>
          <w:rFonts w:cs="Arial"/>
        </w:rPr>
      </w:pPr>
      <w:r w:rsidRPr="00466248">
        <w:rPr>
          <w:rFonts w:cs="Arial"/>
        </w:rPr>
        <w:t xml:space="preserve">El </w:t>
      </w:r>
      <w:r w:rsidR="00BE26BA">
        <w:rPr>
          <w:rFonts w:cs="Arial"/>
        </w:rPr>
        <w:t xml:space="preserve">impuesto sobre el </w:t>
      </w:r>
      <w:r w:rsidR="00BE26BA" w:rsidRPr="00466248">
        <w:rPr>
          <w:rFonts w:cs="Arial"/>
        </w:rPr>
        <w:t xml:space="preserve">incremento de valor de los terrenos de naturaleza urbana </w:t>
      </w:r>
      <w:r w:rsidR="00BE26BA">
        <w:rPr>
          <w:rFonts w:cs="Arial"/>
        </w:rPr>
        <w:t xml:space="preserve">ha aumentado </w:t>
      </w:r>
      <w:r w:rsidRPr="00466248">
        <w:rPr>
          <w:rFonts w:cs="Arial"/>
        </w:rPr>
        <w:t xml:space="preserve">un </w:t>
      </w:r>
      <w:r w:rsidR="009B3F03">
        <w:rPr>
          <w:rFonts w:cs="Arial"/>
        </w:rPr>
        <w:t>76</w:t>
      </w:r>
      <w:r w:rsidRPr="00466248">
        <w:rPr>
          <w:rFonts w:cs="Arial"/>
        </w:rPr>
        <w:t xml:space="preserve"> por ciento </w:t>
      </w:r>
      <w:r w:rsidR="00B2176B">
        <w:rPr>
          <w:rFonts w:cs="Arial"/>
        </w:rPr>
        <w:t xml:space="preserve">respecto al 2018. </w:t>
      </w:r>
      <w:r w:rsidR="00BE26BA">
        <w:rPr>
          <w:rFonts w:cs="Arial"/>
        </w:rPr>
        <w:t xml:space="preserve">Se debe a que de los 126 expedientes </w:t>
      </w:r>
      <w:r w:rsidR="00BE26BA">
        <w:rPr>
          <w:rFonts w:cs="Arial"/>
        </w:rPr>
        <w:lastRenderedPageBreak/>
        <w:t>liquidados en 2019 con cuota positiva</w:t>
      </w:r>
      <w:r w:rsidR="00B2176B">
        <w:rPr>
          <w:rFonts w:cs="Arial"/>
        </w:rPr>
        <w:t>, conforme consta en el informe de interve</w:t>
      </w:r>
      <w:r w:rsidR="00B2176B">
        <w:rPr>
          <w:rFonts w:cs="Arial"/>
        </w:rPr>
        <w:t>n</w:t>
      </w:r>
      <w:r w:rsidR="00B2176B">
        <w:rPr>
          <w:rFonts w:cs="Arial"/>
        </w:rPr>
        <w:t>ción</w:t>
      </w:r>
      <w:r w:rsidR="00BE26BA">
        <w:rPr>
          <w:rFonts w:cs="Arial"/>
        </w:rPr>
        <w:t>, solo siete suman un total de 367.607 euros, el 72 por ciento del total de der</w:t>
      </w:r>
      <w:r w:rsidR="00BE26BA">
        <w:rPr>
          <w:rFonts w:cs="Arial"/>
        </w:rPr>
        <w:t>e</w:t>
      </w:r>
      <w:r w:rsidR="00BE26BA">
        <w:rPr>
          <w:rFonts w:cs="Arial"/>
        </w:rPr>
        <w:t xml:space="preserve">chos reconocidos. Las liquidaciones más relevantes proceden de </w:t>
      </w:r>
      <w:proofErr w:type="spellStart"/>
      <w:r w:rsidR="00BE26BA">
        <w:rPr>
          <w:rFonts w:cs="Arial"/>
        </w:rPr>
        <w:t>Erripagaña</w:t>
      </w:r>
      <w:proofErr w:type="spellEnd"/>
      <w:r w:rsidR="00BE26BA">
        <w:rPr>
          <w:rFonts w:cs="Arial"/>
        </w:rPr>
        <w:t>.</w:t>
      </w:r>
    </w:p>
    <w:p w:rsidR="00084DAD" w:rsidRDefault="00084DAD" w:rsidP="0047343E">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rPr>
          <w:rFonts w:cs="Arial"/>
        </w:rPr>
      </w:pPr>
      <w:r>
        <w:rPr>
          <w:rFonts w:cs="Arial"/>
        </w:rPr>
        <w:t xml:space="preserve">El impuesto </w:t>
      </w:r>
      <w:r w:rsidRPr="00084DAD">
        <w:rPr>
          <w:rFonts w:cs="Arial"/>
          <w:spacing w:val="2"/>
        </w:rPr>
        <w:t>sobre construcciones, instalaciones y obras (en adelante ICIO) ha di</w:t>
      </w:r>
      <w:r w:rsidRPr="00084DAD">
        <w:rPr>
          <w:rFonts w:cs="Arial"/>
          <w:spacing w:val="2"/>
        </w:rPr>
        <w:t>s</w:t>
      </w:r>
      <w:r w:rsidRPr="00084DAD">
        <w:rPr>
          <w:rFonts w:cs="Arial"/>
          <w:spacing w:val="2"/>
        </w:rPr>
        <w:t>minuido un 39 por ciento respecto al ejercicio anterior. Esta variación se debe a</w:t>
      </w:r>
      <w:r>
        <w:rPr>
          <w:spacing w:val="4"/>
          <w:szCs w:val="26"/>
        </w:rPr>
        <w:t xml:space="preserve"> que en 2018 hubo dos importantes expedientes de obra mayor cuyas liquidaciones sumaban 1,14 millones.</w:t>
      </w:r>
    </w:p>
    <w:p w:rsidR="00197F20" w:rsidRDefault="0067725A" w:rsidP="00E23E8E">
      <w:pPr>
        <w:pStyle w:val="texto"/>
        <w:tabs>
          <w:tab w:val="clear" w:pos="2835"/>
          <w:tab w:val="clear" w:pos="3969"/>
          <w:tab w:val="clear" w:pos="5103"/>
          <w:tab w:val="clear" w:pos="6237"/>
          <w:tab w:val="clear" w:pos="7371"/>
          <w:tab w:val="left" w:pos="480"/>
          <w:tab w:val="num" w:pos="720"/>
          <w:tab w:val="num" w:pos="1320"/>
        </w:tabs>
        <w:spacing w:after="240"/>
        <w:rPr>
          <w:rFonts w:cs="Arial"/>
        </w:rPr>
      </w:pPr>
      <w:r>
        <w:rPr>
          <w:rFonts w:cs="Arial"/>
        </w:rPr>
        <w:t>L</w:t>
      </w:r>
      <w:r w:rsidRPr="00532777">
        <w:rPr>
          <w:rFonts w:cs="Arial"/>
        </w:rPr>
        <w:t>os tipo</w:t>
      </w:r>
      <w:r w:rsidR="00B6176D">
        <w:rPr>
          <w:rFonts w:cs="Arial"/>
        </w:rPr>
        <w:t xml:space="preserve">s impositivos aplicados por el </w:t>
      </w:r>
      <w:r w:rsidR="00A041D7">
        <w:rPr>
          <w:rFonts w:cs="Arial"/>
        </w:rPr>
        <w:t>a</w:t>
      </w:r>
      <w:r w:rsidR="00D426D2">
        <w:rPr>
          <w:rFonts w:cs="Arial"/>
        </w:rPr>
        <w:t>yuntamiento</w:t>
      </w:r>
      <w:r w:rsidRPr="00532777">
        <w:rPr>
          <w:rFonts w:cs="Arial"/>
        </w:rPr>
        <w:t xml:space="preserve"> se ubican</w:t>
      </w:r>
      <w:r w:rsidR="00216F88">
        <w:rPr>
          <w:rFonts w:cs="Arial"/>
        </w:rPr>
        <w:t>, excepto el IAE,</w:t>
      </w:r>
      <w:r w:rsidRPr="00532777">
        <w:rPr>
          <w:rFonts w:cs="Arial"/>
        </w:rPr>
        <w:t xml:space="preserve"> en el </w:t>
      </w:r>
      <w:r w:rsidRPr="00216F88">
        <w:rPr>
          <w:rFonts w:cs="Arial"/>
          <w:color w:val="000000" w:themeColor="text1"/>
        </w:rPr>
        <w:t xml:space="preserve">tramo </w:t>
      </w:r>
      <w:r w:rsidR="00016803" w:rsidRPr="00216F88">
        <w:rPr>
          <w:rFonts w:cs="Arial"/>
          <w:color w:val="000000" w:themeColor="text1"/>
        </w:rPr>
        <w:t>medio</w:t>
      </w:r>
      <w:r w:rsidR="002E076D" w:rsidRPr="00216F88">
        <w:rPr>
          <w:rFonts w:cs="Arial"/>
          <w:color w:val="000000" w:themeColor="text1"/>
        </w:rPr>
        <w:t>-alto</w:t>
      </w:r>
      <w:r w:rsidR="00216F88">
        <w:rPr>
          <w:rFonts w:cs="Arial"/>
          <w:color w:val="000000" w:themeColor="text1"/>
        </w:rPr>
        <w:t xml:space="preserve"> </w:t>
      </w:r>
      <w:r w:rsidRPr="00216F88">
        <w:rPr>
          <w:rFonts w:cs="Arial"/>
          <w:color w:val="000000" w:themeColor="text1"/>
        </w:rPr>
        <w:t>del abanico que contempla la Ley Foral 2/1995 de</w:t>
      </w:r>
      <w:r w:rsidRPr="00532777">
        <w:rPr>
          <w:rFonts w:cs="Arial"/>
        </w:rPr>
        <w:t xml:space="preserve"> Hacie</w:t>
      </w:r>
      <w:r w:rsidRPr="00532777">
        <w:rPr>
          <w:rFonts w:cs="Arial"/>
        </w:rPr>
        <w:t>n</w:t>
      </w:r>
      <w:r w:rsidRPr="00532777">
        <w:rPr>
          <w:rFonts w:cs="Arial"/>
        </w:rPr>
        <w:t>das Locales</w:t>
      </w:r>
      <w:r w:rsidR="00F90F54">
        <w:rPr>
          <w:rFonts w:cs="Arial"/>
        </w:rPr>
        <w:t xml:space="preserve"> de Navarra</w:t>
      </w:r>
      <w:r w:rsidRPr="00532777">
        <w:rPr>
          <w:rFonts w:cs="Arial"/>
        </w:rPr>
        <w:t>, tal y como puede observarse en el cuadro siguiente</w:t>
      </w:r>
      <w:r>
        <w:rPr>
          <w:rFonts w:cs="Arial"/>
        </w:rPr>
        <w:t>:</w:t>
      </w:r>
    </w:p>
    <w:tbl>
      <w:tblPr>
        <w:tblW w:w="9159" w:type="dxa"/>
        <w:jc w:val="center"/>
        <w:tblBorders>
          <w:top w:val="single" w:sz="4" w:space="0" w:color="auto"/>
          <w:bottom w:val="single" w:sz="4" w:space="0" w:color="auto"/>
        </w:tblBorders>
        <w:tblCellMar>
          <w:left w:w="70" w:type="dxa"/>
          <w:right w:w="70" w:type="dxa"/>
        </w:tblCellMar>
        <w:tblLook w:val="00A0" w:firstRow="1" w:lastRow="0" w:firstColumn="1" w:lastColumn="0" w:noHBand="0" w:noVBand="0"/>
      </w:tblPr>
      <w:tblGrid>
        <w:gridCol w:w="5348"/>
        <w:gridCol w:w="2072"/>
        <w:gridCol w:w="1739"/>
      </w:tblGrid>
      <w:tr w:rsidR="0067725A" w:rsidRPr="00E457C2" w:rsidTr="006978F8">
        <w:trPr>
          <w:trHeight w:val="255"/>
          <w:jc w:val="center"/>
        </w:trPr>
        <w:tc>
          <w:tcPr>
            <w:tcW w:w="5348" w:type="dxa"/>
            <w:tcBorders>
              <w:top w:val="single" w:sz="4" w:space="0" w:color="auto"/>
              <w:bottom w:val="single" w:sz="4" w:space="0" w:color="auto"/>
            </w:tcBorders>
            <w:shd w:val="clear" w:color="auto" w:fill="FABF8F" w:themeFill="accent6" w:themeFillTint="99"/>
            <w:vAlign w:val="center"/>
          </w:tcPr>
          <w:p w:rsidR="0067725A" w:rsidRPr="00E457C2" w:rsidRDefault="0067725A" w:rsidP="004D712A">
            <w:pPr>
              <w:pStyle w:val="cuadroCabe"/>
              <w:jc w:val="left"/>
              <w:rPr>
                <w:lang w:val="es-ES" w:eastAsia="es-ES"/>
              </w:rPr>
            </w:pPr>
            <w:r w:rsidRPr="00E457C2">
              <w:rPr>
                <w:lang w:val="es-ES" w:eastAsia="es-ES"/>
              </w:rPr>
              <w:t>Figura tributaria</w:t>
            </w:r>
          </w:p>
        </w:tc>
        <w:tc>
          <w:tcPr>
            <w:tcW w:w="2072" w:type="dxa"/>
            <w:tcBorders>
              <w:top w:val="single" w:sz="4" w:space="0" w:color="auto"/>
              <w:bottom w:val="single" w:sz="4" w:space="0" w:color="auto"/>
            </w:tcBorders>
            <w:shd w:val="clear" w:color="auto" w:fill="FABF8F" w:themeFill="accent6" w:themeFillTint="99"/>
            <w:vAlign w:val="center"/>
          </w:tcPr>
          <w:p w:rsidR="0067725A" w:rsidRPr="00E457C2" w:rsidRDefault="00D426D2" w:rsidP="004D712A">
            <w:pPr>
              <w:pStyle w:val="cuadroCabe"/>
              <w:jc w:val="right"/>
              <w:rPr>
                <w:lang w:val="es-ES" w:eastAsia="es-ES"/>
              </w:rPr>
            </w:pPr>
            <w:r>
              <w:rPr>
                <w:lang w:val="es-ES" w:eastAsia="es-ES"/>
              </w:rPr>
              <w:t>Ayuntamiento</w:t>
            </w:r>
          </w:p>
        </w:tc>
        <w:tc>
          <w:tcPr>
            <w:tcW w:w="1739" w:type="dxa"/>
            <w:tcBorders>
              <w:top w:val="single" w:sz="4" w:space="0" w:color="auto"/>
              <w:bottom w:val="single" w:sz="4" w:space="0" w:color="auto"/>
            </w:tcBorders>
            <w:shd w:val="clear" w:color="auto" w:fill="FABF8F" w:themeFill="accent6" w:themeFillTint="99"/>
            <w:vAlign w:val="center"/>
          </w:tcPr>
          <w:p w:rsidR="0067725A" w:rsidRPr="00E457C2" w:rsidRDefault="0067725A" w:rsidP="004D712A">
            <w:pPr>
              <w:pStyle w:val="cuadroCabe"/>
              <w:jc w:val="right"/>
              <w:rPr>
                <w:lang w:val="es-ES" w:eastAsia="es-ES"/>
              </w:rPr>
            </w:pPr>
            <w:r w:rsidRPr="00E457C2">
              <w:rPr>
                <w:lang w:val="es-ES" w:eastAsia="es-ES"/>
              </w:rPr>
              <w:t>Ley Foral 2/95</w:t>
            </w:r>
          </w:p>
        </w:tc>
      </w:tr>
      <w:tr w:rsidR="00CD399E" w:rsidRPr="00925BD1" w:rsidTr="006978F8">
        <w:trPr>
          <w:trHeight w:val="198"/>
          <w:jc w:val="center"/>
        </w:trPr>
        <w:tc>
          <w:tcPr>
            <w:tcW w:w="5348" w:type="dxa"/>
            <w:tcBorders>
              <w:top w:val="single" w:sz="2" w:space="0" w:color="auto"/>
              <w:bottom w:val="single" w:sz="2" w:space="0" w:color="auto"/>
            </w:tcBorders>
            <w:vAlign w:val="center"/>
          </w:tcPr>
          <w:p w:rsidR="00CD399E" w:rsidRPr="00925BD1" w:rsidRDefault="00CD399E" w:rsidP="004D712A">
            <w:pPr>
              <w:pStyle w:val="cuatexto"/>
              <w:jc w:val="left"/>
            </w:pPr>
            <w:r>
              <w:t>Contribución Territorial</w:t>
            </w:r>
          </w:p>
        </w:tc>
        <w:tc>
          <w:tcPr>
            <w:tcW w:w="2072" w:type="dxa"/>
            <w:tcBorders>
              <w:top w:val="single" w:sz="2" w:space="0" w:color="auto"/>
              <w:bottom w:val="single" w:sz="2" w:space="0" w:color="auto"/>
            </w:tcBorders>
            <w:vAlign w:val="center"/>
          </w:tcPr>
          <w:p w:rsidR="00CD399E" w:rsidRDefault="00CD399E" w:rsidP="00016803">
            <w:pPr>
              <w:pStyle w:val="cuatexto"/>
              <w:jc w:val="right"/>
            </w:pPr>
            <w:r>
              <w:t>0,</w:t>
            </w:r>
            <w:r w:rsidR="00016803">
              <w:t>22</w:t>
            </w:r>
          </w:p>
        </w:tc>
        <w:tc>
          <w:tcPr>
            <w:tcW w:w="1739" w:type="dxa"/>
            <w:tcBorders>
              <w:top w:val="single" w:sz="2" w:space="0" w:color="auto"/>
              <w:bottom w:val="single" w:sz="2" w:space="0" w:color="auto"/>
            </w:tcBorders>
            <w:vAlign w:val="center"/>
          </w:tcPr>
          <w:p w:rsidR="00CD399E" w:rsidRPr="00925BD1" w:rsidRDefault="00CD399E" w:rsidP="004D712A">
            <w:pPr>
              <w:pStyle w:val="cuatexto"/>
              <w:jc w:val="right"/>
            </w:pPr>
            <w:r>
              <w:t>0,10 – 0,50</w:t>
            </w:r>
          </w:p>
        </w:tc>
      </w:tr>
      <w:tr w:rsidR="0067725A" w:rsidRPr="00925BD1" w:rsidTr="006978F8">
        <w:trPr>
          <w:trHeight w:val="198"/>
          <w:jc w:val="center"/>
        </w:trPr>
        <w:tc>
          <w:tcPr>
            <w:tcW w:w="5348" w:type="dxa"/>
            <w:tcBorders>
              <w:top w:val="single" w:sz="2" w:space="0" w:color="auto"/>
              <w:bottom w:val="single" w:sz="2" w:space="0" w:color="auto"/>
            </w:tcBorders>
            <w:vAlign w:val="center"/>
          </w:tcPr>
          <w:p w:rsidR="0067725A" w:rsidRPr="00925BD1" w:rsidRDefault="0067725A" w:rsidP="004D712A">
            <w:pPr>
              <w:pStyle w:val="cuatexto"/>
              <w:jc w:val="left"/>
            </w:pPr>
            <w:r w:rsidRPr="00925BD1">
              <w:t>Impuesto de Actividades Económicas</w:t>
            </w:r>
          </w:p>
        </w:tc>
        <w:tc>
          <w:tcPr>
            <w:tcW w:w="2072" w:type="dxa"/>
            <w:tcBorders>
              <w:top w:val="single" w:sz="2" w:space="0" w:color="auto"/>
              <w:bottom w:val="single" w:sz="2" w:space="0" w:color="auto"/>
            </w:tcBorders>
            <w:vAlign w:val="center"/>
          </w:tcPr>
          <w:p w:rsidR="0067725A" w:rsidRPr="00925BD1" w:rsidRDefault="0067725A" w:rsidP="004D712A">
            <w:pPr>
              <w:pStyle w:val="cuatexto"/>
              <w:jc w:val="right"/>
            </w:pPr>
            <w:r>
              <w:t>1</w:t>
            </w:r>
          </w:p>
        </w:tc>
        <w:tc>
          <w:tcPr>
            <w:tcW w:w="1739" w:type="dxa"/>
            <w:tcBorders>
              <w:top w:val="single" w:sz="2" w:space="0" w:color="auto"/>
              <w:bottom w:val="single" w:sz="2" w:space="0" w:color="auto"/>
            </w:tcBorders>
            <w:vAlign w:val="center"/>
          </w:tcPr>
          <w:p w:rsidR="0067725A" w:rsidRPr="00925BD1" w:rsidRDefault="0067725A" w:rsidP="004D712A">
            <w:pPr>
              <w:pStyle w:val="cuatexto"/>
              <w:jc w:val="right"/>
            </w:pPr>
            <w:r w:rsidRPr="00925BD1">
              <w:t>1 - 1,4</w:t>
            </w:r>
          </w:p>
        </w:tc>
      </w:tr>
      <w:tr w:rsidR="0067725A" w:rsidRPr="00925BD1" w:rsidTr="006978F8">
        <w:trPr>
          <w:trHeight w:val="198"/>
          <w:jc w:val="center"/>
        </w:trPr>
        <w:tc>
          <w:tcPr>
            <w:tcW w:w="5348" w:type="dxa"/>
            <w:tcBorders>
              <w:top w:val="single" w:sz="2" w:space="0" w:color="auto"/>
              <w:bottom w:val="single" w:sz="2" w:space="0" w:color="auto"/>
            </w:tcBorders>
            <w:vAlign w:val="center"/>
          </w:tcPr>
          <w:p w:rsidR="0067725A" w:rsidRPr="00925BD1" w:rsidRDefault="0067725A" w:rsidP="004D712A">
            <w:pPr>
              <w:pStyle w:val="cuatexto"/>
              <w:jc w:val="left"/>
            </w:pPr>
            <w:r w:rsidRPr="00925BD1">
              <w:t>Incremento de valor de los terrenos</w:t>
            </w:r>
          </w:p>
        </w:tc>
        <w:tc>
          <w:tcPr>
            <w:tcW w:w="2072" w:type="dxa"/>
            <w:tcBorders>
              <w:top w:val="single" w:sz="2" w:space="0" w:color="auto"/>
              <w:bottom w:val="single" w:sz="2" w:space="0" w:color="auto"/>
            </w:tcBorders>
            <w:vAlign w:val="center"/>
          </w:tcPr>
          <w:p w:rsidR="0067725A" w:rsidRPr="00925BD1" w:rsidRDefault="00016803" w:rsidP="004D712A">
            <w:pPr>
              <w:pStyle w:val="cuatexto"/>
              <w:jc w:val="right"/>
            </w:pPr>
            <w:r>
              <w:t>22,5</w:t>
            </w:r>
          </w:p>
        </w:tc>
        <w:tc>
          <w:tcPr>
            <w:tcW w:w="1739" w:type="dxa"/>
            <w:tcBorders>
              <w:top w:val="single" w:sz="2" w:space="0" w:color="auto"/>
              <w:bottom w:val="single" w:sz="2" w:space="0" w:color="auto"/>
            </w:tcBorders>
            <w:vAlign w:val="center"/>
          </w:tcPr>
          <w:p w:rsidR="0067725A" w:rsidRPr="00925BD1" w:rsidRDefault="0067725A" w:rsidP="004D712A">
            <w:pPr>
              <w:pStyle w:val="cuatexto"/>
              <w:jc w:val="right"/>
            </w:pPr>
            <w:r w:rsidRPr="00925BD1">
              <w:t>8-2</w:t>
            </w:r>
            <w:r>
              <w:t>5</w:t>
            </w:r>
          </w:p>
        </w:tc>
      </w:tr>
      <w:tr w:rsidR="0067725A" w:rsidRPr="00925BD1" w:rsidTr="006978F8">
        <w:trPr>
          <w:trHeight w:val="198"/>
          <w:jc w:val="center"/>
        </w:trPr>
        <w:tc>
          <w:tcPr>
            <w:tcW w:w="5348" w:type="dxa"/>
            <w:tcBorders>
              <w:top w:val="single" w:sz="2" w:space="0" w:color="auto"/>
              <w:bottom w:val="single" w:sz="4" w:space="0" w:color="auto"/>
            </w:tcBorders>
            <w:vAlign w:val="center"/>
          </w:tcPr>
          <w:p w:rsidR="0067725A" w:rsidRPr="00925BD1" w:rsidRDefault="0067725A" w:rsidP="00A1660A">
            <w:pPr>
              <w:pStyle w:val="cuatexto"/>
              <w:jc w:val="left"/>
            </w:pPr>
            <w:r w:rsidRPr="00925BD1">
              <w:t>Construcci</w:t>
            </w:r>
            <w:r w:rsidR="00A1660A">
              <w:t>o</w:t>
            </w:r>
            <w:r w:rsidRPr="00925BD1">
              <w:t>n</w:t>
            </w:r>
            <w:r w:rsidR="00A1660A">
              <w:t>es, instalaciones</w:t>
            </w:r>
            <w:r w:rsidRPr="00925BD1">
              <w:t xml:space="preserve"> y obras</w:t>
            </w:r>
          </w:p>
        </w:tc>
        <w:tc>
          <w:tcPr>
            <w:tcW w:w="2072" w:type="dxa"/>
            <w:tcBorders>
              <w:top w:val="single" w:sz="2" w:space="0" w:color="auto"/>
              <w:bottom w:val="single" w:sz="4" w:space="0" w:color="auto"/>
            </w:tcBorders>
            <w:vAlign w:val="center"/>
          </w:tcPr>
          <w:p w:rsidR="0067725A" w:rsidRPr="00925BD1" w:rsidRDefault="00016803" w:rsidP="004D712A">
            <w:pPr>
              <w:pStyle w:val="cuatexto"/>
              <w:jc w:val="right"/>
            </w:pPr>
            <w:r>
              <w:t>4,</w:t>
            </w:r>
            <w:r w:rsidR="0067725A">
              <w:t>5</w:t>
            </w:r>
            <w:r>
              <w:t>-4,8</w:t>
            </w:r>
          </w:p>
        </w:tc>
        <w:tc>
          <w:tcPr>
            <w:tcW w:w="1739" w:type="dxa"/>
            <w:tcBorders>
              <w:top w:val="single" w:sz="2" w:space="0" w:color="auto"/>
              <w:bottom w:val="single" w:sz="4" w:space="0" w:color="auto"/>
            </w:tcBorders>
            <w:vAlign w:val="center"/>
          </w:tcPr>
          <w:p w:rsidR="0067725A" w:rsidRPr="00925BD1" w:rsidRDefault="0067725A" w:rsidP="004D712A">
            <w:pPr>
              <w:pStyle w:val="cuatexto"/>
              <w:jc w:val="right"/>
            </w:pPr>
            <w:r w:rsidRPr="00925BD1">
              <w:t>2-5</w:t>
            </w:r>
          </w:p>
        </w:tc>
      </w:tr>
    </w:tbl>
    <w:p w:rsidR="00112109" w:rsidRDefault="00112109" w:rsidP="00197F20">
      <w:pPr>
        <w:pStyle w:val="texto"/>
        <w:tabs>
          <w:tab w:val="clear" w:pos="2835"/>
          <w:tab w:val="clear" w:pos="3969"/>
          <w:tab w:val="clear" w:pos="5103"/>
          <w:tab w:val="clear" w:pos="6237"/>
          <w:tab w:val="clear" w:pos="7371"/>
          <w:tab w:val="left" w:pos="480"/>
          <w:tab w:val="num" w:pos="720"/>
          <w:tab w:val="num" w:pos="1320"/>
        </w:tabs>
        <w:spacing w:before="240" w:after="200"/>
        <w:rPr>
          <w:rFonts w:cs="Arial"/>
        </w:rPr>
      </w:pPr>
      <w:r>
        <w:rPr>
          <w:rFonts w:cs="Arial"/>
        </w:rPr>
        <w:t>La ponencia de valoración vigente en 201</w:t>
      </w:r>
      <w:r w:rsidR="00B372E1">
        <w:rPr>
          <w:rFonts w:cs="Arial"/>
        </w:rPr>
        <w:t xml:space="preserve">9 </w:t>
      </w:r>
      <w:r>
        <w:rPr>
          <w:rFonts w:cs="Arial"/>
        </w:rPr>
        <w:t>fue aprobada m</w:t>
      </w:r>
      <w:r w:rsidRPr="004947B9">
        <w:rPr>
          <w:rFonts w:cs="Arial"/>
        </w:rPr>
        <w:t xml:space="preserve">ediante Resolución </w:t>
      </w:r>
      <w:r w:rsidR="00266016">
        <w:rPr>
          <w:rFonts w:cs="Arial"/>
        </w:rPr>
        <w:t>62/2016</w:t>
      </w:r>
      <w:r w:rsidRPr="004947B9">
        <w:rPr>
          <w:rFonts w:cs="Arial"/>
        </w:rPr>
        <w:t xml:space="preserve">, de </w:t>
      </w:r>
      <w:r w:rsidR="00B372E1">
        <w:rPr>
          <w:rFonts w:cs="Arial"/>
        </w:rPr>
        <w:t>25 de octubre</w:t>
      </w:r>
      <w:r w:rsidRPr="004947B9">
        <w:rPr>
          <w:rFonts w:cs="Arial"/>
        </w:rPr>
        <w:t xml:space="preserve">, del </w:t>
      </w:r>
      <w:r w:rsidR="00266016">
        <w:rPr>
          <w:rFonts w:cs="Arial"/>
        </w:rPr>
        <w:t>Servicio de Riqueza Territorial.</w:t>
      </w:r>
    </w:p>
    <w:p w:rsidR="0067725A" w:rsidRPr="00532777" w:rsidRDefault="00172D87" w:rsidP="007E6F17">
      <w:pPr>
        <w:pStyle w:val="texto"/>
        <w:tabs>
          <w:tab w:val="clear" w:pos="2835"/>
          <w:tab w:val="clear" w:pos="3969"/>
          <w:tab w:val="clear" w:pos="5103"/>
          <w:tab w:val="clear" w:pos="6237"/>
          <w:tab w:val="clear" w:pos="7371"/>
          <w:tab w:val="left" w:pos="480"/>
          <w:tab w:val="num" w:pos="720"/>
          <w:tab w:val="num" w:pos="1320"/>
        </w:tabs>
        <w:spacing w:before="120" w:after="240"/>
        <w:rPr>
          <w:rFonts w:cs="Arial"/>
        </w:rPr>
      </w:pPr>
      <w:r w:rsidRPr="00216F88">
        <w:rPr>
          <w:rFonts w:cs="Arial"/>
          <w:color w:val="000000" w:themeColor="text1"/>
        </w:rPr>
        <w:t>Hemos</w:t>
      </w:r>
      <w:r w:rsidR="0067725A" w:rsidRPr="00216F88">
        <w:rPr>
          <w:rFonts w:cs="Arial"/>
          <w:color w:val="000000" w:themeColor="text1"/>
        </w:rPr>
        <w:t xml:space="preserve"> r</w:t>
      </w:r>
      <w:r w:rsidR="007B7409" w:rsidRPr="00216F88">
        <w:rPr>
          <w:rFonts w:cs="Arial"/>
          <w:color w:val="000000" w:themeColor="text1"/>
        </w:rPr>
        <w:t>evisad</w:t>
      </w:r>
      <w:r w:rsidR="0067725A" w:rsidRPr="00216F88">
        <w:rPr>
          <w:rFonts w:cs="Arial"/>
          <w:color w:val="000000" w:themeColor="text1"/>
        </w:rPr>
        <w:t xml:space="preserve">o </w:t>
      </w:r>
      <w:r w:rsidR="002E076D" w:rsidRPr="00216F88">
        <w:rPr>
          <w:rFonts w:cs="Arial"/>
          <w:color w:val="000000" w:themeColor="text1"/>
        </w:rPr>
        <w:t xml:space="preserve">el Plan de Control Tributario y </w:t>
      </w:r>
      <w:r w:rsidR="0067725A" w:rsidRPr="00216F88">
        <w:rPr>
          <w:rFonts w:cs="Arial"/>
          <w:color w:val="000000" w:themeColor="text1"/>
        </w:rPr>
        <w:t xml:space="preserve">una muestra sobre las siguientes </w:t>
      </w:r>
      <w:r w:rsidR="0067725A">
        <w:rPr>
          <w:rFonts w:cs="Arial"/>
        </w:rPr>
        <w:t>partidas de ingresos:</w:t>
      </w:r>
    </w:p>
    <w:tbl>
      <w:tblPr>
        <w:tblW w:w="9179" w:type="dxa"/>
        <w:jc w:val="center"/>
        <w:tblLook w:val="01E0" w:firstRow="1" w:lastRow="1" w:firstColumn="1" w:lastColumn="1" w:noHBand="0" w:noVBand="0"/>
      </w:tblPr>
      <w:tblGrid>
        <w:gridCol w:w="4995"/>
        <w:gridCol w:w="1253"/>
        <w:gridCol w:w="1262"/>
        <w:gridCol w:w="1669"/>
      </w:tblGrid>
      <w:tr w:rsidR="0067725A" w:rsidRPr="00E457C2" w:rsidTr="006978F8">
        <w:trPr>
          <w:trHeight w:val="227"/>
          <w:jc w:val="center"/>
        </w:trPr>
        <w:tc>
          <w:tcPr>
            <w:tcW w:w="5086" w:type="dxa"/>
            <w:tcBorders>
              <w:top w:val="single" w:sz="4" w:space="0" w:color="auto"/>
              <w:bottom w:val="single" w:sz="4" w:space="0" w:color="auto"/>
            </w:tcBorders>
            <w:shd w:val="clear" w:color="auto" w:fill="FABF8F" w:themeFill="accent6" w:themeFillTint="99"/>
            <w:vAlign w:val="center"/>
          </w:tcPr>
          <w:p w:rsidR="0067725A" w:rsidRPr="00E457C2" w:rsidRDefault="0067725A" w:rsidP="004D712A">
            <w:pPr>
              <w:pStyle w:val="cuadroCabe"/>
              <w:jc w:val="left"/>
            </w:pPr>
            <w:r w:rsidRPr="00E457C2">
              <w:t>Concepto</w:t>
            </w:r>
          </w:p>
        </w:tc>
        <w:tc>
          <w:tcPr>
            <w:tcW w:w="1134" w:type="dxa"/>
            <w:tcBorders>
              <w:top w:val="single" w:sz="4" w:space="0" w:color="auto"/>
              <w:bottom w:val="single" w:sz="4" w:space="0" w:color="auto"/>
            </w:tcBorders>
            <w:shd w:val="clear" w:color="auto" w:fill="FABF8F" w:themeFill="accent6" w:themeFillTint="99"/>
            <w:vAlign w:val="center"/>
          </w:tcPr>
          <w:p w:rsidR="0067725A" w:rsidRDefault="0067725A" w:rsidP="004D712A">
            <w:pPr>
              <w:pStyle w:val="cuadroCabe"/>
              <w:jc w:val="right"/>
            </w:pPr>
            <w:r w:rsidRPr="00E457C2">
              <w:t xml:space="preserve">Derechos </w:t>
            </w:r>
          </w:p>
          <w:p w:rsidR="0067725A" w:rsidRPr="00E457C2" w:rsidRDefault="0067725A" w:rsidP="004D712A">
            <w:pPr>
              <w:pStyle w:val="cuadroCabe"/>
              <w:jc w:val="right"/>
            </w:pPr>
            <w:r w:rsidRPr="00E457C2">
              <w:t>reconocidos</w:t>
            </w:r>
          </w:p>
        </w:tc>
        <w:tc>
          <w:tcPr>
            <w:tcW w:w="1276" w:type="dxa"/>
            <w:tcBorders>
              <w:top w:val="single" w:sz="4" w:space="0" w:color="auto"/>
              <w:bottom w:val="single" w:sz="4" w:space="0" w:color="auto"/>
            </w:tcBorders>
            <w:shd w:val="clear" w:color="auto" w:fill="FABF8F" w:themeFill="accent6" w:themeFillTint="99"/>
            <w:vAlign w:val="center"/>
          </w:tcPr>
          <w:p w:rsidR="0067725A" w:rsidRPr="00645F5E" w:rsidRDefault="0067725A" w:rsidP="004D712A">
            <w:pPr>
              <w:pStyle w:val="cuadroCabe"/>
              <w:jc w:val="right"/>
            </w:pPr>
            <w:r w:rsidRPr="00645F5E">
              <w:t>% Cobro</w:t>
            </w:r>
          </w:p>
        </w:tc>
        <w:tc>
          <w:tcPr>
            <w:tcW w:w="1683" w:type="dxa"/>
            <w:tcBorders>
              <w:top w:val="single" w:sz="4" w:space="0" w:color="auto"/>
              <w:bottom w:val="single" w:sz="4" w:space="0" w:color="auto"/>
            </w:tcBorders>
            <w:shd w:val="clear" w:color="auto" w:fill="FABF8F" w:themeFill="accent6" w:themeFillTint="99"/>
            <w:vAlign w:val="center"/>
          </w:tcPr>
          <w:p w:rsidR="0067725A" w:rsidRDefault="0067725A" w:rsidP="00016803">
            <w:pPr>
              <w:pStyle w:val="cuadroCabe"/>
              <w:jc w:val="right"/>
            </w:pPr>
            <w:r>
              <w:t>% Variación 201</w:t>
            </w:r>
            <w:r w:rsidR="00016803">
              <w:t>9</w:t>
            </w:r>
            <w:r>
              <w:t>/201</w:t>
            </w:r>
            <w:r w:rsidR="00F8469C">
              <w:t>8</w:t>
            </w:r>
          </w:p>
        </w:tc>
      </w:tr>
      <w:tr w:rsidR="0067725A" w:rsidRPr="00016803" w:rsidTr="00EF7BAE">
        <w:trPr>
          <w:trHeight w:val="198"/>
          <w:jc w:val="center"/>
        </w:trPr>
        <w:tc>
          <w:tcPr>
            <w:tcW w:w="5086" w:type="dxa"/>
            <w:tcBorders>
              <w:top w:val="single" w:sz="4" w:space="0" w:color="auto"/>
              <w:bottom w:val="single" w:sz="2" w:space="0" w:color="auto"/>
            </w:tcBorders>
            <w:vAlign w:val="center"/>
          </w:tcPr>
          <w:p w:rsidR="0067725A" w:rsidRPr="00016803" w:rsidRDefault="0067725A" w:rsidP="004D712A">
            <w:pPr>
              <w:pStyle w:val="cuatexto"/>
              <w:jc w:val="left"/>
            </w:pPr>
            <w:r w:rsidRPr="00016803">
              <w:t>Impuesto incremento valor terrenos naturaleza urbana</w:t>
            </w:r>
          </w:p>
        </w:tc>
        <w:tc>
          <w:tcPr>
            <w:tcW w:w="1134" w:type="dxa"/>
            <w:tcBorders>
              <w:top w:val="single" w:sz="4" w:space="0" w:color="auto"/>
              <w:bottom w:val="single" w:sz="2" w:space="0" w:color="auto"/>
            </w:tcBorders>
            <w:vAlign w:val="center"/>
          </w:tcPr>
          <w:p w:rsidR="0067725A" w:rsidRPr="00016803" w:rsidRDefault="00677F1C" w:rsidP="004D712A">
            <w:pPr>
              <w:pStyle w:val="cuatexto"/>
              <w:jc w:val="right"/>
            </w:pPr>
            <w:r w:rsidRPr="00016803">
              <w:t>507.283</w:t>
            </w:r>
          </w:p>
        </w:tc>
        <w:tc>
          <w:tcPr>
            <w:tcW w:w="1276" w:type="dxa"/>
            <w:tcBorders>
              <w:top w:val="single" w:sz="4" w:space="0" w:color="auto"/>
              <w:bottom w:val="single" w:sz="2" w:space="0" w:color="auto"/>
            </w:tcBorders>
            <w:vAlign w:val="center"/>
          </w:tcPr>
          <w:p w:rsidR="0067725A" w:rsidRPr="00016803" w:rsidRDefault="00016803" w:rsidP="004D712A">
            <w:pPr>
              <w:pStyle w:val="cuatexto"/>
              <w:jc w:val="right"/>
            </w:pPr>
            <w:r w:rsidRPr="00016803">
              <w:t>63</w:t>
            </w:r>
          </w:p>
        </w:tc>
        <w:tc>
          <w:tcPr>
            <w:tcW w:w="1683" w:type="dxa"/>
            <w:tcBorders>
              <w:top w:val="single" w:sz="4" w:space="0" w:color="auto"/>
              <w:bottom w:val="single" w:sz="2" w:space="0" w:color="auto"/>
            </w:tcBorders>
            <w:vAlign w:val="center"/>
          </w:tcPr>
          <w:p w:rsidR="0067725A" w:rsidRPr="00016803" w:rsidRDefault="00016803" w:rsidP="004D712A">
            <w:pPr>
              <w:pStyle w:val="cuatexto"/>
              <w:jc w:val="right"/>
            </w:pPr>
            <w:r w:rsidRPr="00016803">
              <w:t>76</w:t>
            </w:r>
          </w:p>
        </w:tc>
      </w:tr>
      <w:tr w:rsidR="0067725A" w:rsidRPr="00CE30C8" w:rsidTr="00EF7BAE">
        <w:trPr>
          <w:trHeight w:val="198"/>
          <w:jc w:val="center"/>
        </w:trPr>
        <w:tc>
          <w:tcPr>
            <w:tcW w:w="5086" w:type="dxa"/>
            <w:tcBorders>
              <w:top w:val="single" w:sz="2" w:space="0" w:color="auto"/>
              <w:bottom w:val="single" w:sz="4" w:space="0" w:color="auto"/>
            </w:tcBorders>
            <w:vAlign w:val="center"/>
          </w:tcPr>
          <w:p w:rsidR="0067725A" w:rsidRPr="00016803" w:rsidRDefault="0067725A" w:rsidP="008A5349">
            <w:pPr>
              <w:pStyle w:val="cuatexto"/>
              <w:jc w:val="left"/>
            </w:pPr>
            <w:r w:rsidRPr="00016803">
              <w:t>Impuesto sobre construcciones,</w:t>
            </w:r>
            <w:r w:rsidR="008A5349">
              <w:t xml:space="preserve"> </w:t>
            </w:r>
            <w:r w:rsidRPr="00016803">
              <w:t>instalaciones y obras</w:t>
            </w:r>
          </w:p>
        </w:tc>
        <w:tc>
          <w:tcPr>
            <w:tcW w:w="1134" w:type="dxa"/>
            <w:tcBorders>
              <w:top w:val="single" w:sz="2" w:space="0" w:color="auto"/>
              <w:bottom w:val="single" w:sz="4" w:space="0" w:color="auto"/>
            </w:tcBorders>
            <w:vAlign w:val="center"/>
          </w:tcPr>
          <w:p w:rsidR="0067725A" w:rsidRPr="00016803" w:rsidRDefault="00677F1C" w:rsidP="004D712A">
            <w:pPr>
              <w:pStyle w:val="cuatexto"/>
              <w:jc w:val="right"/>
            </w:pPr>
            <w:r w:rsidRPr="00016803">
              <w:rPr>
                <w:rFonts w:cs="Arial"/>
                <w:color w:val="000000"/>
                <w:lang w:val="es-ES" w:eastAsia="es-ES"/>
              </w:rPr>
              <w:t>867.048</w:t>
            </w:r>
          </w:p>
        </w:tc>
        <w:tc>
          <w:tcPr>
            <w:tcW w:w="1276" w:type="dxa"/>
            <w:tcBorders>
              <w:top w:val="single" w:sz="2" w:space="0" w:color="auto"/>
              <w:bottom w:val="single" w:sz="4" w:space="0" w:color="auto"/>
            </w:tcBorders>
            <w:vAlign w:val="center"/>
          </w:tcPr>
          <w:p w:rsidR="0067725A" w:rsidRPr="00016803" w:rsidRDefault="00016803" w:rsidP="004D712A">
            <w:pPr>
              <w:pStyle w:val="cuatexto"/>
              <w:jc w:val="right"/>
            </w:pPr>
            <w:r w:rsidRPr="00016803">
              <w:t>95</w:t>
            </w:r>
          </w:p>
        </w:tc>
        <w:tc>
          <w:tcPr>
            <w:tcW w:w="1683" w:type="dxa"/>
            <w:tcBorders>
              <w:top w:val="single" w:sz="2" w:space="0" w:color="auto"/>
              <w:bottom w:val="single" w:sz="4" w:space="0" w:color="auto"/>
            </w:tcBorders>
            <w:vAlign w:val="center"/>
          </w:tcPr>
          <w:p w:rsidR="0067725A" w:rsidRPr="00016803" w:rsidRDefault="00016803" w:rsidP="004D712A">
            <w:pPr>
              <w:pStyle w:val="cuatexto"/>
              <w:jc w:val="right"/>
            </w:pPr>
            <w:r w:rsidRPr="00016803">
              <w:t>-39</w:t>
            </w:r>
          </w:p>
        </w:tc>
      </w:tr>
    </w:tbl>
    <w:p w:rsidR="00582E03" w:rsidRPr="00582E03" w:rsidRDefault="008A5349" w:rsidP="00424077">
      <w:pPr>
        <w:autoSpaceDE w:val="0"/>
        <w:autoSpaceDN w:val="0"/>
        <w:adjustRightInd w:val="0"/>
        <w:spacing w:before="120" w:after="120"/>
        <w:ind w:firstLine="284"/>
        <w:rPr>
          <w:rFonts w:cs="Arial"/>
          <w:spacing w:val="6"/>
          <w:sz w:val="26"/>
          <w:szCs w:val="24"/>
        </w:rPr>
      </w:pPr>
      <w:r>
        <w:rPr>
          <w:rFonts w:cs="Arial"/>
          <w:spacing w:val="6"/>
          <w:sz w:val="26"/>
          <w:szCs w:val="24"/>
        </w:rPr>
        <w:t>En noviembre de 2017</w:t>
      </w:r>
      <w:r w:rsidR="00F54C52">
        <w:rPr>
          <w:rFonts w:cs="Arial"/>
          <w:spacing w:val="6"/>
          <w:sz w:val="26"/>
          <w:szCs w:val="24"/>
        </w:rPr>
        <w:t>,</w:t>
      </w:r>
      <w:r>
        <w:rPr>
          <w:rFonts w:cs="Arial"/>
          <w:spacing w:val="6"/>
          <w:sz w:val="26"/>
          <w:szCs w:val="24"/>
        </w:rPr>
        <w:t xml:space="preserve"> mediante </w:t>
      </w:r>
      <w:r w:rsidR="00B2176B">
        <w:rPr>
          <w:rFonts w:cs="Arial"/>
          <w:spacing w:val="6"/>
          <w:sz w:val="26"/>
          <w:szCs w:val="24"/>
        </w:rPr>
        <w:t>Decreto</w:t>
      </w:r>
      <w:r>
        <w:rPr>
          <w:rFonts w:cs="Arial"/>
          <w:spacing w:val="6"/>
          <w:sz w:val="26"/>
          <w:szCs w:val="24"/>
        </w:rPr>
        <w:t xml:space="preserve"> de Alcaldía</w:t>
      </w:r>
      <w:r w:rsidR="00F54C52">
        <w:rPr>
          <w:rFonts w:cs="Arial"/>
          <w:spacing w:val="6"/>
          <w:sz w:val="26"/>
          <w:szCs w:val="24"/>
        </w:rPr>
        <w:t>,</w:t>
      </w:r>
      <w:r>
        <w:rPr>
          <w:rFonts w:cs="Arial"/>
          <w:spacing w:val="6"/>
          <w:sz w:val="26"/>
          <w:szCs w:val="24"/>
        </w:rPr>
        <w:t xml:space="preserve"> se aprobó el Plan </w:t>
      </w:r>
      <w:r w:rsidR="00B2176B">
        <w:rPr>
          <w:rFonts w:cs="Arial"/>
          <w:spacing w:val="6"/>
          <w:sz w:val="26"/>
          <w:szCs w:val="24"/>
        </w:rPr>
        <w:t>Munic</w:t>
      </w:r>
      <w:r w:rsidR="00B2176B">
        <w:rPr>
          <w:rFonts w:cs="Arial"/>
          <w:spacing w:val="6"/>
          <w:sz w:val="26"/>
          <w:szCs w:val="24"/>
        </w:rPr>
        <w:t>i</w:t>
      </w:r>
      <w:r w:rsidR="00B2176B">
        <w:rPr>
          <w:rFonts w:cs="Arial"/>
          <w:spacing w:val="6"/>
          <w:sz w:val="26"/>
          <w:szCs w:val="24"/>
        </w:rPr>
        <w:t xml:space="preserve">pal </w:t>
      </w:r>
      <w:r>
        <w:rPr>
          <w:rFonts w:cs="Arial"/>
          <w:spacing w:val="6"/>
          <w:sz w:val="26"/>
          <w:szCs w:val="24"/>
        </w:rPr>
        <w:t>de Control Tributario para 2017-2019</w:t>
      </w:r>
      <w:r w:rsidR="00F54C52">
        <w:rPr>
          <w:rFonts w:cs="Arial"/>
          <w:spacing w:val="6"/>
          <w:sz w:val="26"/>
          <w:szCs w:val="24"/>
        </w:rPr>
        <w:t xml:space="preserve">. En </w:t>
      </w:r>
      <w:r>
        <w:rPr>
          <w:rFonts w:cs="Arial"/>
          <w:spacing w:val="6"/>
          <w:sz w:val="26"/>
          <w:szCs w:val="24"/>
        </w:rPr>
        <w:t xml:space="preserve">diciembre se publicaron en el BON los criterios generales que informan dicho Plan. Hemos comprobado que durante 2019 no se ha realizado ninguna actuación </w:t>
      </w:r>
      <w:proofErr w:type="gramStart"/>
      <w:r>
        <w:rPr>
          <w:rFonts w:cs="Arial"/>
          <w:spacing w:val="6"/>
          <w:sz w:val="26"/>
          <w:szCs w:val="24"/>
        </w:rPr>
        <w:t>debido</w:t>
      </w:r>
      <w:proofErr w:type="gramEnd"/>
      <w:r>
        <w:rPr>
          <w:rFonts w:cs="Arial"/>
          <w:spacing w:val="6"/>
          <w:sz w:val="26"/>
          <w:szCs w:val="24"/>
        </w:rPr>
        <w:t xml:space="preserve">, según nos informa el Área de Hacienda, a la carga extraordinaria de trabajo que les ha supuesto el proceso </w:t>
      </w:r>
      <w:r w:rsidR="00B2176B">
        <w:rPr>
          <w:rFonts w:cs="Arial"/>
          <w:spacing w:val="6"/>
          <w:sz w:val="26"/>
          <w:szCs w:val="24"/>
        </w:rPr>
        <w:t>d</w:t>
      </w:r>
      <w:r w:rsidR="0068316A">
        <w:rPr>
          <w:rFonts w:cs="Arial"/>
          <w:spacing w:val="6"/>
          <w:sz w:val="26"/>
          <w:szCs w:val="24"/>
        </w:rPr>
        <w:t xml:space="preserve">e </w:t>
      </w:r>
      <w:r>
        <w:rPr>
          <w:rFonts w:cs="Arial"/>
          <w:spacing w:val="6"/>
          <w:sz w:val="26"/>
          <w:szCs w:val="24"/>
        </w:rPr>
        <w:t xml:space="preserve">contratación del servicio de agencia ejecutiva iniciado en 2018 y la correspondiente migración de deuda. </w:t>
      </w:r>
    </w:p>
    <w:p w:rsidR="004225E1" w:rsidRDefault="007B7409" w:rsidP="008A5349">
      <w:pPr>
        <w:pStyle w:val="texto"/>
        <w:tabs>
          <w:tab w:val="clear" w:pos="2835"/>
          <w:tab w:val="clear" w:pos="3969"/>
          <w:tab w:val="clear" w:pos="5103"/>
          <w:tab w:val="clear" w:pos="6237"/>
          <w:tab w:val="clear" w:pos="7371"/>
          <w:tab w:val="left" w:pos="480"/>
          <w:tab w:val="num" w:pos="720"/>
          <w:tab w:val="num" w:pos="1320"/>
        </w:tabs>
        <w:rPr>
          <w:rFonts w:cs="Arial"/>
          <w:color w:val="FF0000"/>
        </w:rPr>
      </w:pPr>
      <w:r>
        <w:rPr>
          <w:rFonts w:cs="Arial"/>
        </w:rPr>
        <w:t>Hemos</w:t>
      </w:r>
      <w:r w:rsidR="0067725A" w:rsidRPr="0017263C">
        <w:rPr>
          <w:rFonts w:cs="Arial"/>
        </w:rPr>
        <w:t xml:space="preserve"> comprobado que, en general, </w:t>
      </w:r>
      <w:r>
        <w:rPr>
          <w:rFonts w:cs="Arial"/>
        </w:rPr>
        <w:t>la</w:t>
      </w:r>
      <w:r w:rsidR="0067725A" w:rsidRPr="0017263C">
        <w:rPr>
          <w:rFonts w:cs="Arial"/>
        </w:rPr>
        <w:t xml:space="preserve"> liquidación y recaudación </w:t>
      </w:r>
      <w:r>
        <w:rPr>
          <w:rFonts w:cs="Arial"/>
        </w:rPr>
        <w:t>de los impue</w:t>
      </w:r>
      <w:r>
        <w:rPr>
          <w:rFonts w:cs="Arial"/>
        </w:rPr>
        <w:t>s</w:t>
      </w:r>
      <w:r>
        <w:rPr>
          <w:rFonts w:cs="Arial"/>
        </w:rPr>
        <w:t xml:space="preserve">tos revisados </w:t>
      </w:r>
      <w:r w:rsidR="0067725A" w:rsidRPr="0017263C">
        <w:rPr>
          <w:rFonts w:cs="Arial"/>
        </w:rPr>
        <w:t xml:space="preserve">se realiza conforme a las ordenanzas y normas reguladoras. </w:t>
      </w:r>
    </w:p>
    <w:p w:rsidR="008A5349" w:rsidRDefault="00807D22" w:rsidP="00963780">
      <w:pPr>
        <w:pStyle w:val="texto"/>
        <w:tabs>
          <w:tab w:val="clear" w:pos="2835"/>
          <w:tab w:val="clear" w:pos="3969"/>
          <w:tab w:val="clear" w:pos="5103"/>
          <w:tab w:val="clear" w:pos="6237"/>
          <w:tab w:val="clear" w:pos="7371"/>
          <w:tab w:val="left" w:pos="480"/>
          <w:tab w:val="num" w:pos="720"/>
          <w:tab w:val="num" w:pos="1320"/>
        </w:tabs>
        <w:rPr>
          <w:rFonts w:cs="Arial"/>
          <w:i/>
        </w:rPr>
      </w:pPr>
      <w:r w:rsidRPr="00216F88">
        <w:rPr>
          <w:rFonts w:cs="Arial"/>
          <w:i/>
        </w:rPr>
        <w:t>Recomendamos</w:t>
      </w:r>
      <w:r w:rsidR="00963780" w:rsidRPr="00216F88">
        <w:rPr>
          <w:rFonts w:cs="Arial"/>
          <w:i/>
        </w:rPr>
        <w:t xml:space="preserve"> </w:t>
      </w:r>
      <w:r w:rsidR="00216F88" w:rsidRPr="00216F88">
        <w:rPr>
          <w:rFonts w:cs="Arial"/>
          <w:i/>
        </w:rPr>
        <w:t>e</w:t>
      </w:r>
      <w:r w:rsidR="00F1200D" w:rsidRPr="00216F88">
        <w:rPr>
          <w:rFonts w:cs="Arial"/>
          <w:i/>
        </w:rPr>
        <w:t>jecutar las actuaciones recogidas en</w:t>
      </w:r>
      <w:r w:rsidR="008A5349" w:rsidRPr="00216F88">
        <w:rPr>
          <w:rFonts w:cs="Arial"/>
          <w:i/>
        </w:rPr>
        <w:t xml:space="preserve"> el Plan </w:t>
      </w:r>
      <w:r w:rsidR="00B2176B" w:rsidRPr="00216F88">
        <w:rPr>
          <w:rFonts w:cs="Arial"/>
          <w:i/>
        </w:rPr>
        <w:t xml:space="preserve">Municipal </w:t>
      </w:r>
      <w:r w:rsidR="008A5349" w:rsidRPr="00216F88">
        <w:rPr>
          <w:rFonts w:cs="Arial"/>
          <w:i/>
        </w:rPr>
        <w:t>de Co</w:t>
      </w:r>
      <w:r w:rsidR="008A5349" w:rsidRPr="00216F88">
        <w:rPr>
          <w:rFonts w:cs="Arial"/>
          <w:i/>
        </w:rPr>
        <w:t>n</w:t>
      </w:r>
      <w:r w:rsidR="008A5349" w:rsidRPr="00216F88">
        <w:rPr>
          <w:rFonts w:cs="Arial"/>
          <w:i/>
        </w:rPr>
        <w:t>trol Tributario aprobado y prorrogado para el año 2020.</w:t>
      </w:r>
    </w:p>
    <w:p w:rsidR="00EF7BAE" w:rsidRDefault="00EF7BAE">
      <w:pPr>
        <w:spacing w:after="0"/>
        <w:ind w:firstLine="0"/>
        <w:jc w:val="left"/>
        <w:rPr>
          <w:rFonts w:ascii="Arial" w:hAnsi="Arial"/>
          <w:i/>
          <w:iCs/>
          <w:color w:val="000000"/>
          <w:spacing w:val="10"/>
          <w:kern w:val="28"/>
          <w:sz w:val="25"/>
          <w:szCs w:val="26"/>
        </w:rPr>
      </w:pPr>
      <w:r>
        <w:rPr>
          <w:rFonts w:ascii="Arial" w:hAnsi="Arial"/>
          <w:i/>
          <w:iCs/>
          <w:color w:val="000000"/>
          <w:spacing w:val="10"/>
          <w:kern w:val="28"/>
          <w:sz w:val="25"/>
          <w:szCs w:val="26"/>
        </w:rPr>
        <w:br w:type="page"/>
      </w:r>
    </w:p>
    <w:p w:rsidR="0067725A" w:rsidRPr="00496742" w:rsidRDefault="0067725A" w:rsidP="001D77BA">
      <w:pPr>
        <w:pStyle w:val="texto"/>
        <w:tabs>
          <w:tab w:val="left" w:pos="708"/>
        </w:tabs>
        <w:spacing w:before="200" w:after="160"/>
        <w:rPr>
          <w:rFonts w:ascii="Arial" w:hAnsi="Arial"/>
          <w:i/>
          <w:iCs/>
          <w:color w:val="000000"/>
          <w:spacing w:val="10"/>
          <w:kern w:val="28"/>
          <w:sz w:val="25"/>
          <w:szCs w:val="26"/>
        </w:rPr>
      </w:pPr>
      <w:r w:rsidRPr="00496742">
        <w:rPr>
          <w:rFonts w:ascii="Arial" w:hAnsi="Arial"/>
          <w:i/>
          <w:iCs/>
          <w:color w:val="000000"/>
          <w:spacing w:val="10"/>
          <w:kern w:val="28"/>
          <w:sz w:val="25"/>
          <w:szCs w:val="26"/>
        </w:rPr>
        <w:lastRenderedPageBreak/>
        <w:t>Tasas, precios públicos y otros ingresos</w:t>
      </w:r>
    </w:p>
    <w:p w:rsidR="0067725A" w:rsidRDefault="0067725A" w:rsidP="001D77BA">
      <w:pPr>
        <w:pStyle w:val="texto"/>
        <w:tabs>
          <w:tab w:val="clear" w:pos="2835"/>
          <w:tab w:val="clear" w:pos="3969"/>
          <w:tab w:val="clear" w:pos="5103"/>
          <w:tab w:val="clear" w:pos="6237"/>
          <w:tab w:val="clear" w:pos="7371"/>
          <w:tab w:val="left" w:pos="480"/>
          <w:tab w:val="num" w:pos="720"/>
          <w:tab w:val="num" w:pos="1320"/>
          <w:tab w:val="num" w:pos="1948"/>
        </w:tabs>
        <w:spacing w:after="200"/>
        <w:rPr>
          <w:rFonts w:cs="Arial"/>
        </w:rPr>
      </w:pPr>
      <w:r w:rsidRPr="008B2583">
        <w:rPr>
          <w:rFonts w:cs="Arial"/>
        </w:rPr>
        <w:t>Las tasas</w:t>
      </w:r>
      <w:r w:rsidR="00BC6E19">
        <w:rPr>
          <w:rFonts w:cs="Arial"/>
        </w:rPr>
        <w:t>, precios públicos</w:t>
      </w:r>
      <w:r w:rsidRPr="008B2583">
        <w:rPr>
          <w:rFonts w:cs="Arial"/>
        </w:rPr>
        <w:t xml:space="preserve"> y otros ingresos representa</w:t>
      </w:r>
      <w:r w:rsidR="00012A79">
        <w:rPr>
          <w:rFonts w:cs="Arial"/>
        </w:rPr>
        <w:t xml:space="preserve">ron </w:t>
      </w:r>
      <w:r w:rsidRPr="008B2583">
        <w:rPr>
          <w:rFonts w:cs="Arial"/>
        </w:rPr>
        <w:t xml:space="preserve">el </w:t>
      </w:r>
      <w:r w:rsidR="00266016">
        <w:rPr>
          <w:rFonts w:cs="Arial"/>
        </w:rPr>
        <w:t>12</w:t>
      </w:r>
      <w:r w:rsidRPr="008B2583">
        <w:rPr>
          <w:rFonts w:cs="Arial"/>
        </w:rPr>
        <w:t xml:space="preserve"> por ciento del t</w:t>
      </w:r>
      <w:r w:rsidRPr="008B2583">
        <w:rPr>
          <w:rFonts w:cs="Arial"/>
        </w:rPr>
        <w:t>o</w:t>
      </w:r>
      <w:r w:rsidRPr="008B2583">
        <w:rPr>
          <w:rFonts w:cs="Arial"/>
        </w:rPr>
        <w:t>tal de ingresos municipales y corresponden a:</w:t>
      </w:r>
    </w:p>
    <w:tbl>
      <w:tblPr>
        <w:tblW w:w="5078" w:type="pct"/>
        <w:jc w:val="center"/>
        <w:tblCellMar>
          <w:left w:w="70" w:type="dxa"/>
          <w:right w:w="70" w:type="dxa"/>
        </w:tblCellMar>
        <w:tblLook w:val="04A0" w:firstRow="1" w:lastRow="0" w:firstColumn="1" w:lastColumn="0" w:noHBand="0" w:noVBand="1"/>
      </w:tblPr>
      <w:tblGrid>
        <w:gridCol w:w="2090"/>
        <w:gridCol w:w="4081"/>
        <w:gridCol w:w="1560"/>
        <w:gridCol w:w="1769"/>
      </w:tblGrid>
      <w:tr w:rsidR="007F45E8" w:rsidRPr="00467F57" w:rsidTr="00E90907">
        <w:trPr>
          <w:trHeight w:val="238"/>
          <w:jc w:val="center"/>
        </w:trPr>
        <w:tc>
          <w:tcPr>
            <w:tcW w:w="1100" w:type="pct"/>
            <w:tcBorders>
              <w:top w:val="single" w:sz="4" w:space="0" w:color="auto"/>
              <w:left w:val="nil"/>
              <w:bottom w:val="single" w:sz="4" w:space="0" w:color="auto"/>
              <w:right w:val="nil"/>
            </w:tcBorders>
            <w:shd w:val="clear" w:color="auto" w:fill="FABF8F" w:themeFill="accent6" w:themeFillTint="99"/>
            <w:vAlign w:val="center"/>
            <w:hideMark/>
          </w:tcPr>
          <w:p w:rsidR="007F45E8" w:rsidRPr="00467F57" w:rsidRDefault="00467F57" w:rsidP="00467F57">
            <w:pPr>
              <w:spacing w:after="0"/>
              <w:ind w:firstLine="0"/>
              <w:jc w:val="left"/>
              <w:rPr>
                <w:rFonts w:ascii="Arial" w:hAnsi="Arial" w:cs="Arial"/>
                <w:color w:val="000000"/>
                <w:sz w:val="18"/>
                <w:szCs w:val="18"/>
                <w:lang w:val="es-ES" w:eastAsia="es-ES"/>
              </w:rPr>
            </w:pPr>
            <w:r>
              <w:rPr>
                <w:rFonts w:ascii="Arial" w:hAnsi="Arial" w:cs="Arial"/>
                <w:color w:val="000000"/>
                <w:sz w:val="18"/>
                <w:szCs w:val="18"/>
                <w:lang w:eastAsia="es-ES"/>
              </w:rPr>
              <w:t>Concepto</w:t>
            </w:r>
            <w:r w:rsidR="007F45E8" w:rsidRPr="00467F57">
              <w:rPr>
                <w:rFonts w:ascii="Arial" w:hAnsi="Arial" w:cs="Arial"/>
                <w:color w:val="000000"/>
                <w:sz w:val="18"/>
                <w:szCs w:val="18"/>
                <w:lang w:eastAsia="es-ES"/>
              </w:rPr>
              <w:t xml:space="preserve"> </w:t>
            </w:r>
          </w:p>
        </w:tc>
        <w:tc>
          <w:tcPr>
            <w:tcW w:w="2148" w:type="pct"/>
            <w:tcBorders>
              <w:top w:val="single" w:sz="4" w:space="0" w:color="auto"/>
              <w:left w:val="nil"/>
              <w:bottom w:val="single" w:sz="4" w:space="0" w:color="auto"/>
              <w:right w:val="nil"/>
            </w:tcBorders>
            <w:shd w:val="clear" w:color="auto" w:fill="FABF8F" w:themeFill="accent6" w:themeFillTint="99"/>
            <w:vAlign w:val="center"/>
            <w:hideMark/>
          </w:tcPr>
          <w:p w:rsidR="007F45E8" w:rsidRPr="00467F57" w:rsidRDefault="00467F57" w:rsidP="00AD177F">
            <w:pPr>
              <w:spacing w:after="0"/>
              <w:ind w:firstLine="0"/>
              <w:jc w:val="right"/>
              <w:rPr>
                <w:rFonts w:ascii="Arial" w:hAnsi="Arial" w:cs="Arial"/>
                <w:color w:val="000000"/>
                <w:sz w:val="18"/>
                <w:szCs w:val="18"/>
                <w:lang w:val="es-ES" w:eastAsia="es-ES"/>
              </w:rPr>
            </w:pPr>
            <w:r>
              <w:rPr>
                <w:rFonts w:ascii="Arial" w:hAnsi="Arial" w:cs="Arial"/>
                <w:color w:val="000000"/>
                <w:sz w:val="18"/>
                <w:szCs w:val="18"/>
                <w:lang w:eastAsia="es-ES"/>
              </w:rPr>
              <w:t>Importe</w:t>
            </w:r>
          </w:p>
        </w:tc>
        <w:tc>
          <w:tcPr>
            <w:tcW w:w="821" w:type="pct"/>
            <w:tcBorders>
              <w:top w:val="single" w:sz="4" w:space="0" w:color="auto"/>
              <w:left w:val="nil"/>
              <w:bottom w:val="single" w:sz="4" w:space="0" w:color="auto"/>
              <w:right w:val="nil"/>
            </w:tcBorders>
            <w:shd w:val="clear" w:color="auto" w:fill="FABF8F" w:themeFill="accent6" w:themeFillTint="99"/>
            <w:noWrap/>
            <w:vAlign w:val="bottom"/>
            <w:hideMark/>
          </w:tcPr>
          <w:p w:rsidR="007F45E8" w:rsidRDefault="00467F57" w:rsidP="00AD177F">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 s/total</w:t>
            </w:r>
          </w:p>
          <w:p w:rsidR="00467F57" w:rsidRPr="00467F57" w:rsidRDefault="009E61C3" w:rsidP="00AD177F">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DRN</w:t>
            </w:r>
          </w:p>
        </w:tc>
        <w:tc>
          <w:tcPr>
            <w:tcW w:w="931" w:type="pct"/>
            <w:tcBorders>
              <w:top w:val="single" w:sz="4" w:space="0" w:color="auto"/>
              <w:left w:val="nil"/>
              <w:bottom w:val="single" w:sz="4" w:space="0" w:color="auto"/>
              <w:right w:val="nil"/>
            </w:tcBorders>
            <w:shd w:val="clear" w:color="auto" w:fill="FABF8F" w:themeFill="accent6" w:themeFillTint="99"/>
            <w:vAlign w:val="center"/>
            <w:hideMark/>
          </w:tcPr>
          <w:p w:rsidR="007F45E8" w:rsidRDefault="00B95B48" w:rsidP="00AD177F">
            <w:pPr>
              <w:spacing w:after="0"/>
              <w:ind w:firstLine="0"/>
              <w:jc w:val="right"/>
              <w:rPr>
                <w:rFonts w:ascii="Arial" w:hAnsi="Arial" w:cs="Arial"/>
                <w:color w:val="000000"/>
                <w:sz w:val="18"/>
                <w:szCs w:val="18"/>
                <w:lang w:eastAsia="es-ES"/>
              </w:rPr>
            </w:pPr>
            <w:r>
              <w:rPr>
                <w:rFonts w:ascii="Arial" w:hAnsi="Arial" w:cs="Arial"/>
                <w:color w:val="000000"/>
                <w:sz w:val="18"/>
                <w:szCs w:val="18"/>
                <w:lang w:eastAsia="es-ES"/>
              </w:rPr>
              <w:t xml:space="preserve">% </w:t>
            </w:r>
            <w:r w:rsidR="00467F57">
              <w:rPr>
                <w:rFonts w:ascii="Arial" w:hAnsi="Arial" w:cs="Arial"/>
                <w:color w:val="000000"/>
                <w:sz w:val="18"/>
                <w:szCs w:val="18"/>
                <w:lang w:eastAsia="es-ES"/>
              </w:rPr>
              <w:t>Var</w:t>
            </w:r>
            <w:r w:rsidR="00DC3A8A">
              <w:rPr>
                <w:rFonts w:ascii="Arial" w:hAnsi="Arial" w:cs="Arial"/>
                <w:color w:val="000000"/>
                <w:sz w:val="18"/>
                <w:szCs w:val="18"/>
                <w:lang w:eastAsia="es-ES"/>
              </w:rPr>
              <w:t>iación</w:t>
            </w:r>
          </w:p>
          <w:p w:rsidR="00467F57" w:rsidRPr="00467F57" w:rsidRDefault="00467F57" w:rsidP="00F8469C">
            <w:pPr>
              <w:spacing w:after="0"/>
              <w:ind w:firstLine="0"/>
              <w:jc w:val="right"/>
              <w:rPr>
                <w:rFonts w:ascii="Arial" w:hAnsi="Arial" w:cs="Arial"/>
                <w:color w:val="000000"/>
                <w:sz w:val="18"/>
                <w:szCs w:val="18"/>
                <w:lang w:val="es-ES" w:eastAsia="es-ES"/>
              </w:rPr>
            </w:pPr>
            <w:r>
              <w:rPr>
                <w:rFonts w:ascii="Arial" w:hAnsi="Arial" w:cs="Arial"/>
                <w:color w:val="000000"/>
                <w:sz w:val="18"/>
                <w:szCs w:val="18"/>
                <w:lang w:eastAsia="es-ES"/>
              </w:rPr>
              <w:t>201</w:t>
            </w:r>
            <w:r w:rsidR="00F8469C">
              <w:rPr>
                <w:rFonts w:ascii="Arial" w:hAnsi="Arial" w:cs="Arial"/>
                <w:color w:val="000000"/>
                <w:sz w:val="18"/>
                <w:szCs w:val="18"/>
                <w:lang w:eastAsia="es-ES"/>
              </w:rPr>
              <w:t>9</w:t>
            </w:r>
            <w:r>
              <w:rPr>
                <w:rFonts w:ascii="Arial" w:hAnsi="Arial" w:cs="Arial"/>
                <w:color w:val="000000"/>
                <w:sz w:val="18"/>
                <w:szCs w:val="18"/>
                <w:lang w:eastAsia="es-ES"/>
              </w:rPr>
              <w:t>/</w:t>
            </w:r>
            <w:r w:rsidR="00B95B48">
              <w:rPr>
                <w:rFonts w:ascii="Arial" w:hAnsi="Arial" w:cs="Arial"/>
                <w:color w:val="000000"/>
                <w:sz w:val="18"/>
                <w:szCs w:val="18"/>
                <w:lang w:eastAsia="es-ES"/>
              </w:rPr>
              <w:t>20</w:t>
            </w:r>
            <w:r>
              <w:rPr>
                <w:rFonts w:ascii="Arial" w:hAnsi="Arial" w:cs="Arial"/>
                <w:color w:val="000000"/>
                <w:sz w:val="18"/>
                <w:szCs w:val="18"/>
                <w:lang w:eastAsia="es-ES"/>
              </w:rPr>
              <w:t>1</w:t>
            </w:r>
            <w:r w:rsidR="00F8469C">
              <w:rPr>
                <w:rFonts w:ascii="Arial" w:hAnsi="Arial" w:cs="Arial"/>
                <w:color w:val="000000"/>
                <w:sz w:val="18"/>
                <w:szCs w:val="18"/>
                <w:lang w:eastAsia="es-ES"/>
              </w:rPr>
              <w:t>8</w:t>
            </w:r>
          </w:p>
        </w:tc>
      </w:tr>
      <w:tr w:rsidR="0067725A" w:rsidRPr="000C1726" w:rsidTr="00E90907">
        <w:trPr>
          <w:trHeight w:val="238"/>
          <w:jc w:val="center"/>
        </w:trPr>
        <w:tc>
          <w:tcPr>
            <w:tcW w:w="1100" w:type="pct"/>
            <w:tcBorders>
              <w:top w:val="single" w:sz="4" w:space="0" w:color="auto"/>
              <w:left w:val="nil"/>
              <w:bottom w:val="single" w:sz="2" w:space="0" w:color="auto"/>
              <w:right w:val="nil"/>
            </w:tcBorders>
            <w:shd w:val="clear" w:color="auto" w:fill="auto"/>
            <w:vAlign w:val="center"/>
            <w:hideMark/>
          </w:tcPr>
          <w:p w:rsidR="0067725A" w:rsidRPr="000C1726" w:rsidRDefault="0067725A" w:rsidP="004D712A">
            <w:pPr>
              <w:spacing w:after="0"/>
              <w:ind w:firstLine="0"/>
              <w:jc w:val="left"/>
              <w:rPr>
                <w:rFonts w:ascii="Arial Narrow" w:hAnsi="Arial Narrow" w:cs="Arial"/>
                <w:color w:val="000000"/>
                <w:lang w:val="es-ES" w:eastAsia="es-ES"/>
              </w:rPr>
            </w:pPr>
            <w:r w:rsidRPr="000C1726">
              <w:rPr>
                <w:rFonts w:ascii="Arial Narrow" w:hAnsi="Arial Narrow" w:cs="Calibri"/>
                <w:color w:val="000000"/>
                <w:lang w:eastAsia="es-ES"/>
              </w:rPr>
              <w:t xml:space="preserve">Tasas </w:t>
            </w:r>
            <w:r w:rsidR="007B7409">
              <w:rPr>
                <w:rFonts w:ascii="Arial Narrow" w:hAnsi="Arial Narrow" w:cs="Calibri"/>
                <w:color w:val="000000"/>
                <w:lang w:eastAsia="es-ES"/>
              </w:rPr>
              <w:t>y precios públicos</w:t>
            </w:r>
          </w:p>
        </w:tc>
        <w:tc>
          <w:tcPr>
            <w:tcW w:w="2148" w:type="pct"/>
            <w:tcBorders>
              <w:top w:val="single" w:sz="4" w:space="0" w:color="auto"/>
              <w:left w:val="nil"/>
              <w:bottom w:val="single" w:sz="2" w:space="0" w:color="auto"/>
              <w:right w:val="nil"/>
            </w:tcBorders>
            <w:shd w:val="clear" w:color="auto" w:fill="auto"/>
            <w:vAlign w:val="center"/>
            <w:hideMark/>
          </w:tcPr>
          <w:p w:rsidR="0067725A" w:rsidRPr="000C1726" w:rsidRDefault="009C3D77" w:rsidP="00B2176B">
            <w:pPr>
              <w:spacing w:after="0"/>
              <w:ind w:firstLine="0"/>
              <w:jc w:val="right"/>
              <w:rPr>
                <w:rFonts w:ascii="Arial Narrow" w:hAnsi="Arial Narrow" w:cs="Arial"/>
                <w:color w:val="000000"/>
                <w:lang w:val="es-ES" w:eastAsia="es-ES"/>
              </w:rPr>
            </w:pPr>
            <w:r>
              <w:rPr>
                <w:rFonts w:ascii="Arial Narrow" w:hAnsi="Arial Narrow" w:cs="Calibri"/>
                <w:color w:val="000000"/>
                <w:lang w:eastAsia="es-ES"/>
              </w:rPr>
              <w:t>1.</w:t>
            </w:r>
            <w:r w:rsidR="00266016">
              <w:rPr>
                <w:rFonts w:ascii="Arial Narrow" w:hAnsi="Arial Narrow" w:cs="Calibri"/>
                <w:color w:val="000000"/>
                <w:lang w:eastAsia="es-ES"/>
              </w:rPr>
              <w:t>369.65</w:t>
            </w:r>
            <w:r w:rsidR="00B2176B">
              <w:rPr>
                <w:rFonts w:ascii="Arial Narrow" w:hAnsi="Arial Narrow" w:cs="Calibri"/>
                <w:color w:val="000000"/>
                <w:lang w:eastAsia="es-ES"/>
              </w:rPr>
              <w:t>8</w:t>
            </w:r>
          </w:p>
        </w:tc>
        <w:tc>
          <w:tcPr>
            <w:tcW w:w="821" w:type="pct"/>
            <w:tcBorders>
              <w:top w:val="single" w:sz="4" w:space="0" w:color="auto"/>
              <w:left w:val="nil"/>
              <w:bottom w:val="single" w:sz="2" w:space="0" w:color="auto"/>
              <w:right w:val="nil"/>
            </w:tcBorders>
            <w:shd w:val="clear" w:color="auto" w:fill="auto"/>
            <w:noWrap/>
            <w:vAlign w:val="bottom"/>
          </w:tcPr>
          <w:p w:rsidR="0067725A" w:rsidRPr="00A774AE" w:rsidRDefault="00266016" w:rsidP="00266016">
            <w:pPr>
              <w:spacing w:after="0"/>
              <w:ind w:firstLine="0"/>
              <w:jc w:val="right"/>
              <w:rPr>
                <w:rFonts w:ascii="Arial Narrow" w:hAnsi="Arial Narrow" w:cs="Calibri"/>
                <w:color w:val="000000"/>
                <w:lang w:eastAsia="es-ES"/>
              </w:rPr>
            </w:pPr>
            <w:r>
              <w:rPr>
                <w:rFonts w:ascii="Arial Narrow" w:hAnsi="Arial Narrow" w:cs="Calibri"/>
                <w:color w:val="000000"/>
                <w:lang w:eastAsia="es-ES"/>
              </w:rPr>
              <w:t>9</w:t>
            </w:r>
          </w:p>
        </w:tc>
        <w:tc>
          <w:tcPr>
            <w:tcW w:w="931" w:type="pct"/>
            <w:tcBorders>
              <w:top w:val="single" w:sz="4" w:space="0" w:color="auto"/>
              <w:left w:val="nil"/>
              <w:bottom w:val="single" w:sz="2" w:space="0" w:color="auto"/>
              <w:right w:val="nil"/>
            </w:tcBorders>
            <w:shd w:val="clear" w:color="auto" w:fill="auto"/>
            <w:vAlign w:val="center"/>
            <w:hideMark/>
          </w:tcPr>
          <w:p w:rsidR="0067725A" w:rsidRPr="000C1726" w:rsidRDefault="00266016" w:rsidP="004D712A">
            <w:pPr>
              <w:spacing w:after="0"/>
              <w:ind w:firstLine="0"/>
              <w:jc w:val="right"/>
              <w:rPr>
                <w:rFonts w:ascii="Arial Narrow" w:hAnsi="Arial Narrow" w:cs="Arial"/>
                <w:color w:val="000000"/>
                <w:lang w:val="es-ES" w:eastAsia="es-ES"/>
              </w:rPr>
            </w:pPr>
            <w:r>
              <w:rPr>
                <w:rFonts w:ascii="Arial Narrow" w:hAnsi="Arial Narrow" w:cs="Calibri"/>
                <w:color w:val="000000"/>
                <w:lang w:eastAsia="es-ES"/>
              </w:rPr>
              <w:t>1</w:t>
            </w:r>
          </w:p>
        </w:tc>
      </w:tr>
      <w:tr w:rsidR="0067725A" w:rsidRPr="000C1726" w:rsidTr="00E90907">
        <w:trPr>
          <w:trHeight w:val="238"/>
          <w:jc w:val="center"/>
        </w:trPr>
        <w:tc>
          <w:tcPr>
            <w:tcW w:w="1100" w:type="pct"/>
            <w:tcBorders>
              <w:top w:val="single" w:sz="2" w:space="0" w:color="auto"/>
              <w:left w:val="nil"/>
              <w:bottom w:val="single" w:sz="4" w:space="0" w:color="auto"/>
              <w:right w:val="nil"/>
            </w:tcBorders>
            <w:shd w:val="clear" w:color="auto" w:fill="auto"/>
            <w:vAlign w:val="center"/>
            <w:hideMark/>
          </w:tcPr>
          <w:p w:rsidR="0067725A" w:rsidRPr="000C1726" w:rsidRDefault="0067725A" w:rsidP="004D712A">
            <w:pPr>
              <w:spacing w:after="0"/>
              <w:ind w:firstLine="0"/>
              <w:jc w:val="left"/>
              <w:rPr>
                <w:rFonts w:ascii="Arial Narrow" w:hAnsi="Arial Narrow" w:cs="Arial"/>
                <w:color w:val="000000"/>
                <w:lang w:val="es-ES" w:eastAsia="es-ES"/>
              </w:rPr>
            </w:pPr>
            <w:r w:rsidRPr="000C1726">
              <w:rPr>
                <w:rFonts w:ascii="Arial Narrow" w:hAnsi="Arial Narrow" w:cs="Calibri"/>
                <w:color w:val="000000"/>
                <w:lang w:eastAsia="es-ES"/>
              </w:rPr>
              <w:t>Otros ingresos</w:t>
            </w:r>
          </w:p>
        </w:tc>
        <w:tc>
          <w:tcPr>
            <w:tcW w:w="2148" w:type="pct"/>
            <w:tcBorders>
              <w:top w:val="single" w:sz="2" w:space="0" w:color="auto"/>
              <w:left w:val="nil"/>
              <w:bottom w:val="single" w:sz="4" w:space="0" w:color="auto"/>
              <w:right w:val="nil"/>
            </w:tcBorders>
            <w:shd w:val="clear" w:color="auto" w:fill="auto"/>
            <w:vAlign w:val="center"/>
            <w:hideMark/>
          </w:tcPr>
          <w:p w:rsidR="0067725A" w:rsidRPr="000C1726" w:rsidRDefault="00266016" w:rsidP="004D712A">
            <w:pPr>
              <w:spacing w:after="0"/>
              <w:ind w:firstLine="0"/>
              <w:jc w:val="right"/>
              <w:rPr>
                <w:rFonts w:ascii="Arial Narrow" w:hAnsi="Arial Narrow" w:cs="Arial"/>
                <w:color w:val="000000"/>
                <w:lang w:val="es-ES" w:eastAsia="es-ES"/>
              </w:rPr>
            </w:pPr>
            <w:r>
              <w:rPr>
                <w:rFonts w:ascii="Arial Narrow" w:hAnsi="Arial Narrow" w:cs="Calibri"/>
                <w:color w:val="000000"/>
                <w:lang w:eastAsia="es-ES"/>
              </w:rPr>
              <w:t>415.552</w:t>
            </w:r>
          </w:p>
        </w:tc>
        <w:tc>
          <w:tcPr>
            <w:tcW w:w="821" w:type="pct"/>
            <w:tcBorders>
              <w:top w:val="single" w:sz="2" w:space="0" w:color="auto"/>
              <w:left w:val="nil"/>
              <w:bottom w:val="single" w:sz="4" w:space="0" w:color="auto"/>
              <w:right w:val="nil"/>
            </w:tcBorders>
            <w:shd w:val="clear" w:color="auto" w:fill="auto"/>
            <w:noWrap/>
            <w:vAlign w:val="bottom"/>
          </w:tcPr>
          <w:p w:rsidR="0067725A" w:rsidRPr="00A774AE" w:rsidRDefault="00266016" w:rsidP="00A774AE">
            <w:pPr>
              <w:spacing w:after="0"/>
              <w:ind w:firstLine="0"/>
              <w:jc w:val="right"/>
              <w:rPr>
                <w:rFonts w:ascii="Arial Narrow" w:hAnsi="Arial Narrow" w:cs="Calibri"/>
                <w:color w:val="000000"/>
                <w:lang w:eastAsia="es-ES"/>
              </w:rPr>
            </w:pPr>
            <w:r>
              <w:rPr>
                <w:rFonts w:ascii="Arial Narrow" w:hAnsi="Arial Narrow" w:cs="Calibri"/>
                <w:color w:val="000000"/>
                <w:lang w:eastAsia="es-ES"/>
              </w:rPr>
              <w:t>3</w:t>
            </w:r>
          </w:p>
        </w:tc>
        <w:tc>
          <w:tcPr>
            <w:tcW w:w="931" w:type="pct"/>
            <w:tcBorders>
              <w:top w:val="single" w:sz="2" w:space="0" w:color="auto"/>
              <w:left w:val="nil"/>
              <w:bottom w:val="single" w:sz="4" w:space="0" w:color="auto"/>
              <w:right w:val="nil"/>
            </w:tcBorders>
            <w:shd w:val="clear" w:color="auto" w:fill="auto"/>
            <w:vAlign w:val="center"/>
            <w:hideMark/>
          </w:tcPr>
          <w:p w:rsidR="0067725A" w:rsidRPr="000C1726" w:rsidRDefault="009E61C3" w:rsidP="004D712A">
            <w:pPr>
              <w:spacing w:after="0"/>
              <w:ind w:firstLine="0"/>
              <w:jc w:val="right"/>
              <w:rPr>
                <w:rFonts w:ascii="Arial Narrow" w:hAnsi="Arial Narrow" w:cs="Arial"/>
                <w:color w:val="000000"/>
                <w:lang w:val="es-ES" w:eastAsia="es-ES"/>
              </w:rPr>
            </w:pPr>
            <w:r>
              <w:rPr>
                <w:rFonts w:ascii="Arial Narrow" w:hAnsi="Arial Narrow" w:cs="Calibri"/>
                <w:color w:val="000000"/>
                <w:lang w:eastAsia="es-ES"/>
              </w:rPr>
              <w:t>-</w:t>
            </w:r>
            <w:r w:rsidR="00266016">
              <w:rPr>
                <w:rFonts w:ascii="Arial Narrow" w:hAnsi="Arial Narrow" w:cs="Calibri"/>
                <w:color w:val="000000"/>
                <w:lang w:eastAsia="es-ES"/>
              </w:rPr>
              <w:t>31</w:t>
            </w:r>
          </w:p>
        </w:tc>
      </w:tr>
    </w:tbl>
    <w:p w:rsidR="0067725A" w:rsidRDefault="0067725A" w:rsidP="001D77BA">
      <w:pPr>
        <w:pStyle w:val="texto"/>
        <w:tabs>
          <w:tab w:val="left" w:pos="708"/>
        </w:tabs>
        <w:spacing w:before="200" w:after="200"/>
        <w:rPr>
          <w:szCs w:val="26"/>
        </w:rPr>
      </w:pPr>
      <w:r>
        <w:rPr>
          <w:szCs w:val="26"/>
        </w:rPr>
        <w:t>Hemos re</w:t>
      </w:r>
      <w:r w:rsidR="007B7409">
        <w:rPr>
          <w:szCs w:val="26"/>
        </w:rPr>
        <w:t>visado</w:t>
      </w:r>
      <w:r>
        <w:rPr>
          <w:szCs w:val="26"/>
        </w:rPr>
        <w:t xml:space="preserve"> </w:t>
      </w:r>
      <w:r w:rsidRPr="001760DD">
        <w:rPr>
          <w:szCs w:val="26"/>
        </w:rPr>
        <w:t>una muestra sobre la</w:t>
      </w:r>
      <w:r w:rsidR="00A562F4">
        <w:rPr>
          <w:szCs w:val="26"/>
        </w:rPr>
        <w:t>s</w:t>
      </w:r>
      <w:r w:rsidRPr="001760DD">
        <w:rPr>
          <w:szCs w:val="26"/>
        </w:rPr>
        <w:t xml:space="preserve"> siguiente</w:t>
      </w:r>
      <w:r w:rsidR="00A562F4">
        <w:rPr>
          <w:szCs w:val="26"/>
        </w:rPr>
        <w:t>s</w:t>
      </w:r>
      <w:r w:rsidR="00F1200D">
        <w:rPr>
          <w:szCs w:val="26"/>
        </w:rPr>
        <w:t xml:space="preserve"> </w:t>
      </w:r>
      <w:r w:rsidRPr="001760DD">
        <w:rPr>
          <w:szCs w:val="26"/>
        </w:rPr>
        <w:t>partida</w:t>
      </w:r>
      <w:r w:rsidR="00281707">
        <w:rPr>
          <w:szCs w:val="26"/>
        </w:rPr>
        <w:t>s</w:t>
      </w:r>
      <w:r w:rsidRPr="001760DD">
        <w:rPr>
          <w:szCs w:val="26"/>
        </w:rPr>
        <w:t xml:space="preserve">: </w:t>
      </w:r>
    </w:p>
    <w:tbl>
      <w:tblPr>
        <w:tblW w:w="9385"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4384"/>
        <w:gridCol w:w="1561"/>
        <w:gridCol w:w="1796"/>
        <w:gridCol w:w="1629"/>
        <w:gridCol w:w="15"/>
      </w:tblGrid>
      <w:tr w:rsidR="0067725A" w:rsidRPr="00A8391A" w:rsidTr="00B95B48">
        <w:trPr>
          <w:trHeight w:val="227"/>
          <w:jc w:val="center"/>
        </w:trPr>
        <w:tc>
          <w:tcPr>
            <w:tcW w:w="4384" w:type="dxa"/>
            <w:tcBorders>
              <w:top w:val="single" w:sz="4" w:space="0" w:color="auto"/>
              <w:left w:val="nil"/>
              <w:bottom w:val="single" w:sz="4" w:space="0" w:color="auto"/>
              <w:right w:val="nil"/>
            </w:tcBorders>
            <w:shd w:val="clear" w:color="auto" w:fill="FABF8F" w:themeFill="accent6" w:themeFillTint="99"/>
            <w:vAlign w:val="center"/>
            <w:hideMark/>
          </w:tcPr>
          <w:p w:rsidR="0067725A" w:rsidRPr="00A8391A" w:rsidRDefault="0067725A" w:rsidP="004D712A">
            <w:pPr>
              <w:pStyle w:val="Textoindependiente"/>
              <w:jc w:val="left"/>
              <w:rPr>
                <w:rFonts w:cs="Arial"/>
                <w:sz w:val="18"/>
                <w:szCs w:val="18"/>
              </w:rPr>
            </w:pPr>
            <w:r w:rsidRPr="00A8391A">
              <w:rPr>
                <w:rFonts w:cs="Arial"/>
                <w:sz w:val="18"/>
                <w:szCs w:val="18"/>
              </w:rPr>
              <w:t>Concepto</w:t>
            </w:r>
          </w:p>
        </w:tc>
        <w:tc>
          <w:tcPr>
            <w:tcW w:w="3357" w:type="dxa"/>
            <w:gridSpan w:val="2"/>
            <w:tcBorders>
              <w:top w:val="single" w:sz="4" w:space="0" w:color="auto"/>
              <w:left w:val="nil"/>
              <w:bottom w:val="single" w:sz="4" w:space="0" w:color="auto"/>
              <w:right w:val="nil"/>
            </w:tcBorders>
            <w:shd w:val="clear" w:color="auto" w:fill="FABF8F" w:themeFill="accent6" w:themeFillTint="99"/>
            <w:vAlign w:val="center"/>
            <w:hideMark/>
          </w:tcPr>
          <w:p w:rsidR="0067725A" w:rsidRPr="00A8391A" w:rsidRDefault="0067725A" w:rsidP="004D712A">
            <w:pPr>
              <w:pStyle w:val="Textoindependiente"/>
              <w:jc w:val="right"/>
              <w:rPr>
                <w:rFonts w:cs="Arial"/>
                <w:sz w:val="18"/>
                <w:szCs w:val="18"/>
              </w:rPr>
            </w:pPr>
            <w:r w:rsidRPr="00A8391A">
              <w:rPr>
                <w:rFonts w:cs="Arial"/>
                <w:sz w:val="18"/>
                <w:szCs w:val="18"/>
              </w:rPr>
              <w:t>Importe</w:t>
            </w:r>
          </w:p>
        </w:tc>
        <w:tc>
          <w:tcPr>
            <w:tcW w:w="1644" w:type="dxa"/>
            <w:gridSpan w:val="2"/>
            <w:tcBorders>
              <w:top w:val="single" w:sz="4" w:space="0" w:color="auto"/>
              <w:left w:val="nil"/>
              <w:bottom w:val="single" w:sz="4" w:space="0" w:color="auto"/>
              <w:right w:val="nil"/>
            </w:tcBorders>
            <w:shd w:val="clear" w:color="auto" w:fill="FABF8F" w:themeFill="accent6" w:themeFillTint="99"/>
            <w:vAlign w:val="center"/>
            <w:hideMark/>
          </w:tcPr>
          <w:p w:rsidR="0067725A" w:rsidRDefault="0067725A" w:rsidP="004D712A">
            <w:pPr>
              <w:pStyle w:val="Textoindependiente"/>
              <w:jc w:val="right"/>
              <w:rPr>
                <w:rFonts w:cs="Arial"/>
                <w:sz w:val="18"/>
                <w:szCs w:val="18"/>
              </w:rPr>
            </w:pPr>
            <w:r>
              <w:rPr>
                <w:rFonts w:cs="Arial"/>
                <w:sz w:val="18"/>
                <w:szCs w:val="18"/>
              </w:rPr>
              <w:t>% Variación</w:t>
            </w:r>
          </w:p>
          <w:p w:rsidR="0067725A" w:rsidRPr="009037D4" w:rsidRDefault="00F8469C" w:rsidP="004D712A">
            <w:pPr>
              <w:pStyle w:val="Textoindependiente"/>
              <w:jc w:val="right"/>
              <w:rPr>
                <w:rFonts w:eastAsia="Calibri" w:cs="Arial"/>
                <w:sz w:val="18"/>
                <w:szCs w:val="18"/>
              </w:rPr>
            </w:pPr>
            <w:r>
              <w:rPr>
                <w:rFonts w:cs="Arial"/>
                <w:sz w:val="18"/>
                <w:szCs w:val="18"/>
              </w:rPr>
              <w:t xml:space="preserve"> 2019</w:t>
            </w:r>
            <w:r w:rsidR="0067725A">
              <w:rPr>
                <w:rFonts w:cs="Arial"/>
                <w:sz w:val="18"/>
                <w:szCs w:val="18"/>
              </w:rPr>
              <w:t>/</w:t>
            </w:r>
            <w:r w:rsidR="005519FF">
              <w:rPr>
                <w:rFonts w:cs="Arial"/>
                <w:sz w:val="18"/>
                <w:szCs w:val="18"/>
              </w:rPr>
              <w:t>20</w:t>
            </w:r>
            <w:r w:rsidR="0067725A">
              <w:rPr>
                <w:rFonts w:cs="Arial"/>
                <w:sz w:val="18"/>
                <w:szCs w:val="18"/>
              </w:rPr>
              <w:t>1</w:t>
            </w:r>
            <w:r>
              <w:rPr>
                <w:rFonts w:cs="Arial"/>
                <w:sz w:val="18"/>
                <w:szCs w:val="18"/>
              </w:rPr>
              <w:t>8</w:t>
            </w:r>
          </w:p>
        </w:tc>
      </w:tr>
      <w:tr w:rsidR="00B95B48" w:rsidRPr="0031352B" w:rsidTr="00B95B48">
        <w:trPr>
          <w:gridAfter w:val="1"/>
          <w:wAfter w:w="15" w:type="dxa"/>
          <w:trHeight w:val="238"/>
          <w:jc w:val="center"/>
        </w:trPr>
        <w:tc>
          <w:tcPr>
            <w:tcW w:w="5945" w:type="dxa"/>
            <w:gridSpan w:val="2"/>
            <w:tcBorders>
              <w:bottom w:val="single" w:sz="2" w:space="0" w:color="auto"/>
            </w:tcBorders>
            <w:shd w:val="clear" w:color="auto" w:fill="auto"/>
          </w:tcPr>
          <w:p w:rsidR="00B95B48" w:rsidRPr="0031352B" w:rsidRDefault="00266016" w:rsidP="004D712A">
            <w:pPr>
              <w:pStyle w:val="Textoindependiente"/>
              <w:jc w:val="left"/>
              <w:rPr>
                <w:rFonts w:ascii="Arial Narrow" w:hAnsi="Arial Narrow" w:cs="Calibri"/>
                <w:sz w:val="20"/>
              </w:rPr>
            </w:pPr>
            <w:bookmarkStart w:id="119" w:name="_Toc419808250"/>
            <w:bookmarkStart w:id="120" w:name="_Toc419882720"/>
            <w:bookmarkStart w:id="121" w:name="_Toc451242411"/>
            <w:bookmarkStart w:id="122" w:name="_Toc451505877"/>
            <w:bookmarkStart w:id="123" w:name="_Toc451933597"/>
            <w:bookmarkStart w:id="124" w:name="_Toc451933656"/>
            <w:r>
              <w:rPr>
                <w:rFonts w:ascii="Arial Narrow" w:hAnsi="Arial Narrow" w:cs="Calibri"/>
                <w:sz w:val="20"/>
              </w:rPr>
              <w:t>Aportaciones alumnos escuela de música</w:t>
            </w:r>
          </w:p>
        </w:tc>
        <w:tc>
          <w:tcPr>
            <w:tcW w:w="1796" w:type="dxa"/>
            <w:tcBorders>
              <w:bottom w:val="single" w:sz="2" w:space="0" w:color="auto"/>
            </w:tcBorders>
            <w:shd w:val="clear" w:color="auto" w:fill="auto"/>
            <w:vAlign w:val="center"/>
          </w:tcPr>
          <w:p w:rsidR="00B95B48" w:rsidRPr="0031352B" w:rsidRDefault="00266016" w:rsidP="00B95B48">
            <w:pPr>
              <w:pStyle w:val="Textoindependiente"/>
              <w:jc w:val="right"/>
              <w:rPr>
                <w:rFonts w:ascii="Arial Narrow" w:hAnsi="Arial Narrow" w:cs="Calibri"/>
                <w:sz w:val="20"/>
              </w:rPr>
            </w:pPr>
            <w:r>
              <w:rPr>
                <w:rFonts w:ascii="Arial Narrow" w:hAnsi="Arial Narrow" w:cs="Calibri"/>
                <w:sz w:val="20"/>
              </w:rPr>
              <w:t>333.406</w:t>
            </w:r>
          </w:p>
        </w:tc>
        <w:tc>
          <w:tcPr>
            <w:tcW w:w="1629" w:type="dxa"/>
            <w:tcBorders>
              <w:bottom w:val="single" w:sz="2" w:space="0" w:color="auto"/>
            </w:tcBorders>
            <w:shd w:val="clear" w:color="auto" w:fill="auto"/>
            <w:vAlign w:val="center"/>
          </w:tcPr>
          <w:p w:rsidR="00B95B48" w:rsidRPr="0031352B" w:rsidRDefault="00266016" w:rsidP="004D712A">
            <w:pPr>
              <w:pStyle w:val="Textoindependiente"/>
              <w:jc w:val="right"/>
              <w:rPr>
                <w:rFonts w:ascii="Arial Narrow" w:hAnsi="Arial Narrow" w:cs="Calibri"/>
                <w:sz w:val="20"/>
              </w:rPr>
            </w:pPr>
            <w:r>
              <w:rPr>
                <w:rFonts w:ascii="Arial Narrow" w:hAnsi="Arial Narrow" w:cs="Calibri"/>
                <w:sz w:val="20"/>
              </w:rPr>
              <w:t>4</w:t>
            </w:r>
          </w:p>
        </w:tc>
      </w:tr>
      <w:tr w:rsidR="00266016" w:rsidRPr="003F6E35" w:rsidTr="00730A84">
        <w:trPr>
          <w:gridAfter w:val="1"/>
          <w:wAfter w:w="15" w:type="dxa"/>
          <w:trHeight w:val="238"/>
          <w:jc w:val="center"/>
        </w:trPr>
        <w:tc>
          <w:tcPr>
            <w:tcW w:w="5945" w:type="dxa"/>
            <w:gridSpan w:val="2"/>
            <w:tcBorders>
              <w:top w:val="single" w:sz="2" w:space="0" w:color="auto"/>
              <w:bottom w:val="single" w:sz="2" w:space="0" w:color="auto"/>
            </w:tcBorders>
            <w:shd w:val="clear" w:color="auto" w:fill="auto"/>
          </w:tcPr>
          <w:p w:rsidR="00266016" w:rsidRPr="003F6E35" w:rsidRDefault="00266016" w:rsidP="00730A84">
            <w:pPr>
              <w:pStyle w:val="Textoindependiente"/>
              <w:jc w:val="left"/>
              <w:rPr>
                <w:rFonts w:ascii="Arial Narrow" w:hAnsi="Arial Narrow" w:cs="Calibri"/>
                <w:sz w:val="20"/>
              </w:rPr>
            </w:pPr>
            <w:r>
              <w:rPr>
                <w:rFonts w:ascii="Arial Narrow" w:hAnsi="Arial Narrow" w:cs="Calibri"/>
                <w:sz w:val="20"/>
              </w:rPr>
              <w:t>Multas</w:t>
            </w:r>
            <w:r w:rsidR="00F1200D">
              <w:rPr>
                <w:rFonts w:ascii="Arial Narrow" w:hAnsi="Arial Narrow" w:cs="Calibri"/>
                <w:sz w:val="20"/>
              </w:rPr>
              <w:t xml:space="preserve"> de tráfico</w:t>
            </w:r>
          </w:p>
        </w:tc>
        <w:tc>
          <w:tcPr>
            <w:tcW w:w="1796" w:type="dxa"/>
            <w:tcBorders>
              <w:top w:val="single" w:sz="2" w:space="0" w:color="auto"/>
              <w:bottom w:val="single" w:sz="2" w:space="0" w:color="auto"/>
            </w:tcBorders>
            <w:shd w:val="clear" w:color="auto" w:fill="auto"/>
            <w:vAlign w:val="center"/>
          </w:tcPr>
          <w:p w:rsidR="00266016" w:rsidRPr="003F6E35" w:rsidRDefault="00266016" w:rsidP="00730A84">
            <w:pPr>
              <w:pStyle w:val="Textoindependiente"/>
              <w:jc w:val="right"/>
              <w:rPr>
                <w:rFonts w:ascii="Arial Narrow" w:hAnsi="Arial Narrow" w:cs="Calibri"/>
                <w:sz w:val="20"/>
              </w:rPr>
            </w:pPr>
            <w:r>
              <w:rPr>
                <w:rFonts w:ascii="Arial Narrow" w:hAnsi="Arial Narrow" w:cs="Calibri"/>
                <w:sz w:val="20"/>
              </w:rPr>
              <w:t>255.903</w:t>
            </w:r>
          </w:p>
        </w:tc>
        <w:tc>
          <w:tcPr>
            <w:tcW w:w="1629" w:type="dxa"/>
            <w:tcBorders>
              <w:top w:val="single" w:sz="2" w:space="0" w:color="auto"/>
              <w:bottom w:val="single" w:sz="2" w:space="0" w:color="auto"/>
            </w:tcBorders>
            <w:shd w:val="clear" w:color="auto" w:fill="auto"/>
            <w:vAlign w:val="center"/>
          </w:tcPr>
          <w:p w:rsidR="00266016" w:rsidRPr="003F6E35" w:rsidRDefault="00266016" w:rsidP="00730A84">
            <w:pPr>
              <w:pStyle w:val="Textoindependiente"/>
              <w:jc w:val="right"/>
              <w:rPr>
                <w:rFonts w:ascii="Arial Narrow" w:hAnsi="Arial Narrow" w:cs="Calibri"/>
                <w:sz w:val="20"/>
              </w:rPr>
            </w:pPr>
            <w:r>
              <w:rPr>
                <w:rFonts w:ascii="Arial Narrow" w:hAnsi="Arial Narrow" w:cs="Calibri"/>
                <w:sz w:val="20"/>
              </w:rPr>
              <w:t>-38</w:t>
            </w:r>
          </w:p>
        </w:tc>
      </w:tr>
      <w:tr w:rsidR="00B95B48" w:rsidRPr="0031352B" w:rsidTr="00B95B48">
        <w:trPr>
          <w:gridAfter w:val="1"/>
          <w:wAfter w:w="15" w:type="dxa"/>
          <w:trHeight w:val="238"/>
          <w:jc w:val="center"/>
        </w:trPr>
        <w:tc>
          <w:tcPr>
            <w:tcW w:w="5945" w:type="dxa"/>
            <w:gridSpan w:val="2"/>
            <w:tcBorders>
              <w:top w:val="single" w:sz="2" w:space="0" w:color="auto"/>
              <w:bottom w:val="single" w:sz="2" w:space="0" w:color="auto"/>
            </w:tcBorders>
            <w:shd w:val="clear" w:color="auto" w:fill="auto"/>
          </w:tcPr>
          <w:p w:rsidR="00B95B48" w:rsidRPr="0031352B" w:rsidRDefault="00266016" w:rsidP="004D712A">
            <w:pPr>
              <w:pStyle w:val="Textoindependiente"/>
              <w:jc w:val="left"/>
              <w:rPr>
                <w:rFonts w:ascii="Arial Narrow" w:hAnsi="Arial Narrow" w:cs="Calibri"/>
                <w:sz w:val="20"/>
              </w:rPr>
            </w:pPr>
            <w:r>
              <w:rPr>
                <w:rFonts w:ascii="Arial Narrow" w:hAnsi="Arial Narrow" w:cs="Calibri"/>
                <w:sz w:val="20"/>
              </w:rPr>
              <w:t>Tasas empresas de suministros</w:t>
            </w:r>
          </w:p>
        </w:tc>
        <w:tc>
          <w:tcPr>
            <w:tcW w:w="1796" w:type="dxa"/>
            <w:tcBorders>
              <w:top w:val="single" w:sz="2" w:space="0" w:color="auto"/>
              <w:bottom w:val="single" w:sz="2" w:space="0" w:color="auto"/>
            </w:tcBorders>
            <w:shd w:val="clear" w:color="auto" w:fill="auto"/>
            <w:vAlign w:val="center"/>
          </w:tcPr>
          <w:p w:rsidR="00B95B48" w:rsidRPr="0031352B" w:rsidRDefault="00B95B48" w:rsidP="00B95B48">
            <w:pPr>
              <w:pStyle w:val="Textoindependiente"/>
              <w:jc w:val="right"/>
              <w:rPr>
                <w:rFonts w:ascii="Arial Narrow" w:hAnsi="Arial Narrow" w:cs="Calibri"/>
                <w:sz w:val="20"/>
              </w:rPr>
            </w:pPr>
            <w:r>
              <w:rPr>
                <w:rFonts w:ascii="Arial Narrow" w:hAnsi="Arial Narrow" w:cs="Calibri"/>
                <w:sz w:val="20"/>
              </w:rPr>
              <w:t>2</w:t>
            </w:r>
            <w:r w:rsidR="00266016">
              <w:rPr>
                <w:rFonts w:ascii="Arial Narrow" w:hAnsi="Arial Narrow" w:cs="Calibri"/>
                <w:sz w:val="20"/>
              </w:rPr>
              <w:t>04.068</w:t>
            </w:r>
          </w:p>
        </w:tc>
        <w:tc>
          <w:tcPr>
            <w:tcW w:w="1629" w:type="dxa"/>
            <w:tcBorders>
              <w:top w:val="single" w:sz="2" w:space="0" w:color="auto"/>
              <w:bottom w:val="single" w:sz="2" w:space="0" w:color="auto"/>
            </w:tcBorders>
            <w:shd w:val="clear" w:color="auto" w:fill="auto"/>
            <w:vAlign w:val="center"/>
          </w:tcPr>
          <w:p w:rsidR="00B95B48" w:rsidRPr="0031352B" w:rsidRDefault="00266016" w:rsidP="004D712A">
            <w:pPr>
              <w:pStyle w:val="Textoindependiente"/>
              <w:jc w:val="right"/>
              <w:rPr>
                <w:rFonts w:ascii="Arial Narrow" w:hAnsi="Arial Narrow" w:cs="Calibri"/>
                <w:sz w:val="20"/>
              </w:rPr>
            </w:pPr>
            <w:r>
              <w:rPr>
                <w:rFonts w:ascii="Arial Narrow" w:hAnsi="Arial Narrow" w:cs="Calibri"/>
                <w:sz w:val="20"/>
              </w:rPr>
              <w:t>-4</w:t>
            </w:r>
          </w:p>
        </w:tc>
      </w:tr>
      <w:tr w:rsidR="00B95B48" w:rsidRPr="003F6E35" w:rsidTr="00B95B48">
        <w:trPr>
          <w:gridAfter w:val="1"/>
          <w:wAfter w:w="15" w:type="dxa"/>
          <w:trHeight w:val="238"/>
          <w:jc w:val="center"/>
        </w:trPr>
        <w:tc>
          <w:tcPr>
            <w:tcW w:w="5945" w:type="dxa"/>
            <w:gridSpan w:val="2"/>
            <w:tcBorders>
              <w:top w:val="single" w:sz="2" w:space="0" w:color="auto"/>
              <w:bottom w:val="single" w:sz="2" w:space="0" w:color="auto"/>
            </w:tcBorders>
            <w:shd w:val="clear" w:color="auto" w:fill="auto"/>
          </w:tcPr>
          <w:p w:rsidR="00B95B48" w:rsidRPr="003F6E35" w:rsidRDefault="00266016" w:rsidP="009E61C3">
            <w:pPr>
              <w:pStyle w:val="Textoindependiente"/>
              <w:jc w:val="left"/>
              <w:rPr>
                <w:rFonts w:ascii="Arial Narrow" w:hAnsi="Arial Narrow" w:cs="Calibri"/>
                <w:sz w:val="20"/>
              </w:rPr>
            </w:pPr>
            <w:r>
              <w:rPr>
                <w:rFonts w:ascii="Arial Narrow" w:hAnsi="Arial Narrow" w:cs="Calibri"/>
                <w:sz w:val="20"/>
              </w:rPr>
              <w:t>Recargos de apremio</w:t>
            </w:r>
          </w:p>
        </w:tc>
        <w:tc>
          <w:tcPr>
            <w:tcW w:w="1796" w:type="dxa"/>
            <w:tcBorders>
              <w:top w:val="single" w:sz="2" w:space="0" w:color="auto"/>
              <w:bottom w:val="single" w:sz="2" w:space="0" w:color="auto"/>
            </w:tcBorders>
            <w:shd w:val="clear" w:color="auto" w:fill="auto"/>
            <w:vAlign w:val="center"/>
          </w:tcPr>
          <w:p w:rsidR="00B95B48" w:rsidRPr="003F6E35" w:rsidRDefault="00266016" w:rsidP="00B95B48">
            <w:pPr>
              <w:pStyle w:val="Textoindependiente"/>
              <w:jc w:val="right"/>
              <w:rPr>
                <w:rFonts w:ascii="Arial Narrow" w:hAnsi="Arial Narrow" w:cs="Calibri"/>
                <w:sz w:val="20"/>
              </w:rPr>
            </w:pPr>
            <w:r>
              <w:rPr>
                <w:rFonts w:ascii="Arial Narrow" w:hAnsi="Arial Narrow" w:cs="Calibri"/>
                <w:sz w:val="20"/>
              </w:rPr>
              <w:t>44.621</w:t>
            </w:r>
          </w:p>
        </w:tc>
        <w:tc>
          <w:tcPr>
            <w:tcW w:w="1629" w:type="dxa"/>
            <w:tcBorders>
              <w:top w:val="single" w:sz="2" w:space="0" w:color="auto"/>
              <w:bottom w:val="single" w:sz="2" w:space="0" w:color="auto"/>
            </w:tcBorders>
            <w:shd w:val="clear" w:color="auto" w:fill="auto"/>
            <w:vAlign w:val="center"/>
          </w:tcPr>
          <w:p w:rsidR="00B95B48" w:rsidRPr="003F6E35" w:rsidRDefault="00B95B48" w:rsidP="00FF789B">
            <w:pPr>
              <w:pStyle w:val="Textoindependiente"/>
              <w:jc w:val="right"/>
              <w:rPr>
                <w:rFonts w:ascii="Arial Narrow" w:hAnsi="Arial Narrow" w:cs="Calibri"/>
                <w:sz w:val="20"/>
              </w:rPr>
            </w:pPr>
            <w:r>
              <w:rPr>
                <w:rFonts w:ascii="Arial Narrow" w:hAnsi="Arial Narrow" w:cs="Calibri"/>
                <w:sz w:val="20"/>
              </w:rPr>
              <w:t>-</w:t>
            </w:r>
            <w:r w:rsidR="00266016">
              <w:rPr>
                <w:rFonts w:ascii="Arial Narrow" w:hAnsi="Arial Narrow" w:cs="Calibri"/>
                <w:sz w:val="20"/>
              </w:rPr>
              <w:t>44</w:t>
            </w:r>
          </w:p>
        </w:tc>
      </w:tr>
      <w:tr w:rsidR="00266016" w:rsidRPr="003F6E35" w:rsidTr="00B95B48">
        <w:trPr>
          <w:gridAfter w:val="1"/>
          <w:wAfter w:w="15" w:type="dxa"/>
          <w:trHeight w:val="238"/>
          <w:jc w:val="center"/>
        </w:trPr>
        <w:tc>
          <w:tcPr>
            <w:tcW w:w="5945" w:type="dxa"/>
            <w:gridSpan w:val="2"/>
            <w:tcBorders>
              <w:top w:val="single" w:sz="2" w:space="0" w:color="auto"/>
            </w:tcBorders>
            <w:shd w:val="clear" w:color="auto" w:fill="auto"/>
          </w:tcPr>
          <w:p w:rsidR="00266016" w:rsidRDefault="00266016" w:rsidP="009E61C3">
            <w:pPr>
              <w:pStyle w:val="Textoindependiente"/>
              <w:jc w:val="left"/>
              <w:rPr>
                <w:rFonts w:ascii="Arial Narrow" w:hAnsi="Arial Narrow" w:cs="Calibri"/>
                <w:sz w:val="20"/>
              </w:rPr>
            </w:pPr>
            <w:r>
              <w:rPr>
                <w:rFonts w:ascii="Arial Narrow" w:hAnsi="Arial Narrow" w:cs="Calibri"/>
                <w:sz w:val="20"/>
              </w:rPr>
              <w:t>Otras sanciones</w:t>
            </w:r>
          </w:p>
        </w:tc>
        <w:tc>
          <w:tcPr>
            <w:tcW w:w="1796" w:type="dxa"/>
            <w:tcBorders>
              <w:top w:val="single" w:sz="2" w:space="0" w:color="auto"/>
            </w:tcBorders>
            <w:shd w:val="clear" w:color="auto" w:fill="auto"/>
            <w:vAlign w:val="center"/>
          </w:tcPr>
          <w:p w:rsidR="00266016" w:rsidRDefault="00266016" w:rsidP="00B95B48">
            <w:pPr>
              <w:pStyle w:val="Textoindependiente"/>
              <w:jc w:val="right"/>
              <w:rPr>
                <w:rFonts w:ascii="Arial Narrow" w:hAnsi="Arial Narrow" w:cs="Calibri"/>
                <w:sz w:val="20"/>
              </w:rPr>
            </w:pPr>
            <w:r>
              <w:rPr>
                <w:rFonts w:ascii="Arial Narrow" w:hAnsi="Arial Narrow" w:cs="Calibri"/>
                <w:sz w:val="20"/>
              </w:rPr>
              <w:t>34.342</w:t>
            </w:r>
          </w:p>
        </w:tc>
        <w:tc>
          <w:tcPr>
            <w:tcW w:w="1629" w:type="dxa"/>
            <w:tcBorders>
              <w:top w:val="single" w:sz="2" w:space="0" w:color="auto"/>
            </w:tcBorders>
            <w:shd w:val="clear" w:color="auto" w:fill="auto"/>
            <w:vAlign w:val="center"/>
          </w:tcPr>
          <w:p w:rsidR="00266016" w:rsidRDefault="00266016" w:rsidP="004D712A">
            <w:pPr>
              <w:pStyle w:val="Textoindependiente"/>
              <w:jc w:val="right"/>
              <w:rPr>
                <w:rFonts w:ascii="Arial Narrow" w:hAnsi="Arial Narrow" w:cs="Calibri"/>
                <w:sz w:val="20"/>
              </w:rPr>
            </w:pPr>
            <w:r>
              <w:rPr>
                <w:rFonts w:ascii="Arial Narrow" w:hAnsi="Arial Narrow" w:cs="Calibri"/>
                <w:sz w:val="20"/>
              </w:rPr>
              <w:t>-</w:t>
            </w:r>
          </w:p>
        </w:tc>
      </w:tr>
    </w:tbl>
    <w:p w:rsidR="00963780" w:rsidRDefault="00B12080" w:rsidP="00DD76CB">
      <w:pPr>
        <w:pStyle w:val="texto"/>
        <w:tabs>
          <w:tab w:val="clear" w:pos="2835"/>
          <w:tab w:val="clear" w:pos="3969"/>
          <w:tab w:val="clear" w:pos="5103"/>
          <w:tab w:val="clear" w:pos="6237"/>
          <w:tab w:val="clear" w:pos="7371"/>
          <w:tab w:val="left" w:pos="480"/>
          <w:tab w:val="num" w:pos="720"/>
          <w:tab w:val="num" w:pos="1320"/>
          <w:tab w:val="num" w:pos="1948"/>
        </w:tabs>
        <w:spacing w:before="200" w:after="160"/>
        <w:rPr>
          <w:rFonts w:cs="Arial"/>
        </w:rPr>
      </w:pPr>
      <w:r>
        <w:rPr>
          <w:rFonts w:cs="Arial"/>
        </w:rPr>
        <w:t xml:space="preserve">La </w:t>
      </w:r>
      <w:r w:rsidR="00F1200D">
        <w:rPr>
          <w:rFonts w:cs="Arial"/>
        </w:rPr>
        <w:t>disminución de los derechos reconocidos por multas de tráfico y recargos de apremio en un 38 y 44 por ciento</w:t>
      </w:r>
      <w:r w:rsidR="002E076D">
        <w:rPr>
          <w:rFonts w:cs="Arial"/>
        </w:rPr>
        <w:t>,</w:t>
      </w:r>
      <w:r w:rsidR="00F1200D">
        <w:rPr>
          <w:rFonts w:cs="Arial"/>
        </w:rPr>
        <w:t xml:space="preserve"> respectivamente</w:t>
      </w:r>
      <w:r w:rsidR="002E076D">
        <w:rPr>
          <w:rFonts w:cs="Arial"/>
        </w:rPr>
        <w:t>,</w:t>
      </w:r>
      <w:r w:rsidR="00F1200D">
        <w:rPr>
          <w:rFonts w:cs="Arial"/>
        </w:rPr>
        <w:t xml:space="preserve"> se debe a que en 2019 tanto la actividad de gestión de multas como la de recaudación ejecutiva han funcionado con normalidad solamente los cinco primeros meses del año. A partir del segundo </w:t>
      </w:r>
      <w:r w:rsidR="00216F88">
        <w:rPr>
          <w:rFonts w:cs="Arial"/>
        </w:rPr>
        <w:t xml:space="preserve">semestre las dificultades </w:t>
      </w:r>
      <w:r w:rsidR="00F90F54">
        <w:rPr>
          <w:rFonts w:cs="Arial"/>
        </w:rPr>
        <w:t>derivadas d</w:t>
      </w:r>
      <w:r w:rsidR="00216F88">
        <w:rPr>
          <w:rFonts w:cs="Arial"/>
        </w:rPr>
        <w:t xml:space="preserve">el cambio de empresa adjudicataria </w:t>
      </w:r>
      <w:proofErr w:type="gramStart"/>
      <w:r w:rsidR="00216F88">
        <w:rPr>
          <w:rFonts w:cs="Arial"/>
        </w:rPr>
        <w:t>ha</w:t>
      </w:r>
      <w:proofErr w:type="gramEnd"/>
      <w:r w:rsidR="00216F88">
        <w:rPr>
          <w:rFonts w:cs="Arial"/>
        </w:rPr>
        <w:t xml:space="preserve"> hecho que la tramitación de los expedientes haya estado casi parada.</w:t>
      </w:r>
    </w:p>
    <w:p w:rsidR="00F1200D" w:rsidRDefault="00F1200D" w:rsidP="00DD76CB">
      <w:pPr>
        <w:pStyle w:val="texto"/>
        <w:tabs>
          <w:tab w:val="clear" w:pos="2835"/>
          <w:tab w:val="clear" w:pos="3969"/>
          <w:tab w:val="clear" w:pos="5103"/>
          <w:tab w:val="clear" w:pos="6237"/>
          <w:tab w:val="clear" w:pos="7371"/>
          <w:tab w:val="left" w:pos="480"/>
          <w:tab w:val="num" w:pos="720"/>
          <w:tab w:val="num" w:pos="1320"/>
          <w:tab w:val="num" w:pos="1948"/>
        </w:tabs>
        <w:spacing w:before="200" w:after="160"/>
        <w:rPr>
          <w:rFonts w:cs="Arial"/>
        </w:rPr>
      </w:pPr>
      <w:r>
        <w:rPr>
          <w:rFonts w:cs="Arial"/>
        </w:rPr>
        <w:t>Adicionalmente</w:t>
      </w:r>
      <w:r w:rsidR="008F3BA3">
        <w:rPr>
          <w:rFonts w:cs="Arial"/>
        </w:rPr>
        <w:t>,</w:t>
      </w:r>
      <w:r>
        <w:rPr>
          <w:rFonts w:cs="Arial"/>
        </w:rPr>
        <w:t xml:space="preserve"> y en cuanto a las multas de tráfico, han sufrido dos averías en los aparatos de detección de velocidad con la consiguiente disminución de multas impuestas.</w:t>
      </w:r>
    </w:p>
    <w:p w:rsidR="0067725A" w:rsidRDefault="0067725A" w:rsidP="00DD76CB">
      <w:pPr>
        <w:pStyle w:val="texto"/>
        <w:tabs>
          <w:tab w:val="left" w:pos="708"/>
        </w:tabs>
        <w:spacing w:after="160"/>
        <w:rPr>
          <w:szCs w:val="26"/>
        </w:rPr>
      </w:pPr>
      <w:r w:rsidRPr="008D0BC4">
        <w:rPr>
          <w:szCs w:val="26"/>
        </w:rPr>
        <w:t>De</w:t>
      </w:r>
      <w:r w:rsidR="00582E03">
        <w:rPr>
          <w:szCs w:val="26"/>
        </w:rPr>
        <w:t xml:space="preserve">l trabajo realizado hemos comprobado que, </w:t>
      </w:r>
      <w:r w:rsidRPr="008D0BC4">
        <w:rPr>
          <w:szCs w:val="26"/>
        </w:rPr>
        <w:t>en general</w:t>
      </w:r>
      <w:r w:rsidR="00012A79">
        <w:rPr>
          <w:szCs w:val="26"/>
        </w:rPr>
        <w:t>,</w:t>
      </w:r>
      <w:r w:rsidRPr="008D0BC4">
        <w:rPr>
          <w:szCs w:val="26"/>
        </w:rPr>
        <w:t xml:space="preserve"> su liquidación y r</w:t>
      </w:r>
      <w:r w:rsidRPr="008D0BC4">
        <w:rPr>
          <w:szCs w:val="26"/>
        </w:rPr>
        <w:t>e</w:t>
      </w:r>
      <w:r w:rsidRPr="008D0BC4">
        <w:rPr>
          <w:szCs w:val="26"/>
        </w:rPr>
        <w:t xml:space="preserve">caudación se </w:t>
      </w:r>
      <w:r w:rsidR="00012A79">
        <w:rPr>
          <w:szCs w:val="26"/>
        </w:rPr>
        <w:t xml:space="preserve">ha </w:t>
      </w:r>
      <w:r w:rsidRPr="008D0BC4">
        <w:rPr>
          <w:szCs w:val="26"/>
        </w:rPr>
        <w:t>realiza</w:t>
      </w:r>
      <w:r w:rsidR="00012A79">
        <w:rPr>
          <w:szCs w:val="26"/>
        </w:rPr>
        <w:t>do</w:t>
      </w:r>
      <w:r w:rsidRPr="008D0BC4">
        <w:rPr>
          <w:szCs w:val="26"/>
        </w:rPr>
        <w:t xml:space="preserve"> de conformidad con la normativa aplicable, si bien señ</w:t>
      </w:r>
      <w:r w:rsidRPr="008D0BC4">
        <w:rPr>
          <w:szCs w:val="26"/>
        </w:rPr>
        <w:t>a</w:t>
      </w:r>
      <w:r w:rsidRPr="008D0BC4">
        <w:rPr>
          <w:szCs w:val="26"/>
        </w:rPr>
        <w:t xml:space="preserve">lamos lo siguiente: </w:t>
      </w:r>
    </w:p>
    <w:bookmarkEnd w:id="119"/>
    <w:bookmarkEnd w:id="120"/>
    <w:bookmarkEnd w:id="121"/>
    <w:bookmarkEnd w:id="122"/>
    <w:bookmarkEnd w:id="123"/>
    <w:bookmarkEnd w:id="124"/>
    <w:p w:rsidR="00F1200D" w:rsidRDefault="00F1200D" w:rsidP="00DD76CB">
      <w:pPr>
        <w:pStyle w:val="texto"/>
        <w:numPr>
          <w:ilvl w:val="0"/>
          <w:numId w:val="1"/>
        </w:numPr>
        <w:tabs>
          <w:tab w:val="clear" w:pos="2835"/>
          <w:tab w:val="clear" w:pos="3969"/>
          <w:tab w:val="clear" w:pos="5103"/>
          <w:tab w:val="clear" w:pos="6237"/>
          <w:tab w:val="clear" w:pos="7371"/>
          <w:tab w:val="left" w:pos="480"/>
          <w:tab w:val="num" w:pos="720"/>
          <w:tab w:val="num" w:pos="6597"/>
        </w:tabs>
        <w:spacing w:after="160"/>
        <w:ind w:left="0" w:firstLine="289"/>
        <w:rPr>
          <w:rFonts w:cs="Arial"/>
        </w:rPr>
      </w:pPr>
      <w:r>
        <w:rPr>
          <w:rFonts w:cs="Arial"/>
        </w:rPr>
        <w:t xml:space="preserve"> </w:t>
      </w:r>
      <w:r w:rsidRPr="00B275F3">
        <w:rPr>
          <w:rFonts w:cs="Arial"/>
          <w:color w:val="000000" w:themeColor="text1"/>
        </w:rPr>
        <w:t>El</w:t>
      </w:r>
      <w:r>
        <w:rPr>
          <w:rFonts w:cs="Arial"/>
        </w:rPr>
        <w:t xml:space="preserve"> estudio de costes para el establecimiento de tasas y precios públicos que el ayuntamiento está realizando con la colaboración de</w:t>
      </w:r>
      <w:r w:rsidR="00B2176B">
        <w:rPr>
          <w:rFonts w:cs="Arial"/>
        </w:rPr>
        <w:t xml:space="preserve"> la Dirección General de </w:t>
      </w:r>
      <w:r>
        <w:rPr>
          <w:rFonts w:cs="Arial"/>
        </w:rPr>
        <w:t>A</w:t>
      </w:r>
      <w:r>
        <w:rPr>
          <w:rFonts w:cs="Arial"/>
        </w:rPr>
        <w:t>d</w:t>
      </w:r>
      <w:r>
        <w:rPr>
          <w:rFonts w:cs="Arial"/>
        </w:rPr>
        <w:t>ministración Local no ha finalizado todavía, si bien se está avanzando en la carga de datos.</w:t>
      </w:r>
    </w:p>
    <w:p w:rsidR="00FF789B" w:rsidRPr="00F1200D" w:rsidRDefault="00F1200D" w:rsidP="00DD76CB">
      <w:pPr>
        <w:pStyle w:val="texto"/>
        <w:numPr>
          <w:ilvl w:val="0"/>
          <w:numId w:val="1"/>
        </w:numPr>
        <w:tabs>
          <w:tab w:val="clear" w:pos="2835"/>
          <w:tab w:val="clear" w:pos="3969"/>
          <w:tab w:val="clear" w:pos="5103"/>
          <w:tab w:val="clear" w:pos="6237"/>
          <w:tab w:val="clear" w:pos="7371"/>
          <w:tab w:val="left" w:pos="480"/>
          <w:tab w:val="num" w:pos="720"/>
          <w:tab w:val="num" w:pos="6597"/>
        </w:tabs>
        <w:spacing w:after="160"/>
        <w:ind w:left="0" w:firstLine="289"/>
        <w:rPr>
          <w:szCs w:val="26"/>
        </w:rPr>
      </w:pPr>
      <w:r>
        <w:rPr>
          <w:rFonts w:cs="Arial"/>
        </w:rPr>
        <w:t xml:space="preserve"> </w:t>
      </w:r>
      <w:r w:rsidRPr="00B275F3">
        <w:rPr>
          <w:rFonts w:cs="Arial"/>
          <w:color w:val="000000" w:themeColor="text1"/>
        </w:rPr>
        <w:t>El</w:t>
      </w:r>
      <w:r>
        <w:rPr>
          <w:rFonts w:cs="Arial"/>
        </w:rPr>
        <w:t xml:space="preserve"> reglamento orgánico de la </w:t>
      </w:r>
      <w:r w:rsidR="00B34CBD">
        <w:rPr>
          <w:rFonts w:cs="Arial"/>
        </w:rPr>
        <w:t xml:space="preserve">Escuela </w:t>
      </w:r>
      <w:r>
        <w:rPr>
          <w:rFonts w:cs="Arial"/>
        </w:rPr>
        <w:t xml:space="preserve">de </w:t>
      </w:r>
      <w:r w:rsidR="00B34CBD">
        <w:rPr>
          <w:rFonts w:cs="Arial"/>
        </w:rPr>
        <w:t xml:space="preserve">Música </w:t>
      </w:r>
      <w:r>
        <w:rPr>
          <w:rFonts w:cs="Arial"/>
        </w:rPr>
        <w:t>establece que el impago de las tasas conllevará la pérdida de la plaza. Sin embargo, hemos constatado que a las familias con varios recibos impagados se les permite la nueva matriculación el año siguiente sin haber saldado su deuda. El ayuntamiento</w:t>
      </w:r>
      <w:r w:rsidR="00216F88">
        <w:rPr>
          <w:rFonts w:cs="Arial"/>
        </w:rPr>
        <w:t xml:space="preserve"> ya</w:t>
      </w:r>
      <w:r>
        <w:rPr>
          <w:rFonts w:cs="Arial"/>
        </w:rPr>
        <w:t xml:space="preserve"> </w:t>
      </w:r>
      <w:r w:rsidRPr="00216F88">
        <w:rPr>
          <w:rFonts w:cs="Arial"/>
          <w:color w:val="000000" w:themeColor="text1"/>
        </w:rPr>
        <w:t xml:space="preserve">ha </w:t>
      </w:r>
      <w:r w:rsidR="00B34CBD">
        <w:rPr>
          <w:rFonts w:cs="Arial"/>
          <w:color w:val="000000" w:themeColor="text1"/>
        </w:rPr>
        <w:t>enviado a esas fam</w:t>
      </w:r>
      <w:r w:rsidR="00B34CBD">
        <w:rPr>
          <w:rFonts w:cs="Arial"/>
          <w:color w:val="000000" w:themeColor="text1"/>
        </w:rPr>
        <w:t>i</w:t>
      </w:r>
      <w:r w:rsidR="00B34CBD">
        <w:rPr>
          <w:rFonts w:cs="Arial"/>
          <w:color w:val="000000" w:themeColor="text1"/>
        </w:rPr>
        <w:t>lias</w:t>
      </w:r>
      <w:r>
        <w:rPr>
          <w:rFonts w:cs="Arial"/>
        </w:rPr>
        <w:t xml:space="preserve"> una reclamación de deuda con el aviso de pérdida de plaza.</w:t>
      </w:r>
    </w:p>
    <w:p w:rsidR="00F1200D" w:rsidRDefault="00F1200D" w:rsidP="00DD76CB">
      <w:pPr>
        <w:pStyle w:val="texto"/>
        <w:tabs>
          <w:tab w:val="clear" w:pos="2835"/>
          <w:tab w:val="clear" w:pos="3969"/>
          <w:tab w:val="clear" w:pos="5103"/>
          <w:tab w:val="clear" w:pos="6237"/>
          <w:tab w:val="clear" w:pos="7371"/>
          <w:tab w:val="num" w:pos="284"/>
          <w:tab w:val="num" w:pos="720"/>
          <w:tab w:val="num" w:pos="1320"/>
        </w:tabs>
        <w:spacing w:after="160"/>
        <w:rPr>
          <w:rFonts w:cs="Arial"/>
        </w:rPr>
      </w:pPr>
      <w:r>
        <w:rPr>
          <w:rFonts w:cs="Arial"/>
        </w:rPr>
        <w:t>Hemos constatado diferencias en algunas de las cuotas aplicadas a las familias</w:t>
      </w:r>
      <w:r w:rsidR="007C42E9">
        <w:rPr>
          <w:rFonts w:cs="Arial"/>
        </w:rPr>
        <w:t>,</w:t>
      </w:r>
      <w:r>
        <w:rPr>
          <w:rFonts w:cs="Arial"/>
        </w:rPr>
        <w:t xml:space="preserve"> debido </w:t>
      </w:r>
      <w:r w:rsidR="00B2176B">
        <w:rPr>
          <w:rFonts w:cs="Arial"/>
        </w:rPr>
        <w:t>mayormente</w:t>
      </w:r>
      <w:r>
        <w:rPr>
          <w:rFonts w:cs="Arial"/>
        </w:rPr>
        <w:t xml:space="preserve"> a errores en las bonificaciones aplicadas.</w:t>
      </w:r>
    </w:p>
    <w:p w:rsidR="00E90907" w:rsidRDefault="00E90907" w:rsidP="001D77BA">
      <w:pPr>
        <w:pStyle w:val="texto"/>
        <w:tabs>
          <w:tab w:val="clear" w:pos="2835"/>
          <w:tab w:val="clear" w:pos="3969"/>
          <w:tab w:val="clear" w:pos="5103"/>
          <w:tab w:val="clear" w:pos="6237"/>
          <w:tab w:val="clear" w:pos="7371"/>
          <w:tab w:val="num" w:pos="284"/>
          <w:tab w:val="num" w:pos="720"/>
          <w:tab w:val="num" w:pos="1320"/>
        </w:tabs>
        <w:spacing w:after="120"/>
        <w:rPr>
          <w:rFonts w:cs="Arial"/>
        </w:rPr>
      </w:pPr>
    </w:p>
    <w:p w:rsidR="00E90907" w:rsidRDefault="00E90907" w:rsidP="001D77BA">
      <w:pPr>
        <w:pStyle w:val="texto"/>
        <w:tabs>
          <w:tab w:val="clear" w:pos="2835"/>
          <w:tab w:val="clear" w:pos="3969"/>
          <w:tab w:val="clear" w:pos="5103"/>
          <w:tab w:val="clear" w:pos="6237"/>
          <w:tab w:val="clear" w:pos="7371"/>
          <w:tab w:val="num" w:pos="284"/>
          <w:tab w:val="num" w:pos="720"/>
          <w:tab w:val="num" w:pos="1320"/>
        </w:tabs>
        <w:spacing w:after="120"/>
        <w:rPr>
          <w:rFonts w:cs="Arial"/>
        </w:rPr>
      </w:pPr>
    </w:p>
    <w:p w:rsidR="0067725A" w:rsidRPr="008D686D" w:rsidRDefault="0067725A" w:rsidP="001D77BA">
      <w:pPr>
        <w:pStyle w:val="texto"/>
        <w:tabs>
          <w:tab w:val="clear" w:pos="2835"/>
          <w:tab w:val="clear" w:pos="3969"/>
          <w:tab w:val="clear" w:pos="5103"/>
          <w:tab w:val="clear" w:pos="6237"/>
          <w:tab w:val="clear" w:pos="7371"/>
          <w:tab w:val="num" w:pos="284"/>
          <w:tab w:val="num" w:pos="720"/>
          <w:tab w:val="num" w:pos="1320"/>
        </w:tabs>
        <w:spacing w:after="120"/>
        <w:rPr>
          <w:rFonts w:cs="Arial"/>
        </w:rPr>
      </w:pPr>
      <w:r w:rsidRPr="008D686D">
        <w:rPr>
          <w:rFonts w:cs="Arial"/>
        </w:rPr>
        <w:lastRenderedPageBreak/>
        <w:t>Recomendamos:</w:t>
      </w:r>
    </w:p>
    <w:p w:rsidR="00F1200D" w:rsidRDefault="00F1200D" w:rsidP="00B275F3">
      <w:pPr>
        <w:pStyle w:val="texto"/>
        <w:numPr>
          <w:ilvl w:val="0"/>
          <w:numId w:val="1"/>
        </w:numPr>
        <w:tabs>
          <w:tab w:val="clear" w:pos="2835"/>
          <w:tab w:val="clear" w:pos="3969"/>
          <w:tab w:val="clear" w:pos="5103"/>
          <w:tab w:val="clear" w:pos="6237"/>
          <w:tab w:val="clear" w:pos="7371"/>
          <w:tab w:val="left" w:pos="480"/>
          <w:tab w:val="num" w:pos="720"/>
          <w:tab w:val="num" w:pos="6597"/>
        </w:tabs>
        <w:ind w:left="0" w:firstLine="289"/>
        <w:rPr>
          <w:rFonts w:cs="Arial"/>
          <w:i/>
        </w:rPr>
      </w:pPr>
      <w:r>
        <w:rPr>
          <w:rFonts w:cs="Arial"/>
          <w:i/>
        </w:rPr>
        <w:t xml:space="preserve"> Continuar con el proceso de elaboración del estudio de costes con el fin de implantarlo y establecer las tasas y precios públicos en función de los costes de los servicios.</w:t>
      </w:r>
    </w:p>
    <w:p w:rsidR="002057EB" w:rsidRDefault="00F1200D" w:rsidP="00B275F3">
      <w:pPr>
        <w:pStyle w:val="texto"/>
        <w:numPr>
          <w:ilvl w:val="0"/>
          <w:numId w:val="1"/>
        </w:numPr>
        <w:tabs>
          <w:tab w:val="clear" w:pos="2835"/>
          <w:tab w:val="clear" w:pos="3969"/>
          <w:tab w:val="clear" w:pos="5103"/>
          <w:tab w:val="clear" w:pos="6237"/>
          <w:tab w:val="clear" w:pos="7371"/>
          <w:tab w:val="left" w:pos="480"/>
          <w:tab w:val="num" w:pos="720"/>
          <w:tab w:val="num" w:pos="6597"/>
        </w:tabs>
        <w:ind w:left="0" w:firstLine="289"/>
        <w:rPr>
          <w:rFonts w:cs="Arial"/>
          <w:i/>
        </w:rPr>
      </w:pPr>
      <w:r>
        <w:rPr>
          <w:rFonts w:cs="Arial"/>
          <w:i/>
        </w:rPr>
        <w:t xml:space="preserve"> </w:t>
      </w:r>
      <w:r w:rsidR="00906F4F" w:rsidRPr="00C45D61">
        <w:rPr>
          <w:rFonts w:cs="Arial"/>
          <w:i/>
        </w:rPr>
        <w:t>Mejorar el</w:t>
      </w:r>
      <w:r w:rsidR="002057EB" w:rsidRPr="00C45D61">
        <w:rPr>
          <w:rFonts w:cs="Arial"/>
          <w:i/>
        </w:rPr>
        <w:t xml:space="preserve"> </w:t>
      </w:r>
      <w:r>
        <w:rPr>
          <w:rFonts w:cs="Arial"/>
          <w:i/>
        </w:rPr>
        <w:t>procedimiento de gestión de las tarifas de la escuela de música, implementando en la medida de lo posible procesos mecanizados para evitar err</w:t>
      </w:r>
      <w:r>
        <w:rPr>
          <w:rFonts w:cs="Arial"/>
          <w:i/>
        </w:rPr>
        <w:t>o</w:t>
      </w:r>
      <w:r>
        <w:rPr>
          <w:rFonts w:cs="Arial"/>
          <w:i/>
        </w:rPr>
        <w:t>res en la introducción manual de los datos.</w:t>
      </w:r>
    </w:p>
    <w:p w:rsidR="0067725A" w:rsidRPr="00C149E6" w:rsidRDefault="0067725A" w:rsidP="00ED79B7">
      <w:pPr>
        <w:pStyle w:val="atitulo3"/>
        <w:spacing w:before="320"/>
      </w:pPr>
      <w:bookmarkStart w:id="125" w:name="_Toc455146003"/>
      <w:r w:rsidRPr="00C45D61">
        <w:t>VI.5.</w:t>
      </w:r>
      <w:r w:rsidR="00FA0054">
        <w:t>7</w:t>
      </w:r>
      <w:r w:rsidRPr="00C45D61">
        <w:t>. Ingresos por transferencias</w:t>
      </w:r>
      <w:bookmarkEnd w:id="125"/>
    </w:p>
    <w:p w:rsidR="0067725A" w:rsidRDefault="00F1200D" w:rsidP="001D77BA">
      <w:pPr>
        <w:pStyle w:val="texto"/>
        <w:tabs>
          <w:tab w:val="clear" w:pos="2835"/>
          <w:tab w:val="clear" w:pos="3969"/>
          <w:tab w:val="clear" w:pos="5103"/>
          <w:tab w:val="clear" w:pos="6237"/>
          <w:tab w:val="clear" w:pos="7371"/>
        </w:tabs>
        <w:spacing w:after="120"/>
      </w:pPr>
      <w:r>
        <w:t>Los derechos reconocidos netos</w:t>
      </w:r>
      <w:r w:rsidR="0067725A">
        <w:t xml:space="preserve"> por transferencias corrientes y de capital asce</w:t>
      </w:r>
      <w:r w:rsidR="0067725A">
        <w:t>n</w:t>
      </w:r>
      <w:r w:rsidR="0067725A" w:rsidRPr="00216F88">
        <w:rPr>
          <w:color w:val="000000" w:themeColor="text1"/>
        </w:rPr>
        <w:t xml:space="preserve">dieron respectivamente a </w:t>
      </w:r>
      <w:r w:rsidRPr="00216F88">
        <w:rPr>
          <w:color w:val="000000" w:themeColor="text1"/>
        </w:rPr>
        <w:t>5,6</w:t>
      </w:r>
      <w:r w:rsidR="002F2EA3" w:rsidRPr="00216F88">
        <w:rPr>
          <w:color w:val="000000" w:themeColor="text1"/>
        </w:rPr>
        <w:t>2</w:t>
      </w:r>
      <w:r w:rsidR="002057EB" w:rsidRPr="00216F88">
        <w:rPr>
          <w:color w:val="000000" w:themeColor="text1"/>
        </w:rPr>
        <w:t xml:space="preserve"> </w:t>
      </w:r>
      <w:r w:rsidR="00F65049" w:rsidRPr="00216F88">
        <w:rPr>
          <w:color w:val="000000" w:themeColor="text1"/>
        </w:rPr>
        <w:t xml:space="preserve">millones </w:t>
      </w:r>
      <w:r w:rsidR="002057EB" w:rsidRPr="00216F88">
        <w:rPr>
          <w:color w:val="000000" w:themeColor="text1"/>
        </w:rPr>
        <w:t xml:space="preserve">y </w:t>
      </w:r>
      <w:r w:rsidR="00F65049" w:rsidRPr="00216F88">
        <w:rPr>
          <w:color w:val="000000" w:themeColor="text1"/>
        </w:rPr>
        <w:t>383.292</w:t>
      </w:r>
      <w:r w:rsidR="0067725A" w:rsidRPr="00216F88">
        <w:rPr>
          <w:color w:val="000000" w:themeColor="text1"/>
        </w:rPr>
        <w:t xml:space="preserve"> euros, suponiendo en su con</w:t>
      </w:r>
      <w:r w:rsidR="0014682C" w:rsidRPr="00216F88">
        <w:rPr>
          <w:color w:val="000000" w:themeColor="text1"/>
        </w:rPr>
        <w:t xml:space="preserve">junto </w:t>
      </w:r>
      <w:r w:rsidR="0014682C">
        <w:t xml:space="preserve">el </w:t>
      </w:r>
      <w:r>
        <w:t>41</w:t>
      </w:r>
      <w:r w:rsidR="0067725A">
        <w:t xml:space="preserve"> por ciento del total de ingresos. </w:t>
      </w:r>
    </w:p>
    <w:p w:rsidR="0067725A" w:rsidRDefault="0067725A" w:rsidP="001D77BA">
      <w:pPr>
        <w:pStyle w:val="texto"/>
        <w:tabs>
          <w:tab w:val="clear" w:pos="2835"/>
          <w:tab w:val="clear" w:pos="3969"/>
          <w:tab w:val="clear" w:pos="5103"/>
          <w:tab w:val="clear" w:pos="6237"/>
          <w:tab w:val="clear" w:pos="7371"/>
        </w:tabs>
        <w:spacing w:after="200"/>
        <w:rPr>
          <w:spacing w:val="4"/>
        </w:rPr>
      </w:pPr>
      <w:r w:rsidRPr="00E66FE6">
        <w:rPr>
          <w:spacing w:val="4"/>
        </w:rPr>
        <w:t>Los datos comparativos con el año anterior reflejan las siguientes variaciones:</w:t>
      </w:r>
    </w:p>
    <w:tbl>
      <w:tblPr>
        <w:tblW w:w="5000" w:type="pct"/>
        <w:tblCellMar>
          <w:left w:w="70" w:type="dxa"/>
          <w:right w:w="70" w:type="dxa"/>
        </w:tblCellMar>
        <w:tblLook w:val="04A0" w:firstRow="1" w:lastRow="0" w:firstColumn="1" w:lastColumn="0" w:noHBand="0" w:noVBand="1"/>
      </w:tblPr>
      <w:tblGrid>
        <w:gridCol w:w="4523"/>
        <w:gridCol w:w="1658"/>
        <w:gridCol w:w="1422"/>
        <w:gridCol w:w="1751"/>
      </w:tblGrid>
      <w:tr w:rsidR="00F1200D" w:rsidRPr="00F1200D" w:rsidTr="00F1200D">
        <w:trPr>
          <w:trHeight w:val="270"/>
        </w:trPr>
        <w:tc>
          <w:tcPr>
            <w:tcW w:w="2418" w:type="pct"/>
            <w:vMerge w:val="restart"/>
            <w:tcBorders>
              <w:top w:val="single" w:sz="4" w:space="0" w:color="auto"/>
              <w:left w:val="nil"/>
              <w:bottom w:val="single" w:sz="4" w:space="0" w:color="000000"/>
              <w:right w:val="nil"/>
            </w:tcBorders>
            <w:shd w:val="clear" w:color="000000" w:fill="FABF8F"/>
            <w:vAlign w:val="center"/>
            <w:hideMark/>
          </w:tcPr>
          <w:p w:rsidR="00F1200D" w:rsidRPr="00F1200D" w:rsidRDefault="00F1200D" w:rsidP="00F1200D">
            <w:pPr>
              <w:spacing w:after="0"/>
              <w:ind w:firstLine="0"/>
              <w:jc w:val="left"/>
              <w:rPr>
                <w:rFonts w:ascii="Arial" w:hAnsi="Arial" w:cs="Arial"/>
                <w:color w:val="000000"/>
                <w:sz w:val="18"/>
                <w:szCs w:val="18"/>
                <w:lang w:val="es-ES" w:eastAsia="es-ES"/>
              </w:rPr>
            </w:pPr>
            <w:r w:rsidRPr="00F1200D">
              <w:rPr>
                <w:rFonts w:ascii="Arial" w:hAnsi="Arial" w:cs="Arial"/>
                <w:color w:val="000000"/>
                <w:sz w:val="18"/>
                <w:szCs w:val="18"/>
                <w:lang w:val="es-ES" w:eastAsia="es-ES"/>
              </w:rPr>
              <w:t>Concepto</w:t>
            </w:r>
          </w:p>
        </w:tc>
        <w:tc>
          <w:tcPr>
            <w:tcW w:w="1646" w:type="pct"/>
            <w:gridSpan w:val="2"/>
            <w:tcBorders>
              <w:top w:val="single" w:sz="4" w:space="0" w:color="auto"/>
              <w:left w:val="nil"/>
              <w:bottom w:val="single" w:sz="4" w:space="0" w:color="auto"/>
              <w:right w:val="nil"/>
            </w:tcBorders>
            <w:shd w:val="clear" w:color="000000" w:fill="FABF8F"/>
            <w:vAlign w:val="center"/>
            <w:hideMark/>
          </w:tcPr>
          <w:p w:rsidR="00F1200D" w:rsidRPr="00F1200D" w:rsidRDefault="00F1200D" w:rsidP="00B275F3">
            <w:pPr>
              <w:spacing w:after="0"/>
              <w:ind w:firstLine="0"/>
              <w:jc w:val="center"/>
              <w:rPr>
                <w:rFonts w:ascii="Arial" w:hAnsi="Arial" w:cs="Arial"/>
                <w:color w:val="000000"/>
                <w:sz w:val="18"/>
                <w:szCs w:val="18"/>
                <w:lang w:val="es-ES" w:eastAsia="es-ES"/>
              </w:rPr>
            </w:pPr>
            <w:r w:rsidRPr="00F1200D">
              <w:rPr>
                <w:rFonts w:ascii="Arial" w:hAnsi="Arial" w:cs="Arial"/>
                <w:color w:val="000000"/>
                <w:sz w:val="18"/>
                <w:szCs w:val="18"/>
                <w:lang w:val="es-ES" w:eastAsia="es-ES"/>
              </w:rPr>
              <w:t>Derechos reconocidos</w:t>
            </w:r>
          </w:p>
        </w:tc>
        <w:tc>
          <w:tcPr>
            <w:tcW w:w="937" w:type="pct"/>
            <w:tcBorders>
              <w:top w:val="single" w:sz="4" w:space="0" w:color="auto"/>
              <w:left w:val="nil"/>
              <w:bottom w:val="nil"/>
              <w:right w:val="nil"/>
            </w:tcBorders>
            <w:shd w:val="clear" w:color="000000" w:fill="FABF8F"/>
            <w:vAlign w:val="center"/>
            <w:hideMark/>
          </w:tcPr>
          <w:p w:rsidR="00F1200D" w:rsidRPr="00F1200D" w:rsidRDefault="00F1200D" w:rsidP="00F1200D">
            <w:pPr>
              <w:spacing w:after="0"/>
              <w:ind w:firstLine="0"/>
              <w:jc w:val="right"/>
              <w:rPr>
                <w:rFonts w:ascii="Arial" w:hAnsi="Arial" w:cs="Arial"/>
                <w:color w:val="000000"/>
                <w:sz w:val="18"/>
                <w:szCs w:val="18"/>
                <w:lang w:val="es-ES" w:eastAsia="es-ES"/>
              </w:rPr>
            </w:pPr>
            <w:r w:rsidRPr="00F1200D">
              <w:rPr>
                <w:rFonts w:ascii="Arial" w:hAnsi="Arial" w:cs="Arial"/>
                <w:color w:val="000000"/>
                <w:sz w:val="18"/>
                <w:szCs w:val="18"/>
                <w:lang w:val="es-ES" w:eastAsia="es-ES"/>
              </w:rPr>
              <w:t>% Variación</w:t>
            </w:r>
          </w:p>
        </w:tc>
      </w:tr>
      <w:tr w:rsidR="00F1200D" w:rsidRPr="00F1200D" w:rsidTr="00F1200D">
        <w:trPr>
          <w:trHeight w:val="270"/>
        </w:trPr>
        <w:tc>
          <w:tcPr>
            <w:tcW w:w="2418" w:type="pct"/>
            <w:vMerge/>
            <w:tcBorders>
              <w:top w:val="single" w:sz="4" w:space="0" w:color="auto"/>
              <w:left w:val="nil"/>
              <w:bottom w:val="single" w:sz="4" w:space="0" w:color="000000"/>
              <w:right w:val="nil"/>
            </w:tcBorders>
            <w:vAlign w:val="center"/>
            <w:hideMark/>
          </w:tcPr>
          <w:p w:rsidR="00F1200D" w:rsidRPr="00F1200D" w:rsidRDefault="00F1200D" w:rsidP="00F1200D">
            <w:pPr>
              <w:spacing w:after="0"/>
              <w:ind w:firstLine="0"/>
              <w:jc w:val="left"/>
              <w:rPr>
                <w:rFonts w:ascii="Arial" w:hAnsi="Arial" w:cs="Arial"/>
                <w:color w:val="000000"/>
                <w:sz w:val="18"/>
                <w:szCs w:val="18"/>
                <w:lang w:val="es-ES" w:eastAsia="es-ES"/>
              </w:rPr>
            </w:pPr>
          </w:p>
        </w:tc>
        <w:tc>
          <w:tcPr>
            <w:tcW w:w="886" w:type="pct"/>
            <w:tcBorders>
              <w:top w:val="nil"/>
              <w:left w:val="nil"/>
              <w:bottom w:val="single" w:sz="4" w:space="0" w:color="auto"/>
              <w:right w:val="nil"/>
            </w:tcBorders>
            <w:shd w:val="clear" w:color="000000" w:fill="FABF8F"/>
            <w:vAlign w:val="center"/>
            <w:hideMark/>
          </w:tcPr>
          <w:p w:rsidR="00F1200D" w:rsidRPr="00F1200D" w:rsidRDefault="00F1200D" w:rsidP="00F1200D">
            <w:pPr>
              <w:spacing w:after="0"/>
              <w:ind w:firstLine="0"/>
              <w:jc w:val="right"/>
              <w:rPr>
                <w:rFonts w:ascii="Arial" w:hAnsi="Arial" w:cs="Arial"/>
                <w:color w:val="000000"/>
                <w:sz w:val="18"/>
                <w:szCs w:val="18"/>
                <w:lang w:val="es-ES" w:eastAsia="es-ES"/>
              </w:rPr>
            </w:pPr>
            <w:r w:rsidRPr="00F1200D">
              <w:rPr>
                <w:rFonts w:ascii="Arial" w:hAnsi="Arial" w:cs="Arial"/>
                <w:color w:val="000000"/>
                <w:sz w:val="18"/>
                <w:szCs w:val="18"/>
                <w:lang w:val="es-ES" w:eastAsia="es-ES"/>
              </w:rPr>
              <w:t>2018</w:t>
            </w:r>
          </w:p>
        </w:tc>
        <w:tc>
          <w:tcPr>
            <w:tcW w:w="759" w:type="pct"/>
            <w:tcBorders>
              <w:top w:val="nil"/>
              <w:left w:val="nil"/>
              <w:bottom w:val="single" w:sz="4" w:space="0" w:color="auto"/>
              <w:right w:val="nil"/>
            </w:tcBorders>
            <w:shd w:val="clear" w:color="000000" w:fill="FABF8F"/>
            <w:vAlign w:val="center"/>
            <w:hideMark/>
          </w:tcPr>
          <w:p w:rsidR="00F1200D" w:rsidRPr="00F1200D" w:rsidRDefault="00F1200D" w:rsidP="00F1200D">
            <w:pPr>
              <w:spacing w:after="0"/>
              <w:ind w:firstLine="0"/>
              <w:jc w:val="right"/>
              <w:rPr>
                <w:rFonts w:ascii="Arial" w:hAnsi="Arial" w:cs="Arial"/>
                <w:color w:val="000000"/>
                <w:sz w:val="18"/>
                <w:szCs w:val="18"/>
                <w:lang w:val="es-ES" w:eastAsia="es-ES"/>
              </w:rPr>
            </w:pPr>
            <w:r w:rsidRPr="00F1200D">
              <w:rPr>
                <w:rFonts w:ascii="Arial" w:hAnsi="Arial" w:cs="Arial"/>
                <w:color w:val="000000"/>
                <w:sz w:val="18"/>
                <w:szCs w:val="18"/>
                <w:lang w:val="es-ES" w:eastAsia="es-ES"/>
              </w:rPr>
              <w:t>2019</w:t>
            </w:r>
          </w:p>
        </w:tc>
        <w:tc>
          <w:tcPr>
            <w:tcW w:w="937" w:type="pct"/>
            <w:tcBorders>
              <w:top w:val="nil"/>
              <w:left w:val="nil"/>
              <w:bottom w:val="single" w:sz="4" w:space="0" w:color="auto"/>
              <w:right w:val="nil"/>
            </w:tcBorders>
            <w:shd w:val="clear" w:color="000000" w:fill="FABF8F"/>
            <w:vAlign w:val="center"/>
            <w:hideMark/>
          </w:tcPr>
          <w:p w:rsidR="00F1200D" w:rsidRPr="00F1200D" w:rsidRDefault="00F1200D" w:rsidP="00F1200D">
            <w:pPr>
              <w:spacing w:after="0"/>
              <w:ind w:firstLine="0"/>
              <w:jc w:val="right"/>
              <w:rPr>
                <w:rFonts w:ascii="Arial" w:hAnsi="Arial" w:cs="Arial"/>
                <w:color w:val="000000"/>
                <w:sz w:val="18"/>
                <w:szCs w:val="18"/>
                <w:lang w:val="es-ES" w:eastAsia="es-ES"/>
              </w:rPr>
            </w:pPr>
            <w:r w:rsidRPr="00F1200D">
              <w:rPr>
                <w:rFonts w:ascii="Arial" w:hAnsi="Arial" w:cs="Arial"/>
                <w:color w:val="000000"/>
                <w:sz w:val="18"/>
                <w:szCs w:val="18"/>
                <w:lang w:val="es-ES" w:eastAsia="es-ES"/>
              </w:rPr>
              <w:t>2019/2018</w:t>
            </w:r>
          </w:p>
        </w:tc>
      </w:tr>
      <w:tr w:rsidR="00F1200D" w:rsidRPr="00F1200D" w:rsidTr="00F1200D">
        <w:trPr>
          <w:trHeight w:val="300"/>
        </w:trPr>
        <w:tc>
          <w:tcPr>
            <w:tcW w:w="2418" w:type="pct"/>
            <w:tcBorders>
              <w:top w:val="nil"/>
              <w:left w:val="nil"/>
              <w:bottom w:val="single" w:sz="4" w:space="0" w:color="auto"/>
              <w:right w:val="nil"/>
            </w:tcBorders>
            <w:shd w:val="clear" w:color="auto" w:fill="auto"/>
            <w:vAlign w:val="center"/>
            <w:hideMark/>
          </w:tcPr>
          <w:p w:rsidR="00F1200D" w:rsidRPr="00F1200D" w:rsidRDefault="00F1200D" w:rsidP="00F1200D">
            <w:pPr>
              <w:spacing w:after="0"/>
              <w:ind w:firstLine="0"/>
              <w:jc w:val="left"/>
              <w:rPr>
                <w:rFonts w:ascii="Arial Narrow" w:hAnsi="Arial Narrow"/>
                <w:color w:val="000000"/>
                <w:lang w:val="es-ES" w:eastAsia="es-ES"/>
              </w:rPr>
            </w:pPr>
            <w:r w:rsidRPr="00F1200D">
              <w:rPr>
                <w:rFonts w:ascii="Arial Narrow" w:hAnsi="Arial Narrow"/>
                <w:color w:val="000000"/>
                <w:lang w:val="es-ES" w:eastAsia="es-ES"/>
              </w:rPr>
              <w:t>Transferencias corrientes</w:t>
            </w:r>
          </w:p>
        </w:tc>
        <w:tc>
          <w:tcPr>
            <w:tcW w:w="886" w:type="pct"/>
            <w:tcBorders>
              <w:top w:val="nil"/>
              <w:left w:val="nil"/>
              <w:bottom w:val="single" w:sz="4" w:space="0" w:color="auto"/>
              <w:right w:val="nil"/>
            </w:tcBorders>
            <w:shd w:val="clear" w:color="auto" w:fill="auto"/>
            <w:vAlign w:val="center"/>
            <w:hideMark/>
          </w:tcPr>
          <w:p w:rsidR="00F1200D" w:rsidRPr="00F1200D" w:rsidRDefault="00F1200D" w:rsidP="00F1200D">
            <w:pPr>
              <w:spacing w:after="0"/>
              <w:ind w:firstLine="0"/>
              <w:jc w:val="right"/>
              <w:rPr>
                <w:rFonts w:ascii="Arial Narrow" w:hAnsi="Arial Narrow"/>
                <w:color w:val="000000"/>
                <w:lang w:val="es-ES" w:eastAsia="es-ES"/>
              </w:rPr>
            </w:pPr>
            <w:r w:rsidRPr="00F1200D">
              <w:rPr>
                <w:rFonts w:ascii="Arial Narrow" w:hAnsi="Arial Narrow"/>
                <w:color w:val="000000"/>
                <w:lang w:val="es-ES" w:eastAsia="es-ES"/>
              </w:rPr>
              <w:t>5.130.969</w:t>
            </w:r>
          </w:p>
        </w:tc>
        <w:tc>
          <w:tcPr>
            <w:tcW w:w="759" w:type="pct"/>
            <w:tcBorders>
              <w:top w:val="nil"/>
              <w:left w:val="nil"/>
              <w:bottom w:val="single" w:sz="4" w:space="0" w:color="auto"/>
              <w:right w:val="nil"/>
            </w:tcBorders>
            <w:shd w:val="clear" w:color="auto" w:fill="auto"/>
            <w:vAlign w:val="center"/>
            <w:hideMark/>
          </w:tcPr>
          <w:p w:rsidR="00F1200D" w:rsidRPr="00F1200D" w:rsidRDefault="00F1200D" w:rsidP="00F1200D">
            <w:pPr>
              <w:spacing w:after="0"/>
              <w:ind w:firstLine="0"/>
              <w:jc w:val="right"/>
              <w:rPr>
                <w:rFonts w:ascii="Arial Narrow" w:hAnsi="Arial Narrow"/>
                <w:color w:val="000000"/>
                <w:lang w:val="es-ES" w:eastAsia="es-ES"/>
              </w:rPr>
            </w:pPr>
            <w:r w:rsidRPr="00F1200D">
              <w:rPr>
                <w:rFonts w:ascii="Arial Narrow" w:hAnsi="Arial Narrow"/>
                <w:color w:val="000000"/>
                <w:lang w:val="es-ES" w:eastAsia="es-ES"/>
              </w:rPr>
              <w:t>5.616.877</w:t>
            </w:r>
          </w:p>
        </w:tc>
        <w:tc>
          <w:tcPr>
            <w:tcW w:w="937" w:type="pct"/>
            <w:tcBorders>
              <w:top w:val="nil"/>
              <w:left w:val="nil"/>
              <w:bottom w:val="single" w:sz="4" w:space="0" w:color="auto"/>
              <w:right w:val="nil"/>
            </w:tcBorders>
            <w:shd w:val="clear" w:color="auto" w:fill="auto"/>
            <w:vAlign w:val="center"/>
            <w:hideMark/>
          </w:tcPr>
          <w:p w:rsidR="00F1200D" w:rsidRPr="00F1200D" w:rsidRDefault="00F1200D" w:rsidP="00F1200D">
            <w:pPr>
              <w:spacing w:after="0"/>
              <w:ind w:firstLine="0"/>
              <w:jc w:val="right"/>
              <w:rPr>
                <w:rFonts w:ascii="Arial Narrow" w:hAnsi="Arial Narrow"/>
                <w:color w:val="000000"/>
                <w:lang w:val="es-ES" w:eastAsia="es-ES"/>
              </w:rPr>
            </w:pPr>
            <w:r w:rsidRPr="00F1200D">
              <w:rPr>
                <w:rFonts w:ascii="Arial Narrow" w:hAnsi="Arial Narrow"/>
                <w:color w:val="000000"/>
                <w:lang w:val="es-ES" w:eastAsia="es-ES"/>
              </w:rPr>
              <w:t>9</w:t>
            </w:r>
          </w:p>
        </w:tc>
      </w:tr>
      <w:tr w:rsidR="00F1200D" w:rsidRPr="00F1200D" w:rsidTr="00F1200D">
        <w:trPr>
          <w:trHeight w:val="300"/>
        </w:trPr>
        <w:tc>
          <w:tcPr>
            <w:tcW w:w="2418" w:type="pct"/>
            <w:tcBorders>
              <w:top w:val="nil"/>
              <w:left w:val="nil"/>
              <w:bottom w:val="single" w:sz="4" w:space="0" w:color="auto"/>
              <w:right w:val="nil"/>
            </w:tcBorders>
            <w:shd w:val="clear" w:color="auto" w:fill="auto"/>
            <w:vAlign w:val="center"/>
            <w:hideMark/>
          </w:tcPr>
          <w:p w:rsidR="00F1200D" w:rsidRPr="00F1200D" w:rsidRDefault="00F1200D" w:rsidP="00F1200D">
            <w:pPr>
              <w:spacing w:after="0"/>
              <w:ind w:firstLine="0"/>
              <w:jc w:val="left"/>
              <w:rPr>
                <w:rFonts w:ascii="Arial Narrow" w:hAnsi="Arial Narrow"/>
                <w:color w:val="000000"/>
                <w:lang w:val="es-ES" w:eastAsia="es-ES"/>
              </w:rPr>
            </w:pPr>
            <w:r w:rsidRPr="00F1200D">
              <w:rPr>
                <w:rFonts w:ascii="Arial Narrow" w:hAnsi="Arial Narrow"/>
                <w:color w:val="000000"/>
                <w:lang w:val="es-ES" w:eastAsia="es-ES"/>
              </w:rPr>
              <w:t>Transferencias de capital</w:t>
            </w:r>
          </w:p>
        </w:tc>
        <w:tc>
          <w:tcPr>
            <w:tcW w:w="886" w:type="pct"/>
            <w:tcBorders>
              <w:top w:val="nil"/>
              <w:left w:val="nil"/>
              <w:bottom w:val="single" w:sz="4" w:space="0" w:color="auto"/>
              <w:right w:val="nil"/>
            </w:tcBorders>
            <w:shd w:val="clear" w:color="auto" w:fill="auto"/>
            <w:vAlign w:val="center"/>
            <w:hideMark/>
          </w:tcPr>
          <w:p w:rsidR="00F1200D" w:rsidRPr="00F1200D" w:rsidRDefault="00F1200D" w:rsidP="00F1200D">
            <w:pPr>
              <w:spacing w:after="0"/>
              <w:ind w:firstLine="0"/>
              <w:jc w:val="right"/>
              <w:rPr>
                <w:rFonts w:ascii="Arial Narrow" w:hAnsi="Arial Narrow"/>
                <w:color w:val="000000"/>
                <w:lang w:val="es-ES" w:eastAsia="es-ES"/>
              </w:rPr>
            </w:pPr>
            <w:r w:rsidRPr="00F1200D">
              <w:rPr>
                <w:rFonts w:ascii="Arial Narrow" w:hAnsi="Arial Narrow"/>
                <w:color w:val="000000"/>
                <w:lang w:val="es-ES" w:eastAsia="es-ES"/>
              </w:rPr>
              <w:t>520.972</w:t>
            </w:r>
          </w:p>
        </w:tc>
        <w:tc>
          <w:tcPr>
            <w:tcW w:w="759" w:type="pct"/>
            <w:tcBorders>
              <w:top w:val="nil"/>
              <w:left w:val="nil"/>
              <w:bottom w:val="single" w:sz="4" w:space="0" w:color="auto"/>
              <w:right w:val="nil"/>
            </w:tcBorders>
            <w:shd w:val="clear" w:color="auto" w:fill="auto"/>
            <w:vAlign w:val="center"/>
            <w:hideMark/>
          </w:tcPr>
          <w:p w:rsidR="00F1200D" w:rsidRPr="00F1200D" w:rsidRDefault="00F1200D" w:rsidP="00F1200D">
            <w:pPr>
              <w:spacing w:after="0"/>
              <w:ind w:firstLine="0"/>
              <w:jc w:val="right"/>
              <w:rPr>
                <w:rFonts w:ascii="Arial Narrow" w:hAnsi="Arial Narrow"/>
                <w:color w:val="000000"/>
                <w:lang w:val="es-ES" w:eastAsia="es-ES"/>
              </w:rPr>
            </w:pPr>
            <w:r w:rsidRPr="00F1200D">
              <w:rPr>
                <w:rFonts w:ascii="Arial Narrow" w:hAnsi="Arial Narrow"/>
                <w:color w:val="000000"/>
                <w:lang w:val="es-ES" w:eastAsia="es-ES"/>
              </w:rPr>
              <w:t>383.292</w:t>
            </w:r>
          </w:p>
        </w:tc>
        <w:tc>
          <w:tcPr>
            <w:tcW w:w="937" w:type="pct"/>
            <w:tcBorders>
              <w:top w:val="nil"/>
              <w:left w:val="nil"/>
              <w:bottom w:val="single" w:sz="4" w:space="0" w:color="auto"/>
              <w:right w:val="nil"/>
            </w:tcBorders>
            <w:shd w:val="clear" w:color="auto" w:fill="auto"/>
            <w:vAlign w:val="center"/>
            <w:hideMark/>
          </w:tcPr>
          <w:p w:rsidR="00F1200D" w:rsidRPr="00F1200D" w:rsidRDefault="00F1200D" w:rsidP="00F1200D">
            <w:pPr>
              <w:spacing w:after="0"/>
              <w:ind w:firstLine="0"/>
              <w:jc w:val="right"/>
              <w:rPr>
                <w:rFonts w:ascii="Arial Narrow" w:hAnsi="Arial Narrow"/>
                <w:color w:val="000000"/>
                <w:lang w:val="es-ES" w:eastAsia="es-ES"/>
              </w:rPr>
            </w:pPr>
            <w:r w:rsidRPr="00F1200D">
              <w:rPr>
                <w:rFonts w:ascii="Arial Narrow" w:hAnsi="Arial Narrow"/>
                <w:color w:val="000000"/>
                <w:lang w:val="es-ES" w:eastAsia="es-ES"/>
              </w:rPr>
              <w:t>-26</w:t>
            </w:r>
          </w:p>
        </w:tc>
      </w:tr>
    </w:tbl>
    <w:p w:rsidR="0067725A" w:rsidRDefault="00172D87" w:rsidP="00AF68BC">
      <w:pPr>
        <w:pStyle w:val="texto"/>
        <w:tabs>
          <w:tab w:val="clear" w:pos="2835"/>
          <w:tab w:val="clear" w:pos="3969"/>
          <w:tab w:val="clear" w:pos="5103"/>
          <w:tab w:val="clear" w:pos="6237"/>
          <w:tab w:val="clear" w:pos="7371"/>
        </w:tabs>
        <w:spacing w:before="240" w:after="220"/>
      </w:pPr>
      <w:r>
        <w:t>Hemos</w:t>
      </w:r>
      <w:r w:rsidR="0067725A">
        <w:t xml:space="preserve"> revisad</w:t>
      </w:r>
      <w:r w:rsidR="007B7409">
        <w:t>o</w:t>
      </w:r>
      <w:r w:rsidR="0067725A">
        <w:t xml:space="preserve"> la siguiente muestr</w:t>
      </w:r>
      <w:r w:rsidR="007B7409">
        <w:t>a de partidas de transferencias y subvenci</w:t>
      </w:r>
      <w:r w:rsidR="007B7409">
        <w:t>o</w:t>
      </w:r>
      <w:r w:rsidR="007B7409">
        <w:t>nes:</w:t>
      </w:r>
    </w:p>
    <w:tbl>
      <w:tblPr>
        <w:tblW w:w="5000" w:type="pct"/>
        <w:jc w:val="center"/>
        <w:tblCellMar>
          <w:left w:w="70" w:type="dxa"/>
          <w:right w:w="70" w:type="dxa"/>
        </w:tblCellMar>
        <w:tblLook w:val="04A0" w:firstRow="1" w:lastRow="0" w:firstColumn="1" w:lastColumn="0" w:noHBand="0" w:noVBand="1"/>
      </w:tblPr>
      <w:tblGrid>
        <w:gridCol w:w="6929"/>
        <w:gridCol w:w="140"/>
        <w:gridCol w:w="629"/>
        <w:gridCol w:w="1656"/>
      </w:tblGrid>
      <w:tr w:rsidR="0067725A" w:rsidRPr="00BE7E39" w:rsidTr="00555A53">
        <w:trPr>
          <w:trHeight w:val="334"/>
          <w:jc w:val="center"/>
        </w:trPr>
        <w:tc>
          <w:tcPr>
            <w:tcW w:w="3779" w:type="pct"/>
            <w:gridSpan w:val="2"/>
            <w:tcBorders>
              <w:top w:val="single" w:sz="4" w:space="0" w:color="auto"/>
              <w:left w:val="nil"/>
              <w:bottom w:val="single" w:sz="4" w:space="0" w:color="auto"/>
              <w:right w:val="nil"/>
            </w:tcBorders>
            <w:shd w:val="clear" w:color="000000" w:fill="FABF8F"/>
            <w:vAlign w:val="center"/>
            <w:hideMark/>
          </w:tcPr>
          <w:p w:rsidR="0067725A" w:rsidRPr="00BE7E39" w:rsidRDefault="00B275F3" w:rsidP="004D712A">
            <w:pPr>
              <w:spacing w:after="0"/>
              <w:ind w:firstLine="0"/>
              <w:jc w:val="left"/>
              <w:rPr>
                <w:rFonts w:ascii="Arial" w:hAnsi="Arial" w:cs="Arial"/>
                <w:color w:val="000000"/>
                <w:sz w:val="18"/>
                <w:szCs w:val="18"/>
                <w:lang w:val="es-ES" w:eastAsia="es-ES"/>
              </w:rPr>
            </w:pPr>
            <w:r>
              <w:rPr>
                <w:rFonts w:ascii="Arial" w:hAnsi="Arial" w:cs="Arial"/>
                <w:color w:val="000000"/>
                <w:sz w:val="18"/>
                <w:szCs w:val="18"/>
                <w:lang w:val="es-ES" w:eastAsia="es-ES"/>
              </w:rPr>
              <w:t>Concepto</w:t>
            </w:r>
          </w:p>
        </w:tc>
        <w:tc>
          <w:tcPr>
            <w:tcW w:w="1221" w:type="pct"/>
            <w:gridSpan w:val="2"/>
            <w:tcBorders>
              <w:top w:val="single" w:sz="4" w:space="0" w:color="auto"/>
              <w:left w:val="nil"/>
              <w:bottom w:val="single" w:sz="4" w:space="0" w:color="auto"/>
              <w:right w:val="nil"/>
            </w:tcBorders>
            <w:shd w:val="clear" w:color="000000" w:fill="FABF8F"/>
            <w:vAlign w:val="center"/>
            <w:hideMark/>
          </w:tcPr>
          <w:p w:rsidR="0067725A" w:rsidRPr="00BE7E39" w:rsidRDefault="0067725A" w:rsidP="00F1200D">
            <w:pPr>
              <w:spacing w:after="0"/>
              <w:ind w:firstLine="0"/>
              <w:jc w:val="right"/>
              <w:rPr>
                <w:rFonts w:ascii="Arial" w:hAnsi="Arial" w:cs="Arial"/>
                <w:color w:val="000000"/>
                <w:sz w:val="18"/>
                <w:szCs w:val="18"/>
                <w:lang w:val="es-ES" w:eastAsia="es-ES"/>
              </w:rPr>
            </w:pPr>
            <w:r w:rsidRPr="00BE7E39">
              <w:rPr>
                <w:rFonts w:ascii="Arial" w:hAnsi="Arial" w:cs="Arial"/>
                <w:color w:val="000000"/>
                <w:sz w:val="18"/>
                <w:szCs w:val="18"/>
                <w:lang w:eastAsia="es-ES"/>
              </w:rPr>
              <w:t>DRN 201</w:t>
            </w:r>
            <w:r w:rsidR="00F1200D">
              <w:rPr>
                <w:rFonts w:ascii="Arial" w:hAnsi="Arial" w:cs="Arial"/>
                <w:color w:val="000000"/>
                <w:sz w:val="18"/>
                <w:szCs w:val="18"/>
                <w:lang w:eastAsia="es-ES"/>
              </w:rPr>
              <w:t>9</w:t>
            </w:r>
          </w:p>
        </w:tc>
      </w:tr>
      <w:tr w:rsidR="0067725A" w:rsidRPr="003A7E44" w:rsidTr="00555A53">
        <w:trPr>
          <w:trHeight w:val="227"/>
          <w:jc w:val="center"/>
        </w:trPr>
        <w:tc>
          <w:tcPr>
            <w:tcW w:w="3704" w:type="pct"/>
            <w:tcBorders>
              <w:top w:val="single" w:sz="4" w:space="0" w:color="auto"/>
              <w:left w:val="nil"/>
              <w:bottom w:val="single" w:sz="4" w:space="0" w:color="auto"/>
              <w:right w:val="nil"/>
            </w:tcBorders>
            <w:shd w:val="clear" w:color="auto" w:fill="auto"/>
            <w:vAlign w:val="center"/>
          </w:tcPr>
          <w:p w:rsidR="0067725A" w:rsidRPr="001C2876" w:rsidRDefault="0067725A" w:rsidP="004D712A">
            <w:pPr>
              <w:spacing w:after="0"/>
              <w:ind w:firstLine="0"/>
              <w:jc w:val="left"/>
              <w:rPr>
                <w:rFonts w:ascii="Arial Narrow" w:hAnsi="Arial Narrow"/>
                <w:b/>
                <w:color w:val="000000"/>
                <w:lang w:eastAsia="es-ES"/>
              </w:rPr>
            </w:pPr>
            <w:r w:rsidRPr="001C2876">
              <w:rPr>
                <w:rFonts w:ascii="Arial Narrow" w:hAnsi="Arial Narrow"/>
                <w:b/>
                <w:color w:val="000000"/>
                <w:lang w:eastAsia="es-ES"/>
              </w:rPr>
              <w:t>Transferencias corrientes</w:t>
            </w:r>
          </w:p>
        </w:tc>
        <w:tc>
          <w:tcPr>
            <w:tcW w:w="1296" w:type="pct"/>
            <w:gridSpan w:val="3"/>
            <w:tcBorders>
              <w:top w:val="single" w:sz="4" w:space="0" w:color="auto"/>
              <w:left w:val="nil"/>
              <w:right w:val="nil"/>
            </w:tcBorders>
            <w:shd w:val="clear" w:color="auto" w:fill="auto"/>
            <w:vAlign w:val="center"/>
          </w:tcPr>
          <w:p w:rsidR="0067725A" w:rsidRPr="001C2876" w:rsidRDefault="0067725A" w:rsidP="004D712A">
            <w:pPr>
              <w:spacing w:after="0"/>
              <w:ind w:firstLine="0"/>
              <w:jc w:val="right"/>
              <w:rPr>
                <w:rFonts w:ascii="Arial Narrow" w:hAnsi="Arial Narrow"/>
                <w:b/>
                <w:color w:val="000000"/>
                <w:lang w:eastAsia="es-ES"/>
              </w:rPr>
            </w:pPr>
          </w:p>
        </w:tc>
      </w:tr>
      <w:tr w:rsidR="0067725A" w:rsidRPr="003A7E44" w:rsidTr="00555A53">
        <w:trPr>
          <w:trHeight w:val="227"/>
          <w:jc w:val="center"/>
        </w:trPr>
        <w:tc>
          <w:tcPr>
            <w:tcW w:w="3704" w:type="pct"/>
            <w:tcBorders>
              <w:top w:val="single" w:sz="4" w:space="0" w:color="auto"/>
              <w:left w:val="nil"/>
              <w:bottom w:val="single" w:sz="2" w:space="0" w:color="auto"/>
              <w:right w:val="nil"/>
            </w:tcBorders>
            <w:shd w:val="clear" w:color="auto" w:fill="auto"/>
            <w:vAlign w:val="center"/>
          </w:tcPr>
          <w:p w:rsidR="0067725A" w:rsidRPr="001C2876" w:rsidRDefault="00F1200D" w:rsidP="00BE7E39">
            <w:pPr>
              <w:spacing w:after="0"/>
              <w:ind w:firstLine="0"/>
              <w:jc w:val="left"/>
              <w:rPr>
                <w:rFonts w:ascii="Arial Narrow" w:hAnsi="Arial Narrow"/>
                <w:color w:val="000000"/>
                <w:lang w:val="es-ES" w:eastAsia="es-ES"/>
              </w:rPr>
            </w:pPr>
            <w:r>
              <w:rPr>
                <w:rFonts w:ascii="Arial Narrow" w:hAnsi="Arial Narrow"/>
                <w:color w:val="000000"/>
                <w:lang w:eastAsia="es-ES"/>
              </w:rPr>
              <w:t>Subvención escuela infantil  0-3 años</w:t>
            </w:r>
          </w:p>
        </w:tc>
        <w:tc>
          <w:tcPr>
            <w:tcW w:w="1296" w:type="pct"/>
            <w:gridSpan w:val="3"/>
            <w:tcBorders>
              <w:top w:val="single" w:sz="4" w:space="0" w:color="auto"/>
              <w:left w:val="nil"/>
              <w:bottom w:val="single" w:sz="2" w:space="0" w:color="auto"/>
              <w:right w:val="nil"/>
            </w:tcBorders>
            <w:shd w:val="clear" w:color="auto" w:fill="auto"/>
            <w:vAlign w:val="center"/>
          </w:tcPr>
          <w:p w:rsidR="0067725A" w:rsidRPr="001C2876" w:rsidRDefault="00F1200D" w:rsidP="004D712A">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334.502</w:t>
            </w:r>
          </w:p>
        </w:tc>
      </w:tr>
      <w:tr w:rsidR="0067725A" w:rsidRPr="003A7E44" w:rsidTr="00555A53">
        <w:trPr>
          <w:trHeight w:val="227"/>
          <w:jc w:val="center"/>
        </w:trPr>
        <w:tc>
          <w:tcPr>
            <w:tcW w:w="3704" w:type="pct"/>
            <w:tcBorders>
              <w:top w:val="single" w:sz="2" w:space="0" w:color="auto"/>
              <w:left w:val="nil"/>
              <w:bottom w:val="single" w:sz="2" w:space="0" w:color="auto"/>
              <w:right w:val="nil"/>
            </w:tcBorders>
            <w:shd w:val="clear" w:color="auto" w:fill="auto"/>
            <w:vAlign w:val="center"/>
          </w:tcPr>
          <w:p w:rsidR="0067725A" w:rsidRPr="001C2876" w:rsidRDefault="00F1200D" w:rsidP="00F1200D">
            <w:pPr>
              <w:spacing w:after="0"/>
              <w:ind w:firstLine="0"/>
              <w:jc w:val="left"/>
              <w:rPr>
                <w:rFonts w:ascii="Arial Narrow" w:hAnsi="Arial Narrow"/>
                <w:color w:val="000000"/>
                <w:lang w:val="es-ES" w:eastAsia="es-ES"/>
              </w:rPr>
            </w:pPr>
            <w:r>
              <w:rPr>
                <w:rFonts w:ascii="Arial Narrow" w:hAnsi="Arial Narrow"/>
                <w:color w:val="000000"/>
                <w:lang w:eastAsia="es-ES"/>
              </w:rPr>
              <w:t>Subvención empleo social protegido</w:t>
            </w:r>
          </w:p>
        </w:tc>
        <w:tc>
          <w:tcPr>
            <w:tcW w:w="1296" w:type="pct"/>
            <w:gridSpan w:val="3"/>
            <w:tcBorders>
              <w:top w:val="single" w:sz="2" w:space="0" w:color="auto"/>
              <w:left w:val="nil"/>
              <w:bottom w:val="single" w:sz="2" w:space="0" w:color="auto"/>
              <w:right w:val="nil"/>
            </w:tcBorders>
            <w:shd w:val="clear" w:color="auto" w:fill="auto"/>
            <w:vAlign w:val="center"/>
          </w:tcPr>
          <w:p w:rsidR="0067725A" w:rsidRPr="0019578F" w:rsidRDefault="00F1200D" w:rsidP="004D712A">
            <w:pPr>
              <w:spacing w:after="0"/>
              <w:ind w:firstLine="0"/>
              <w:jc w:val="right"/>
              <w:rPr>
                <w:rFonts w:ascii="Arial Narrow" w:hAnsi="Arial Narrow" w:cs="Arial"/>
                <w:color w:val="000000"/>
                <w:lang w:val="es-ES" w:eastAsia="es-ES"/>
              </w:rPr>
            </w:pPr>
            <w:r>
              <w:rPr>
                <w:rFonts w:ascii="Arial Narrow" w:hAnsi="Arial Narrow" w:cs="Arial"/>
                <w:color w:val="000000"/>
                <w:lang w:eastAsia="es-ES"/>
              </w:rPr>
              <w:t>232.028</w:t>
            </w:r>
          </w:p>
        </w:tc>
      </w:tr>
      <w:tr w:rsidR="0067725A" w:rsidRPr="003A7E44" w:rsidTr="00555A53">
        <w:trPr>
          <w:trHeight w:val="227"/>
          <w:jc w:val="center"/>
        </w:trPr>
        <w:tc>
          <w:tcPr>
            <w:tcW w:w="4115" w:type="pct"/>
            <w:gridSpan w:val="3"/>
            <w:tcBorders>
              <w:top w:val="single" w:sz="2" w:space="0" w:color="auto"/>
              <w:left w:val="nil"/>
              <w:bottom w:val="single" w:sz="4" w:space="0" w:color="auto"/>
              <w:right w:val="nil"/>
            </w:tcBorders>
            <w:shd w:val="clear" w:color="auto" w:fill="auto"/>
            <w:vAlign w:val="center"/>
          </w:tcPr>
          <w:p w:rsidR="0067725A" w:rsidRPr="001C2876" w:rsidRDefault="00F1200D" w:rsidP="00BE7E39">
            <w:pPr>
              <w:spacing w:after="0"/>
              <w:ind w:firstLine="0"/>
              <w:jc w:val="left"/>
              <w:rPr>
                <w:rFonts w:ascii="Arial Narrow" w:hAnsi="Arial Narrow"/>
                <w:color w:val="000000"/>
                <w:lang w:eastAsia="es-ES"/>
              </w:rPr>
            </w:pPr>
            <w:r>
              <w:rPr>
                <w:rFonts w:ascii="Arial Narrow" w:hAnsi="Arial Narrow"/>
                <w:color w:val="000000"/>
                <w:lang w:eastAsia="es-ES"/>
              </w:rPr>
              <w:t>Subvención atención domiciliaria dependencia</w:t>
            </w:r>
          </w:p>
        </w:tc>
        <w:tc>
          <w:tcPr>
            <w:tcW w:w="885" w:type="pct"/>
            <w:tcBorders>
              <w:top w:val="single" w:sz="2" w:space="0" w:color="auto"/>
              <w:left w:val="nil"/>
              <w:bottom w:val="single" w:sz="4" w:space="0" w:color="auto"/>
              <w:right w:val="nil"/>
            </w:tcBorders>
            <w:shd w:val="clear" w:color="auto" w:fill="auto"/>
            <w:vAlign w:val="center"/>
          </w:tcPr>
          <w:p w:rsidR="0067725A" w:rsidRPr="0019578F" w:rsidRDefault="00F1200D" w:rsidP="004D712A">
            <w:pPr>
              <w:spacing w:after="0"/>
              <w:ind w:firstLine="0"/>
              <w:jc w:val="right"/>
              <w:rPr>
                <w:rFonts w:ascii="Arial Narrow" w:hAnsi="Arial Narrow" w:cs="Arial"/>
                <w:color w:val="000000"/>
                <w:lang w:eastAsia="es-ES"/>
              </w:rPr>
            </w:pPr>
            <w:r>
              <w:rPr>
                <w:rFonts w:ascii="Arial Narrow" w:hAnsi="Arial Narrow" w:cs="Arial"/>
                <w:color w:val="000000"/>
                <w:lang w:eastAsia="es-ES"/>
              </w:rPr>
              <w:t>54.577</w:t>
            </w:r>
          </w:p>
        </w:tc>
      </w:tr>
      <w:tr w:rsidR="0067725A" w:rsidRPr="003A7E44" w:rsidTr="00555A53">
        <w:trPr>
          <w:trHeight w:val="227"/>
          <w:jc w:val="center"/>
        </w:trPr>
        <w:tc>
          <w:tcPr>
            <w:tcW w:w="4115" w:type="pct"/>
            <w:gridSpan w:val="3"/>
            <w:tcBorders>
              <w:top w:val="single" w:sz="4" w:space="0" w:color="auto"/>
              <w:left w:val="nil"/>
              <w:bottom w:val="single" w:sz="4" w:space="0" w:color="auto"/>
              <w:right w:val="nil"/>
            </w:tcBorders>
            <w:shd w:val="clear" w:color="auto" w:fill="auto"/>
            <w:vAlign w:val="center"/>
          </w:tcPr>
          <w:p w:rsidR="0067725A" w:rsidRPr="001C2876" w:rsidRDefault="0067725A" w:rsidP="004D712A">
            <w:pPr>
              <w:spacing w:after="0"/>
              <w:ind w:firstLine="0"/>
              <w:jc w:val="left"/>
              <w:rPr>
                <w:rFonts w:ascii="Arial Narrow" w:hAnsi="Arial Narrow"/>
                <w:b/>
                <w:color w:val="000000"/>
                <w:lang w:eastAsia="es-ES"/>
              </w:rPr>
            </w:pPr>
            <w:r w:rsidRPr="001C2876">
              <w:rPr>
                <w:rFonts w:ascii="Arial Narrow" w:hAnsi="Arial Narrow"/>
                <w:b/>
                <w:color w:val="000000"/>
                <w:lang w:eastAsia="es-ES"/>
              </w:rPr>
              <w:t>Transferencias de capital</w:t>
            </w:r>
          </w:p>
        </w:tc>
        <w:tc>
          <w:tcPr>
            <w:tcW w:w="885" w:type="pct"/>
            <w:tcBorders>
              <w:top w:val="single" w:sz="4" w:space="0" w:color="auto"/>
              <w:left w:val="nil"/>
              <w:bottom w:val="single" w:sz="4" w:space="0" w:color="auto"/>
              <w:right w:val="nil"/>
            </w:tcBorders>
            <w:shd w:val="clear" w:color="auto" w:fill="auto"/>
            <w:vAlign w:val="center"/>
          </w:tcPr>
          <w:p w:rsidR="0067725A" w:rsidRPr="0019578F" w:rsidRDefault="0067725A" w:rsidP="004D712A">
            <w:pPr>
              <w:spacing w:after="0"/>
              <w:ind w:firstLine="0"/>
              <w:jc w:val="right"/>
              <w:rPr>
                <w:rFonts w:ascii="Arial Narrow" w:hAnsi="Arial Narrow" w:cs="Arial"/>
                <w:b/>
                <w:color w:val="000000"/>
                <w:lang w:eastAsia="es-ES"/>
              </w:rPr>
            </w:pPr>
          </w:p>
        </w:tc>
      </w:tr>
      <w:tr w:rsidR="0067725A" w:rsidRPr="003A7E44" w:rsidTr="00555A53">
        <w:trPr>
          <w:trHeight w:val="227"/>
          <w:jc w:val="center"/>
        </w:trPr>
        <w:tc>
          <w:tcPr>
            <w:tcW w:w="4115" w:type="pct"/>
            <w:gridSpan w:val="3"/>
            <w:tcBorders>
              <w:top w:val="single" w:sz="4" w:space="0" w:color="auto"/>
              <w:left w:val="nil"/>
              <w:bottom w:val="single" w:sz="4" w:space="0" w:color="auto"/>
              <w:right w:val="nil"/>
            </w:tcBorders>
            <w:shd w:val="clear" w:color="auto" w:fill="auto"/>
            <w:vAlign w:val="center"/>
          </w:tcPr>
          <w:p w:rsidR="0067725A" w:rsidRPr="001C2876" w:rsidRDefault="00F1200D" w:rsidP="00BE7E39">
            <w:pPr>
              <w:spacing w:after="0"/>
              <w:ind w:firstLine="0"/>
              <w:jc w:val="left"/>
              <w:rPr>
                <w:rFonts w:ascii="Arial Narrow" w:hAnsi="Arial Narrow"/>
                <w:color w:val="000000"/>
                <w:lang w:eastAsia="es-ES"/>
              </w:rPr>
            </w:pPr>
            <w:r>
              <w:rPr>
                <w:rFonts w:ascii="Arial Narrow" w:hAnsi="Arial Narrow"/>
                <w:color w:val="000000"/>
                <w:lang w:eastAsia="es-ES"/>
              </w:rPr>
              <w:t>Subvención obra impermeabilización polideportivo</w:t>
            </w:r>
          </w:p>
        </w:tc>
        <w:tc>
          <w:tcPr>
            <w:tcW w:w="885" w:type="pct"/>
            <w:tcBorders>
              <w:top w:val="single" w:sz="4" w:space="0" w:color="auto"/>
              <w:left w:val="nil"/>
              <w:bottom w:val="single" w:sz="4" w:space="0" w:color="auto"/>
              <w:right w:val="nil"/>
            </w:tcBorders>
            <w:shd w:val="clear" w:color="auto" w:fill="auto"/>
            <w:vAlign w:val="center"/>
          </w:tcPr>
          <w:p w:rsidR="0067725A" w:rsidRPr="0019578F" w:rsidRDefault="00F1200D" w:rsidP="004D712A">
            <w:pPr>
              <w:spacing w:after="0"/>
              <w:ind w:firstLine="0"/>
              <w:jc w:val="right"/>
              <w:rPr>
                <w:rFonts w:ascii="Arial Narrow" w:hAnsi="Arial Narrow" w:cs="Arial"/>
                <w:color w:val="000000"/>
                <w:lang w:eastAsia="es-ES"/>
              </w:rPr>
            </w:pPr>
            <w:r>
              <w:rPr>
                <w:rFonts w:ascii="Arial Narrow" w:hAnsi="Arial Narrow" w:cs="Arial"/>
                <w:color w:val="000000"/>
                <w:lang w:eastAsia="es-ES"/>
              </w:rPr>
              <w:t>96.541</w:t>
            </w:r>
          </w:p>
        </w:tc>
      </w:tr>
    </w:tbl>
    <w:p w:rsidR="0067725A" w:rsidRPr="007B7409" w:rsidRDefault="0067725A" w:rsidP="007B7409">
      <w:pPr>
        <w:pStyle w:val="texto"/>
        <w:tabs>
          <w:tab w:val="clear" w:pos="2835"/>
          <w:tab w:val="clear" w:pos="3969"/>
          <w:tab w:val="clear" w:pos="5103"/>
          <w:tab w:val="clear" w:pos="6237"/>
          <w:tab w:val="clear" w:pos="7371"/>
        </w:tabs>
        <w:spacing w:before="220"/>
      </w:pPr>
      <w:r>
        <w:t xml:space="preserve">La revisión </w:t>
      </w:r>
      <w:r w:rsidR="00582E03">
        <w:t xml:space="preserve">de las subvenciones procedentes del Gobierno de Navarra </w:t>
      </w:r>
      <w:r>
        <w:t>ha consi</w:t>
      </w:r>
      <w:r>
        <w:t>s</w:t>
      </w:r>
      <w:r w:rsidRPr="00216F88">
        <w:rPr>
          <w:color w:val="000000" w:themeColor="text1"/>
        </w:rPr>
        <w:t>tido en la verificación de la coherencia de la infor</w:t>
      </w:r>
      <w:r w:rsidR="00935CE4" w:rsidRPr="00216F88">
        <w:rPr>
          <w:color w:val="000000" w:themeColor="text1"/>
        </w:rPr>
        <w:t>mació</w:t>
      </w:r>
      <w:r w:rsidR="0014682C" w:rsidRPr="00216F88">
        <w:rPr>
          <w:color w:val="000000" w:themeColor="text1"/>
        </w:rPr>
        <w:t>n p</w:t>
      </w:r>
      <w:r w:rsidRPr="00216F88">
        <w:rPr>
          <w:color w:val="000000" w:themeColor="text1"/>
        </w:rPr>
        <w:t xml:space="preserve">resupuestaria </w:t>
      </w:r>
      <w:r w:rsidR="00B6666D" w:rsidRPr="00216F88">
        <w:rPr>
          <w:color w:val="000000" w:themeColor="text1"/>
        </w:rPr>
        <w:t>del ayu</w:t>
      </w:r>
      <w:r w:rsidR="00B6666D" w:rsidRPr="00216F88">
        <w:rPr>
          <w:color w:val="000000" w:themeColor="text1"/>
        </w:rPr>
        <w:t>n</w:t>
      </w:r>
      <w:r w:rsidR="00B6666D" w:rsidRPr="00216F88">
        <w:rPr>
          <w:color w:val="000000" w:themeColor="text1"/>
        </w:rPr>
        <w:t xml:space="preserve">tamiento </w:t>
      </w:r>
      <w:r w:rsidRPr="00216F88">
        <w:rPr>
          <w:color w:val="000000" w:themeColor="text1"/>
        </w:rPr>
        <w:t xml:space="preserve">con la </w:t>
      </w:r>
      <w:r w:rsidR="006C359A" w:rsidRPr="00216F88">
        <w:rPr>
          <w:color w:val="000000" w:themeColor="text1"/>
        </w:rPr>
        <w:t xml:space="preserve">de la </w:t>
      </w:r>
      <w:r w:rsidRPr="00216F88">
        <w:rPr>
          <w:color w:val="000000" w:themeColor="text1"/>
        </w:rPr>
        <w:t xml:space="preserve">Administración de la Comunidad Foral, </w:t>
      </w:r>
      <w:r w:rsidR="00012A79" w:rsidRPr="00216F88">
        <w:rPr>
          <w:color w:val="000000" w:themeColor="text1"/>
        </w:rPr>
        <w:t>así como</w:t>
      </w:r>
      <w:r w:rsidR="002057EB" w:rsidRPr="00216F88">
        <w:rPr>
          <w:color w:val="000000" w:themeColor="text1"/>
        </w:rPr>
        <w:t xml:space="preserve"> con</w:t>
      </w:r>
      <w:r w:rsidR="00012A79" w:rsidRPr="00216F88">
        <w:rPr>
          <w:color w:val="000000" w:themeColor="text1"/>
        </w:rPr>
        <w:t xml:space="preserve"> l</w:t>
      </w:r>
      <w:r w:rsidR="007B7409" w:rsidRPr="00216F88">
        <w:rPr>
          <w:color w:val="000000" w:themeColor="text1"/>
        </w:rPr>
        <w:t>os a</w:t>
      </w:r>
      <w:r w:rsidR="007B7409" w:rsidRPr="00216F88">
        <w:rPr>
          <w:color w:val="000000" w:themeColor="text1"/>
        </w:rPr>
        <w:t>c</w:t>
      </w:r>
      <w:r w:rsidR="007B7409" w:rsidRPr="007B7409">
        <w:t>tos administrativos que las</w:t>
      </w:r>
      <w:r w:rsidR="00F1200D">
        <w:t xml:space="preserve"> soportan y la justificación presentada por el ayunt</w:t>
      </w:r>
      <w:r w:rsidR="00F1200D">
        <w:t>a</w:t>
      </w:r>
      <w:r w:rsidR="00F1200D">
        <w:t>miento.</w:t>
      </w:r>
    </w:p>
    <w:p w:rsidR="0067725A" w:rsidRPr="007B7409" w:rsidRDefault="0067725A" w:rsidP="007B7409">
      <w:pPr>
        <w:pStyle w:val="texto"/>
        <w:tabs>
          <w:tab w:val="clear" w:pos="2835"/>
          <w:tab w:val="clear" w:pos="3969"/>
          <w:tab w:val="clear" w:pos="5103"/>
          <w:tab w:val="clear" w:pos="6237"/>
          <w:tab w:val="clear" w:pos="7371"/>
        </w:tabs>
        <w:spacing w:before="220"/>
      </w:pPr>
      <w:r w:rsidRPr="007B7409">
        <w:t>Del trabajo realizado concluimos que</w:t>
      </w:r>
      <w:r w:rsidR="007C42E9">
        <w:t>,</w:t>
      </w:r>
      <w:r w:rsidRPr="007B7409">
        <w:t xml:space="preserve"> en general</w:t>
      </w:r>
      <w:r w:rsidR="007C42E9">
        <w:t>,</w:t>
      </w:r>
      <w:r w:rsidRPr="007B7409">
        <w:t xml:space="preserve"> la liquidación de los derechos reconocidos está justificada de conformidad con la normativa aplicable. </w:t>
      </w:r>
    </w:p>
    <w:p w:rsidR="00E90907" w:rsidRDefault="00E90907">
      <w:pPr>
        <w:spacing w:after="0"/>
        <w:ind w:firstLine="0"/>
        <w:jc w:val="left"/>
        <w:rPr>
          <w:rFonts w:ascii="Arial" w:hAnsi="Arial"/>
          <w:i/>
          <w:iCs/>
          <w:color w:val="000000"/>
          <w:spacing w:val="10"/>
          <w:kern w:val="28"/>
          <w:sz w:val="25"/>
          <w:szCs w:val="26"/>
        </w:rPr>
      </w:pPr>
      <w:r>
        <w:br w:type="page"/>
      </w:r>
    </w:p>
    <w:p w:rsidR="0067725A" w:rsidRPr="00C149E6" w:rsidRDefault="0067725A" w:rsidP="0012143D">
      <w:pPr>
        <w:pStyle w:val="atitulo3"/>
        <w:spacing w:before="200" w:after="200"/>
      </w:pPr>
      <w:r w:rsidRPr="00C149E6">
        <w:lastRenderedPageBreak/>
        <w:t>V</w:t>
      </w:r>
      <w:r>
        <w:t>I</w:t>
      </w:r>
      <w:r w:rsidRPr="00C149E6">
        <w:t>.</w:t>
      </w:r>
      <w:r>
        <w:t>5</w:t>
      </w:r>
      <w:r w:rsidRPr="00C149E6">
        <w:t>.</w:t>
      </w:r>
      <w:r w:rsidR="00FA0054">
        <w:t>8</w:t>
      </w:r>
      <w:r>
        <w:t>. Ingresos patrimoniales</w:t>
      </w:r>
    </w:p>
    <w:p w:rsidR="00012A79" w:rsidRDefault="0067725A" w:rsidP="00920641">
      <w:pPr>
        <w:pStyle w:val="texto"/>
        <w:tabs>
          <w:tab w:val="clear" w:pos="2835"/>
          <w:tab w:val="clear" w:pos="3969"/>
          <w:tab w:val="clear" w:pos="5103"/>
          <w:tab w:val="clear" w:pos="6237"/>
          <w:tab w:val="clear" w:pos="7371"/>
        </w:tabs>
        <w:spacing w:after="240"/>
      </w:pPr>
      <w:r w:rsidRPr="001B426B">
        <w:t xml:space="preserve">Los ingresos </w:t>
      </w:r>
      <w:r>
        <w:t xml:space="preserve">patrimoniales </w:t>
      </w:r>
      <w:r w:rsidRPr="001B426B">
        <w:t xml:space="preserve">en </w:t>
      </w:r>
      <w:r w:rsidR="00F1200D">
        <w:t>2019</w:t>
      </w:r>
      <w:r w:rsidRPr="001B426B">
        <w:t xml:space="preserve"> ascendieron </w:t>
      </w:r>
      <w:r w:rsidR="0014682C">
        <w:t xml:space="preserve">a </w:t>
      </w:r>
      <w:r w:rsidR="00F1200D">
        <w:t>1,</w:t>
      </w:r>
      <w:r w:rsidR="002F2EA3">
        <w:t>07</w:t>
      </w:r>
      <w:r>
        <w:t xml:space="preserve"> </w:t>
      </w:r>
      <w:r w:rsidRPr="001B426B">
        <w:t xml:space="preserve">millones de euros, </w:t>
      </w:r>
      <w:r>
        <w:t xml:space="preserve">y </w:t>
      </w:r>
      <w:r w:rsidRPr="001B426B">
        <w:t>r</w:t>
      </w:r>
      <w:r w:rsidRPr="001B426B">
        <w:t>e</w:t>
      </w:r>
      <w:r w:rsidRPr="001B426B">
        <w:t>presenta</w:t>
      </w:r>
      <w:r>
        <w:t xml:space="preserve">ron </w:t>
      </w:r>
      <w:r w:rsidRPr="001B426B">
        <w:t xml:space="preserve">el </w:t>
      </w:r>
      <w:r w:rsidR="00F1200D">
        <w:t>siete</w:t>
      </w:r>
      <w:r>
        <w:t xml:space="preserve"> </w:t>
      </w:r>
      <w:r w:rsidRPr="001B426B">
        <w:t xml:space="preserve">por ciento del total de ingresos reconocidos en el ejercicio. </w:t>
      </w:r>
    </w:p>
    <w:p w:rsidR="0067725A" w:rsidRDefault="00012A79" w:rsidP="00920641">
      <w:pPr>
        <w:pStyle w:val="texto"/>
        <w:tabs>
          <w:tab w:val="clear" w:pos="2835"/>
          <w:tab w:val="clear" w:pos="3969"/>
          <w:tab w:val="clear" w:pos="5103"/>
          <w:tab w:val="clear" w:pos="6237"/>
          <w:tab w:val="clear" w:pos="7371"/>
        </w:tabs>
        <w:spacing w:after="240"/>
      </w:pPr>
      <w:r>
        <w:t>Se corresponden con los siguientes conceptos:</w:t>
      </w:r>
    </w:p>
    <w:tbl>
      <w:tblPr>
        <w:tblW w:w="5000" w:type="pct"/>
        <w:jc w:val="center"/>
        <w:tblCellMar>
          <w:left w:w="70" w:type="dxa"/>
          <w:right w:w="70" w:type="dxa"/>
        </w:tblCellMar>
        <w:tblLook w:val="04A0" w:firstRow="1" w:lastRow="0" w:firstColumn="1" w:lastColumn="0" w:noHBand="0" w:noVBand="1"/>
      </w:tblPr>
      <w:tblGrid>
        <w:gridCol w:w="4888"/>
        <w:gridCol w:w="1437"/>
        <w:gridCol w:w="1759"/>
        <w:gridCol w:w="1270"/>
      </w:tblGrid>
      <w:tr w:rsidR="00920641" w:rsidRPr="00920641" w:rsidTr="00112109">
        <w:trPr>
          <w:trHeight w:val="340"/>
          <w:jc w:val="center"/>
        </w:trPr>
        <w:tc>
          <w:tcPr>
            <w:tcW w:w="2613" w:type="pct"/>
            <w:tcBorders>
              <w:top w:val="single" w:sz="4" w:space="0" w:color="auto"/>
              <w:left w:val="nil"/>
              <w:bottom w:val="single" w:sz="4" w:space="0" w:color="auto"/>
              <w:right w:val="nil"/>
            </w:tcBorders>
            <w:shd w:val="clear" w:color="auto" w:fill="FABF8F" w:themeFill="accent6" w:themeFillTint="99"/>
            <w:vAlign w:val="center"/>
            <w:hideMark/>
          </w:tcPr>
          <w:p w:rsidR="00920641" w:rsidRPr="00920641" w:rsidRDefault="00920641" w:rsidP="00AD177F">
            <w:pPr>
              <w:spacing w:after="0"/>
              <w:ind w:firstLine="0"/>
              <w:jc w:val="left"/>
              <w:rPr>
                <w:rFonts w:ascii="Arial" w:hAnsi="Arial" w:cs="Arial"/>
                <w:color w:val="000000"/>
                <w:sz w:val="18"/>
                <w:szCs w:val="18"/>
                <w:lang w:val="es-ES" w:eastAsia="es-ES"/>
              </w:rPr>
            </w:pPr>
            <w:r>
              <w:rPr>
                <w:rFonts w:ascii="Arial" w:hAnsi="Arial" w:cs="Arial"/>
                <w:color w:val="000000"/>
                <w:sz w:val="18"/>
                <w:szCs w:val="18"/>
                <w:lang w:val="es-ES" w:eastAsia="es-ES"/>
              </w:rPr>
              <w:t>Concepto</w:t>
            </w:r>
          </w:p>
        </w:tc>
        <w:tc>
          <w:tcPr>
            <w:tcW w:w="768" w:type="pct"/>
            <w:tcBorders>
              <w:top w:val="single" w:sz="4" w:space="0" w:color="auto"/>
              <w:left w:val="nil"/>
              <w:bottom w:val="single" w:sz="4" w:space="0" w:color="auto"/>
              <w:right w:val="nil"/>
            </w:tcBorders>
            <w:shd w:val="clear" w:color="auto" w:fill="FABF8F" w:themeFill="accent6" w:themeFillTint="99"/>
            <w:vAlign w:val="center"/>
            <w:hideMark/>
          </w:tcPr>
          <w:p w:rsidR="00920641" w:rsidRPr="00920641" w:rsidRDefault="00920641" w:rsidP="00920641">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Importe</w:t>
            </w:r>
          </w:p>
        </w:tc>
        <w:tc>
          <w:tcPr>
            <w:tcW w:w="940" w:type="pct"/>
            <w:tcBorders>
              <w:top w:val="single" w:sz="4" w:space="0" w:color="auto"/>
              <w:left w:val="nil"/>
              <w:bottom w:val="single" w:sz="4" w:space="0" w:color="auto"/>
              <w:right w:val="nil"/>
            </w:tcBorders>
            <w:shd w:val="clear" w:color="auto" w:fill="FABF8F" w:themeFill="accent6" w:themeFillTint="99"/>
            <w:noWrap/>
            <w:vAlign w:val="center"/>
            <w:hideMark/>
          </w:tcPr>
          <w:p w:rsidR="00920641" w:rsidRDefault="00920641" w:rsidP="00920641">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 s/total</w:t>
            </w:r>
          </w:p>
          <w:p w:rsidR="00920641" w:rsidRPr="00920641" w:rsidRDefault="00920641" w:rsidP="00F8469C">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Ingresos</w:t>
            </w:r>
            <w:r w:rsidR="0014682C">
              <w:rPr>
                <w:rFonts w:ascii="Arial" w:hAnsi="Arial" w:cs="Arial"/>
                <w:color w:val="000000"/>
                <w:sz w:val="18"/>
                <w:szCs w:val="18"/>
                <w:lang w:val="es-ES" w:eastAsia="es-ES"/>
              </w:rPr>
              <w:t xml:space="preserve"> cap</w:t>
            </w:r>
            <w:r w:rsidR="00F8469C">
              <w:rPr>
                <w:rFonts w:ascii="Arial" w:hAnsi="Arial" w:cs="Arial"/>
                <w:color w:val="000000"/>
                <w:sz w:val="18"/>
                <w:szCs w:val="18"/>
                <w:lang w:val="es-ES" w:eastAsia="es-ES"/>
              </w:rPr>
              <w:t>ítulo</w:t>
            </w:r>
          </w:p>
        </w:tc>
        <w:tc>
          <w:tcPr>
            <w:tcW w:w="679" w:type="pct"/>
            <w:tcBorders>
              <w:top w:val="single" w:sz="4" w:space="0" w:color="auto"/>
              <w:left w:val="nil"/>
              <w:bottom w:val="single" w:sz="4" w:space="0" w:color="auto"/>
              <w:right w:val="nil"/>
            </w:tcBorders>
            <w:shd w:val="clear" w:color="auto" w:fill="FABF8F" w:themeFill="accent6" w:themeFillTint="99"/>
            <w:vAlign w:val="center"/>
            <w:hideMark/>
          </w:tcPr>
          <w:p w:rsidR="00920641" w:rsidRDefault="00F13601" w:rsidP="00920641">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 xml:space="preserve">% </w:t>
            </w:r>
            <w:proofErr w:type="spellStart"/>
            <w:r w:rsidR="00920641">
              <w:rPr>
                <w:rFonts w:ascii="Arial" w:hAnsi="Arial" w:cs="Arial"/>
                <w:color w:val="000000"/>
                <w:sz w:val="18"/>
                <w:szCs w:val="18"/>
                <w:lang w:val="es-ES" w:eastAsia="es-ES"/>
              </w:rPr>
              <w:t>Var</w:t>
            </w:r>
            <w:r w:rsidR="0079629D">
              <w:rPr>
                <w:rFonts w:ascii="Arial" w:hAnsi="Arial" w:cs="Arial"/>
                <w:color w:val="000000"/>
                <w:sz w:val="18"/>
                <w:szCs w:val="18"/>
                <w:lang w:val="es-ES" w:eastAsia="es-ES"/>
              </w:rPr>
              <w:t>iac</w:t>
            </w:r>
            <w:proofErr w:type="spellEnd"/>
            <w:r w:rsidR="00920641">
              <w:rPr>
                <w:rFonts w:ascii="Arial" w:hAnsi="Arial" w:cs="Arial"/>
                <w:color w:val="000000"/>
                <w:sz w:val="18"/>
                <w:szCs w:val="18"/>
                <w:lang w:val="es-ES" w:eastAsia="es-ES"/>
              </w:rPr>
              <w:t>.</w:t>
            </w:r>
          </w:p>
          <w:p w:rsidR="00920641" w:rsidRPr="00920641" w:rsidRDefault="00920641" w:rsidP="00F1200D">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201</w:t>
            </w:r>
            <w:r w:rsidR="00F1200D">
              <w:rPr>
                <w:rFonts w:ascii="Arial" w:hAnsi="Arial" w:cs="Arial"/>
                <w:color w:val="000000"/>
                <w:sz w:val="18"/>
                <w:szCs w:val="18"/>
                <w:lang w:val="es-ES" w:eastAsia="es-ES"/>
              </w:rPr>
              <w:t>9</w:t>
            </w:r>
            <w:r>
              <w:rPr>
                <w:rFonts w:ascii="Arial" w:hAnsi="Arial" w:cs="Arial"/>
                <w:color w:val="000000"/>
                <w:sz w:val="18"/>
                <w:szCs w:val="18"/>
                <w:lang w:val="es-ES" w:eastAsia="es-ES"/>
              </w:rPr>
              <w:t>/</w:t>
            </w:r>
            <w:r w:rsidR="00F13601">
              <w:rPr>
                <w:rFonts w:ascii="Arial" w:hAnsi="Arial" w:cs="Arial"/>
                <w:color w:val="000000"/>
                <w:sz w:val="18"/>
                <w:szCs w:val="18"/>
                <w:lang w:val="es-ES" w:eastAsia="es-ES"/>
              </w:rPr>
              <w:t>20</w:t>
            </w:r>
            <w:r>
              <w:rPr>
                <w:rFonts w:ascii="Arial" w:hAnsi="Arial" w:cs="Arial"/>
                <w:color w:val="000000"/>
                <w:sz w:val="18"/>
                <w:szCs w:val="18"/>
                <w:lang w:val="es-ES" w:eastAsia="es-ES"/>
              </w:rPr>
              <w:t>1</w:t>
            </w:r>
            <w:r w:rsidR="00F1200D">
              <w:rPr>
                <w:rFonts w:ascii="Arial" w:hAnsi="Arial" w:cs="Arial"/>
                <w:color w:val="000000"/>
                <w:sz w:val="18"/>
                <w:szCs w:val="18"/>
                <w:lang w:val="es-ES" w:eastAsia="es-ES"/>
              </w:rPr>
              <w:t>8</w:t>
            </w:r>
          </w:p>
        </w:tc>
      </w:tr>
      <w:tr w:rsidR="0067725A" w:rsidRPr="00920641" w:rsidTr="00112109">
        <w:trPr>
          <w:trHeight w:val="198"/>
          <w:jc w:val="center"/>
        </w:trPr>
        <w:tc>
          <w:tcPr>
            <w:tcW w:w="2613" w:type="pct"/>
            <w:tcBorders>
              <w:top w:val="single" w:sz="4" w:space="0" w:color="auto"/>
              <w:left w:val="nil"/>
              <w:bottom w:val="single" w:sz="2" w:space="0" w:color="auto"/>
              <w:right w:val="nil"/>
            </w:tcBorders>
            <w:shd w:val="clear" w:color="auto" w:fill="auto"/>
            <w:vAlign w:val="center"/>
            <w:hideMark/>
          </w:tcPr>
          <w:p w:rsidR="0067725A" w:rsidRPr="00920641" w:rsidRDefault="0067725A" w:rsidP="004D712A">
            <w:pPr>
              <w:spacing w:after="0"/>
              <w:ind w:firstLine="0"/>
              <w:jc w:val="left"/>
              <w:rPr>
                <w:rFonts w:ascii="Arial Narrow" w:hAnsi="Arial Narrow" w:cs="Arial"/>
                <w:color w:val="000000"/>
                <w:lang w:val="es-ES" w:eastAsia="es-ES"/>
              </w:rPr>
            </w:pPr>
            <w:r w:rsidRPr="00920641">
              <w:rPr>
                <w:rFonts w:ascii="Arial Narrow" w:hAnsi="Arial Narrow" w:cs="Arial"/>
                <w:color w:val="000000"/>
                <w:lang w:val="es-ES" w:eastAsia="es-ES"/>
              </w:rPr>
              <w:t>Intereses c/c bancarias</w:t>
            </w:r>
          </w:p>
        </w:tc>
        <w:tc>
          <w:tcPr>
            <w:tcW w:w="768" w:type="pct"/>
            <w:tcBorders>
              <w:top w:val="single" w:sz="4" w:space="0" w:color="auto"/>
              <w:left w:val="nil"/>
              <w:bottom w:val="single" w:sz="2" w:space="0" w:color="auto"/>
              <w:right w:val="nil"/>
            </w:tcBorders>
            <w:shd w:val="clear" w:color="auto" w:fill="auto"/>
            <w:vAlign w:val="center"/>
            <w:hideMark/>
          </w:tcPr>
          <w:p w:rsidR="0067725A" w:rsidRPr="00920641" w:rsidRDefault="00F1200D" w:rsidP="00F1200D">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211</w:t>
            </w:r>
          </w:p>
        </w:tc>
        <w:tc>
          <w:tcPr>
            <w:tcW w:w="940" w:type="pct"/>
            <w:tcBorders>
              <w:top w:val="single" w:sz="4" w:space="0" w:color="auto"/>
              <w:left w:val="nil"/>
              <w:bottom w:val="single" w:sz="2" w:space="0" w:color="auto"/>
              <w:right w:val="nil"/>
            </w:tcBorders>
            <w:shd w:val="clear" w:color="auto" w:fill="auto"/>
            <w:noWrap/>
            <w:vAlign w:val="center"/>
            <w:hideMark/>
          </w:tcPr>
          <w:p w:rsidR="0067725A" w:rsidRPr="00920641" w:rsidRDefault="0067725A" w:rsidP="00920641">
            <w:pPr>
              <w:spacing w:after="0"/>
              <w:ind w:firstLine="0"/>
              <w:jc w:val="right"/>
              <w:rPr>
                <w:rFonts w:ascii="Arial Narrow" w:hAnsi="Arial Narrow" w:cs="Arial"/>
                <w:color w:val="000000"/>
                <w:lang w:val="es-ES" w:eastAsia="es-ES"/>
              </w:rPr>
            </w:pPr>
            <w:r w:rsidRPr="00920641">
              <w:rPr>
                <w:rFonts w:ascii="Arial Narrow" w:hAnsi="Arial Narrow" w:cs="Arial"/>
                <w:color w:val="000000"/>
                <w:lang w:val="es-ES" w:eastAsia="es-ES"/>
              </w:rPr>
              <w:t>0</w:t>
            </w:r>
          </w:p>
        </w:tc>
        <w:tc>
          <w:tcPr>
            <w:tcW w:w="679" w:type="pct"/>
            <w:tcBorders>
              <w:top w:val="single" w:sz="4" w:space="0" w:color="auto"/>
              <w:left w:val="nil"/>
              <w:bottom w:val="single" w:sz="2" w:space="0" w:color="auto"/>
              <w:right w:val="nil"/>
            </w:tcBorders>
            <w:shd w:val="clear" w:color="auto" w:fill="auto"/>
            <w:vAlign w:val="center"/>
            <w:hideMark/>
          </w:tcPr>
          <w:p w:rsidR="0067725A" w:rsidRPr="00920641" w:rsidRDefault="00F1200D" w:rsidP="00920641">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-65</w:t>
            </w:r>
          </w:p>
        </w:tc>
      </w:tr>
      <w:tr w:rsidR="0067725A" w:rsidRPr="00920641" w:rsidTr="00112109">
        <w:trPr>
          <w:trHeight w:val="198"/>
          <w:jc w:val="center"/>
        </w:trPr>
        <w:tc>
          <w:tcPr>
            <w:tcW w:w="2613" w:type="pct"/>
            <w:tcBorders>
              <w:top w:val="single" w:sz="2" w:space="0" w:color="auto"/>
              <w:left w:val="nil"/>
              <w:bottom w:val="single" w:sz="2" w:space="0" w:color="auto"/>
              <w:right w:val="nil"/>
            </w:tcBorders>
            <w:shd w:val="clear" w:color="auto" w:fill="auto"/>
            <w:vAlign w:val="center"/>
            <w:hideMark/>
          </w:tcPr>
          <w:p w:rsidR="0067725A" w:rsidRPr="00920641" w:rsidRDefault="0067725A" w:rsidP="00F1200D">
            <w:pPr>
              <w:spacing w:after="0"/>
              <w:ind w:firstLine="0"/>
              <w:jc w:val="left"/>
              <w:rPr>
                <w:rFonts w:ascii="Arial Narrow" w:hAnsi="Arial Narrow" w:cs="Arial"/>
                <w:color w:val="000000"/>
                <w:lang w:val="es-ES" w:eastAsia="es-ES"/>
              </w:rPr>
            </w:pPr>
            <w:r w:rsidRPr="00920641">
              <w:rPr>
                <w:rFonts w:ascii="Arial Narrow" w:hAnsi="Arial Narrow" w:cs="Arial"/>
                <w:color w:val="000000"/>
                <w:lang w:val="es-ES" w:eastAsia="es-ES"/>
              </w:rPr>
              <w:t xml:space="preserve">Dividendos </w:t>
            </w:r>
            <w:proofErr w:type="spellStart"/>
            <w:r w:rsidR="00F1200D">
              <w:rPr>
                <w:rFonts w:ascii="Arial Narrow" w:hAnsi="Arial Narrow" w:cs="Arial"/>
                <w:color w:val="000000"/>
                <w:lang w:val="es-ES" w:eastAsia="es-ES"/>
              </w:rPr>
              <w:t>Andacelay</w:t>
            </w:r>
            <w:proofErr w:type="spellEnd"/>
            <w:r w:rsidR="00F8469C">
              <w:rPr>
                <w:rFonts w:ascii="Arial Narrow" w:hAnsi="Arial Narrow" w:cs="Arial"/>
                <w:color w:val="000000"/>
                <w:lang w:val="es-ES" w:eastAsia="es-ES"/>
              </w:rPr>
              <w:t>,</w:t>
            </w:r>
            <w:r w:rsidR="00F1200D">
              <w:rPr>
                <w:rFonts w:ascii="Arial Narrow" w:hAnsi="Arial Narrow" w:cs="Arial"/>
                <w:color w:val="000000"/>
                <w:lang w:val="es-ES" w:eastAsia="es-ES"/>
              </w:rPr>
              <w:t xml:space="preserve"> S</w:t>
            </w:r>
            <w:r w:rsidR="00F8469C">
              <w:rPr>
                <w:rFonts w:ascii="Arial Narrow" w:hAnsi="Arial Narrow" w:cs="Arial"/>
                <w:color w:val="000000"/>
                <w:lang w:val="es-ES" w:eastAsia="es-ES"/>
              </w:rPr>
              <w:t>.</w:t>
            </w:r>
            <w:r w:rsidR="00F1200D">
              <w:rPr>
                <w:rFonts w:ascii="Arial Narrow" w:hAnsi="Arial Narrow" w:cs="Arial"/>
                <w:color w:val="000000"/>
                <w:lang w:val="es-ES" w:eastAsia="es-ES"/>
              </w:rPr>
              <w:t>L</w:t>
            </w:r>
            <w:r w:rsidR="00F8469C">
              <w:rPr>
                <w:rFonts w:ascii="Arial Narrow" w:hAnsi="Arial Narrow" w:cs="Arial"/>
                <w:color w:val="000000"/>
                <w:lang w:val="es-ES" w:eastAsia="es-ES"/>
              </w:rPr>
              <w:t>.</w:t>
            </w:r>
          </w:p>
        </w:tc>
        <w:tc>
          <w:tcPr>
            <w:tcW w:w="768" w:type="pct"/>
            <w:tcBorders>
              <w:top w:val="single" w:sz="2" w:space="0" w:color="auto"/>
              <w:left w:val="nil"/>
              <w:bottom w:val="single" w:sz="2" w:space="0" w:color="auto"/>
              <w:right w:val="nil"/>
            </w:tcBorders>
            <w:shd w:val="clear" w:color="auto" w:fill="auto"/>
            <w:vAlign w:val="center"/>
            <w:hideMark/>
          </w:tcPr>
          <w:p w:rsidR="0067725A" w:rsidRPr="00920641" w:rsidRDefault="00F1200D" w:rsidP="00920641">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969.000</w:t>
            </w:r>
          </w:p>
        </w:tc>
        <w:tc>
          <w:tcPr>
            <w:tcW w:w="940" w:type="pct"/>
            <w:tcBorders>
              <w:top w:val="single" w:sz="2" w:space="0" w:color="auto"/>
              <w:left w:val="nil"/>
              <w:bottom w:val="single" w:sz="2" w:space="0" w:color="auto"/>
              <w:right w:val="nil"/>
            </w:tcBorders>
            <w:shd w:val="clear" w:color="auto" w:fill="auto"/>
            <w:noWrap/>
            <w:vAlign w:val="center"/>
            <w:hideMark/>
          </w:tcPr>
          <w:p w:rsidR="0067725A" w:rsidRPr="00920641" w:rsidRDefault="00F8469C" w:rsidP="00920641">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90,5</w:t>
            </w:r>
          </w:p>
        </w:tc>
        <w:tc>
          <w:tcPr>
            <w:tcW w:w="679" w:type="pct"/>
            <w:tcBorders>
              <w:top w:val="single" w:sz="2" w:space="0" w:color="auto"/>
              <w:left w:val="nil"/>
              <w:bottom w:val="single" w:sz="2" w:space="0" w:color="auto"/>
              <w:right w:val="nil"/>
            </w:tcBorders>
            <w:shd w:val="clear" w:color="auto" w:fill="auto"/>
            <w:vAlign w:val="center"/>
            <w:hideMark/>
          </w:tcPr>
          <w:p w:rsidR="0067725A" w:rsidRPr="00920641" w:rsidRDefault="00F1200D" w:rsidP="00920641">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912</w:t>
            </w:r>
          </w:p>
        </w:tc>
      </w:tr>
      <w:tr w:rsidR="0067725A" w:rsidRPr="00920641" w:rsidTr="00B275F3">
        <w:trPr>
          <w:trHeight w:val="198"/>
          <w:jc w:val="center"/>
        </w:trPr>
        <w:tc>
          <w:tcPr>
            <w:tcW w:w="2613" w:type="pct"/>
            <w:tcBorders>
              <w:top w:val="single" w:sz="2" w:space="0" w:color="auto"/>
              <w:left w:val="nil"/>
              <w:bottom w:val="single" w:sz="4" w:space="0" w:color="auto"/>
              <w:right w:val="nil"/>
            </w:tcBorders>
            <w:shd w:val="clear" w:color="auto" w:fill="auto"/>
            <w:vAlign w:val="center"/>
            <w:hideMark/>
          </w:tcPr>
          <w:p w:rsidR="0067725A" w:rsidRPr="00920641" w:rsidRDefault="0067725A" w:rsidP="007974CE">
            <w:pPr>
              <w:spacing w:after="0"/>
              <w:ind w:firstLine="0"/>
              <w:jc w:val="left"/>
              <w:rPr>
                <w:rFonts w:ascii="Arial Narrow" w:hAnsi="Arial Narrow" w:cs="Arial"/>
                <w:color w:val="000000"/>
                <w:lang w:val="es-ES" w:eastAsia="es-ES"/>
              </w:rPr>
            </w:pPr>
            <w:r w:rsidRPr="00920641">
              <w:rPr>
                <w:rFonts w:ascii="Arial Narrow" w:hAnsi="Arial Narrow" w:cs="Arial"/>
                <w:color w:val="000000"/>
                <w:lang w:val="es-ES" w:eastAsia="es-ES"/>
              </w:rPr>
              <w:t xml:space="preserve">Arrendamiento fincas urbanas </w:t>
            </w:r>
            <w:r w:rsidR="007974CE">
              <w:rPr>
                <w:rFonts w:ascii="Arial Narrow" w:hAnsi="Arial Narrow" w:cs="Arial"/>
                <w:color w:val="000000"/>
                <w:lang w:val="es-ES" w:eastAsia="es-ES"/>
              </w:rPr>
              <w:t>y locales</w:t>
            </w:r>
          </w:p>
        </w:tc>
        <w:tc>
          <w:tcPr>
            <w:tcW w:w="768" w:type="pct"/>
            <w:tcBorders>
              <w:top w:val="single" w:sz="2" w:space="0" w:color="auto"/>
              <w:left w:val="nil"/>
              <w:bottom w:val="single" w:sz="4" w:space="0" w:color="auto"/>
              <w:right w:val="nil"/>
            </w:tcBorders>
            <w:shd w:val="clear" w:color="auto" w:fill="auto"/>
            <w:vAlign w:val="center"/>
            <w:hideMark/>
          </w:tcPr>
          <w:p w:rsidR="0067725A" w:rsidRPr="00920641" w:rsidRDefault="00F1200D" w:rsidP="00920641">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100.519</w:t>
            </w:r>
          </w:p>
        </w:tc>
        <w:tc>
          <w:tcPr>
            <w:tcW w:w="940" w:type="pct"/>
            <w:tcBorders>
              <w:top w:val="single" w:sz="2" w:space="0" w:color="auto"/>
              <w:left w:val="nil"/>
              <w:bottom w:val="single" w:sz="4" w:space="0" w:color="auto"/>
              <w:right w:val="nil"/>
            </w:tcBorders>
            <w:shd w:val="clear" w:color="auto" w:fill="auto"/>
            <w:noWrap/>
            <w:vAlign w:val="center"/>
            <w:hideMark/>
          </w:tcPr>
          <w:p w:rsidR="0067725A" w:rsidRPr="00920641" w:rsidRDefault="00F8469C" w:rsidP="00920641">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9,4</w:t>
            </w:r>
          </w:p>
        </w:tc>
        <w:tc>
          <w:tcPr>
            <w:tcW w:w="679" w:type="pct"/>
            <w:tcBorders>
              <w:top w:val="single" w:sz="2" w:space="0" w:color="auto"/>
              <w:left w:val="nil"/>
              <w:bottom w:val="single" w:sz="4" w:space="0" w:color="auto"/>
              <w:right w:val="nil"/>
            </w:tcBorders>
            <w:shd w:val="clear" w:color="auto" w:fill="auto"/>
            <w:vAlign w:val="center"/>
            <w:hideMark/>
          </w:tcPr>
          <w:p w:rsidR="0067725A" w:rsidRPr="00920641" w:rsidRDefault="00F1200D" w:rsidP="00920641">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-23</w:t>
            </w:r>
          </w:p>
        </w:tc>
      </w:tr>
      <w:tr w:rsidR="0067725A" w:rsidRPr="00920641" w:rsidTr="00B275F3">
        <w:trPr>
          <w:trHeight w:val="198"/>
          <w:jc w:val="center"/>
        </w:trPr>
        <w:tc>
          <w:tcPr>
            <w:tcW w:w="2613" w:type="pct"/>
            <w:tcBorders>
              <w:top w:val="single" w:sz="4" w:space="0" w:color="auto"/>
              <w:left w:val="nil"/>
              <w:bottom w:val="single" w:sz="4" w:space="0" w:color="auto"/>
              <w:right w:val="nil"/>
            </w:tcBorders>
            <w:shd w:val="clear" w:color="auto" w:fill="auto"/>
            <w:vAlign w:val="center"/>
            <w:hideMark/>
          </w:tcPr>
          <w:p w:rsidR="0067725A" w:rsidRPr="00920641" w:rsidRDefault="00F1200D" w:rsidP="007F5B8C">
            <w:pPr>
              <w:spacing w:after="0"/>
              <w:ind w:firstLine="0"/>
              <w:jc w:val="left"/>
              <w:rPr>
                <w:rFonts w:ascii="Arial Narrow" w:hAnsi="Arial Narrow" w:cs="Arial"/>
                <w:color w:val="000000"/>
                <w:lang w:val="es-ES" w:eastAsia="es-ES"/>
              </w:rPr>
            </w:pPr>
            <w:r>
              <w:rPr>
                <w:rFonts w:ascii="Arial Narrow" w:hAnsi="Arial Narrow" w:cs="Arial"/>
                <w:color w:val="000000"/>
                <w:lang w:val="es-ES" w:eastAsia="es-ES"/>
              </w:rPr>
              <w:t>Varios</w:t>
            </w:r>
            <w:r w:rsidR="007974CE">
              <w:rPr>
                <w:rFonts w:ascii="Arial Narrow" w:hAnsi="Arial Narrow" w:cs="Arial"/>
                <w:color w:val="000000"/>
                <w:lang w:val="es-ES" w:eastAsia="es-ES"/>
              </w:rPr>
              <w:t xml:space="preserve"> </w:t>
            </w:r>
          </w:p>
        </w:tc>
        <w:tc>
          <w:tcPr>
            <w:tcW w:w="768" w:type="pct"/>
            <w:tcBorders>
              <w:top w:val="single" w:sz="4" w:space="0" w:color="auto"/>
              <w:left w:val="nil"/>
              <w:bottom w:val="single" w:sz="4" w:space="0" w:color="auto"/>
              <w:right w:val="nil"/>
            </w:tcBorders>
            <w:shd w:val="clear" w:color="auto" w:fill="auto"/>
            <w:vAlign w:val="center"/>
            <w:hideMark/>
          </w:tcPr>
          <w:p w:rsidR="0067725A" w:rsidRPr="00920641" w:rsidRDefault="0014682C" w:rsidP="0014682C">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1</w:t>
            </w:r>
            <w:r w:rsidR="00F1200D">
              <w:rPr>
                <w:rFonts w:ascii="Arial Narrow" w:hAnsi="Arial Narrow" w:cs="Arial"/>
                <w:color w:val="000000"/>
                <w:lang w:val="es-ES" w:eastAsia="es-ES"/>
              </w:rPr>
              <w:t>.387</w:t>
            </w:r>
          </w:p>
        </w:tc>
        <w:tc>
          <w:tcPr>
            <w:tcW w:w="940" w:type="pct"/>
            <w:tcBorders>
              <w:top w:val="single" w:sz="4" w:space="0" w:color="auto"/>
              <w:left w:val="nil"/>
              <w:bottom w:val="single" w:sz="4" w:space="0" w:color="auto"/>
              <w:right w:val="nil"/>
            </w:tcBorders>
            <w:shd w:val="clear" w:color="auto" w:fill="auto"/>
            <w:noWrap/>
            <w:vAlign w:val="center"/>
            <w:hideMark/>
          </w:tcPr>
          <w:p w:rsidR="0067725A" w:rsidRPr="00920641" w:rsidRDefault="00F8469C" w:rsidP="00920641">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0,1</w:t>
            </w:r>
          </w:p>
        </w:tc>
        <w:tc>
          <w:tcPr>
            <w:tcW w:w="679" w:type="pct"/>
            <w:tcBorders>
              <w:top w:val="single" w:sz="4" w:space="0" w:color="auto"/>
              <w:left w:val="nil"/>
              <w:bottom w:val="single" w:sz="4" w:space="0" w:color="auto"/>
              <w:right w:val="nil"/>
            </w:tcBorders>
            <w:shd w:val="clear" w:color="auto" w:fill="auto"/>
            <w:vAlign w:val="center"/>
            <w:hideMark/>
          </w:tcPr>
          <w:p w:rsidR="0067725A" w:rsidRPr="00920641" w:rsidRDefault="00F1200D" w:rsidP="00F1200D">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 xml:space="preserve">    -54</w:t>
            </w:r>
          </w:p>
        </w:tc>
      </w:tr>
    </w:tbl>
    <w:p w:rsidR="00F1200D" w:rsidRDefault="00F1200D" w:rsidP="00ED79B7">
      <w:pPr>
        <w:pStyle w:val="texto"/>
        <w:tabs>
          <w:tab w:val="clear" w:pos="2835"/>
          <w:tab w:val="clear" w:pos="3969"/>
          <w:tab w:val="clear" w:pos="5103"/>
          <w:tab w:val="clear" w:pos="6237"/>
          <w:tab w:val="clear" w:pos="7371"/>
        </w:tabs>
        <w:spacing w:before="220" w:after="120"/>
      </w:pPr>
      <w:r>
        <w:t>El incremento</w:t>
      </w:r>
      <w:r w:rsidR="002057EB" w:rsidRPr="00321843">
        <w:t xml:space="preserve"> más relevante es </w:t>
      </w:r>
      <w:r>
        <w:t>el de</w:t>
      </w:r>
      <w:r w:rsidR="002057EB" w:rsidRPr="00321843">
        <w:t xml:space="preserve"> </w:t>
      </w:r>
      <w:r>
        <w:t xml:space="preserve">dividendos procedentes de </w:t>
      </w:r>
      <w:proofErr w:type="spellStart"/>
      <w:r>
        <w:t>Andacelay</w:t>
      </w:r>
      <w:proofErr w:type="spellEnd"/>
      <w:r w:rsidR="00321843">
        <w:t>,</w:t>
      </w:r>
      <w:r w:rsidR="006F2457" w:rsidRPr="00321843">
        <w:t xml:space="preserve"> S</w:t>
      </w:r>
      <w:r w:rsidR="00321843">
        <w:t>.</w:t>
      </w:r>
      <w:r w:rsidR="006F2457" w:rsidRPr="00321843">
        <w:t>L</w:t>
      </w:r>
      <w:r w:rsidR="00321843">
        <w:t>.</w:t>
      </w:r>
      <w:r w:rsidR="00733CF7">
        <w:t xml:space="preserve">, </w:t>
      </w:r>
      <w:r>
        <w:t xml:space="preserve">que el ayuntamiento ha solicitado a la empresa pública con el fin de financiar la obra de la nueva escuela infantil de </w:t>
      </w:r>
      <w:proofErr w:type="spellStart"/>
      <w:r>
        <w:t>Sarriguren</w:t>
      </w:r>
      <w:proofErr w:type="spellEnd"/>
      <w:r>
        <w:t>.</w:t>
      </w:r>
    </w:p>
    <w:p w:rsidR="007F5B8C" w:rsidRPr="00582E03" w:rsidRDefault="00F1200D" w:rsidP="00092F88">
      <w:pPr>
        <w:pStyle w:val="texto"/>
        <w:tabs>
          <w:tab w:val="clear" w:pos="2835"/>
          <w:tab w:val="clear" w:pos="3969"/>
          <w:tab w:val="clear" w:pos="5103"/>
          <w:tab w:val="clear" w:pos="6237"/>
          <w:tab w:val="clear" w:pos="7371"/>
        </w:tabs>
        <w:spacing w:after="120"/>
        <w:rPr>
          <w:szCs w:val="26"/>
        </w:rPr>
      </w:pPr>
      <w:r>
        <w:t xml:space="preserve"> </w:t>
      </w:r>
      <w:r w:rsidR="00172D87">
        <w:t>Hemos</w:t>
      </w:r>
      <w:r w:rsidR="0067725A" w:rsidRPr="00321843">
        <w:t xml:space="preserve"> revisado una muestra </w:t>
      </w:r>
      <w:r w:rsidR="007F5B8C" w:rsidRPr="00321843">
        <w:t xml:space="preserve">de la partida de arrendamiento de fincas urbanas y </w:t>
      </w:r>
      <w:r w:rsidR="007F5B8C" w:rsidRPr="00216F88">
        <w:rPr>
          <w:color w:val="000000" w:themeColor="text1"/>
        </w:rPr>
        <w:t>locale</w:t>
      </w:r>
      <w:r w:rsidR="00FD7F1C" w:rsidRPr="00216F88">
        <w:rPr>
          <w:color w:val="000000" w:themeColor="text1"/>
        </w:rPr>
        <w:t xml:space="preserve">s y </w:t>
      </w:r>
      <w:r w:rsidR="002F2EA3" w:rsidRPr="00216F88">
        <w:rPr>
          <w:color w:val="000000" w:themeColor="text1"/>
        </w:rPr>
        <w:t xml:space="preserve">hemos </w:t>
      </w:r>
      <w:r w:rsidR="00FD7F1C" w:rsidRPr="00216F88">
        <w:rPr>
          <w:color w:val="000000" w:themeColor="text1"/>
        </w:rPr>
        <w:t>comproba</w:t>
      </w:r>
      <w:r w:rsidR="002F2EA3" w:rsidRPr="00216F88">
        <w:rPr>
          <w:color w:val="000000" w:themeColor="text1"/>
        </w:rPr>
        <w:t>do</w:t>
      </w:r>
      <w:r w:rsidR="00582E03" w:rsidRPr="00216F88">
        <w:rPr>
          <w:rFonts w:cs="Arial"/>
          <w:color w:val="000000" w:themeColor="text1"/>
        </w:rPr>
        <w:t xml:space="preserve"> que su liquidación y recaudación se realiza conforme </w:t>
      </w:r>
      <w:r w:rsidR="00582E03" w:rsidRPr="0017263C">
        <w:rPr>
          <w:rFonts w:cs="Arial"/>
        </w:rPr>
        <w:t xml:space="preserve">a </w:t>
      </w:r>
      <w:r w:rsidR="00582E03">
        <w:rPr>
          <w:rFonts w:cs="Arial"/>
        </w:rPr>
        <w:t>la normativa aplicable</w:t>
      </w:r>
      <w:r>
        <w:rPr>
          <w:rFonts w:cs="Arial"/>
        </w:rPr>
        <w:t>.</w:t>
      </w:r>
      <w:r w:rsidR="007F5B8C" w:rsidRPr="007F5B8C">
        <w:rPr>
          <w:rFonts w:cs="Arial"/>
        </w:rPr>
        <w:t xml:space="preserve"> </w:t>
      </w:r>
    </w:p>
    <w:p w:rsidR="0067725A" w:rsidRPr="00C149E6" w:rsidRDefault="0067725A" w:rsidP="00ED79B7">
      <w:pPr>
        <w:pStyle w:val="atitulo3"/>
        <w:spacing w:before="300"/>
      </w:pPr>
      <w:bookmarkStart w:id="126" w:name="_Toc455146004"/>
      <w:r w:rsidRPr="00C149E6">
        <w:t>V</w:t>
      </w:r>
      <w:r>
        <w:t>I</w:t>
      </w:r>
      <w:r w:rsidRPr="00C149E6">
        <w:t>.</w:t>
      </w:r>
      <w:r>
        <w:t>5</w:t>
      </w:r>
      <w:r w:rsidRPr="00C149E6">
        <w:t>.</w:t>
      </w:r>
      <w:r w:rsidR="00FA0054">
        <w:t>9</w:t>
      </w:r>
      <w:r w:rsidRPr="00C149E6">
        <w:t>. Enajenación de inversiones reales</w:t>
      </w:r>
      <w:bookmarkEnd w:id="126"/>
      <w:r w:rsidRPr="00C149E6">
        <w:t xml:space="preserve"> </w:t>
      </w:r>
    </w:p>
    <w:p w:rsidR="0067725A" w:rsidRPr="001B426B" w:rsidRDefault="0067725A" w:rsidP="00092F88">
      <w:pPr>
        <w:pStyle w:val="texto"/>
        <w:tabs>
          <w:tab w:val="clear" w:pos="2835"/>
          <w:tab w:val="clear" w:pos="3969"/>
          <w:tab w:val="clear" w:pos="5103"/>
          <w:tab w:val="clear" w:pos="6237"/>
          <w:tab w:val="clear" w:pos="7371"/>
        </w:tabs>
        <w:spacing w:after="240"/>
      </w:pPr>
      <w:r w:rsidRPr="001B426B">
        <w:t xml:space="preserve">Los ingresos municipales en </w:t>
      </w:r>
      <w:r>
        <w:t>20</w:t>
      </w:r>
      <w:r w:rsidR="00F1200D">
        <w:t xml:space="preserve">19 </w:t>
      </w:r>
      <w:r w:rsidRPr="001B426B">
        <w:t xml:space="preserve">por enajenación de inversiones ascendieron a </w:t>
      </w:r>
      <w:r w:rsidR="00F1200D">
        <w:t xml:space="preserve">23.521 euros. Prácticamente la totalidad procede de la venta de una parcela en la que el ayuntamiento tiene la propiedad en un 40,74 por ciento y </w:t>
      </w:r>
      <w:proofErr w:type="spellStart"/>
      <w:r w:rsidR="00F1200D">
        <w:t>Nasuvinsa</w:t>
      </w:r>
      <w:proofErr w:type="spellEnd"/>
      <w:r w:rsidR="00F1200D">
        <w:t xml:space="preserve"> el resto.</w:t>
      </w:r>
    </w:p>
    <w:p w:rsidR="0067725A" w:rsidRDefault="0067725A" w:rsidP="00092F88">
      <w:pPr>
        <w:pStyle w:val="texto"/>
        <w:tabs>
          <w:tab w:val="clear" w:pos="2835"/>
          <w:tab w:val="clear" w:pos="3969"/>
          <w:tab w:val="clear" w:pos="5103"/>
          <w:tab w:val="clear" w:pos="6237"/>
          <w:tab w:val="clear" w:pos="7371"/>
        </w:tabs>
        <w:spacing w:after="240"/>
      </w:pPr>
      <w:r w:rsidRPr="002D0002">
        <w:t>De la revisión efectuada</w:t>
      </w:r>
      <w:r w:rsidR="00F1200D">
        <w:t xml:space="preserve"> se constata que el expediente se ha tramitado </w:t>
      </w:r>
      <w:r w:rsidRPr="002D0002">
        <w:t>de acue</w:t>
      </w:r>
      <w:r w:rsidRPr="002D0002">
        <w:t>r</w:t>
      </w:r>
      <w:r w:rsidRPr="002D0002">
        <w:t>do al régimen patrimonial previsto en el marco local. Asimismo</w:t>
      </w:r>
      <w:r w:rsidR="00012A79" w:rsidRPr="002D0002">
        <w:t>,</w:t>
      </w:r>
      <w:r w:rsidRPr="002D0002">
        <w:t xml:space="preserve"> el importe de las citadas operaciones se ha incluido como recurso afecto en el estado del remanente de tesorería</w:t>
      </w:r>
      <w:r w:rsidR="00F1200D">
        <w:t xml:space="preserve"> y se ha procedido a la baja del bien en el inventario municipal</w:t>
      </w:r>
      <w:r w:rsidRPr="002D0002">
        <w:t>.</w:t>
      </w:r>
    </w:p>
    <w:p w:rsidR="0049550F" w:rsidRPr="00C149E6" w:rsidRDefault="0049550F" w:rsidP="00ED79B7">
      <w:pPr>
        <w:pStyle w:val="atitulo3"/>
        <w:spacing w:before="300"/>
      </w:pPr>
      <w:r w:rsidRPr="00C149E6">
        <w:t>V</w:t>
      </w:r>
      <w:r>
        <w:t>I</w:t>
      </w:r>
      <w:r w:rsidRPr="00C149E6">
        <w:t>.</w:t>
      </w:r>
      <w:r>
        <w:t>5</w:t>
      </w:r>
      <w:r w:rsidRPr="00C149E6">
        <w:t>.</w:t>
      </w:r>
      <w:r>
        <w:t>1</w:t>
      </w:r>
      <w:r w:rsidR="00FA0054">
        <w:t>0</w:t>
      </w:r>
      <w:r w:rsidRPr="00C149E6">
        <w:t xml:space="preserve">. </w:t>
      </w:r>
      <w:r>
        <w:t>Urbanismo</w:t>
      </w:r>
      <w:r w:rsidRPr="00C149E6">
        <w:t xml:space="preserve"> </w:t>
      </w:r>
    </w:p>
    <w:p w:rsidR="00FD7F1C" w:rsidRDefault="0049550F" w:rsidP="00092F88">
      <w:pPr>
        <w:pStyle w:val="texto"/>
        <w:tabs>
          <w:tab w:val="clear" w:pos="2835"/>
          <w:tab w:val="clear" w:pos="3969"/>
          <w:tab w:val="clear" w:pos="5103"/>
          <w:tab w:val="clear" w:pos="6237"/>
          <w:tab w:val="clear" w:pos="7371"/>
        </w:tabs>
        <w:spacing w:after="120"/>
      </w:pPr>
      <w:r w:rsidRPr="00FD7F1C">
        <w:t xml:space="preserve">El </w:t>
      </w:r>
      <w:r w:rsidR="00996B35" w:rsidRPr="00FD7F1C">
        <w:t xml:space="preserve">Ayuntamiento del Valle de </w:t>
      </w:r>
      <w:proofErr w:type="spellStart"/>
      <w:r w:rsidR="00996B35" w:rsidRPr="00FD7F1C">
        <w:t>Egüés</w:t>
      </w:r>
      <w:proofErr w:type="spellEnd"/>
      <w:r w:rsidRPr="00FD7F1C">
        <w:t xml:space="preserve"> desarrolla las tareas urbanísticas con m</w:t>
      </w:r>
      <w:r w:rsidRPr="00FD7F1C">
        <w:t>e</w:t>
      </w:r>
      <w:r w:rsidRPr="00FD7F1C">
        <w:t xml:space="preserve">dios propios con el siguiente personal adscrito </w:t>
      </w:r>
      <w:r w:rsidR="00CA5357" w:rsidRPr="00FD7F1C">
        <w:t>al</w:t>
      </w:r>
      <w:r w:rsidR="007B7409" w:rsidRPr="00FD7F1C">
        <w:t xml:space="preserve"> área de Urbanismo</w:t>
      </w:r>
      <w:r w:rsidR="00CA5357" w:rsidRPr="00FD7F1C">
        <w:t xml:space="preserve">: </w:t>
      </w:r>
      <w:r w:rsidR="00FD7F1C" w:rsidRPr="00FD7F1C">
        <w:t>dos arquite</w:t>
      </w:r>
      <w:r w:rsidR="00FD7F1C" w:rsidRPr="00FD7F1C">
        <w:t>c</w:t>
      </w:r>
      <w:r w:rsidR="00FD7F1C" w:rsidRPr="00FD7F1C">
        <w:t>tos, un arquitecto técnico, un administrativo y un auxiliar administrativo.</w:t>
      </w:r>
      <w:r w:rsidRPr="00FD7F1C">
        <w:t xml:space="preserve"> Además</w:t>
      </w:r>
      <w:r w:rsidR="00F542A5">
        <w:t>,</w:t>
      </w:r>
      <w:r w:rsidRPr="00FD7F1C">
        <w:t xml:space="preserve"> cuenta con una sociedad mercantil</w:t>
      </w:r>
      <w:r w:rsidR="00FD7F1C" w:rsidRPr="00FD7F1C">
        <w:t xml:space="preserve"> cuyo objeto, entre otros, es la gestión y prom</w:t>
      </w:r>
      <w:r w:rsidR="00FD7F1C" w:rsidRPr="00FD7F1C">
        <w:t>o</w:t>
      </w:r>
      <w:r w:rsidR="00FD7F1C">
        <w:t>ción urbanística</w:t>
      </w:r>
      <w:r w:rsidR="00872919">
        <w:t xml:space="preserve">, </w:t>
      </w:r>
      <w:proofErr w:type="spellStart"/>
      <w:r w:rsidR="006C3A2E">
        <w:t>Andacelay</w:t>
      </w:r>
      <w:proofErr w:type="spellEnd"/>
      <w:r w:rsidR="006C3A2E">
        <w:t>, S.L.</w:t>
      </w:r>
      <w:r w:rsidR="00FD7F1C">
        <w:t xml:space="preserve"> Finalmente, cuentan con un convenio firmado con el Servicio de Asesoramiento Urbanístico de la ORVE de la Comarca de Pa</w:t>
      </w:r>
      <w:r w:rsidR="00FD7F1C">
        <w:t>m</w:t>
      </w:r>
      <w:r w:rsidR="00FD7F1C">
        <w:t>plona.</w:t>
      </w:r>
    </w:p>
    <w:p w:rsidR="006C3A2E" w:rsidRDefault="00FD7F1C" w:rsidP="002D0002">
      <w:pPr>
        <w:pStyle w:val="texto"/>
        <w:tabs>
          <w:tab w:val="clear" w:pos="2835"/>
          <w:tab w:val="clear" w:pos="3969"/>
          <w:tab w:val="clear" w:pos="5103"/>
          <w:tab w:val="clear" w:pos="6237"/>
          <w:tab w:val="clear" w:pos="7371"/>
        </w:tabs>
      </w:pPr>
      <w:r>
        <w:t xml:space="preserve"> </w:t>
      </w:r>
      <w:r w:rsidR="00CC6934">
        <w:t>En el informe de esta Cámara de 2015</w:t>
      </w:r>
      <w:r w:rsidR="00F542A5">
        <w:t>,</w:t>
      </w:r>
      <w:r w:rsidR="00CC6934">
        <w:t xml:space="preserve"> en relación al Plan General Municipal</w:t>
      </w:r>
      <w:r w:rsidR="00F542A5">
        <w:t>,</w:t>
      </w:r>
      <w:r w:rsidR="00CC6934">
        <w:t xml:space="preserve"> se recomendaba la aprobación de un nuevo </w:t>
      </w:r>
      <w:r w:rsidR="00F65049">
        <w:t>p</w:t>
      </w:r>
      <w:r w:rsidR="00CC6934">
        <w:t>lan que sustituyera al vigente de 1999.</w:t>
      </w:r>
    </w:p>
    <w:p w:rsidR="006C3A2E" w:rsidRDefault="00CC6934" w:rsidP="00FA0054">
      <w:pPr>
        <w:pStyle w:val="texto"/>
        <w:tabs>
          <w:tab w:val="clear" w:pos="2835"/>
          <w:tab w:val="clear" w:pos="3969"/>
          <w:tab w:val="clear" w:pos="5103"/>
          <w:tab w:val="clear" w:pos="6237"/>
          <w:tab w:val="clear" w:pos="7371"/>
        </w:tabs>
      </w:pPr>
      <w:r w:rsidRPr="00216F88">
        <w:rPr>
          <w:color w:val="000000" w:themeColor="text1"/>
        </w:rPr>
        <w:t xml:space="preserve"> En febrero de 2018</w:t>
      </w:r>
      <w:r w:rsidR="00F542A5">
        <w:rPr>
          <w:color w:val="000000" w:themeColor="text1"/>
        </w:rPr>
        <w:t>,</w:t>
      </w:r>
      <w:r w:rsidRPr="00216F88">
        <w:rPr>
          <w:color w:val="000000" w:themeColor="text1"/>
        </w:rPr>
        <w:t xml:space="preserve"> el ayuntamiento firm</w:t>
      </w:r>
      <w:r w:rsidR="00F542A5">
        <w:rPr>
          <w:color w:val="000000" w:themeColor="text1"/>
        </w:rPr>
        <w:t>ó</w:t>
      </w:r>
      <w:r w:rsidRPr="00216F88">
        <w:rPr>
          <w:color w:val="000000" w:themeColor="text1"/>
        </w:rPr>
        <w:t xml:space="preserve"> un </w:t>
      </w:r>
      <w:r w:rsidR="00F65049" w:rsidRPr="00216F88">
        <w:rPr>
          <w:color w:val="000000" w:themeColor="text1"/>
        </w:rPr>
        <w:t>c</w:t>
      </w:r>
      <w:r w:rsidRPr="00216F88">
        <w:rPr>
          <w:color w:val="000000" w:themeColor="text1"/>
        </w:rPr>
        <w:t xml:space="preserve">onvenio de colaboración con Gobierno de Navarra para la elaboración del nuevo </w:t>
      </w:r>
      <w:r w:rsidR="00F65049" w:rsidRPr="00216F88">
        <w:rPr>
          <w:color w:val="000000" w:themeColor="text1"/>
        </w:rPr>
        <w:t>p</w:t>
      </w:r>
      <w:r w:rsidRPr="00216F88">
        <w:rPr>
          <w:color w:val="000000" w:themeColor="text1"/>
        </w:rPr>
        <w:t>lan. En noviembre de 2018 se ad</w:t>
      </w:r>
      <w:r>
        <w:t xml:space="preserve">judicó el contrato de asistencia al equipo redactor </w:t>
      </w:r>
      <w:r w:rsidR="00FA0054">
        <w:t xml:space="preserve">y se inició el previo proceso de </w:t>
      </w:r>
      <w:r w:rsidR="00FA0054">
        <w:lastRenderedPageBreak/>
        <w:t>participación ciudadana. Con motivo de las elecciones de mayo de 2019</w:t>
      </w:r>
      <w:r w:rsidR="00F542A5">
        <w:t>,</w:t>
      </w:r>
      <w:r w:rsidR="00FA0054">
        <w:t xml:space="preserve"> el proceso ha vuelto a demorarse y seg</w:t>
      </w:r>
      <w:r w:rsidR="0068316A">
        <w:t xml:space="preserve">ún indica </w:t>
      </w:r>
      <w:r w:rsidR="0068316A" w:rsidRPr="00F10584">
        <w:t xml:space="preserve">el ayuntamiento </w:t>
      </w:r>
      <w:r w:rsidR="00555A53" w:rsidRPr="00F10584">
        <w:t>prevén</w:t>
      </w:r>
      <w:r w:rsidR="00FA0054" w:rsidRPr="00F10584">
        <w:t xml:space="preserve"> tener para </w:t>
      </w:r>
      <w:r w:rsidR="00F10584" w:rsidRPr="00F10584">
        <w:t xml:space="preserve">el último trimestre de </w:t>
      </w:r>
      <w:r w:rsidR="00FA0054" w:rsidRPr="00F10584">
        <w:t>2020 la Estrategia y Mod</w:t>
      </w:r>
      <w:r w:rsidR="00FA0054">
        <w:t>elo de Ocupación del Territorio (EMOT).</w:t>
      </w:r>
    </w:p>
    <w:p w:rsidR="00FA0054" w:rsidRPr="00B6666D" w:rsidRDefault="00F1200D" w:rsidP="00092F88">
      <w:pPr>
        <w:pStyle w:val="texto"/>
        <w:tabs>
          <w:tab w:val="clear" w:pos="2835"/>
          <w:tab w:val="clear" w:pos="3969"/>
          <w:tab w:val="clear" w:pos="5103"/>
          <w:tab w:val="clear" w:pos="6237"/>
          <w:tab w:val="clear" w:pos="7371"/>
        </w:tabs>
        <w:spacing w:after="240"/>
        <w:rPr>
          <w:rFonts w:cs="Arial"/>
          <w:i/>
        </w:rPr>
      </w:pPr>
      <w:r w:rsidRPr="00092F88">
        <w:rPr>
          <w:i/>
        </w:rPr>
        <w:t>Recomendamos</w:t>
      </w:r>
      <w:r w:rsidR="000D7B87" w:rsidRPr="00092F88">
        <w:rPr>
          <w:i/>
        </w:rPr>
        <w:t xml:space="preserve"> </w:t>
      </w:r>
      <w:r w:rsidR="000D7B87" w:rsidRPr="0074712B">
        <w:rPr>
          <w:i/>
        </w:rPr>
        <w:t>c</w:t>
      </w:r>
      <w:r w:rsidR="00FA0054" w:rsidRPr="0074712B">
        <w:rPr>
          <w:rFonts w:cs="Arial"/>
          <w:i/>
        </w:rPr>
        <w:t xml:space="preserve">ontinuar </w:t>
      </w:r>
      <w:r w:rsidR="00FA0054" w:rsidRPr="0074712B">
        <w:rPr>
          <w:i/>
        </w:rPr>
        <w:t>con el proceso de elaboración del Plan General M</w:t>
      </w:r>
      <w:r w:rsidR="00FA0054" w:rsidRPr="0074712B">
        <w:rPr>
          <w:i/>
        </w:rPr>
        <w:t>u</w:t>
      </w:r>
      <w:r w:rsidR="00FA0054" w:rsidRPr="0074712B">
        <w:rPr>
          <w:i/>
        </w:rPr>
        <w:t>nicipal</w:t>
      </w:r>
      <w:r w:rsidR="00FA0054">
        <w:rPr>
          <w:i/>
        </w:rPr>
        <w:t xml:space="preserve"> que sustituya al actualmente vigente de 1999.</w:t>
      </w:r>
    </w:p>
    <w:p w:rsidR="00134C89" w:rsidRPr="00F10584" w:rsidRDefault="00F10584" w:rsidP="00092F88">
      <w:pPr>
        <w:pStyle w:val="texto"/>
        <w:tabs>
          <w:tab w:val="clear" w:pos="2835"/>
          <w:tab w:val="clear" w:pos="3969"/>
          <w:tab w:val="clear" w:pos="5103"/>
          <w:tab w:val="clear" w:pos="6237"/>
          <w:tab w:val="clear" w:pos="7371"/>
        </w:tabs>
        <w:spacing w:after="240"/>
        <w:rPr>
          <w:color w:val="000000" w:themeColor="text1"/>
        </w:rPr>
      </w:pPr>
      <w:r w:rsidRPr="00092F88">
        <w:t>Informe</w:t>
      </w:r>
      <w:r w:rsidRPr="00F10584">
        <w:rPr>
          <w:color w:val="000000" w:themeColor="text1"/>
        </w:rPr>
        <w:t xml:space="preserve"> que se emite a propuesta de la auditora </w:t>
      </w:r>
      <w:proofErr w:type="spellStart"/>
      <w:r w:rsidRPr="00F10584">
        <w:rPr>
          <w:color w:val="000000" w:themeColor="text1"/>
        </w:rPr>
        <w:t>Edurne</w:t>
      </w:r>
      <w:proofErr w:type="spellEnd"/>
      <w:r w:rsidRPr="00F10584">
        <w:rPr>
          <w:color w:val="000000" w:themeColor="text1"/>
        </w:rPr>
        <w:t xml:space="preserve"> </w:t>
      </w:r>
      <w:proofErr w:type="spellStart"/>
      <w:r w:rsidRPr="00F10584">
        <w:rPr>
          <w:color w:val="000000" w:themeColor="text1"/>
        </w:rPr>
        <w:t>Martinikorena</w:t>
      </w:r>
      <w:proofErr w:type="spellEnd"/>
      <w:r w:rsidRPr="00F10584">
        <w:rPr>
          <w:color w:val="000000" w:themeColor="text1"/>
        </w:rPr>
        <w:t xml:space="preserve"> </w:t>
      </w:r>
      <w:proofErr w:type="spellStart"/>
      <w:r w:rsidRPr="00F10584">
        <w:rPr>
          <w:color w:val="000000" w:themeColor="text1"/>
        </w:rPr>
        <w:t>Matxain</w:t>
      </w:r>
      <w:proofErr w:type="spellEnd"/>
      <w:r w:rsidRPr="00F10584">
        <w:rPr>
          <w:color w:val="000000" w:themeColor="text1"/>
        </w:rPr>
        <w:t>, responsable de la realización de este trabajo, una vez cumplimentados los trámites previstos por la normativa vigente</w:t>
      </w:r>
      <w:r w:rsidR="00092F88">
        <w:rPr>
          <w:color w:val="000000" w:themeColor="text1"/>
        </w:rPr>
        <w:t>.</w:t>
      </w:r>
    </w:p>
    <w:p w:rsidR="0067725A" w:rsidRPr="00896E55" w:rsidRDefault="0067725A" w:rsidP="00543225">
      <w:pPr>
        <w:tabs>
          <w:tab w:val="center" w:pos="540"/>
          <w:tab w:val="center" w:pos="3969"/>
          <w:tab w:val="center" w:pos="5103"/>
          <w:tab w:val="center" w:pos="6237"/>
          <w:tab w:val="center" w:pos="7371"/>
        </w:tabs>
        <w:spacing w:before="200" w:after="200"/>
        <w:ind w:firstLine="0"/>
        <w:jc w:val="center"/>
        <w:rPr>
          <w:spacing w:val="6"/>
          <w:sz w:val="26"/>
          <w:szCs w:val="24"/>
        </w:rPr>
      </w:pPr>
      <w:r w:rsidRPr="00896E55">
        <w:rPr>
          <w:spacing w:val="6"/>
          <w:sz w:val="26"/>
          <w:szCs w:val="24"/>
        </w:rPr>
        <w:t>Pamplona,</w:t>
      </w:r>
      <w:r w:rsidRPr="00DB7924">
        <w:rPr>
          <w:spacing w:val="6"/>
          <w:sz w:val="26"/>
          <w:szCs w:val="24"/>
        </w:rPr>
        <w:t xml:space="preserve"> </w:t>
      </w:r>
      <w:r w:rsidR="00DB7924" w:rsidRPr="00DB7924">
        <w:rPr>
          <w:spacing w:val="6"/>
          <w:sz w:val="26"/>
          <w:szCs w:val="24"/>
        </w:rPr>
        <w:t>4</w:t>
      </w:r>
      <w:r w:rsidR="00FA0054" w:rsidRPr="00DB7924">
        <w:rPr>
          <w:spacing w:val="6"/>
          <w:sz w:val="26"/>
          <w:szCs w:val="24"/>
        </w:rPr>
        <w:t xml:space="preserve"> de </w:t>
      </w:r>
      <w:r w:rsidR="00ED79B7" w:rsidRPr="00DB7924">
        <w:rPr>
          <w:spacing w:val="6"/>
          <w:sz w:val="26"/>
          <w:szCs w:val="24"/>
        </w:rPr>
        <w:t>septiembre</w:t>
      </w:r>
      <w:r w:rsidR="00FA0054" w:rsidRPr="00DB7924">
        <w:rPr>
          <w:spacing w:val="6"/>
          <w:sz w:val="26"/>
          <w:szCs w:val="24"/>
        </w:rPr>
        <w:t xml:space="preserve"> de 2020</w:t>
      </w:r>
    </w:p>
    <w:p w:rsidR="00ED79B7" w:rsidRDefault="00652F6F" w:rsidP="0074712B">
      <w:pPr>
        <w:pStyle w:val="texto"/>
        <w:tabs>
          <w:tab w:val="clear" w:pos="2835"/>
          <w:tab w:val="clear" w:pos="3969"/>
          <w:tab w:val="clear" w:pos="5103"/>
          <w:tab w:val="clear" w:pos="6237"/>
          <w:tab w:val="clear" w:pos="7371"/>
        </w:tabs>
        <w:spacing w:after="80"/>
        <w:ind w:firstLine="0"/>
        <w:jc w:val="center"/>
        <w:rPr>
          <w:rFonts w:cs="Arial"/>
          <w:color w:val="000000"/>
        </w:rPr>
      </w:pPr>
      <w:r w:rsidRPr="00FE3658">
        <w:rPr>
          <w:rFonts w:cs="Arial"/>
          <w:color w:val="000000"/>
        </w:rPr>
        <w:t xml:space="preserve">La </w:t>
      </w:r>
      <w:r w:rsidR="00B3358E">
        <w:rPr>
          <w:rFonts w:cs="Arial"/>
          <w:color w:val="000000"/>
        </w:rPr>
        <w:t>president</w:t>
      </w:r>
      <w:r w:rsidRPr="00FE3658">
        <w:rPr>
          <w:rFonts w:cs="Arial"/>
          <w:color w:val="000000"/>
        </w:rPr>
        <w:t>a,</w:t>
      </w:r>
      <w:r w:rsidR="0074712B">
        <w:rPr>
          <w:rFonts w:cs="Arial"/>
          <w:color w:val="000000"/>
        </w:rPr>
        <w:t xml:space="preserve"> </w:t>
      </w:r>
    </w:p>
    <w:p w:rsidR="00564F2D" w:rsidRDefault="00B3358E" w:rsidP="0074712B">
      <w:pPr>
        <w:pStyle w:val="texto"/>
        <w:tabs>
          <w:tab w:val="clear" w:pos="2835"/>
          <w:tab w:val="clear" w:pos="3969"/>
          <w:tab w:val="clear" w:pos="5103"/>
          <w:tab w:val="clear" w:pos="6237"/>
          <w:tab w:val="clear" w:pos="7371"/>
        </w:tabs>
        <w:spacing w:after="80"/>
        <w:ind w:firstLine="0"/>
        <w:jc w:val="center"/>
        <w:rPr>
          <w:szCs w:val="26"/>
        </w:rPr>
      </w:pPr>
      <w:r>
        <w:rPr>
          <w:szCs w:val="26"/>
        </w:rPr>
        <w:t xml:space="preserve">Asunción Olaechea </w:t>
      </w:r>
      <w:proofErr w:type="spellStart"/>
      <w:r>
        <w:rPr>
          <w:szCs w:val="26"/>
        </w:rPr>
        <w:t>Estanga</w:t>
      </w:r>
      <w:proofErr w:type="spellEnd"/>
    </w:p>
    <w:p w:rsidR="004360DE" w:rsidRDefault="004360DE">
      <w:pPr>
        <w:spacing w:after="0"/>
        <w:ind w:firstLine="0"/>
        <w:jc w:val="left"/>
        <w:rPr>
          <w:spacing w:val="6"/>
          <w:sz w:val="26"/>
          <w:szCs w:val="26"/>
        </w:rPr>
      </w:pPr>
      <w:r>
        <w:rPr>
          <w:szCs w:val="26"/>
        </w:rPr>
        <w:br w:type="page"/>
      </w:r>
    </w:p>
    <w:p w:rsidR="004360DE" w:rsidRDefault="004360DE" w:rsidP="0074712B">
      <w:pPr>
        <w:pStyle w:val="texto"/>
        <w:tabs>
          <w:tab w:val="clear" w:pos="2835"/>
          <w:tab w:val="clear" w:pos="3969"/>
          <w:tab w:val="clear" w:pos="5103"/>
          <w:tab w:val="clear" w:pos="6237"/>
          <w:tab w:val="clear" w:pos="7371"/>
        </w:tabs>
        <w:spacing w:after="80"/>
        <w:ind w:firstLine="0"/>
        <w:jc w:val="center"/>
        <w:rPr>
          <w:rFonts w:cs="Arial"/>
        </w:rPr>
      </w:pPr>
    </w:p>
    <w:p w:rsidR="004360DE" w:rsidRPr="003E027D" w:rsidRDefault="004360DE" w:rsidP="004360DE">
      <w:pPr>
        <w:pStyle w:val="atitulo1"/>
        <w:spacing w:after="180"/>
        <w:rPr>
          <w:sz w:val="30"/>
          <w:szCs w:val="30"/>
        </w:rPr>
      </w:pPr>
      <w:bookmarkStart w:id="127" w:name="_Toc37845620"/>
      <w:bookmarkStart w:id="128" w:name="_Toc50018590"/>
      <w:r w:rsidRPr="003E027D">
        <w:rPr>
          <w:sz w:val="30"/>
          <w:szCs w:val="30"/>
        </w:rPr>
        <w:t>Alegaciones presentadas al informe provisional</w:t>
      </w:r>
      <w:bookmarkEnd w:id="127"/>
      <w:bookmarkEnd w:id="128"/>
    </w:p>
    <w:p w:rsidR="00412E50" w:rsidRDefault="00412E50" w:rsidP="00412E50">
      <w:r>
        <w:t xml:space="preserve">Doña Amaya Larraya Marco, en su condición de Alcaldesa del Ayuntamiento del Valle de </w:t>
      </w:r>
      <w:proofErr w:type="spellStart"/>
      <w:r>
        <w:t>Egüés</w:t>
      </w:r>
      <w:proofErr w:type="spellEnd"/>
      <w:r>
        <w:t>, con d</w:t>
      </w:r>
      <w:r>
        <w:t>o</w:t>
      </w:r>
      <w:r>
        <w:t xml:space="preserve">micilio a efectos de notificaciones en el propio Ayuntamiento, comparece y como mejor proceda en Derecho, </w:t>
      </w:r>
    </w:p>
    <w:p w:rsidR="00412E50" w:rsidRDefault="00412E50" w:rsidP="00412E50">
      <w:r>
        <w:t xml:space="preserve">EXPONE: </w:t>
      </w:r>
    </w:p>
    <w:p w:rsidR="00412E50" w:rsidRDefault="00412E50" w:rsidP="00412E50">
      <w:r>
        <w:t xml:space="preserve">Que se nos ha notificado el informe provisional de fiscalización sobre el Ayuntamiento del Valle de </w:t>
      </w:r>
      <w:proofErr w:type="spellStart"/>
      <w:r>
        <w:t>Egüés</w:t>
      </w:r>
      <w:proofErr w:type="spellEnd"/>
      <w:r>
        <w:t xml:space="preserve">, ejercicio 2019, redactado por la Cámara de Comptos. </w:t>
      </w:r>
    </w:p>
    <w:p w:rsidR="00412E50" w:rsidRDefault="00412E50" w:rsidP="00412E50">
      <w:r>
        <w:t xml:space="preserve">Que dentro del plazo otorgado en el propio informe provisional y por medio del presente escrito formula las siguientes </w:t>
      </w:r>
    </w:p>
    <w:p w:rsidR="00412E50" w:rsidRDefault="00412E50" w:rsidP="00412E50">
      <w:r>
        <w:t xml:space="preserve">ALEGACIONES: </w:t>
      </w:r>
    </w:p>
    <w:p w:rsidR="00412E50" w:rsidRDefault="00412E50" w:rsidP="00412E50">
      <w:r>
        <w:t>Primera. - Dice el informe que determinados servicios se prestan mediante gestión directa con empresa p</w:t>
      </w:r>
      <w:r>
        <w:t>ú</w:t>
      </w:r>
      <w:r>
        <w:t xml:space="preserve">blica, cuando no es así en los siguientes casos: </w:t>
      </w:r>
    </w:p>
    <w:p w:rsidR="00412E50" w:rsidRDefault="00412E50" w:rsidP="00412E50">
      <w:r>
        <w:t xml:space="preserve">-Servicios Sociales (a no ser que se tengan por tal los servicios del CAF). </w:t>
      </w:r>
    </w:p>
    <w:p w:rsidR="00412E50" w:rsidRDefault="00412E50" w:rsidP="00412E50">
      <w:r>
        <w:t xml:space="preserve">-Urbanismo (en la práctica no se presta con empresa pública sin perjuicio del convenio para la prestación del Servicio de Asesoramiento Urbanístico -S.A.U- a través de la ORVE). </w:t>
      </w:r>
    </w:p>
    <w:p w:rsidR="00412E50" w:rsidRDefault="00412E50" w:rsidP="00412E50">
      <w:r>
        <w:t xml:space="preserve">Segunda. - El informe dice: </w:t>
      </w:r>
    </w:p>
    <w:p w:rsidR="00412E50" w:rsidRDefault="00412E50" w:rsidP="00412E50">
      <w:r>
        <w:t xml:space="preserve">IV.2. Opinión de cumplimiento de la legalidad Fundamento de la opinión con salvedades </w:t>
      </w:r>
    </w:p>
    <w:p w:rsidR="00412E50" w:rsidRDefault="00412E50" w:rsidP="00412E50">
      <w:r>
        <w:t xml:space="preserve">El ayuntamiento ha abonado gastos por 141.67 4 euros habiendo superado el plazo máximo de vigencia del contrato de gestión de multas. </w:t>
      </w:r>
    </w:p>
    <w:p w:rsidR="00412E50" w:rsidRDefault="00412E50" w:rsidP="00412E50">
      <w:r>
        <w:t>Lo cierto es que el pliego regulador del contrato de gestión de multas, expresamente establecía en la cláus</w:t>
      </w:r>
      <w:r>
        <w:t>u</w:t>
      </w:r>
      <w:r>
        <w:t xml:space="preserve">la segunda: </w:t>
      </w:r>
    </w:p>
    <w:p w:rsidR="00412E50" w:rsidRDefault="00412E50" w:rsidP="00412E50">
      <w:r>
        <w:t>2.2. El plazo de duración de la asistencia para la gestión de las denuncias y sanciones en materia de tráfico, circulación de vehículos a motor y seguridad vial, y para la gestión cobro y liquidación de los derechos económ</w:t>
      </w:r>
      <w:r>
        <w:t>i</w:t>
      </w:r>
      <w:r>
        <w:t xml:space="preserve">cos del Ayuntamiento, tanto en periodo voluntario como ejecutivo, objeto de este contrato: será de CUATRO AÑOS, contados a partir del día de la firma del correspondiente contrato administrativo. En todo caso, y en lo que respecta a la gestión de denuncias y a la gestión de la liquidación de las mismas y de los derechos económicos en periodo ejecutivo, el adjudicatario continuará, a la finalización de los cuatro años de duración del contrato, hasta su liquidación definitiva de los iniciados dentro de ese periodo de cuatro años. </w:t>
      </w:r>
    </w:p>
    <w:p w:rsidR="00412E50" w:rsidRDefault="00412E50" w:rsidP="00412E50">
      <w:r>
        <w:t xml:space="preserve">A su vez, en el acuerdo de Junta de Gobierno Local de 25/06/2018 en la que se aprobó el expediente de la nueva licitación del contrato, expresamente se acordó: </w:t>
      </w:r>
    </w:p>
    <w:p w:rsidR="00412E50" w:rsidRDefault="00412E50" w:rsidP="00412E50">
      <w:r>
        <w:t xml:space="preserve">... / ... </w:t>
      </w:r>
    </w:p>
    <w:p w:rsidR="00412E50" w:rsidRDefault="00412E50" w:rsidP="00412E50">
      <w:r>
        <w:t xml:space="preserve">5°.- Comunicar a </w:t>
      </w:r>
      <w:proofErr w:type="spellStart"/>
      <w:r>
        <w:t>Vialine</w:t>
      </w:r>
      <w:proofErr w:type="spellEnd"/>
      <w:r>
        <w:t xml:space="preserve"> Gestión S.L.: </w:t>
      </w:r>
    </w:p>
    <w:p w:rsidR="00412E50" w:rsidRDefault="00412E50" w:rsidP="00412E50">
      <w:r>
        <w:t xml:space="preserve">5. 1. Que el actual contrato de contrato de obra y asistencia técnica en materia de seguridad vial finalizará en fecha de 5 de julio de 2018, sin perjuicio, conforme a la cláusula 2.2 del pliego regulador, y en lo que respecta a la gestión de denuncias y a la gestión de la liquidación de las mismas y de los derechos económicos en periodo ejecutivo, de su continuación hasta su liquidación definitiva de los expedientes iniciados dentro de ese periodo de cuatro años y sin perjuicio de la posibilidad de mutuo acuerdo de la entrega de la documentación de los mismos para su gestión por el nuevo adjudicatario . </w:t>
      </w:r>
    </w:p>
    <w:p w:rsidR="00412E50" w:rsidRDefault="00412E50" w:rsidP="00412E50">
      <w:r>
        <w:t xml:space="preserve">... / ... </w:t>
      </w:r>
    </w:p>
    <w:p w:rsidR="00412E50" w:rsidRDefault="00412E50" w:rsidP="00412E50">
      <w:r>
        <w:t>Quiere ello decir que no se han abonado gastos superando la vigencia del contrato, sino dentro de la vige</w:t>
      </w:r>
      <w:r>
        <w:t>n</w:t>
      </w:r>
      <w:r>
        <w:t xml:space="preserve">cia y condiciones de ejecución y prestación del contrato. </w:t>
      </w:r>
    </w:p>
    <w:p w:rsidR="00412E50" w:rsidRDefault="00412E50" w:rsidP="00412E50">
      <w:r>
        <w:t xml:space="preserve">Tercera. - El informe dice: </w:t>
      </w:r>
    </w:p>
    <w:p w:rsidR="00412E50" w:rsidRDefault="00412E50" w:rsidP="00412E50">
      <w:r>
        <w:lastRenderedPageBreak/>
        <w:t>De nuestra revisión concluimos que, en general, en la muestra fiscalizada, los gastos están justificados, aprobados, intervenidos y correctamente contabilizados y pagados. No obstante, señalamos las siguientes deficie</w:t>
      </w:r>
      <w:r>
        <w:t>n</w:t>
      </w:r>
      <w:r>
        <w:t xml:space="preserve">cias: </w:t>
      </w:r>
    </w:p>
    <w:p w:rsidR="00412E50" w:rsidRDefault="00412E50" w:rsidP="00412E50">
      <w:r>
        <w:t xml:space="preserve">• En el contrato de mantenimiento de zonas verdes no se realiza el seguimiento y comprobación del </w:t>
      </w:r>
      <w:proofErr w:type="spellStart"/>
      <w:r>
        <w:t>cu</w:t>
      </w:r>
      <w:r>
        <w:t>m</w:t>
      </w:r>
      <w:r>
        <w:t>plimi.ento</w:t>
      </w:r>
      <w:proofErr w:type="spellEnd"/>
      <w:r>
        <w:t xml:space="preserve"> de las condiciones especiales de ejecución establecidas en el pliego de </w:t>
      </w:r>
      <w:proofErr w:type="spellStart"/>
      <w:r>
        <w:t>claúsUlas</w:t>
      </w:r>
      <w:proofErr w:type="spellEnd"/>
      <w:r>
        <w:t xml:space="preserve"> (sic) administrativas particulares (PCAP en adelante). </w:t>
      </w:r>
    </w:p>
    <w:p w:rsidR="00412E50" w:rsidRDefault="00412E50" w:rsidP="00412E50">
      <w:r>
        <w:t xml:space="preserve">• El servicio de gestión de multas se ha seguido prestando por el anterior adjudicatario hasta mayo de 2019, a pesar de haber agotado todas las prórrogas previstas en julio de 2018. El gasto reconocido en 2019 a favor de dicha empresa ha sido de 141.67 4 euros. </w:t>
      </w:r>
    </w:p>
    <w:p w:rsidR="00412E50" w:rsidRDefault="00412E50" w:rsidP="00412E50">
      <w:r>
        <w:t xml:space="preserve">Lo cierto es que, </w:t>
      </w:r>
    </w:p>
    <w:p w:rsidR="00412E50" w:rsidRDefault="00412E50" w:rsidP="00412E50">
      <w:r>
        <w:t xml:space="preserve">-Respecto del contrato de mantenimiento de zonas verdes, la empresa adjudicataria si bien previamente al pago de la última certificación de la primera anualidad, no hizo entrega de la documentación que acreditase tal cumplimiento; tras ser requerida por el Ayuntamiento, ha remitido la información al respecto. </w:t>
      </w:r>
    </w:p>
    <w:p w:rsidR="00412E50" w:rsidRDefault="00412E50" w:rsidP="00412E50">
      <w:r>
        <w:t xml:space="preserve">-Respecto servicio de gestión de multas, el mismo servicio se ha prestado conforme a las condiciones de ejecución del pliego regulador. </w:t>
      </w:r>
    </w:p>
    <w:p w:rsidR="00412E50" w:rsidRDefault="00412E50" w:rsidP="00412E50">
      <w:r>
        <w:t xml:space="preserve">Cuarta. El informe dice: </w:t>
      </w:r>
    </w:p>
    <w:p w:rsidR="00412E50" w:rsidRDefault="00412E50" w:rsidP="00412E50">
      <w:r>
        <w:t>El ayuntamiento ha incluido un ajuste positivo por 1,6 millones correspondientes a la inversión realizada en la escuela infantil al considerar que se trata de una inversión realizada por cuenta de otra administración. De esta forma, el resultado obtenido es positivo obteniendo una capacidad de financiación de 852.897 euros. No obstante, consideramos que dicha inversión no cumple los requisitos necesarios para aplicar este ajuste y como consecue</w:t>
      </w:r>
      <w:r>
        <w:t>n</w:t>
      </w:r>
      <w:r>
        <w:t xml:space="preserve">cia se produce una necesidad de financiación de 7 47.415 euros </w:t>
      </w:r>
    </w:p>
    <w:p w:rsidR="00412E50" w:rsidRDefault="00412E50" w:rsidP="00412E50">
      <w:r>
        <w:t>Lo cierto es que el informe no dice por qué tal inversión no cumple los requisitos necesarios para aplicar el ajuste; siendo como es el caso, que el Ayuntamiento realizó tal inversión por cuenta del Gobierno de Navarra por corresponder a éste último la aportación del 100% de la cuantía económica para ello conforme al Acuerdo de C</w:t>
      </w:r>
      <w:r>
        <w:t>o</w:t>
      </w:r>
      <w:r>
        <w:t xml:space="preserve">laboración suscrito en fecha de 30 de octubre de 1998. </w:t>
      </w:r>
    </w:p>
    <w:p w:rsidR="00412E50" w:rsidRDefault="00412E50" w:rsidP="00412E50">
      <w:r>
        <w:t xml:space="preserve">QUINTA.- Regla de gasto El informe dice: </w:t>
      </w:r>
    </w:p>
    <w:p w:rsidR="00412E50" w:rsidRDefault="00412E50" w:rsidP="00412E50">
      <w:r>
        <w:t>"No consideramos como aumento permanente de recaudación el incremento de Fondo de haciendas Loc</w:t>
      </w:r>
      <w:r>
        <w:t>a</w:t>
      </w:r>
      <w:r>
        <w:t xml:space="preserve">les". </w:t>
      </w:r>
    </w:p>
    <w:p w:rsidR="00412E50" w:rsidRDefault="00412E50" w:rsidP="00412E50">
      <w:r>
        <w:t xml:space="preserve"> </w:t>
      </w:r>
    </w:p>
    <w:p w:rsidR="00412E50" w:rsidRDefault="00412E50" w:rsidP="00412E50">
      <w:r>
        <w:t xml:space="preserve">La realidad es que el Ayuntamiento Valle de </w:t>
      </w:r>
      <w:proofErr w:type="spellStart"/>
      <w:r>
        <w:t>Egüés</w:t>
      </w:r>
      <w:proofErr w:type="spellEnd"/>
      <w:r>
        <w:t xml:space="preserve"> no se le está abonando lo que le corresponde si aplic</w:t>
      </w:r>
      <w:r>
        <w:t>a</w:t>
      </w:r>
      <w:r>
        <w:t>mos la fórmula, dado que la cuantía del fondo no es suficiente para aplicar la fórmula por igual a todas las entid</w:t>
      </w:r>
      <w:r>
        <w:t>a</w:t>
      </w:r>
      <w:r>
        <w:t xml:space="preserve">des, al tener que ser también un fondo de garantía. </w:t>
      </w:r>
    </w:p>
    <w:p w:rsidR="00412E50" w:rsidRDefault="00412E50" w:rsidP="00412E50">
      <w:r>
        <w:t xml:space="preserve">En el caso de </w:t>
      </w:r>
      <w:proofErr w:type="spellStart"/>
      <w:r>
        <w:t>Egüés</w:t>
      </w:r>
      <w:proofErr w:type="spellEnd"/>
      <w:r>
        <w:t xml:space="preserve"> con más de 21.000 habitantes está recibiendo 1.500.000 menos de lo que le correspo</w:t>
      </w:r>
      <w:r>
        <w:t>n</w:t>
      </w:r>
      <w:r>
        <w:t>de y por ello en el reparto se hace un IPC + 1 para todos y adicionalmente 1 % más sólo a los ayuntamientos afe</w:t>
      </w:r>
      <w:r>
        <w:t>c</w:t>
      </w:r>
      <w:r>
        <w:t xml:space="preserve">tados. </w:t>
      </w:r>
    </w:p>
    <w:p w:rsidR="00412E50" w:rsidRDefault="00412E50" w:rsidP="00412E50">
      <w:r>
        <w:t xml:space="preserve">Por eso no tiene sentido decir que no es un ingreso estructural, recurrente y necesario para poder prestar los servicios que demandan la población de </w:t>
      </w:r>
      <w:proofErr w:type="spellStart"/>
      <w:r>
        <w:t>Egüés</w:t>
      </w:r>
      <w:proofErr w:type="spellEnd"/>
      <w:r>
        <w:t xml:space="preserve"> y que por ello no podamos incrementar la regla de gasto. </w:t>
      </w:r>
    </w:p>
    <w:p w:rsidR="00412E50" w:rsidRDefault="00412E50" w:rsidP="00412E50">
      <w:r>
        <w:t>Se vuelve a no tener en cuenta la inversión realizada en escuela infantil que es inversión por cuenta del G</w:t>
      </w:r>
      <w:r>
        <w:t>o</w:t>
      </w:r>
      <w:r>
        <w:t xml:space="preserve">bierno de Navarra. </w:t>
      </w:r>
    </w:p>
    <w:p w:rsidR="00412E50" w:rsidRDefault="00412E50" w:rsidP="00412E50">
      <w:r>
        <w:t xml:space="preserve">Por todo lo cual, </w:t>
      </w:r>
    </w:p>
    <w:p w:rsidR="00412E50" w:rsidRDefault="00412E50" w:rsidP="00412E50">
      <w:r>
        <w:t xml:space="preserve">SE SOLICITA </w:t>
      </w:r>
    </w:p>
    <w:p w:rsidR="00412E50" w:rsidRDefault="00412E50" w:rsidP="00412E50">
      <w:r>
        <w:t>Que, teniendo por presentado en tiempo y forma, se admita a trámite este escrito de alegaciones y, de co</w:t>
      </w:r>
      <w:r>
        <w:t>n</w:t>
      </w:r>
      <w:r>
        <w:t xml:space="preserve">formidad con su contenido, se modifique el informe en los términos expuesto en las alegaciones </w:t>
      </w:r>
    </w:p>
    <w:p w:rsidR="00412E50" w:rsidRDefault="00412E50" w:rsidP="00412E50">
      <w:r>
        <w:t xml:space="preserve">En </w:t>
      </w:r>
      <w:proofErr w:type="spellStart"/>
      <w:r>
        <w:t>Sarriguren</w:t>
      </w:r>
      <w:proofErr w:type="spellEnd"/>
      <w:r>
        <w:t xml:space="preserve"> a 27 de agosto de 2020 </w:t>
      </w:r>
    </w:p>
    <w:p w:rsidR="00412E50" w:rsidRDefault="00412E50" w:rsidP="00412E50">
      <w:r>
        <w:t>La Alcaldesa: Amaya Larraya Marco</w:t>
      </w:r>
    </w:p>
    <w:p w:rsidR="004360DE" w:rsidRDefault="004360DE" w:rsidP="0074712B">
      <w:pPr>
        <w:pStyle w:val="texto"/>
        <w:tabs>
          <w:tab w:val="clear" w:pos="2835"/>
          <w:tab w:val="clear" w:pos="3969"/>
          <w:tab w:val="clear" w:pos="5103"/>
          <w:tab w:val="clear" w:pos="6237"/>
          <w:tab w:val="clear" w:pos="7371"/>
        </w:tabs>
        <w:spacing w:after="80"/>
        <w:ind w:firstLine="0"/>
        <w:jc w:val="center"/>
        <w:rPr>
          <w:rFonts w:cs="Arial"/>
        </w:rPr>
        <w:sectPr w:rsidR="004360DE" w:rsidSect="007B6531">
          <w:headerReference w:type="even" r:id="rId14"/>
          <w:footerReference w:type="default" r:id="rId15"/>
          <w:pgSz w:w="11907" w:h="16840" w:code="9"/>
          <w:pgMar w:top="1843" w:right="1134" w:bottom="1644" w:left="1559" w:header="369" w:footer="136" w:gutter="0"/>
          <w:pgNumType w:start="3"/>
          <w:cols w:space="720"/>
          <w:docGrid w:linePitch="360"/>
        </w:sectPr>
      </w:pPr>
      <w:bookmarkStart w:id="129" w:name="_GoBack"/>
      <w:bookmarkEnd w:id="129"/>
    </w:p>
    <w:p w:rsidR="004360DE" w:rsidRPr="00B63CAC" w:rsidRDefault="004360DE" w:rsidP="0012143D">
      <w:pPr>
        <w:pStyle w:val="atitulo1"/>
        <w:rPr>
          <w:color w:val="auto"/>
        </w:rPr>
      </w:pPr>
      <w:bookmarkStart w:id="130" w:name="_Toc37845621"/>
      <w:bookmarkStart w:id="131" w:name="_Toc50018591"/>
      <w:r w:rsidRPr="00B63CAC">
        <w:rPr>
          <w:color w:val="auto"/>
        </w:rPr>
        <w:lastRenderedPageBreak/>
        <w:t>Contestación a las alegaciones presentadas al informe provisional</w:t>
      </w:r>
      <w:bookmarkEnd w:id="130"/>
      <w:bookmarkEnd w:id="131"/>
    </w:p>
    <w:p w:rsidR="001A0B15" w:rsidRDefault="001A0B15" w:rsidP="001A0B15">
      <w:pPr>
        <w:pStyle w:val="texto"/>
        <w:tabs>
          <w:tab w:val="clear" w:pos="2835"/>
          <w:tab w:val="clear" w:pos="3969"/>
          <w:tab w:val="clear" w:pos="5103"/>
          <w:tab w:val="clear" w:pos="6237"/>
          <w:tab w:val="clear" w:pos="7371"/>
        </w:tabs>
      </w:pPr>
      <w:r>
        <w:t xml:space="preserve">Agradecemos a la alcaldesa del Ayuntamiento del Valle de </w:t>
      </w:r>
      <w:proofErr w:type="spellStart"/>
      <w:r>
        <w:t>Egüés</w:t>
      </w:r>
      <w:proofErr w:type="spellEnd"/>
      <w:r>
        <w:t xml:space="preserve"> las alegaci</w:t>
      </w:r>
      <w:r>
        <w:t>o</w:t>
      </w:r>
      <w:r>
        <w:t>nes que nos ha presentado. Estas alegaciones se incorporan al informe provisional y se eleva este a definitivo al considerar que constituyen una explicación de la fisc</w:t>
      </w:r>
      <w:r>
        <w:t>a</w:t>
      </w:r>
      <w:r>
        <w:t>lización realizada y no alteran su contenido, si bien señalamos los siguientes aspe</w:t>
      </w:r>
      <w:r>
        <w:t>c</w:t>
      </w:r>
      <w:r>
        <w:t>tos:</w:t>
      </w:r>
    </w:p>
    <w:p w:rsidR="001A0B15" w:rsidRDefault="001A0B15" w:rsidP="001A0B15">
      <w:pPr>
        <w:pStyle w:val="texto"/>
        <w:tabs>
          <w:tab w:val="clear" w:pos="2835"/>
          <w:tab w:val="clear" w:pos="3969"/>
          <w:tab w:val="clear" w:pos="5103"/>
          <w:tab w:val="clear" w:pos="6237"/>
          <w:tab w:val="clear" w:pos="7371"/>
        </w:tabs>
      </w:pPr>
      <w:r>
        <w:t>1) Respecto a la alegación segunda, señalamos que reiteramos nuestras concl</w:t>
      </w:r>
      <w:r>
        <w:t>u</w:t>
      </w:r>
      <w:r>
        <w:t>siones y recomendaciones al respecto debido a que el contrato finalizó en julio de 2018 y la empresa ha continuado prestando también la asistencia de gestión de multas devengadas a partir de la finalización del contrato.</w:t>
      </w:r>
    </w:p>
    <w:p w:rsidR="001A0B15" w:rsidRDefault="001A0B15" w:rsidP="001A0B15">
      <w:pPr>
        <w:pStyle w:val="texto"/>
        <w:tabs>
          <w:tab w:val="clear" w:pos="2835"/>
          <w:tab w:val="clear" w:pos="3969"/>
          <w:tab w:val="clear" w:pos="5103"/>
          <w:tab w:val="clear" w:pos="6237"/>
          <w:tab w:val="clear" w:pos="7371"/>
        </w:tabs>
      </w:pPr>
      <w:r>
        <w:t>2) Respecto a la alegación tercera, señalar que</w:t>
      </w:r>
      <w:r w:rsidR="00192D93">
        <w:t xml:space="preserve"> </w:t>
      </w:r>
      <w:r>
        <w:t>si bien el ayuntamiento ha apo</w:t>
      </w:r>
      <w:r>
        <w:t>r</w:t>
      </w:r>
      <w:r>
        <w:t>tado alguna justificación posterior</w:t>
      </w:r>
      <w:r w:rsidR="00583FEF">
        <w:t>, ésta</w:t>
      </w:r>
      <w:r>
        <w:t xml:space="preserve"> no alcanza la totalidad de lo establecido en el pliego y nos reafirmamos en la falta de un protocolo para el seguimiento y co</w:t>
      </w:r>
      <w:r>
        <w:t>m</w:t>
      </w:r>
      <w:r>
        <w:t>probación del cumplimiento de las condiciones establecidas en los pliegos.</w:t>
      </w:r>
    </w:p>
    <w:p w:rsidR="001A0B15" w:rsidRDefault="001A0B15" w:rsidP="001A0B15">
      <w:pPr>
        <w:pStyle w:val="texto"/>
        <w:tabs>
          <w:tab w:val="clear" w:pos="2835"/>
          <w:tab w:val="clear" w:pos="3969"/>
          <w:tab w:val="clear" w:pos="5103"/>
          <w:tab w:val="clear" w:pos="6237"/>
          <w:tab w:val="clear" w:pos="7371"/>
        </w:tabs>
      </w:pPr>
      <w:r>
        <w:t xml:space="preserve">3) Respecto a la alegación cuarta, no procede el ajuste por inversión realizada por cuenta de otra administración, debido a que no se ha producido la encomienda de dicha inversión por parte del Gobierno de Navarra al ayuntamiento y tampoco se traspasa el activo a la administración </w:t>
      </w:r>
      <w:proofErr w:type="spellStart"/>
      <w:r>
        <w:t>encomendante</w:t>
      </w:r>
      <w:proofErr w:type="spellEnd"/>
      <w:r>
        <w:t>.</w:t>
      </w:r>
    </w:p>
    <w:p w:rsidR="001A0B15" w:rsidRPr="000B6F6B" w:rsidRDefault="001A0B15" w:rsidP="001A0B15">
      <w:pPr>
        <w:pStyle w:val="texto"/>
        <w:tabs>
          <w:tab w:val="clear" w:pos="2835"/>
          <w:tab w:val="clear" w:pos="3969"/>
          <w:tab w:val="clear" w:pos="5103"/>
          <w:tab w:val="clear" w:pos="6237"/>
          <w:tab w:val="clear" w:pos="7371"/>
        </w:tabs>
      </w:pPr>
      <w:r>
        <w:t>4) Respecto a la alegación quinta, sólo cabe admitir, tal y como señala la IGAE, los aumentos permanentes de recaudación de tributos procedentes de cambios no</w:t>
      </w:r>
      <w:r>
        <w:t>r</w:t>
      </w:r>
      <w:r>
        <w:t>mativos.</w:t>
      </w:r>
    </w:p>
    <w:p w:rsidR="004360DE" w:rsidRPr="0018070B" w:rsidRDefault="004360DE" w:rsidP="004360DE">
      <w:pPr>
        <w:tabs>
          <w:tab w:val="center" w:pos="540"/>
          <w:tab w:val="center" w:pos="3969"/>
          <w:tab w:val="center" w:pos="5103"/>
          <w:tab w:val="center" w:pos="6237"/>
          <w:tab w:val="center" w:pos="7371"/>
        </w:tabs>
        <w:spacing w:before="200" w:after="200"/>
        <w:ind w:firstLine="0"/>
        <w:jc w:val="center"/>
        <w:rPr>
          <w:spacing w:val="6"/>
          <w:sz w:val="26"/>
          <w:szCs w:val="24"/>
        </w:rPr>
      </w:pPr>
      <w:r w:rsidRPr="0018070B">
        <w:rPr>
          <w:spacing w:val="6"/>
          <w:sz w:val="26"/>
          <w:szCs w:val="24"/>
        </w:rPr>
        <w:t xml:space="preserve">Pamplona, </w:t>
      </w:r>
      <w:r w:rsidR="0018070B" w:rsidRPr="0018070B">
        <w:rPr>
          <w:spacing w:val="6"/>
          <w:sz w:val="26"/>
          <w:szCs w:val="24"/>
        </w:rPr>
        <w:t>4</w:t>
      </w:r>
      <w:r w:rsidR="00BC2F62" w:rsidRPr="0018070B">
        <w:rPr>
          <w:spacing w:val="6"/>
          <w:sz w:val="26"/>
          <w:szCs w:val="24"/>
        </w:rPr>
        <w:t xml:space="preserve"> de septiembre</w:t>
      </w:r>
      <w:r w:rsidRPr="0018070B">
        <w:rPr>
          <w:spacing w:val="6"/>
          <w:sz w:val="26"/>
          <w:szCs w:val="24"/>
        </w:rPr>
        <w:t xml:space="preserve"> de 2020</w:t>
      </w:r>
    </w:p>
    <w:p w:rsidR="004360DE" w:rsidRPr="00B63CAC" w:rsidRDefault="004360DE" w:rsidP="004360DE">
      <w:pPr>
        <w:pStyle w:val="texto"/>
        <w:tabs>
          <w:tab w:val="clear" w:pos="2835"/>
          <w:tab w:val="clear" w:pos="3969"/>
          <w:tab w:val="clear" w:pos="5103"/>
          <w:tab w:val="clear" w:pos="6237"/>
          <w:tab w:val="clear" w:pos="7371"/>
        </w:tabs>
        <w:spacing w:after="80"/>
        <w:ind w:firstLine="0"/>
        <w:jc w:val="center"/>
        <w:rPr>
          <w:rFonts w:cs="Arial"/>
        </w:rPr>
      </w:pPr>
      <w:r w:rsidRPr="00B63CAC">
        <w:rPr>
          <w:rFonts w:cs="Arial"/>
        </w:rPr>
        <w:t>La presidenta,</w:t>
      </w:r>
    </w:p>
    <w:p w:rsidR="004360DE" w:rsidRPr="00B63CAC" w:rsidRDefault="004360DE" w:rsidP="004360DE">
      <w:pPr>
        <w:pStyle w:val="texto"/>
        <w:tabs>
          <w:tab w:val="clear" w:pos="2835"/>
          <w:tab w:val="clear" w:pos="3969"/>
          <w:tab w:val="clear" w:pos="5103"/>
          <w:tab w:val="clear" w:pos="6237"/>
          <w:tab w:val="clear" w:pos="7371"/>
        </w:tabs>
        <w:spacing w:after="80"/>
        <w:ind w:firstLine="0"/>
        <w:jc w:val="center"/>
        <w:rPr>
          <w:rFonts w:cs="Arial"/>
          <w:i/>
        </w:rPr>
      </w:pPr>
      <w:r w:rsidRPr="00B63CAC">
        <w:rPr>
          <w:rFonts w:cs="Arial"/>
        </w:rPr>
        <w:t xml:space="preserve">Asunción Olaechea </w:t>
      </w:r>
      <w:proofErr w:type="spellStart"/>
      <w:r w:rsidRPr="00B63CAC">
        <w:rPr>
          <w:rFonts w:cs="Arial"/>
        </w:rPr>
        <w:t>Estanga</w:t>
      </w:r>
      <w:proofErr w:type="spellEnd"/>
      <w:r w:rsidRPr="00B63CAC">
        <w:rPr>
          <w:rFonts w:cs="Arial"/>
        </w:rPr>
        <w:t xml:space="preserve"> </w:t>
      </w:r>
    </w:p>
    <w:p w:rsidR="004360DE" w:rsidRDefault="004360DE" w:rsidP="004360DE">
      <w:pPr>
        <w:pStyle w:val="texto"/>
        <w:tabs>
          <w:tab w:val="clear" w:pos="2835"/>
          <w:tab w:val="clear" w:pos="3969"/>
          <w:tab w:val="clear" w:pos="5103"/>
          <w:tab w:val="clear" w:pos="6237"/>
          <w:tab w:val="clear" w:pos="7371"/>
        </w:tabs>
        <w:spacing w:after="80"/>
        <w:ind w:firstLine="0"/>
        <w:jc w:val="center"/>
        <w:rPr>
          <w:rFonts w:cs="Arial"/>
        </w:rPr>
      </w:pPr>
    </w:p>
    <w:p w:rsidR="001A0B15" w:rsidRDefault="001A0B15" w:rsidP="004360DE">
      <w:pPr>
        <w:pStyle w:val="texto"/>
        <w:tabs>
          <w:tab w:val="clear" w:pos="2835"/>
          <w:tab w:val="clear" w:pos="3969"/>
          <w:tab w:val="clear" w:pos="5103"/>
          <w:tab w:val="clear" w:pos="6237"/>
          <w:tab w:val="clear" w:pos="7371"/>
        </w:tabs>
        <w:spacing w:after="80"/>
        <w:ind w:firstLine="0"/>
        <w:jc w:val="center"/>
        <w:rPr>
          <w:rFonts w:cs="Arial"/>
        </w:rPr>
      </w:pPr>
    </w:p>
    <w:sectPr w:rsidR="001A0B15" w:rsidSect="00F10584">
      <w:footerReference w:type="default" r:id="rId16"/>
      <w:pgSz w:w="11907" w:h="16840" w:code="9"/>
      <w:pgMar w:top="1843" w:right="1134" w:bottom="1644" w:left="1559" w:header="369" w:footer="1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7C0" w:rsidRDefault="003D47C0">
      <w:r>
        <w:separator/>
      </w:r>
    </w:p>
    <w:p w:rsidR="003D47C0" w:rsidRDefault="003D47C0"/>
    <w:p w:rsidR="003D47C0" w:rsidRDefault="003D47C0"/>
    <w:p w:rsidR="003D47C0" w:rsidRDefault="003D47C0"/>
  </w:endnote>
  <w:endnote w:type="continuationSeparator" w:id="0">
    <w:p w:rsidR="003D47C0" w:rsidRDefault="003D47C0">
      <w:r>
        <w:continuationSeparator/>
      </w:r>
    </w:p>
    <w:p w:rsidR="003D47C0" w:rsidRDefault="003D47C0"/>
    <w:p w:rsidR="003D47C0" w:rsidRDefault="003D47C0"/>
    <w:p w:rsidR="003D47C0" w:rsidRDefault="003D47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altName w:val="Courier New"/>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GillSans">
    <w:panose1 w:val="00000000000000000000"/>
    <w:charset w:val="00"/>
    <w:family w:val="moder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ajan">
    <w:panose1 w:val="00000000000000000000"/>
    <w:charset w:val="00"/>
    <w:family w:val="roman"/>
    <w:notTrueType/>
    <w:pitch w:val="variable"/>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7C0" w:rsidRDefault="003D47C0"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D47C0" w:rsidRDefault="003D47C0"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7C0" w:rsidRPr="00F03814" w:rsidRDefault="003D47C0"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152C000C" wp14:editId="540A8142">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3D47C0" w:rsidRPr="00F74E38" w:rsidRDefault="003D47C0" w:rsidP="00F03814">
    <w:pPr>
      <w:pStyle w:val="Piedepgina"/>
      <w:tabs>
        <w:tab w:val="clear" w:pos="4252"/>
        <w:tab w:val="clear" w:pos="8504"/>
        <w:tab w:val="center" w:pos="4560"/>
      </w:tabs>
      <w:ind w:right="360"/>
      <w:jc w:val="left"/>
      <w:rPr>
        <w:rStyle w:val="Nmerodepgina"/>
      </w:rPr>
    </w:pPr>
  </w:p>
  <w:p w:rsidR="003D47C0" w:rsidRPr="00C13453" w:rsidRDefault="003D47C0"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7C0" w:rsidRDefault="003D47C0"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7C0" w:rsidRDefault="003D47C0"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GillSans" w:hAnsi="GillSans"/>
      </w:rPr>
    </w:pPr>
    <w:r>
      <w:rPr>
        <w:rFonts w:ascii="GillSans" w:hAnsi="GillSans"/>
        <w:noProof/>
        <w:lang w:val="es-ES" w:eastAsia="es-ES"/>
      </w:rPr>
      <w:drawing>
        <wp:anchor distT="0" distB="0" distL="114300" distR="114300" simplePos="0" relativeHeight="251657728" behindDoc="0" locked="0" layoutInCell="1" allowOverlap="1" wp14:anchorId="64AD900A" wp14:editId="717BC80A">
          <wp:simplePos x="0" y="0"/>
          <wp:positionH relativeFrom="column">
            <wp:posOffset>-347345</wp:posOffset>
          </wp:positionH>
          <wp:positionV relativeFrom="paragraph">
            <wp:posOffset>49530</wp:posOffset>
          </wp:positionV>
          <wp:extent cx="219075" cy="371475"/>
          <wp:effectExtent l="0" t="0" r="9525" b="9525"/>
          <wp:wrapSquare wrapText="bothSides"/>
          <wp:docPr id="9" name="Imagen 9"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47C0" w:rsidRPr="00F03814" w:rsidRDefault="003D47C0" w:rsidP="00EA5BC7">
    <w:pPr>
      <w:pStyle w:val="Piedepgina"/>
      <w:tabs>
        <w:tab w:val="clear" w:pos="2835"/>
        <w:tab w:val="clear" w:pos="3969"/>
        <w:tab w:val="clear" w:pos="4252"/>
        <w:tab w:val="clear" w:pos="5103"/>
        <w:tab w:val="clear" w:pos="6237"/>
        <w:tab w:val="clear" w:pos="7371"/>
        <w:tab w:val="clear" w:pos="8504"/>
        <w:tab w:val="center" w:pos="4440"/>
      </w:tabs>
      <w:spacing w:after="0"/>
      <w:ind w:right="29"/>
      <w:jc w:val="center"/>
      <w:rPr>
        <w:rFonts w:ascii="Trajan" w:hAnsi="Trajan"/>
        <w:sz w:val="24"/>
        <w:szCs w:val="24"/>
      </w:rPr>
    </w:pP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412E50">
      <w:rPr>
        <w:rStyle w:val="Nmerodepgina"/>
        <w:noProof/>
        <w:szCs w:val="24"/>
      </w:rPr>
      <w:t>33</w:t>
    </w:r>
    <w:r w:rsidRPr="001D4F09">
      <w:rPr>
        <w:rStyle w:val="Nmerodepgina"/>
        <w:szCs w:val="24"/>
      </w:rPr>
      <w:fldChar w:fldCharType="end"/>
    </w:r>
    <w:r w:rsidRPr="001D4F09">
      <w:rPr>
        <w:rStyle w:val="Nmerodepgina"/>
        <w:szCs w:val="24"/>
      </w:rPr>
      <w:t xml:space="preserve"> -</w:t>
    </w:r>
  </w:p>
  <w:p w:rsidR="003D47C0" w:rsidRDefault="003D47C0" w:rsidP="00D2472C">
    <w:pPr>
      <w:pStyle w:val="BorradorProvisional"/>
      <w:ind w:left="0"/>
      <w:jc w:val="center"/>
    </w:pPr>
  </w:p>
  <w:p w:rsidR="003D47C0" w:rsidRDefault="003D47C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0DE" w:rsidRDefault="004360DE"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GillSans" w:hAnsi="GillSans"/>
      </w:rPr>
    </w:pPr>
    <w:r>
      <w:rPr>
        <w:rFonts w:ascii="GillSans" w:hAnsi="GillSans"/>
        <w:noProof/>
        <w:lang w:val="es-ES" w:eastAsia="es-ES"/>
      </w:rPr>
      <w:drawing>
        <wp:anchor distT="0" distB="0" distL="114300" distR="114300" simplePos="0" relativeHeight="251659776" behindDoc="0" locked="0" layoutInCell="1" allowOverlap="1" wp14:anchorId="58452597" wp14:editId="6FC00252">
          <wp:simplePos x="0" y="0"/>
          <wp:positionH relativeFrom="column">
            <wp:posOffset>-347345</wp:posOffset>
          </wp:positionH>
          <wp:positionV relativeFrom="paragraph">
            <wp:posOffset>49530</wp:posOffset>
          </wp:positionV>
          <wp:extent cx="219075" cy="371475"/>
          <wp:effectExtent l="0" t="0" r="9525" b="9525"/>
          <wp:wrapSquare wrapText="bothSides"/>
          <wp:docPr id="4" name="Imagen 4"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60DE" w:rsidRPr="00F03814" w:rsidRDefault="004360DE" w:rsidP="00EA5BC7">
    <w:pPr>
      <w:pStyle w:val="Piedepgina"/>
      <w:tabs>
        <w:tab w:val="clear" w:pos="2835"/>
        <w:tab w:val="clear" w:pos="3969"/>
        <w:tab w:val="clear" w:pos="4252"/>
        <w:tab w:val="clear" w:pos="5103"/>
        <w:tab w:val="clear" w:pos="6237"/>
        <w:tab w:val="clear" w:pos="7371"/>
        <w:tab w:val="clear" w:pos="8504"/>
        <w:tab w:val="center" w:pos="4440"/>
      </w:tabs>
      <w:spacing w:after="0"/>
      <w:ind w:right="29"/>
      <w:jc w:val="center"/>
      <w:rPr>
        <w:rFonts w:ascii="Trajan" w:hAnsi="Trajan"/>
        <w:sz w:val="24"/>
        <w:szCs w:val="24"/>
      </w:rPr>
    </w:pPr>
  </w:p>
  <w:p w:rsidR="004360DE" w:rsidRDefault="004360DE" w:rsidP="00D2472C">
    <w:pPr>
      <w:pStyle w:val="BorradorProvisional"/>
      <w:ind w:left="0"/>
      <w:jc w:val="center"/>
    </w:pPr>
  </w:p>
  <w:p w:rsidR="004360DE" w:rsidRDefault="004360D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7C0" w:rsidRDefault="003D47C0" w:rsidP="00CD32D4">
      <w:pPr>
        <w:ind w:firstLine="0"/>
      </w:pPr>
      <w:r>
        <w:separator/>
      </w:r>
    </w:p>
  </w:footnote>
  <w:footnote w:type="continuationSeparator" w:id="0">
    <w:p w:rsidR="003D47C0" w:rsidRDefault="003D47C0">
      <w:r>
        <w:continuationSeparator/>
      </w:r>
    </w:p>
    <w:p w:rsidR="003D47C0" w:rsidRDefault="003D47C0"/>
    <w:p w:rsidR="003D47C0" w:rsidRDefault="003D47C0"/>
    <w:p w:rsidR="003D47C0" w:rsidRDefault="003D47C0"/>
  </w:footnote>
  <w:footnote w:id="1">
    <w:p w:rsidR="003D47C0" w:rsidRDefault="003D47C0" w:rsidP="00F76BC7">
      <w:pPr>
        <w:pStyle w:val="Textonotapie"/>
        <w:ind w:firstLine="0"/>
      </w:pPr>
      <w:r>
        <w:rPr>
          <w:rStyle w:val="Refdenotaalpie"/>
        </w:rPr>
        <w:footnoteRef/>
      </w:r>
      <w:r>
        <w:t xml:space="preserve"> Artículo 19 de la Ley 6/2018, de 3 de julio, de Presupuestos Generales del Estado para 2018.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7C0" w:rsidRPr="009E07FB" w:rsidRDefault="003D47C0" w:rsidP="009463AD">
    <w:pPr>
      <w:pStyle w:val="Encabezado"/>
      <w:pBdr>
        <w:bottom w:val="single" w:sz="4" w:space="1" w:color="auto"/>
      </w:pBdr>
      <w:spacing w:after="40"/>
      <w:ind w:firstLine="0"/>
      <w:jc w:val="left"/>
      <w:rPr>
        <w:sz w:val="13"/>
        <w:szCs w:val="13"/>
        <w:lang w:val="es-ES"/>
      </w:rPr>
    </w:pPr>
    <w:r>
      <w:rPr>
        <w:b/>
        <w:noProof/>
        <w:lang w:val="es-ES" w:eastAsia="es-ES"/>
      </w:rPr>
      <w:drawing>
        <wp:inline distT="0" distB="0" distL="0" distR="0" wp14:anchorId="3125A1E9" wp14:editId="0BC13918">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Pr>
        <w:sz w:val="13"/>
        <w:szCs w:val="13"/>
        <w:lang w:val="es-ES"/>
      </w:rPr>
      <w:t xml:space="preserve">    </w:t>
    </w:r>
    <w:r w:rsidR="00A36D1E">
      <w:rPr>
        <w:sz w:val="13"/>
        <w:szCs w:val="13"/>
        <w:lang w:val="es-ES"/>
      </w:rPr>
      <w:t xml:space="preserve">  </w:t>
    </w:r>
    <w:r>
      <w:rPr>
        <w:sz w:val="13"/>
        <w:szCs w:val="13"/>
        <w:lang w:val="es-ES"/>
      </w:rPr>
      <w:t xml:space="preserve">        </w:t>
    </w:r>
    <w:r w:rsidR="00A36D1E">
      <w:rPr>
        <w:sz w:val="13"/>
        <w:szCs w:val="13"/>
        <w:lang w:val="es-ES"/>
      </w:rPr>
      <w:t xml:space="preserve">     </w:t>
    </w:r>
    <w:r>
      <w:rPr>
        <w:sz w:val="13"/>
        <w:szCs w:val="13"/>
        <w:lang w:val="es-ES"/>
      </w:rPr>
      <w:t xml:space="preserve">  informe de fiscalización</w:t>
    </w:r>
    <w:r w:rsidRPr="009E07FB">
      <w:rPr>
        <w:sz w:val="13"/>
        <w:szCs w:val="13"/>
        <w:lang w:val="es-ES"/>
      </w:rPr>
      <w:t xml:space="preserve"> SOBRE EL </w:t>
    </w:r>
    <w:r>
      <w:rPr>
        <w:sz w:val="13"/>
        <w:szCs w:val="13"/>
        <w:lang w:val="es-ES"/>
      </w:rPr>
      <w:t>Ayuntamiento</w:t>
    </w:r>
    <w:r w:rsidRPr="009E07FB">
      <w:rPr>
        <w:sz w:val="13"/>
        <w:szCs w:val="13"/>
        <w:lang w:val="es-ES"/>
      </w:rPr>
      <w:t xml:space="preserve"> de</w:t>
    </w:r>
    <w:r>
      <w:rPr>
        <w:sz w:val="13"/>
        <w:szCs w:val="13"/>
        <w:lang w:val="es-ES"/>
      </w:rPr>
      <w:t>l valle de egüés</w:t>
    </w:r>
    <w:r w:rsidRPr="009E07FB">
      <w:rPr>
        <w:sz w:val="13"/>
        <w:szCs w:val="13"/>
        <w:lang w:val="es-ES"/>
      </w:rPr>
      <w:t xml:space="preserve">, </w:t>
    </w:r>
    <w:r w:rsidR="00A36D1E">
      <w:rPr>
        <w:sz w:val="13"/>
        <w:szCs w:val="13"/>
        <w:lang w:val="es-ES"/>
      </w:rPr>
      <w:t xml:space="preserve">ejercicio </w:t>
    </w:r>
    <w:r w:rsidRPr="009E07FB">
      <w:rPr>
        <w:sz w:val="13"/>
        <w:szCs w:val="13"/>
        <w:lang w:val="es-ES"/>
      </w:rPr>
      <w:t>201</w:t>
    </w:r>
    <w:r>
      <w:rPr>
        <w:sz w:val="13"/>
        <w:szCs w:val="13"/>
        <w:lang w:val="es-ES"/>
      </w:rPr>
      <w:t>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7C0" w:rsidRDefault="003D47C0" w:rsidP="006A2D41">
    <w:pPr>
      <w:pStyle w:val="Encabezado"/>
      <w:ind w:firstLine="0"/>
      <w:jc w:val="left"/>
    </w:pPr>
    <w:r>
      <w:rPr>
        <w:noProof/>
        <w:lang w:val="es-ES" w:eastAsia="es-ES"/>
      </w:rPr>
      <w:drawing>
        <wp:inline distT="0" distB="0" distL="0" distR="0" wp14:anchorId="7A2CCA36" wp14:editId="2356631E">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7C0" w:rsidRDefault="003D47C0"/>
  <w:p w:rsidR="003D47C0" w:rsidRDefault="003D47C0"/>
  <w:p w:rsidR="003D47C0" w:rsidRDefault="003D47C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38FC"/>
    <w:multiLevelType w:val="hybridMultilevel"/>
    <w:tmpl w:val="E0B2B7F6"/>
    <w:lvl w:ilvl="0" w:tplc="FC503ACE">
      <w:start w:val="1"/>
      <w:numFmt w:val="lowerLetter"/>
      <w:lvlText w:val="%1)"/>
      <w:lvlJc w:val="left"/>
      <w:pPr>
        <w:ind w:left="914" w:hanging="630"/>
      </w:pPr>
      <w:rPr>
        <w:rFonts w:ascii="Times New Roman" w:eastAsia="Times New Roman" w:hAnsi="Times New Roman" w:cs="Times New Roman"/>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
    <w:nsid w:val="1251564C"/>
    <w:multiLevelType w:val="hybridMultilevel"/>
    <w:tmpl w:val="F60E376C"/>
    <w:lvl w:ilvl="0" w:tplc="0C0A0017">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3">
    <w:nsid w:val="16D04D99"/>
    <w:multiLevelType w:val="hybridMultilevel"/>
    <w:tmpl w:val="BC5EECF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8D023C6"/>
    <w:multiLevelType w:val="hybridMultilevel"/>
    <w:tmpl w:val="5D1EB08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
    <w:nsid w:val="2BD77FB8"/>
    <w:multiLevelType w:val="hybridMultilevel"/>
    <w:tmpl w:val="4D66D5AE"/>
    <w:lvl w:ilvl="0" w:tplc="60E239F2">
      <w:start w:val="1"/>
      <w:numFmt w:val="lowerLetter"/>
      <w:lvlText w:val="%1)"/>
      <w:lvlJc w:val="left"/>
      <w:pPr>
        <w:ind w:left="649" w:hanging="360"/>
      </w:pPr>
      <w:rPr>
        <w:rFonts w:hint="default"/>
        <w:sz w:val="25"/>
      </w:rPr>
    </w:lvl>
    <w:lvl w:ilvl="1" w:tplc="0C0A0019" w:tentative="1">
      <w:start w:val="1"/>
      <w:numFmt w:val="lowerLetter"/>
      <w:lvlText w:val="%2."/>
      <w:lvlJc w:val="left"/>
      <w:pPr>
        <w:ind w:left="1369" w:hanging="360"/>
      </w:pPr>
    </w:lvl>
    <w:lvl w:ilvl="2" w:tplc="0C0A001B" w:tentative="1">
      <w:start w:val="1"/>
      <w:numFmt w:val="lowerRoman"/>
      <w:lvlText w:val="%3."/>
      <w:lvlJc w:val="right"/>
      <w:pPr>
        <w:ind w:left="2089" w:hanging="180"/>
      </w:pPr>
    </w:lvl>
    <w:lvl w:ilvl="3" w:tplc="0C0A000F" w:tentative="1">
      <w:start w:val="1"/>
      <w:numFmt w:val="decimal"/>
      <w:lvlText w:val="%4."/>
      <w:lvlJc w:val="left"/>
      <w:pPr>
        <w:ind w:left="2809" w:hanging="360"/>
      </w:pPr>
    </w:lvl>
    <w:lvl w:ilvl="4" w:tplc="0C0A0019" w:tentative="1">
      <w:start w:val="1"/>
      <w:numFmt w:val="lowerLetter"/>
      <w:lvlText w:val="%5."/>
      <w:lvlJc w:val="left"/>
      <w:pPr>
        <w:ind w:left="3529" w:hanging="360"/>
      </w:pPr>
    </w:lvl>
    <w:lvl w:ilvl="5" w:tplc="0C0A001B" w:tentative="1">
      <w:start w:val="1"/>
      <w:numFmt w:val="lowerRoman"/>
      <w:lvlText w:val="%6."/>
      <w:lvlJc w:val="right"/>
      <w:pPr>
        <w:ind w:left="4249" w:hanging="180"/>
      </w:pPr>
    </w:lvl>
    <w:lvl w:ilvl="6" w:tplc="0C0A000F" w:tentative="1">
      <w:start w:val="1"/>
      <w:numFmt w:val="decimal"/>
      <w:lvlText w:val="%7."/>
      <w:lvlJc w:val="left"/>
      <w:pPr>
        <w:ind w:left="4969" w:hanging="360"/>
      </w:pPr>
    </w:lvl>
    <w:lvl w:ilvl="7" w:tplc="0C0A0019" w:tentative="1">
      <w:start w:val="1"/>
      <w:numFmt w:val="lowerLetter"/>
      <w:lvlText w:val="%8."/>
      <w:lvlJc w:val="left"/>
      <w:pPr>
        <w:ind w:left="5689" w:hanging="360"/>
      </w:pPr>
    </w:lvl>
    <w:lvl w:ilvl="8" w:tplc="0C0A001B" w:tentative="1">
      <w:start w:val="1"/>
      <w:numFmt w:val="lowerRoman"/>
      <w:lvlText w:val="%9."/>
      <w:lvlJc w:val="right"/>
      <w:pPr>
        <w:ind w:left="6409" w:hanging="180"/>
      </w:pPr>
    </w:lvl>
  </w:abstractNum>
  <w:abstractNum w:abstractNumId="6">
    <w:nsid w:val="32791360"/>
    <w:multiLevelType w:val="hybridMultilevel"/>
    <w:tmpl w:val="0584E55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
    <w:nsid w:val="3C041634"/>
    <w:multiLevelType w:val="hybridMultilevel"/>
    <w:tmpl w:val="143A50E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nsid w:val="3C6E0808"/>
    <w:multiLevelType w:val="hybridMultilevel"/>
    <w:tmpl w:val="49F0F98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CBE0475"/>
    <w:multiLevelType w:val="hybridMultilevel"/>
    <w:tmpl w:val="6094705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
    <w:nsid w:val="3E7B3AC7"/>
    <w:multiLevelType w:val="hybridMultilevel"/>
    <w:tmpl w:val="529CBF5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1">
    <w:nsid w:val="423D6E0F"/>
    <w:multiLevelType w:val="hybridMultilevel"/>
    <w:tmpl w:val="F68ABAE6"/>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12">
    <w:nsid w:val="470F51C2"/>
    <w:multiLevelType w:val="hybridMultilevel"/>
    <w:tmpl w:val="DD70B178"/>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3">
    <w:nsid w:val="477C1E8D"/>
    <w:multiLevelType w:val="hybridMultilevel"/>
    <w:tmpl w:val="EFCCF2D8"/>
    <w:lvl w:ilvl="0" w:tplc="13C031CC">
      <w:start w:val="1"/>
      <w:numFmt w:val="lowerLetter"/>
      <w:lvlText w:val="%1)"/>
      <w:lvlJc w:val="left"/>
      <w:pPr>
        <w:ind w:left="899" w:hanging="615"/>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4">
    <w:nsid w:val="4CBC1D76"/>
    <w:multiLevelType w:val="hybridMultilevel"/>
    <w:tmpl w:val="4300CC9E"/>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2666418"/>
    <w:multiLevelType w:val="multilevel"/>
    <w:tmpl w:val="E0B2B7F6"/>
    <w:lvl w:ilvl="0">
      <w:start w:val="1"/>
      <w:numFmt w:val="lowerLetter"/>
      <w:lvlText w:val="%1)"/>
      <w:lvlJc w:val="left"/>
      <w:pPr>
        <w:ind w:left="914" w:hanging="630"/>
      </w:pPr>
      <w:rPr>
        <w:rFonts w:ascii="Times New Roman" w:eastAsia="Times New Roman" w:hAnsi="Times New Roman" w:cs="Times New Roman"/>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nsid w:val="5EF05CED"/>
    <w:multiLevelType w:val="singleLevel"/>
    <w:tmpl w:val="9460A90E"/>
    <w:lvl w:ilvl="0">
      <w:start w:val="46"/>
      <w:numFmt w:val="bullet"/>
      <w:lvlText w:val=""/>
      <w:lvlJc w:val="left"/>
      <w:pPr>
        <w:tabs>
          <w:tab w:val="num" w:pos="502"/>
        </w:tabs>
        <w:ind w:left="-28" w:firstLine="170"/>
      </w:pPr>
      <w:rPr>
        <w:rFonts w:ascii="Wingdings" w:hAnsi="Wingdings" w:hint="default"/>
        <w:color w:val="000000" w:themeColor="text1"/>
      </w:rPr>
    </w:lvl>
  </w:abstractNum>
  <w:abstractNum w:abstractNumId="17">
    <w:nsid w:val="60415AE5"/>
    <w:multiLevelType w:val="hybridMultilevel"/>
    <w:tmpl w:val="725C8F6E"/>
    <w:lvl w:ilvl="0" w:tplc="7F541C5C">
      <w:start w:val="1"/>
      <w:numFmt w:val="lowerLetter"/>
      <w:lvlText w:val="%1)"/>
      <w:lvlJc w:val="left"/>
      <w:pPr>
        <w:ind w:left="929" w:hanging="645"/>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8">
    <w:nsid w:val="644B5128"/>
    <w:multiLevelType w:val="singleLevel"/>
    <w:tmpl w:val="9460A90E"/>
    <w:lvl w:ilvl="0">
      <w:start w:val="46"/>
      <w:numFmt w:val="bullet"/>
      <w:lvlText w:val=""/>
      <w:lvlJc w:val="left"/>
      <w:pPr>
        <w:ind w:left="502" w:hanging="360"/>
      </w:pPr>
      <w:rPr>
        <w:rFonts w:ascii="Wingdings" w:hAnsi="Wingdings" w:hint="default"/>
        <w:color w:val="000000" w:themeColor="text1"/>
      </w:rPr>
    </w:lvl>
  </w:abstractNum>
  <w:abstractNum w:abstractNumId="19">
    <w:nsid w:val="666A32D9"/>
    <w:multiLevelType w:val="hybridMultilevel"/>
    <w:tmpl w:val="EE50F70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0">
    <w:nsid w:val="696D4DE3"/>
    <w:multiLevelType w:val="hybridMultilevel"/>
    <w:tmpl w:val="E794D310"/>
    <w:lvl w:ilvl="0" w:tplc="35F8FC26">
      <w:start w:val="6"/>
      <w:numFmt w:val="bullet"/>
      <w:lvlText w:val=""/>
      <w:lvlJc w:val="left"/>
      <w:pPr>
        <w:ind w:left="644" w:hanging="360"/>
      </w:pPr>
      <w:rPr>
        <w:rFonts w:ascii="Symbol" w:eastAsia="Times New Roman" w:hAnsi="Symbol" w:cs="Times New Roman" w:hint="default"/>
        <w:color w:val="auto"/>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1">
    <w:nsid w:val="70CE4F26"/>
    <w:multiLevelType w:val="hybridMultilevel"/>
    <w:tmpl w:val="BC5EECF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71F815FB"/>
    <w:multiLevelType w:val="hybridMultilevel"/>
    <w:tmpl w:val="236646AC"/>
    <w:lvl w:ilvl="0" w:tplc="0C0A0001">
      <w:start w:val="1"/>
      <w:numFmt w:val="bullet"/>
      <w:lvlText w:val=""/>
      <w:lvlJc w:val="left"/>
      <w:pPr>
        <w:ind w:left="644" w:hanging="360"/>
      </w:pPr>
      <w:rPr>
        <w:rFonts w:ascii="Symbol" w:hAnsi="Symbol" w:hint="default"/>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num w:numId="1">
    <w:abstractNumId w:val="18"/>
  </w:num>
  <w:num w:numId="2">
    <w:abstractNumId w:val="2"/>
  </w:num>
  <w:num w:numId="3">
    <w:abstractNumId w:val="13"/>
  </w:num>
  <w:num w:numId="4">
    <w:abstractNumId w:val="0"/>
  </w:num>
  <w:num w:numId="5">
    <w:abstractNumId w:val="20"/>
  </w:num>
  <w:num w:numId="6">
    <w:abstractNumId w:val="17"/>
  </w:num>
  <w:num w:numId="7">
    <w:abstractNumId w:val="21"/>
  </w:num>
  <w:num w:numId="8">
    <w:abstractNumId w:val="22"/>
  </w:num>
  <w:num w:numId="9">
    <w:abstractNumId w:val="3"/>
  </w:num>
  <w:num w:numId="10">
    <w:abstractNumId w:val="14"/>
  </w:num>
  <w:num w:numId="11">
    <w:abstractNumId w:val="1"/>
  </w:num>
  <w:num w:numId="12">
    <w:abstractNumId w:val="12"/>
  </w:num>
  <w:num w:numId="13">
    <w:abstractNumId w:val="15"/>
  </w:num>
  <w:num w:numId="14">
    <w:abstractNumId w:val="4"/>
  </w:num>
  <w:num w:numId="15">
    <w:abstractNumId w:val="16"/>
  </w:num>
  <w:num w:numId="16">
    <w:abstractNumId w:val="7"/>
  </w:num>
  <w:num w:numId="17">
    <w:abstractNumId w:val="10"/>
  </w:num>
  <w:num w:numId="18">
    <w:abstractNumId w:val="19"/>
  </w:num>
  <w:num w:numId="19">
    <w:abstractNumId w:val="5"/>
  </w:num>
  <w:num w:numId="20">
    <w:abstractNumId w:val="6"/>
  </w:num>
  <w:num w:numId="21">
    <w:abstractNumId w:val="11"/>
  </w:num>
  <w:num w:numId="22">
    <w:abstractNumId w:val="9"/>
  </w:num>
  <w:num w:numId="23">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es-ES" w:vendorID="64" w:dllVersion="131078" w:nlCheck="1" w:checkStyle="0"/>
  <w:activeWritingStyle w:appName="MSWord" w:lang="es-ES_tradn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D92"/>
    <w:rsid w:val="00001409"/>
    <w:rsid w:val="000019D8"/>
    <w:rsid w:val="000034E7"/>
    <w:rsid w:val="00003BDF"/>
    <w:rsid w:val="00004A4F"/>
    <w:rsid w:val="00004B25"/>
    <w:rsid w:val="00005070"/>
    <w:rsid w:val="00006736"/>
    <w:rsid w:val="00006A97"/>
    <w:rsid w:val="000100B6"/>
    <w:rsid w:val="0001123B"/>
    <w:rsid w:val="000118B5"/>
    <w:rsid w:val="00012A79"/>
    <w:rsid w:val="00012A7F"/>
    <w:rsid w:val="000138AF"/>
    <w:rsid w:val="00013AAA"/>
    <w:rsid w:val="0001509C"/>
    <w:rsid w:val="00015BEB"/>
    <w:rsid w:val="00016803"/>
    <w:rsid w:val="00016A2C"/>
    <w:rsid w:val="00017143"/>
    <w:rsid w:val="000177AE"/>
    <w:rsid w:val="00017A3A"/>
    <w:rsid w:val="00020B0A"/>
    <w:rsid w:val="00020CDB"/>
    <w:rsid w:val="000237EE"/>
    <w:rsid w:val="00033541"/>
    <w:rsid w:val="00034068"/>
    <w:rsid w:val="00034223"/>
    <w:rsid w:val="00035FC6"/>
    <w:rsid w:val="000367BA"/>
    <w:rsid w:val="00036E42"/>
    <w:rsid w:val="00037C51"/>
    <w:rsid w:val="00040D7B"/>
    <w:rsid w:val="00042CF9"/>
    <w:rsid w:val="0004373B"/>
    <w:rsid w:val="00043F81"/>
    <w:rsid w:val="00044514"/>
    <w:rsid w:val="000448FA"/>
    <w:rsid w:val="000468DB"/>
    <w:rsid w:val="00046904"/>
    <w:rsid w:val="000479FF"/>
    <w:rsid w:val="00047A70"/>
    <w:rsid w:val="00051214"/>
    <w:rsid w:val="000512F9"/>
    <w:rsid w:val="0005169D"/>
    <w:rsid w:val="00052DBA"/>
    <w:rsid w:val="00053369"/>
    <w:rsid w:val="000538E6"/>
    <w:rsid w:val="00053A42"/>
    <w:rsid w:val="00053C9F"/>
    <w:rsid w:val="00054BAD"/>
    <w:rsid w:val="0005517D"/>
    <w:rsid w:val="00055E3B"/>
    <w:rsid w:val="000562B3"/>
    <w:rsid w:val="00060302"/>
    <w:rsid w:val="00060434"/>
    <w:rsid w:val="00060493"/>
    <w:rsid w:val="00060A54"/>
    <w:rsid w:val="0006133D"/>
    <w:rsid w:val="00062457"/>
    <w:rsid w:val="00062672"/>
    <w:rsid w:val="0006340E"/>
    <w:rsid w:val="00063585"/>
    <w:rsid w:val="0006367E"/>
    <w:rsid w:val="00064CF6"/>
    <w:rsid w:val="0006529A"/>
    <w:rsid w:val="00065CFC"/>
    <w:rsid w:val="000667D2"/>
    <w:rsid w:val="00067061"/>
    <w:rsid w:val="00067BDE"/>
    <w:rsid w:val="00070BA9"/>
    <w:rsid w:val="00071A75"/>
    <w:rsid w:val="00071CD0"/>
    <w:rsid w:val="00075692"/>
    <w:rsid w:val="00075FEB"/>
    <w:rsid w:val="00076A71"/>
    <w:rsid w:val="000806B1"/>
    <w:rsid w:val="00080FCE"/>
    <w:rsid w:val="00081477"/>
    <w:rsid w:val="000814CC"/>
    <w:rsid w:val="00081A8E"/>
    <w:rsid w:val="00082E7E"/>
    <w:rsid w:val="00083FE7"/>
    <w:rsid w:val="00084DAD"/>
    <w:rsid w:val="00084FDE"/>
    <w:rsid w:val="0008597F"/>
    <w:rsid w:val="00087B8D"/>
    <w:rsid w:val="00087C73"/>
    <w:rsid w:val="00087CC1"/>
    <w:rsid w:val="00090F34"/>
    <w:rsid w:val="00091257"/>
    <w:rsid w:val="000912C0"/>
    <w:rsid w:val="00092029"/>
    <w:rsid w:val="00092F88"/>
    <w:rsid w:val="0009342A"/>
    <w:rsid w:val="00093D67"/>
    <w:rsid w:val="00093E60"/>
    <w:rsid w:val="00096D8E"/>
    <w:rsid w:val="000A18B7"/>
    <w:rsid w:val="000A1A2E"/>
    <w:rsid w:val="000A20C7"/>
    <w:rsid w:val="000A2C1E"/>
    <w:rsid w:val="000A4697"/>
    <w:rsid w:val="000A4B7F"/>
    <w:rsid w:val="000A5D39"/>
    <w:rsid w:val="000A625C"/>
    <w:rsid w:val="000A7FE8"/>
    <w:rsid w:val="000B083D"/>
    <w:rsid w:val="000B0B1F"/>
    <w:rsid w:val="000B15EC"/>
    <w:rsid w:val="000B1948"/>
    <w:rsid w:val="000B194A"/>
    <w:rsid w:val="000B1C75"/>
    <w:rsid w:val="000B2728"/>
    <w:rsid w:val="000B2D30"/>
    <w:rsid w:val="000B3943"/>
    <w:rsid w:val="000B4477"/>
    <w:rsid w:val="000B44FC"/>
    <w:rsid w:val="000B7BC2"/>
    <w:rsid w:val="000C0102"/>
    <w:rsid w:val="000C0704"/>
    <w:rsid w:val="000C114D"/>
    <w:rsid w:val="000C28D8"/>
    <w:rsid w:val="000C2B07"/>
    <w:rsid w:val="000C3798"/>
    <w:rsid w:val="000C39CC"/>
    <w:rsid w:val="000C512F"/>
    <w:rsid w:val="000C6066"/>
    <w:rsid w:val="000C7566"/>
    <w:rsid w:val="000D1245"/>
    <w:rsid w:val="000D16BC"/>
    <w:rsid w:val="000D188E"/>
    <w:rsid w:val="000D237A"/>
    <w:rsid w:val="000D3238"/>
    <w:rsid w:val="000D5335"/>
    <w:rsid w:val="000D60C9"/>
    <w:rsid w:val="000D642F"/>
    <w:rsid w:val="000D6E13"/>
    <w:rsid w:val="000D72B7"/>
    <w:rsid w:val="000D765D"/>
    <w:rsid w:val="000D7B87"/>
    <w:rsid w:val="000E0B7A"/>
    <w:rsid w:val="000E1AE2"/>
    <w:rsid w:val="000E1AF2"/>
    <w:rsid w:val="000E3A52"/>
    <w:rsid w:val="000E4FE4"/>
    <w:rsid w:val="000E53BA"/>
    <w:rsid w:val="000E6B10"/>
    <w:rsid w:val="000E6C3C"/>
    <w:rsid w:val="000E7B86"/>
    <w:rsid w:val="000F077B"/>
    <w:rsid w:val="000F284A"/>
    <w:rsid w:val="000F2B66"/>
    <w:rsid w:val="000F38D1"/>
    <w:rsid w:val="000F3A64"/>
    <w:rsid w:val="000F3D83"/>
    <w:rsid w:val="000F40E0"/>
    <w:rsid w:val="000F5D32"/>
    <w:rsid w:val="000F6396"/>
    <w:rsid w:val="000F7C8D"/>
    <w:rsid w:val="000F7D33"/>
    <w:rsid w:val="0010022B"/>
    <w:rsid w:val="00100F12"/>
    <w:rsid w:val="00101842"/>
    <w:rsid w:val="00103589"/>
    <w:rsid w:val="00104586"/>
    <w:rsid w:val="001045C9"/>
    <w:rsid w:val="001048B7"/>
    <w:rsid w:val="0010677B"/>
    <w:rsid w:val="0010713E"/>
    <w:rsid w:val="00107CC1"/>
    <w:rsid w:val="00107CD8"/>
    <w:rsid w:val="00107E2B"/>
    <w:rsid w:val="00111A92"/>
    <w:rsid w:val="00112109"/>
    <w:rsid w:val="00112264"/>
    <w:rsid w:val="001124D5"/>
    <w:rsid w:val="001145C3"/>
    <w:rsid w:val="0011590A"/>
    <w:rsid w:val="001161D2"/>
    <w:rsid w:val="001179DB"/>
    <w:rsid w:val="00117B9F"/>
    <w:rsid w:val="00120015"/>
    <w:rsid w:val="0012143D"/>
    <w:rsid w:val="0012335B"/>
    <w:rsid w:val="00123EED"/>
    <w:rsid w:val="00123FF2"/>
    <w:rsid w:val="00124C1C"/>
    <w:rsid w:val="001250D0"/>
    <w:rsid w:val="0012511B"/>
    <w:rsid w:val="001301EE"/>
    <w:rsid w:val="00130666"/>
    <w:rsid w:val="0013109F"/>
    <w:rsid w:val="0013139E"/>
    <w:rsid w:val="00131DF1"/>
    <w:rsid w:val="001325A1"/>
    <w:rsid w:val="00132C38"/>
    <w:rsid w:val="00133984"/>
    <w:rsid w:val="00133EAD"/>
    <w:rsid w:val="001347EB"/>
    <w:rsid w:val="00134C89"/>
    <w:rsid w:val="001350FA"/>
    <w:rsid w:val="0013635C"/>
    <w:rsid w:val="001365C4"/>
    <w:rsid w:val="00137D1A"/>
    <w:rsid w:val="0014005F"/>
    <w:rsid w:val="0014147D"/>
    <w:rsid w:val="00141CF7"/>
    <w:rsid w:val="00141D29"/>
    <w:rsid w:val="0014506A"/>
    <w:rsid w:val="001451CA"/>
    <w:rsid w:val="00145D5F"/>
    <w:rsid w:val="00145EB9"/>
    <w:rsid w:val="0014682C"/>
    <w:rsid w:val="0014728F"/>
    <w:rsid w:val="00147E28"/>
    <w:rsid w:val="00151D3E"/>
    <w:rsid w:val="001521A2"/>
    <w:rsid w:val="00152358"/>
    <w:rsid w:val="00152F3F"/>
    <w:rsid w:val="00154B6B"/>
    <w:rsid w:val="00155B04"/>
    <w:rsid w:val="00155BD4"/>
    <w:rsid w:val="00155BFF"/>
    <w:rsid w:val="00156CD3"/>
    <w:rsid w:val="00156DEF"/>
    <w:rsid w:val="00156E1D"/>
    <w:rsid w:val="00157B09"/>
    <w:rsid w:val="00160F66"/>
    <w:rsid w:val="00162CCB"/>
    <w:rsid w:val="00162E2C"/>
    <w:rsid w:val="001633AF"/>
    <w:rsid w:val="00164075"/>
    <w:rsid w:val="0016490D"/>
    <w:rsid w:val="00166A6C"/>
    <w:rsid w:val="00167150"/>
    <w:rsid w:val="00167AE7"/>
    <w:rsid w:val="0017036A"/>
    <w:rsid w:val="00170F59"/>
    <w:rsid w:val="0017263C"/>
    <w:rsid w:val="00172873"/>
    <w:rsid w:val="00172D87"/>
    <w:rsid w:val="00172FC4"/>
    <w:rsid w:val="00173825"/>
    <w:rsid w:val="00173EDD"/>
    <w:rsid w:val="0017402B"/>
    <w:rsid w:val="00174FF4"/>
    <w:rsid w:val="00175F6C"/>
    <w:rsid w:val="001800C4"/>
    <w:rsid w:val="0018070B"/>
    <w:rsid w:val="00181161"/>
    <w:rsid w:val="00181D37"/>
    <w:rsid w:val="0018222A"/>
    <w:rsid w:val="0018233C"/>
    <w:rsid w:val="001826AA"/>
    <w:rsid w:val="001835B7"/>
    <w:rsid w:val="0018385F"/>
    <w:rsid w:val="0018426B"/>
    <w:rsid w:val="00184354"/>
    <w:rsid w:val="00184D7C"/>
    <w:rsid w:val="001851DC"/>
    <w:rsid w:val="00185A37"/>
    <w:rsid w:val="00187333"/>
    <w:rsid w:val="00190993"/>
    <w:rsid w:val="001913BD"/>
    <w:rsid w:val="001919C5"/>
    <w:rsid w:val="0019294F"/>
    <w:rsid w:val="00192D93"/>
    <w:rsid w:val="00194309"/>
    <w:rsid w:val="00194D6A"/>
    <w:rsid w:val="0019578F"/>
    <w:rsid w:val="00195AE4"/>
    <w:rsid w:val="0019660E"/>
    <w:rsid w:val="00196A4A"/>
    <w:rsid w:val="00196B05"/>
    <w:rsid w:val="00197382"/>
    <w:rsid w:val="00197F20"/>
    <w:rsid w:val="001A0149"/>
    <w:rsid w:val="001A01D7"/>
    <w:rsid w:val="001A0B15"/>
    <w:rsid w:val="001A1BB1"/>
    <w:rsid w:val="001A31B2"/>
    <w:rsid w:val="001A4A3E"/>
    <w:rsid w:val="001A6685"/>
    <w:rsid w:val="001A708F"/>
    <w:rsid w:val="001A7483"/>
    <w:rsid w:val="001A77F2"/>
    <w:rsid w:val="001A7A60"/>
    <w:rsid w:val="001B0AD9"/>
    <w:rsid w:val="001B230A"/>
    <w:rsid w:val="001B39E2"/>
    <w:rsid w:val="001B3A65"/>
    <w:rsid w:val="001B3A9E"/>
    <w:rsid w:val="001B426B"/>
    <w:rsid w:val="001B52B8"/>
    <w:rsid w:val="001B663E"/>
    <w:rsid w:val="001C1903"/>
    <w:rsid w:val="001C21A3"/>
    <w:rsid w:val="001C2876"/>
    <w:rsid w:val="001C2B26"/>
    <w:rsid w:val="001C3228"/>
    <w:rsid w:val="001C3A32"/>
    <w:rsid w:val="001C4B7B"/>
    <w:rsid w:val="001C6015"/>
    <w:rsid w:val="001C6509"/>
    <w:rsid w:val="001C74FD"/>
    <w:rsid w:val="001D45FC"/>
    <w:rsid w:val="001D48BF"/>
    <w:rsid w:val="001D4F09"/>
    <w:rsid w:val="001D5711"/>
    <w:rsid w:val="001D5D0E"/>
    <w:rsid w:val="001D6632"/>
    <w:rsid w:val="001D69F4"/>
    <w:rsid w:val="001D6B99"/>
    <w:rsid w:val="001D77BA"/>
    <w:rsid w:val="001E0085"/>
    <w:rsid w:val="001E1C83"/>
    <w:rsid w:val="001E22B3"/>
    <w:rsid w:val="001E2F4E"/>
    <w:rsid w:val="001E3801"/>
    <w:rsid w:val="001E4004"/>
    <w:rsid w:val="001E547C"/>
    <w:rsid w:val="001E55BE"/>
    <w:rsid w:val="001E55F9"/>
    <w:rsid w:val="001E7594"/>
    <w:rsid w:val="001E7F66"/>
    <w:rsid w:val="001F024E"/>
    <w:rsid w:val="001F1482"/>
    <w:rsid w:val="001F1FD9"/>
    <w:rsid w:val="001F20D7"/>
    <w:rsid w:val="001F2447"/>
    <w:rsid w:val="001F4B0E"/>
    <w:rsid w:val="001F4FEC"/>
    <w:rsid w:val="001F506C"/>
    <w:rsid w:val="001F555C"/>
    <w:rsid w:val="001F62FF"/>
    <w:rsid w:val="001F7744"/>
    <w:rsid w:val="001F7BF6"/>
    <w:rsid w:val="00200DBF"/>
    <w:rsid w:val="002014EB"/>
    <w:rsid w:val="00202B1A"/>
    <w:rsid w:val="002039DF"/>
    <w:rsid w:val="00204979"/>
    <w:rsid w:val="002057EB"/>
    <w:rsid w:val="002062EE"/>
    <w:rsid w:val="00207B56"/>
    <w:rsid w:val="002111F2"/>
    <w:rsid w:val="00211D69"/>
    <w:rsid w:val="00214372"/>
    <w:rsid w:val="00214EE1"/>
    <w:rsid w:val="00215ACA"/>
    <w:rsid w:val="00216D03"/>
    <w:rsid w:val="00216F22"/>
    <w:rsid w:val="00216F88"/>
    <w:rsid w:val="002179DB"/>
    <w:rsid w:val="00221A2A"/>
    <w:rsid w:val="00221EEC"/>
    <w:rsid w:val="00221F74"/>
    <w:rsid w:val="00222909"/>
    <w:rsid w:val="00223F2C"/>
    <w:rsid w:val="002242F5"/>
    <w:rsid w:val="002252C7"/>
    <w:rsid w:val="00227E21"/>
    <w:rsid w:val="00227E48"/>
    <w:rsid w:val="00230577"/>
    <w:rsid w:val="0023209D"/>
    <w:rsid w:val="002329AF"/>
    <w:rsid w:val="002333F8"/>
    <w:rsid w:val="00233D79"/>
    <w:rsid w:val="002340CB"/>
    <w:rsid w:val="00234F36"/>
    <w:rsid w:val="00235381"/>
    <w:rsid w:val="00236326"/>
    <w:rsid w:val="0023658E"/>
    <w:rsid w:val="00237657"/>
    <w:rsid w:val="00242068"/>
    <w:rsid w:val="00242237"/>
    <w:rsid w:val="0024226A"/>
    <w:rsid w:val="00242BA7"/>
    <w:rsid w:val="00242D3C"/>
    <w:rsid w:val="002437B5"/>
    <w:rsid w:val="0024388F"/>
    <w:rsid w:val="002447EF"/>
    <w:rsid w:val="00244EC7"/>
    <w:rsid w:val="00244EF1"/>
    <w:rsid w:val="00245073"/>
    <w:rsid w:val="00246D05"/>
    <w:rsid w:val="00246F21"/>
    <w:rsid w:val="00246FA3"/>
    <w:rsid w:val="0024705E"/>
    <w:rsid w:val="00250881"/>
    <w:rsid w:val="00251D3A"/>
    <w:rsid w:val="00251F36"/>
    <w:rsid w:val="00252BC5"/>
    <w:rsid w:val="00253E78"/>
    <w:rsid w:val="00254E99"/>
    <w:rsid w:val="00257A89"/>
    <w:rsid w:val="002626D2"/>
    <w:rsid w:val="00262A0A"/>
    <w:rsid w:val="00262C3C"/>
    <w:rsid w:val="00263126"/>
    <w:rsid w:val="0026438E"/>
    <w:rsid w:val="002644DC"/>
    <w:rsid w:val="00264A87"/>
    <w:rsid w:val="00264C88"/>
    <w:rsid w:val="0026532C"/>
    <w:rsid w:val="0026575D"/>
    <w:rsid w:val="00265D80"/>
    <w:rsid w:val="00266016"/>
    <w:rsid w:val="00266021"/>
    <w:rsid w:val="00266C34"/>
    <w:rsid w:val="002705B0"/>
    <w:rsid w:val="00271553"/>
    <w:rsid w:val="002717A6"/>
    <w:rsid w:val="00272015"/>
    <w:rsid w:val="00273C10"/>
    <w:rsid w:val="0027458F"/>
    <w:rsid w:val="00274B4C"/>
    <w:rsid w:val="00276264"/>
    <w:rsid w:val="00276661"/>
    <w:rsid w:val="0027709E"/>
    <w:rsid w:val="00281707"/>
    <w:rsid w:val="002817FF"/>
    <w:rsid w:val="00281DCA"/>
    <w:rsid w:val="002828F4"/>
    <w:rsid w:val="00282DC1"/>
    <w:rsid w:val="00285721"/>
    <w:rsid w:val="00287C37"/>
    <w:rsid w:val="00290A17"/>
    <w:rsid w:val="00290C01"/>
    <w:rsid w:val="00292821"/>
    <w:rsid w:val="00292A05"/>
    <w:rsid w:val="00294EFD"/>
    <w:rsid w:val="002966A8"/>
    <w:rsid w:val="00297114"/>
    <w:rsid w:val="00297B04"/>
    <w:rsid w:val="002A056C"/>
    <w:rsid w:val="002A0F5E"/>
    <w:rsid w:val="002A12FF"/>
    <w:rsid w:val="002A2271"/>
    <w:rsid w:val="002A4679"/>
    <w:rsid w:val="002A4833"/>
    <w:rsid w:val="002A582A"/>
    <w:rsid w:val="002A5C07"/>
    <w:rsid w:val="002A66A5"/>
    <w:rsid w:val="002A6EBB"/>
    <w:rsid w:val="002A76C8"/>
    <w:rsid w:val="002A7F05"/>
    <w:rsid w:val="002B1F77"/>
    <w:rsid w:val="002B21E9"/>
    <w:rsid w:val="002B2B87"/>
    <w:rsid w:val="002B4A04"/>
    <w:rsid w:val="002B4E0F"/>
    <w:rsid w:val="002B5754"/>
    <w:rsid w:val="002B71D0"/>
    <w:rsid w:val="002C01DD"/>
    <w:rsid w:val="002C04FB"/>
    <w:rsid w:val="002C0D05"/>
    <w:rsid w:val="002C109F"/>
    <w:rsid w:val="002C14A0"/>
    <w:rsid w:val="002C1F4E"/>
    <w:rsid w:val="002C258B"/>
    <w:rsid w:val="002C457C"/>
    <w:rsid w:val="002C5B95"/>
    <w:rsid w:val="002C6642"/>
    <w:rsid w:val="002C6F23"/>
    <w:rsid w:val="002C7026"/>
    <w:rsid w:val="002C7E08"/>
    <w:rsid w:val="002D0002"/>
    <w:rsid w:val="002D089F"/>
    <w:rsid w:val="002D55EF"/>
    <w:rsid w:val="002D5635"/>
    <w:rsid w:val="002D593C"/>
    <w:rsid w:val="002D64C5"/>
    <w:rsid w:val="002D65E8"/>
    <w:rsid w:val="002D7D32"/>
    <w:rsid w:val="002D7FC8"/>
    <w:rsid w:val="002E02E5"/>
    <w:rsid w:val="002E0478"/>
    <w:rsid w:val="002E076D"/>
    <w:rsid w:val="002E0791"/>
    <w:rsid w:val="002E1915"/>
    <w:rsid w:val="002E1B92"/>
    <w:rsid w:val="002E5BB9"/>
    <w:rsid w:val="002E5F59"/>
    <w:rsid w:val="002E7B5B"/>
    <w:rsid w:val="002E7B81"/>
    <w:rsid w:val="002F09FB"/>
    <w:rsid w:val="002F0FE3"/>
    <w:rsid w:val="002F1AF0"/>
    <w:rsid w:val="002F2530"/>
    <w:rsid w:val="002F272A"/>
    <w:rsid w:val="002F2EA3"/>
    <w:rsid w:val="002F3225"/>
    <w:rsid w:val="002F4420"/>
    <w:rsid w:val="002F47AB"/>
    <w:rsid w:val="002F53B4"/>
    <w:rsid w:val="002F72B9"/>
    <w:rsid w:val="002F76D6"/>
    <w:rsid w:val="002F7DA2"/>
    <w:rsid w:val="00302332"/>
    <w:rsid w:val="00303506"/>
    <w:rsid w:val="00305364"/>
    <w:rsid w:val="00307057"/>
    <w:rsid w:val="00311B6F"/>
    <w:rsid w:val="00312819"/>
    <w:rsid w:val="00312E9C"/>
    <w:rsid w:val="00313291"/>
    <w:rsid w:val="00313875"/>
    <w:rsid w:val="00313896"/>
    <w:rsid w:val="00313954"/>
    <w:rsid w:val="003203BF"/>
    <w:rsid w:val="00321369"/>
    <w:rsid w:val="00321843"/>
    <w:rsid w:val="00321F11"/>
    <w:rsid w:val="00321F55"/>
    <w:rsid w:val="00323536"/>
    <w:rsid w:val="00323948"/>
    <w:rsid w:val="00324082"/>
    <w:rsid w:val="003240CA"/>
    <w:rsid w:val="003249A2"/>
    <w:rsid w:val="00326429"/>
    <w:rsid w:val="003264F7"/>
    <w:rsid w:val="0032713D"/>
    <w:rsid w:val="00327590"/>
    <w:rsid w:val="00327C0E"/>
    <w:rsid w:val="003300CA"/>
    <w:rsid w:val="00330787"/>
    <w:rsid w:val="003344F9"/>
    <w:rsid w:val="00334B37"/>
    <w:rsid w:val="00334E07"/>
    <w:rsid w:val="00334EB7"/>
    <w:rsid w:val="003361B2"/>
    <w:rsid w:val="00337493"/>
    <w:rsid w:val="00337B76"/>
    <w:rsid w:val="0034285F"/>
    <w:rsid w:val="00342917"/>
    <w:rsid w:val="00342B63"/>
    <w:rsid w:val="00342ED6"/>
    <w:rsid w:val="003435E4"/>
    <w:rsid w:val="00345567"/>
    <w:rsid w:val="00345BA1"/>
    <w:rsid w:val="003464A4"/>
    <w:rsid w:val="00346643"/>
    <w:rsid w:val="00351684"/>
    <w:rsid w:val="00354458"/>
    <w:rsid w:val="003546A0"/>
    <w:rsid w:val="00354DEA"/>
    <w:rsid w:val="00355EFE"/>
    <w:rsid w:val="00356982"/>
    <w:rsid w:val="003578CE"/>
    <w:rsid w:val="0036152A"/>
    <w:rsid w:val="003617C1"/>
    <w:rsid w:val="00363653"/>
    <w:rsid w:val="003645EA"/>
    <w:rsid w:val="0036488C"/>
    <w:rsid w:val="0036509D"/>
    <w:rsid w:val="00365537"/>
    <w:rsid w:val="00365D16"/>
    <w:rsid w:val="00370C18"/>
    <w:rsid w:val="00371192"/>
    <w:rsid w:val="0037228C"/>
    <w:rsid w:val="003738FD"/>
    <w:rsid w:val="003767BE"/>
    <w:rsid w:val="003771BC"/>
    <w:rsid w:val="003772BD"/>
    <w:rsid w:val="00380A33"/>
    <w:rsid w:val="003810BE"/>
    <w:rsid w:val="00384FE4"/>
    <w:rsid w:val="00385F03"/>
    <w:rsid w:val="0038664C"/>
    <w:rsid w:val="00386F6C"/>
    <w:rsid w:val="00386FC1"/>
    <w:rsid w:val="00387709"/>
    <w:rsid w:val="00387794"/>
    <w:rsid w:val="00387BF7"/>
    <w:rsid w:val="00387FF4"/>
    <w:rsid w:val="003909FE"/>
    <w:rsid w:val="0039140F"/>
    <w:rsid w:val="003916A1"/>
    <w:rsid w:val="00391993"/>
    <w:rsid w:val="003922D0"/>
    <w:rsid w:val="00392AD2"/>
    <w:rsid w:val="0039333B"/>
    <w:rsid w:val="00393D8A"/>
    <w:rsid w:val="00394764"/>
    <w:rsid w:val="003958B9"/>
    <w:rsid w:val="00395C5E"/>
    <w:rsid w:val="00396332"/>
    <w:rsid w:val="00396D96"/>
    <w:rsid w:val="00397162"/>
    <w:rsid w:val="003A09C7"/>
    <w:rsid w:val="003A1803"/>
    <w:rsid w:val="003A1A85"/>
    <w:rsid w:val="003A25D0"/>
    <w:rsid w:val="003A266A"/>
    <w:rsid w:val="003A2748"/>
    <w:rsid w:val="003A2DC0"/>
    <w:rsid w:val="003A335E"/>
    <w:rsid w:val="003A3CEE"/>
    <w:rsid w:val="003A3DD2"/>
    <w:rsid w:val="003A52E5"/>
    <w:rsid w:val="003A5CDA"/>
    <w:rsid w:val="003A6B82"/>
    <w:rsid w:val="003B2828"/>
    <w:rsid w:val="003B3573"/>
    <w:rsid w:val="003B43B0"/>
    <w:rsid w:val="003B5813"/>
    <w:rsid w:val="003B6D8E"/>
    <w:rsid w:val="003C03EA"/>
    <w:rsid w:val="003C196B"/>
    <w:rsid w:val="003C1E86"/>
    <w:rsid w:val="003C3E71"/>
    <w:rsid w:val="003C5E9E"/>
    <w:rsid w:val="003C6E04"/>
    <w:rsid w:val="003C6E1D"/>
    <w:rsid w:val="003C72CD"/>
    <w:rsid w:val="003C743E"/>
    <w:rsid w:val="003C74F8"/>
    <w:rsid w:val="003D058C"/>
    <w:rsid w:val="003D123A"/>
    <w:rsid w:val="003D1B02"/>
    <w:rsid w:val="003D3EB6"/>
    <w:rsid w:val="003D47C0"/>
    <w:rsid w:val="003D76B1"/>
    <w:rsid w:val="003D7EEC"/>
    <w:rsid w:val="003E027D"/>
    <w:rsid w:val="003E02AA"/>
    <w:rsid w:val="003E0DFA"/>
    <w:rsid w:val="003E17A6"/>
    <w:rsid w:val="003E1EB8"/>
    <w:rsid w:val="003E23AC"/>
    <w:rsid w:val="003E4AA5"/>
    <w:rsid w:val="003E52AB"/>
    <w:rsid w:val="003E786F"/>
    <w:rsid w:val="003F1CEC"/>
    <w:rsid w:val="003F22FF"/>
    <w:rsid w:val="003F24DF"/>
    <w:rsid w:val="003F27B7"/>
    <w:rsid w:val="003F3075"/>
    <w:rsid w:val="003F40F5"/>
    <w:rsid w:val="003F43BF"/>
    <w:rsid w:val="003F4EA2"/>
    <w:rsid w:val="003F6BE4"/>
    <w:rsid w:val="00401C6D"/>
    <w:rsid w:val="00401CB8"/>
    <w:rsid w:val="00403B54"/>
    <w:rsid w:val="00403CF8"/>
    <w:rsid w:val="00403F83"/>
    <w:rsid w:val="0040484D"/>
    <w:rsid w:val="00407459"/>
    <w:rsid w:val="004074C0"/>
    <w:rsid w:val="00410236"/>
    <w:rsid w:val="004102BB"/>
    <w:rsid w:val="0041217B"/>
    <w:rsid w:val="00412E50"/>
    <w:rsid w:val="00412E89"/>
    <w:rsid w:val="00412F41"/>
    <w:rsid w:val="004134B8"/>
    <w:rsid w:val="0041473F"/>
    <w:rsid w:val="00414D01"/>
    <w:rsid w:val="0041693D"/>
    <w:rsid w:val="00416BC6"/>
    <w:rsid w:val="00416F72"/>
    <w:rsid w:val="00417000"/>
    <w:rsid w:val="004170FE"/>
    <w:rsid w:val="004179C3"/>
    <w:rsid w:val="00417AA3"/>
    <w:rsid w:val="00417DAD"/>
    <w:rsid w:val="004209E6"/>
    <w:rsid w:val="004225E1"/>
    <w:rsid w:val="0042324B"/>
    <w:rsid w:val="004233EA"/>
    <w:rsid w:val="004234E8"/>
    <w:rsid w:val="00424077"/>
    <w:rsid w:val="0042520A"/>
    <w:rsid w:val="00425B0B"/>
    <w:rsid w:val="00426805"/>
    <w:rsid w:val="00427E95"/>
    <w:rsid w:val="00430150"/>
    <w:rsid w:val="004302F9"/>
    <w:rsid w:val="004305C5"/>
    <w:rsid w:val="0043229B"/>
    <w:rsid w:val="00432EF1"/>
    <w:rsid w:val="00433351"/>
    <w:rsid w:val="00435287"/>
    <w:rsid w:val="004360DE"/>
    <w:rsid w:val="00436568"/>
    <w:rsid w:val="0043675D"/>
    <w:rsid w:val="00440A22"/>
    <w:rsid w:val="00442FDD"/>
    <w:rsid w:val="004431F4"/>
    <w:rsid w:val="00444A34"/>
    <w:rsid w:val="004450F3"/>
    <w:rsid w:val="00447DA6"/>
    <w:rsid w:val="00450713"/>
    <w:rsid w:val="004509EB"/>
    <w:rsid w:val="004537A3"/>
    <w:rsid w:val="004547A6"/>
    <w:rsid w:val="00454A08"/>
    <w:rsid w:val="00454CB5"/>
    <w:rsid w:val="0045550E"/>
    <w:rsid w:val="0045579B"/>
    <w:rsid w:val="00456456"/>
    <w:rsid w:val="00456554"/>
    <w:rsid w:val="0045751D"/>
    <w:rsid w:val="00457E2E"/>
    <w:rsid w:val="004613F3"/>
    <w:rsid w:val="00462367"/>
    <w:rsid w:val="0046490C"/>
    <w:rsid w:val="00465A21"/>
    <w:rsid w:val="00465A74"/>
    <w:rsid w:val="00465EE5"/>
    <w:rsid w:val="00466248"/>
    <w:rsid w:val="00466BCF"/>
    <w:rsid w:val="00467F57"/>
    <w:rsid w:val="00467F68"/>
    <w:rsid w:val="00470287"/>
    <w:rsid w:val="00470733"/>
    <w:rsid w:val="00471E60"/>
    <w:rsid w:val="004727F7"/>
    <w:rsid w:val="0047343E"/>
    <w:rsid w:val="004735A4"/>
    <w:rsid w:val="00474CD6"/>
    <w:rsid w:val="00476319"/>
    <w:rsid w:val="00476FDC"/>
    <w:rsid w:val="004779DC"/>
    <w:rsid w:val="00477C53"/>
    <w:rsid w:val="00482B4D"/>
    <w:rsid w:val="00483805"/>
    <w:rsid w:val="00485380"/>
    <w:rsid w:val="00485E8E"/>
    <w:rsid w:val="00487859"/>
    <w:rsid w:val="0049049E"/>
    <w:rsid w:val="00491B8B"/>
    <w:rsid w:val="00492A09"/>
    <w:rsid w:val="004937A7"/>
    <w:rsid w:val="00493D87"/>
    <w:rsid w:val="0049452D"/>
    <w:rsid w:val="004947B9"/>
    <w:rsid w:val="004950D4"/>
    <w:rsid w:val="0049550F"/>
    <w:rsid w:val="00496742"/>
    <w:rsid w:val="00496F75"/>
    <w:rsid w:val="004A0506"/>
    <w:rsid w:val="004A09C6"/>
    <w:rsid w:val="004A0AC4"/>
    <w:rsid w:val="004A2342"/>
    <w:rsid w:val="004A2F62"/>
    <w:rsid w:val="004A31F3"/>
    <w:rsid w:val="004A3EF2"/>
    <w:rsid w:val="004A4195"/>
    <w:rsid w:val="004A4EDF"/>
    <w:rsid w:val="004A68CE"/>
    <w:rsid w:val="004A78AD"/>
    <w:rsid w:val="004B1801"/>
    <w:rsid w:val="004B1B54"/>
    <w:rsid w:val="004B1DB8"/>
    <w:rsid w:val="004B2234"/>
    <w:rsid w:val="004B2421"/>
    <w:rsid w:val="004B2F01"/>
    <w:rsid w:val="004B3768"/>
    <w:rsid w:val="004B406F"/>
    <w:rsid w:val="004B4182"/>
    <w:rsid w:val="004B4538"/>
    <w:rsid w:val="004B617A"/>
    <w:rsid w:val="004B6452"/>
    <w:rsid w:val="004B6FB6"/>
    <w:rsid w:val="004B7436"/>
    <w:rsid w:val="004B760B"/>
    <w:rsid w:val="004B7D31"/>
    <w:rsid w:val="004B7FE8"/>
    <w:rsid w:val="004C2EBE"/>
    <w:rsid w:val="004C3423"/>
    <w:rsid w:val="004C4BF5"/>
    <w:rsid w:val="004C571D"/>
    <w:rsid w:val="004C7733"/>
    <w:rsid w:val="004C7D9C"/>
    <w:rsid w:val="004D19FD"/>
    <w:rsid w:val="004D3088"/>
    <w:rsid w:val="004D35A2"/>
    <w:rsid w:val="004D525B"/>
    <w:rsid w:val="004D5553"/>
    <w:rsid w:val="004D5C50"/>
    <w:rsid w:val="004D5FD1"/>
    <w:rsid w:val="004D712A"/>
    <w:rsid w:val="004E0A7D"/>
    <w:rsid w:val="004E1B1A"/>
    <w:rsid w:val="004E2D9C"/>
    <w:rsid w:val="004E2EDD"/>
    <w:rsid w:val="004E364B"/>
    <w:rsid w:val="004E39AA"/>
    <w:rsid w:val="004E3C77"/>
    <w:rsid w:val="004E427B"/>
    <w:rsid w:val="004E49ED"/>
    <w:rsid w:val="004E58EF"/>
    <w:rsid w:val="004E6629"/>
    <w:rsid w:val="004F148F"/>
    <w:rsid w:val="004F1913"/>
    <w:rsid w:val="004F1DDB"/>
    <w:rsid w:val="004F2322"/>
    <w:rsid w:val="004F258B"/>
    <w:rsid w:val="004F2656"/>
    <w:rsid w:val="004F37BA"/>
    <w:rsid w:val="004F3C23"/>
    <w:rsid w:val="004F5879"/>
    <w:rsid w:val="004F7C93"/>
    <w:rsid w:val="00500C57"/>
    <w:rsid w:val="00500E61"/>
    <w:rsid w:val="00503706"/>
    <w:rsid w:val="00506105"/>
    <w:rsid w:val="00507630"/>
    <w:rsid w:val="00510319"/>
    <w:rsid w:val="00513162"/>
    <w:rsid w:val="005134DA"/>
    <w:rsid w:val="00513565"/>
    <w:rsid w:val="00513F60"/>
    <w:rsid w:val="00514154"/>
    <w:rsid w:val="00514C8A"/>
    <w:rsid w:val="00515BBA"/>
    <w:rsid w:val="00517EAC"/>
    <w:rsid w:val="00520541"/>
    <w:rsid w:val="0052081A"/>
    <w:rsid w:val="00520B49"/>
    <w:rsid w:val="00520C30"/>
    <w:rsid w:val="00525187"/>
    <w:rsid w:val="00525809"/>
    <w:rsid w:val="00526B8B"/>
    <w:rsid w:val="00530825"/>
    <w:rsid w:val="00530F1B"/>
    <w:rsid w:val="00531583"/>
    <w:rsid w:val="00531802"/>
    <w:rsid w:val="00533420"/>
    <w:rsid w:val="00534DBA"/>
    <w:rsid w:val="00534DEC"/>
    <w:rsid w:val="00535130"/>
    <w:rsid w:val="005361BD"/>
    <w:rsid w:val="00536862"/>
    <w:rsid w:val="005369AB"/>
    <w:rsid w:val="00537302"/>
    <w:rsid w:val="00541466"/>
    <w:rsid w:val="00542A7C"/>
    <w:rsid w:val="00543225"/>
    <w:rsid w:val="0054343B"/>
    <w:rsid w:val="005443B1"/>
    <w:rsid w:val="00545817"/>
    <w:rsid w:val="0054592F"/>
    <w:rsid w:val="005477DC"/>
    <w:rsid w:val="00547E70"/>
    <w:rsid w:val="005507FC"/>
    <w:rsid w:val="005519FF"/>
    <w:rsid w:val="00555509"/>
    <w:rsid w:val="00555A53"/>
    <w:rsid w:val="00557E3B"/>
    <w:rsid w:val="00560273"/>
    <w:rsid w:val="00560581"/>
    <w:rsid w:val="00561C5B"/>
    <w:rsid w:val="00562126"/>
    <w:rsid w:val="00563C85"/>
    <w:rsid w:val="005642B1"/>
    <w:rsid w:val="00564F2D"/>
    <w:rsid w:val="00566C13"/>
    <w:rsid w:val="00566CDA"/>
    <w:rsid w:val="00566D0F"/>
    <w:rsid w:val="0056727E"/>
    <w:rsid w:val="00567BA6"/>
    <w:rsid w:val="00567EBF"/>
    <w:rsid w:val="00570033"/>
    <w:rsid w:val="00570147"/>
    <w:rsid w:val="00571684"/>
    <w:rsid w:val="005717C0"/>
    <w:rsid w:val="005721FF"/>
    <w:rsid w:val="0057307E"/>
    <w:rsid w:val="00573A4C"/>
    <w:rsid w:val="00573D3F"/>
    <w:rsid w:val="00574B79"/>
    <w:rsid w:val="00574D12"/>
    <w:rsid w:val="005757C9"/>
    <w:rsid w:val="00577E4E"/>
    <w:rsid w:val="005800B4"/>
    <w:rsid w:val="0058070B"/>
    <w:rsid w:val="005818D6"/>
    <w:rsid w:val="0058205C"/>
    <w:rsid w:val="00582838"/>
    <w:rsid w:val="0058286F"/>
    <w:rsid w:val="0058296F"/>
    <w:rsid w:val="00582A24"/>
    <w:rsid w:val="00582E03"/>
    <w:rsid w:val="00583FEF"/>
    <w:rsid w:val="00584CED"/>
    <w:rsid w:val="0058533D"/>
    <w:rsid w:val="00586E14"/>
    <w:rsid w:val="00587300"/>
    <w:rsid w:val="005874F1"/>
    <w:rsid w:val="00591251"/>
    <w:rsid w:val="00591806"/>
    <w:rsid w:val="00593749"/>
    <w:rsid w:val="00595E80"/>
    <w:rsid w:val="0059650E"/>
    <w:rsid w:val="00596953"/>
    <w:rsid w:val="00596B63"/>
    <w:rsid w:val="0059774A"/>
    <w:rsid w:val="005A041B"/>
    <w:rsid w:val="005A1DA6"/>
    <w:rsid w:val="005A2D38"/>
    <w:rsid w:val="005A47A5"/>
    <w:rsid w:val="005A56D4"/>
    <w:rsid w:val="005A6030"/>
    <w:rsid w:val="005A677F"/>
    <w:rsid w:val="005B1D27"/>
    <w:rsid w:val="005B387A"/>
    <w:rsid w:val="005B57AD"/>
    <w:rsid w:val="005B722E"/>
    <w:rsid w:val="005C02FE"/>
    <w:rsid w:val="005C105A"/>
    <w:rsid w:val="005C2906"/>
    <w:rsid w:val="005C377B"/>
    <w:rsid w:val="005C4D0D"/>
    <w:rsid w:val="005C50AC"/>
    <w:rsid w:val="005C54C3"/>
    <w:rsid w:val="005C590B"/>
    <w:rsid w:val="005C5B19"/>
    <w:rsid w:val="005C6406"/>
    <w:rsid w:val="005C7C07"/>
    <w:rsid w:val="005C7FD8"/>
    <w:rsid w:val="005D0D46"/>
    <w:rsid w:val="005D1B2B"/>
    <w:rsid w:val="005D2031"/>
    <w:rsid w:val="005D259C"/>
    <w:rsid w:val="005D2DA1"/>
    <w:rsid w:val="005D34CB"/>
    <w:rsid w:val="005D3ABF"/>
    <w:rsid w:val="005D5217"/>
    <w:rsid w:val="005D5933"/>
    <w:rsid w:val="005D6103"/>
    <w:rsid w:val="005D69D1"/>
    <w:rsid w:val="005E0031"/>
    <w:rsid w:val="005E0FE7"/>
    <w:rsid w:val="005E1C9C"/>
    <w:rsid w:val="005E210D"/>
    <w:rsid w:val="005E3470"/>
    <w:rsid w:val="005E35F0"/>
    <w:rsid w:val="005E5789"/>
    <w:rsid w:val="005E6802"/>
    <w:rsid w:val="005F16A7"/>
    <w:rsid w:val="005F2425"/>
    <w:rsid w:val="005F28A8"/>
    <w:rsid w:val="005F3FC0"/>
    <w:rsid w:val="005F4391"/>
    <w:rsid w:val="005F47D3"/>
    <w:rsid w:val="005F4C70"/>
    <w:rsid w:val="005F5406"/>
    <w:rsid w:val="005F5786"/>
    <w:rsid w:val="005F5928"/>
    <w:rsid w:val="005F5EC7"/>
    <w:rsid w:val="005F7207"/>
    <w:rsid w:val="005F796B"/>
    <w:rsid w:val="005F7FCF"/>
    <w:rsid w:val="00600077"/>
    <w:rsid w:val="00601CE1"/>
    <w:rsid w:val="006027A8"/>
    <w:rsid w:val="00605881"/>
    <w:rsid w:val="00605B29"/>
    <w:rsid w:val="00607691"/>
    <w:rsid w:val="00607BDF"/>
    <w:rsid w:val="00607CA6"/>
    <w:rsid w:val="00607CBD"/>
    <w:rsid w:val="0061062C"/>
    <w:rsid w:val="0061242D"/>
    <w:rsid w:val="00613183"/>
    <w:rsid w:val="006132A2"/>
    <w:rsid w:val="006133F0"/>
    <w:rsid w:val="00613AFB"/>
    <w:rsid w:val="0061634F"/>
    <w:rsid w:val="00616379"/>
    <w:rsid w:val="00616888"/>
    <w:rsid w:val="006171CF"/>
    <w:rsid w:val="006176BE"/>
    <w:rsid w:val="006212CB"/>
    <w:rsid w:val="00622278"/>
    <w:rsid w:val="00623353"/>
    <w:rsid w:val="00624255"/>
    <w:rsid w:val="00624B55"/>
    <w:rsid w:val="006279F9"/>
    <w:rsid w:val="00627A50"/>
    <w:rsid w:val="00630963"/>
    <w:rsid w:val="0063304F"/>
    <w:rsid w:val="0063434A"/>
    <w:rsid w:val="00634D3E"/>
    <w:rsid w:val="00635BBB"/>
    <w:rsid w:val="0063651B"/>
    <w:rsid w:val="006369EE"/>
    <w:rsid w:val="00636AC2"/>
    <w:rsid w:val="00637B84"/>
    <w:rsid w:val="0064032F"/>
    <w:rsid w:val="00640D6A"/>
    <w:rsid w:val="00641224"/>
    <w:rsid w:val="0064213D"/>
    <w:rsid w:val="00642C71"/>
    <w:rsid w:val="006431FF"/>
    <w:rsid w:val="00643D28"/>
    <w:rsid w:val="006457CF"/>
    <w:rsid w:val="006461A1"/>
    <w:rsid w:val="0064681E"/>
    <w:rsid w:val="0064700E"/>
    <w:rsid w:val="006477ED"/>
    <w:rsid w:val="00647D15"/>
    <w:rsid w:val="00650183"/>
    <w:rsid w:val="00650677"/>
    <w:rsid w:val="00650E8B"/>
    <w:rsid w:val="00652F6F"/>
    <w:rsid w:val="006551CE"/>
    <w:rsid w:val="00656F3B"/>
    <w:rsid w:val="006579E5"/>
    <w:rsid w:val="00660872"/>
    <w:rsid w:val="00660966"/>
    <w:rsid w:val="00662350"/>
    <w:rsid w:val="00664689"/>
    <w:rsid w:val="00666FB8"/>
    <w:rsid w:val="00670303"/>
    <w:rsid w:val="00671CED"/>
    <w:rsid w:val="006736A9"/>
    <w:rsid w:val="00673A67"/>
    <w:rsid w:val="00673BC7"/>
    <w:rsid w:val="00674975"/>
    <w:rsid w:val="00674A89"/>
    <w:rsid w:val="006756BA"/>
    <w:rsid w:val="00675BCC"/>
    <w:rsid w:val="00675D39"/>
    <w:rsid w:val="00675F95"/>
    <w:rsid w:val="0067725A"/>
    <w:rsid w:val="00677F1C"/>
    <w:rsid w:val="00682E0C"/>
    <w:rsid w:val="0068316A"/>
    <w:rsid w:val="006835F5"/>
    <w:rsid w:val="006851C1"/>
    <w:rsid w:val="0068560B"/>
    <w:rsid w:val="00685783"/>
    <w:rsid w:val="006865B5"/>
    <w:rsid w:val="00687501"/>
    <w:rsid w:val="00690D3D"/>
    <w:rsid w:val="0069108D"/>
    <w:rsid w:val="006914ED"/>
    <w:rsid w:val="006917C7"/>
    <w:rsid w:val="0069245C"/>
    <w:rsid w:val="00692664"/>
    <w:rsid w:val="00693D10"/>
    <w:rsid w:val="006941CE"/>
    <w:rsid w:val="006978F8"/>
    <w:rsid w:val="00697BF7"/>
    <w:rsid w:val="00697C58"/>
    <w:rsid w:val="006A1277"/>
    <w:rsid w:val="006A1C29"/>
    <w:rsid w:val="006A2602"/>
    <w:rsid w:val="006A2A74"/>
    <w:rsid w:val="006A2D41"/>
    <w:rsid w:val="006A2F9E"/>
    <w:rsid w:val="006A4A3B"/>
    <w:rsid w:val="006A4B58"/>
    <w:rsid w:val="006A5E76"/>
    <w:rsid w:val="006A67E1"/>
    <w:rsid w:val="006A762D"/>
    <w:rsid w:val="006B0817"/>
    <w:rsid w:val="006B08FD"/>
    <w:rsid w:val="006B0FD6"/>
    <w:rsid w:val="006B2B4B"/>
    <w:rsid w:val="006B33FF"/>
    <w:rsid w:val="006C11E4"/>
    <w:rsid w:val="006C17FC"/>
    <w:rsid w:val="006C26AD"/>
    <w:rsid w:val="006C27C6"/>
    <w:rsid w:val="006C359A"/>
    <w:rsid w:val="006C36FB"/>
    <w:rsid w:val="006C3A2E"/>
    <w:rsid w:val="006C592F"/>
    <w:rsid w:val="006C6B14"/>
    <w:rsid w:val="006C6B4F"/>
    <w:rsid w:val="006C7D62"/>
    <w:rsid w:val="006D038C"/>
    <w:rsid w:val="006D0B23"/>
    <w:rsid w:val="006D2ED6"/>
    <w:rsid w:val="006D551F"/>
    <w:rsid w:val="006D5685"/>
    <w:rsid w:val="006D6652"/>
    <w:rsid w:val="006E1987"/>
    <w:rsid w:val="006E23B2"/>
    <w:rsid w:val="006E258B"/>
    <w:rsid w:val="006E2801"/>
    <w:rsid w:val="006E2CA5"/>
    <w:rsid w:val="006E30E1"/>
    <w:rsid w:val="006E341E"/>
    <w:rsid w:val="006E49AE"/>
    <w:rsid w:val="006E4BA7"/>
    <w:rsid w:val="006E5207"/>
    <w:rsid w:val="006E56AC"/>
    <w:rsid w:val="006E5DF6"/>
    <w:rsid w:val="006F022A"/>
    <w:rsid w:val="006F2457"/>
    <w:rsid w:val="006F3AEA"/>
    <w:rsid w:val="006F54C0"/>
    <w:rsid w:val="006F5C70"/>
    <w:rsid w:val="006F6A20"/>
    <w:rsid w:val="006F6DDB"/>
    <w:rsid w:val="00702C42"/>
    <w:rsid w:val="00702C60"/>
    <w:rsid w:val="007030BF"/>
    <w:rsid w:val="007039BE"/>
    <w:rsid w:val="007047B2"/>
    <w:rsid w:val="00704DE7"/>
    <w:rsid w:val="007054AA"/>
    <w:rsid w:val="00705CC5"/>
    <w:rsid w:val="00706868"/>
    <w:rsid w:val="007078B8"/>
    <w:rsid w:val="00710241"/>
    <w:rsid w:val="00711612"/>
    <w:rsid w:val="00712308"/>
    <w:rsid w:val="0071233E"/>
    <w:rsid w:val="00713518"/>
    <w:rsid w:val="00715E32"/>
    <w:rsid w:val="007162D1"/>
    <w:rsid w:val="00716463"/>
    <w:rsid w:val="00716725"/>
    <w:rsid w:val="00716D27"/>
    <w:rsid w:val="0071706E"/>
    <w:rsid w:val="007178E1"/>
    <w:rsid w:val="0072578B"/>
    <w:rsid w:val="00726B79"/>
    <w:rsid w:val="00726DD8"/>
    <w:rsid w:val="00727292"/>
    <w:rsid w:val="00730014"/>
    <w:rsid w:val="00730A84"/>
    <w:rsid w:val="00730D33"/>
    <w:rsid w:val="00731B43"/>
    <w:rsid w:val="00732B47"/>
    <w:rsid w:val="00733CF7"/>
    <w:rsid w:val="00735CA2"/>
    <w:rsid w:val="00736683"/>
    <w:rsid w:val="007366B9"/>
    <w:rsid w:val="0073784E"/>
    <w:rsid w:val="00740491"/>
    <w:rsid w:val="00740D75"/>
    <w:rsid w:val="00742F6A"/>
    <w:rsid w:val="007446E8"/>
    <w:rsid w:val="00745769"/>
    <w:rsid w:val="0074712B"/>
    <w:rsid w:val="0075101B"/>
    <w:rsid w:val="00751247"/>
    <w:rsid w:val="00751553"/>
    <w:rsid w:val="0075165E"/>
    <w:rsid w:val="00752B30"/>
    <w:rsid w:val="00754E10"/>
    <w:rsid w:val="00754ED4"/>
    <w:rsid w:val="00755757"/>
    <w:rsid w:val="007563E1"/>
    <w:rsid w:val="0076213F"/>
    <w:rsid w:val="007623C0"/>
    <w:rsid w:val="00762559"/>
    <w:rsid w:val="0076284B"/>
    <w:rsid w:val="00762A29"/>
    <w:rsid w:val="00762C9C"/>
    <w:rsid w:val="0076327D"/>
    <w:rsid w:val="007636A0"/>
    <w:rsid w:val="00763AD6"/>
    <w:rsid w:val="00763F31"/>
    <w:rsid w:val="007652C7"/>
    <w:rsid w:val="007670D0"/>
    <w:rsid w:val="00767475"/>
    <w:rsid w:val="00767745"/>
    <w:rsid w:val="00767915"/>
    <w:rsid w:val="007679A0"/>
    <w:rsid w:val="00767EDC"/>
    <w:rsid w:val="007707FC"/>
    <w:rsid w:val="00770BE3"/>
    <w:rsid w:val="00770D31"/>
    <w:rsid w:val="0077164C"/>
    <w:rsid w:val="0077177A"/>
    <w:rsid w:val="007728A8"/>
    <w:rsid w:val="00772A57"/>
    <w:rsid w:val="007730E9"/>
    <w:rsid w:val="00774132"/>
    <w:rsid w:val="007747F2"/>
    <w:rsid w:val="00774D73"/>
    <w:rsid w:val="00774F14"/>
    <w:rsid w:val="0077536C"/>
    <w:rsid w:val="00775577"/>
    <w:rsid w:val="0077739D"/>
    <w:rsid w:val="0078039D"/>
    <w:rsid w:val="00780A8A"/>
    <w:rsid w:val="00781748"/>
    <w:rsid w:val="00785A76"/>
    <w:rsid w:val="00785C3D"/>
    <w:rsid w:val="00786425"/>
    <w:rsid w:val="00786882"/>
    <w:rsid w:val="00787852"/>
    <w:rsid w:val="007915BC"/>
    <w:rsid w:val="0079287D"/>
    <w:rsid w:val="00793E03"/>
    <w:rsid w:val="007961DA"/>
    <w:rsid w:val="0079629D"/>
    <w:rsid w:val="007967FA"/>
    <w:rsid w:val="007974CE"/>
    <w:rsid w:val="00797DEF"/>
    <w:rsid w:val="00797E7A"/>
    <w:rsid w:val="007A0587"/>
    <w:rsid w:val="007A0EA6"/>
    <w:rsid w:val="007A0FE2"/>
    <w:rsid w:val="007A1AFB"/>
    <w:rsid w:val="007A2D9E"/>
    <w:rsid w:val="007A2EE5"/>
    <w:rsid w:val="007A4F2F"/>
    <w:rsid w:val="007A5794"/>
    <w:rsid w:val="007A5923"/>
    <w:rsid w:val="007A5C76"/>
    <w:rsid w:val="007A65B0"/>
    <w:rsid w:val="007A6BE0"/>
    <w:rsid w:val="007A7701"/>
    <w:rsid w:val="007A7D9C"/>
    <w:rsid w:val="007B0381"/>
    <w:rsid w:val="007B0F3D"/>
    <w:rsid w:val="007B148D"/>
    <w:rsid w:val="007B18C8"/>
    <w:rsid w:val="007B26C6"/>
    <w:rsid w:val="007B26F4"/>
    <w:rsid w:val="007B28DE"/>
    <w:rsid w:val="007B3D90"/>
    <w:rsid w:val="007B5D9A"/>
    <w:rsid w:val="007B63B9"/>
    <w:rsid w:val="007B6531"/>
    <w:rsid w:val="007B7409"/>
    <w:rsid w:val="007B7455"/>
    <w:rsid w:val="007B7A5F"/>
    <w:rsid w:val="007C183B"/>
    <w:rsid w:val="007C2844"/>
    <w:rsid w:val="007C36BE"/>
    <w:rsid w:val="007C42E9"/>
    <w:rsid w:val="007C6E59"/>
    <w:rsid w:val="007C72B2"/>
    <w:rsid w:val="007D004B"/>
    <w:rsid w:val="007D14E4"/>
    <w:rsid w:val="007D275E"/>
    <w:rsid w:val="007D4787"/>
    <w:rsid w:val="007D53ED"/>
    <w:rsid w:val="007D5AA7"/>
    <w:rsid w:val="007D6001"/>
    <w:rsid w:val="007D60DC"/>
    <w:rsid w:val="007D7F94"/>
    <w:rsid w:val="007E15C0"/>
    <w:rsid w:val="007E165E"/>
    <w:rsid w:val="007E1B76"/>
    <w:rsid w:val="007E219A"/>
    <w:rsid w:val="007E2474"/>
    <w:rsid w:val="007E37BF"/>
    <w:rsid w:val="007E45EE"/>
    <w:rsid w:val="007E4DCD"/>
    <w:rsid w:val="007E559E"/>
    <w:rsid w:val="007E6593"/>
    <w:rsid w:val="007E6F17"/>
    <w:rsid w:val="007E71A8"/>
    <w:rsid w:val="007E77FC"/>
    <w:rsid w:val="007F1101"/>
    <w:rsid w:val="007F145A"/>
    <w:rsid w:val="007F2A5B"/>
    <w:rsid w:val="007F2CB1"/>
    <w:rsid w:val="007F3614"/>
    <w:rsid w:val="007F3CDD"/>
    <w:rsid w:val="007F4091"/>
    <w:rsid w:val="007F45E8"/>
    <w:rsid w:val="007F4BF9"/>
    <w:rsid w:val="007F5B8C"/>
    <w:rsid w:val="007F61C8"/>
    <w:rsid w:val="007F7A54"/>
    <w:rsid w:val="007F7B81"/>
    <w:rsid w:val="00800DE5"/>
    <w:rsid w:val="00803D20"/>
    <w:rsid w:val="008049DA"/>
    <w:rsid w:val="00805209"/>
    <w:rsid w:val="00806366"/>
    <w:rsid w:val="00807D22"/>
    <w:rsid w:val="008112A0"/>
    <w:rsid w:val="0081232C"/>
    <w:rsid w:val="00812432"/>
    <w:rsid w:val="00812613"/>
    <w:rsid w:val="00814308"/>
    <w:rsid w:val="008148C3"/>
    <w:rsid w:val="00814CDC"/>
    <w:rsid w:val="00816172"/>
    <w:rsid w:val="00816480"/>
    <w:rsid w:val="0081687D"/>
    <w:rsid w:val="0081696D"/>
    <w:rsid w:val="00816CE1"/>
    <w:rsid w:val="00816E01"/>
    <w:rsid w:val="008173D0"/>
    <w:rsid w:val="00817EFF"/>
    <w:rsid w:val="00820AA2"/>
    <w:rsid w:val="00820BF6"/>
    <w:rsid w:val="0082252C"/>
    <w:rsid w:val="00822FA1"/>
    <w:rsid w:val="00823235"/>
    <w:rsid w:val="00823788"/>
    <w:rsid w:val="008249F1"/>
    <w:rsid w:val="00824AF2"/>
    <w:rsid w:val="00824EB4"/>
    <w:rsid w:val="008255D6"/>
    <w:rsid w:val="00825776"/>
    <w:rsid w:val="00825E59"/>
    <w:rsid w:val="00826686"/>
    <w:rsid w:val="00826D6C"/>
    <w:rsid w:val="00826EF8"/>
    <w:rsid w:val="008318CD"/>
    <w:rsid w:val="00831B6C"/>
    <w:rsid w:val="00834E78"/>
    <w:rsid w:val="00835563"/>
    <w:rsid w:val="00835B69"/>
    <w:rsid w:val="00836511"/>
    <w:rsid w:val="00836B02"/>
    <w:rsid w:val="00836EC6"/>
    <w:rsid w:val="0083741E"/>
    <w:rsid w:val="00837985"/>
    <w:rsid w:val="00840E3D"/>
    <w:rsid w:val="00841D8C"/>
    <w:rsid w:val="00842220"/>
    <w:rsid w:val="00842415"/>
    <w:rsid w:val="00842F70"/>
    <w:rsid w:val="00843F44"/>
    <w:rsid w:val="00844111"/>
    <w:rsid w:val="00844F74"/>
    <w:rsid w:val="00846382"/>
    <w:rsid w:val="008463BA"/>
    <w:rsid w:val="00846493"/>
    <w:rsid w:val="008468C6"/>
    <w:rsid w:val="0084712D"/>
    <w:rsid w:val="008474BE"/>
    <w:rsid w:val="0084773F"/>
    <w:rsid w:val="008506E4"/>
    <w:rsid w:val="00850F57"/>
    <w:rsid w:val="00851136"/>
    <w:rsid w:val="008519CD"/>
    <w:rsid w:val="00851DC3"/>
    <w:rsid w:val="00852C80"/>
    <w:rsid w:val="008536C2"/>
    <w:rsid w:val="0085399C"/>
    <w:rsid w:val="00855390"/>
    <w:rsid w:val="0085660A"/>
    <w:rsid w:val="008600C7"/>
    <w:rsid w:val="008617D0"/>
    <w:rsid w:val="00861A60"/>
    <w:rsid w:val="00862357"/>
    <w:rsid w:val="00862D02"/>
    <w:rsid w:val="008637B9"/>
    <w:rsid w:val="00863930"/>
    <w:rsid w:val="00863F08"/>
    <w:rsid w:val="00864194"/>
    <w:rsid w:val="00865E1E"/>
    <w:rsid w:val="00867AF2"/>
    <w:rsid w:val="00870399"/>
    <w:rsid w:val="00870D71"/>
    <w:rsid w:val="008711EC"/>
    <w:rsid w:val="008715D5"/>
    <w:rsid w:val="008718FE"/>
    <w:rsid w:val="008727F7"/>
    <w:rsid w:val="00872919"/>
    <w:rsid w:val="00872946"/>
    <w:rsid w:val="00873104"/>
    <w:rsid w:val="00873280"/>
    <w:rsid w:val="00874059"/>
    <w:rsid w:val="008740DE"/>
    <w:rsid w:val="008748F7"/>
    <w:rsid w:val="00875494"/>
    <w:rsid w:val="008760E2"/>
    <w:rsid w:val="00883928"/>
    <w:rsid w:val="00883A8D"/>
    <w:rsid w:val="00883DDE"/>
    <w:rsid w:val="00883E96"/>
    <w:rsid w:val="00884BA8"/>
    <w:rsid w:val="00885C7C"/>
    <w:rsid w:val="00887A74"/>
    <w:rsid w:val="008904EF"/>
    <w:rsid w:val="00891372"/>
    <w:rsid w:val="00891D73"/>
    <w:rsid w:val="00892A44"/>
    <w:rsid w:val="00893BB8"/>
    <w:rsid w:val="00896E55"/>
    <w:rsid w:val="008A0985"/>
    <w:rsid w:val="008A268B"/>
    <w:rsid w:val="008A2D0A"/>
    <w:rsid w:val="008A2DE8"/>
    <w:rsid w:val="008A312D"/>
    <w:rsid w:val="008A365E"/>
    <w:rsid w:val="008A3E09"/>
    <w:rsid w:val="008A3E57"/>
    <w:rsid w:val="008A42CA"/>
    <w:rsid w:val="008A43F3"/>
    <w:rsid w:val="008A5349"/>
    <w:rsid w:val="008A6561"/>
    <w:rsid w:val="008A75E5"/>
    <w:rsid w:val="008A77A7"/>
    <w:rsid w:val="008A7AFB"/>
    <w:rsid w:val="008B0A73"/>
    <w:rsid w:val="008B19FF"/>
    <w:rsid w:val="008B1B3D"/>
    <w:rsid w:val="008B2297"/>
    <w:rsid w:val="008B2583"/>
    <w:rsid w:val="008B3F34"/>
    <w:rsid w:val="008B4D88"/>
    <w:rsid w:val="008B5141"/>
    <w:rsid w:val="008B6B78"/>
    <w:rsid w:val="008B7668"/>
    <w:rsid w:val="008C0C72"/>
    <w:rsid w:val="008C0D92"/>
    <w:rsid w:val="008C156C"/>
    <w:rsid w:val="008C1FB4"/>
    <w:rsid w:val="008C2A6C"/>
    <w:rsid w:val="008C49FA"/>
    <w:rsid w:val="008C56B9"/>
    <w:rsid w:val="008D05E0"/>
    <w:rsid w:val="008D0CC3"/>
    <w:rsid w:val="008D0F48"/>
    <w:rsid w:val="008D0FAA"/>
    <w:rsid w:val="008D2600"/>
    <w:rsid w:val="008D3935"/>
    <w:rsid w:val="008D4B34"/>
    <w:rsid w:val="008D4FE5"/>
    <w:rsid w:val="008D5BF4"/>
    <w:rsid w:val="008D68E9"/>
    <w:rsid w:val="008D71AC"/>
    <w:rsid w:val="008D7A02"/>
    <w:rsid w:val="008D7BB8"/>
    <w:rsid w:val="008E0AC0"/>
    <w:rsid w:val="008E0B1E"/>
    <w:rsid w:val="008E0E67"/>
    <w:rsid w:val="008E0F7C"/>
    <w:rsid w:val="008E221A"/>
    <w:rsid w:val="008E393E"/>
    <w:rsid w:val="008E3FFE"/>
    <w:rsid w:val="008E60BE"/>
    <w:rsid w:val="008E6B74"/>
    <w:rsid w:val="008E6E06"/>
    <w:rsid w:val="008E7D6E"/>
    <w:rsid w:val="008E7ED4"/>
    <w:rsid w:val="008F08D9"/>
    <w:rsid w:val="008F0FAF"/>
    <w:rsid w:val="008F1994"/>
    <w:rsid w:val="008F2B8A"/>
    <w:rsid w:val="008F314A"/>
    <w:rsid w:val="008F3BA3"/>
    <w:rsid w:val="008F46CD"/>
    <w:rsid w:val="008F4C72"/>
    <w:rsid w:val="008F5149"/>
    <w:rsid w:val="008F5B1C"/>
    <w:rsid w:val="008F6480"/>
    <w:rsid w:val="008F67F5"/>
    <w:rsid w:val="008F760C"/>
    <w:rsid w:val="008F7740"/>
    <w:rsid w:val="0090036B"/>
    <w:rsid w:val="009003D7"/>
    <w:rsid w:val="00900C82"/>
    <w:rsid w:val="00900C87"/>
    <w:rsid w:val="00900CA2"/>
    <w:rsid w:val="00903653"/>
    <w:rsid w:val="00905151"/>
    <w:rsid w:val="009059DA"/>
    <w:rsid w:val="00905C28"/>
    <w:rsid w:val="00906F4F"/>
    <w:rsid w:val="00907A84"/>
    <w:rsid w:val="00907B69"/>
    <w:rsid w:val="00910A52"/>
    <w:rsid w:val="00911479"/>
    <w:rsid w:val="00911B3A"/>
    <w:rsid w:val="00912005"/>
    <w:rsid w:val="009133CF"/>
    <w:rsid w:val="00913A41"/>
    <w:rsid w:val="0091484D"/>
    <w:rsid w:val="009203DE"/>
    <w:rsid w:val="00920641"/>
    <w:rsid w:val="00921091"/>
    <w:rsid w:val="00922404"/>
    <w:rsid w:val="0092322F"/>
    <w:rsid w:val="00923423"/>
    <w:rsid w:val="0092382B"/>
    <w:rsid w:val="00925746"/>
    <w:rsid w:val="00925DA3"/>
    <w:rsid w:val="00925DD7"/>
    <w:rsid w:val="00925E71"/>
    <w:rsid w:val="00927987"/>
    <w:rsid w:val="00932DFB"/>
    <w:rsid w:val="0093329F"/>
    <w:rsid w:val="009356A9"/>
    <w:rsid w:val="00935CE4"/>
    <w:rsid w:val="00936AD8"/>
    <w:rsid w:val="00937043"/>
    <w:rsid w:val="00940C3E"/>
    <w:rsid w:val="00940F4D"/>
    <w:rsid w:val="0094160B"/>
    <w:rsid w:val="00942D49"/>
    <w:rsid w:val="009443D3"/>
    <w:rsid w:val="009445D3"/>
    <w:rsid w:val="0094579E"/>
    <w:rsid w:val="00945FEA"/>
    <w:rsid w:val="00946289"/>
    <w:rsid w:val="009463AD"/>
    <w:rsid w:val="0094684D"/>
    <w:rsid w:val="00947ACE"/>
    <w:rsid w:val="00950290"/>
    <w:rsid w:val="009504DB"/>
    <w:rsid w:val="00950A4A"/>
    <w:rsid w:val="00951974"/>
    <w:rsid w:val="00951C2F"/>
    <w:rsid w:val="00951E10"/>
    <w:rsid w:val="00954FC7"/>
    <w:rsid w:val="00955A8A"/>
    <w:rsid w:val="00955BE4"/>
    <w:rsid w:val="009569CE"/>
    <w:rsid w:val="00960A6A"/>
    <w:rsid w:val="00961DD4"/>
    <w:rsid w:val="009632AB"/>
    <w:rsid w:val="00963780"/>
    <w:rsid w:val="00963785"/>
    <w:rsid w:val="0096400D"/>
    <w:rsid w:val="009643F0"/>
    <w:rsid w:val="00966600"/>
    <w:rsid w:val="009671D9"/>
    <w:rsid w:val="00967A42"/>
    <w:rsid w:val="00971352"/>
    <w:rsid w:val="00971A12"/>
    <w:rsid w:val="00975E5B"/>
    <w:rsid w:val="00976E11"/>
    <w:rsid w:val="0097759C"/>
    <w:rsid w:val="0097774A"/>
    <w:rsid w:val="00977C8F"/>
    <w:rsid w:val="00977F94"/>
    <w:rsid w:val="00980335"/>
    <w:rsid w:val="00981FD5"/>
    <w:rsid w:val="009863E9"/>
    <w:rsid w:val="00987085"/>
    <w:rsid w:val="00990AA9"/>
    <w:rsid w:val="009911D4"/>
    <w:rsid w:val="009916EC"/>
    <w:rsid w:val="009924E9"/>
    <w:rsid w:val="00992E20"/>
    <w:rsid w:val="00993436"/>
    <w:rsid w:val="00993576"/>
    <w:rsid w:val="009936FC"/>
    <w:rsid w:val="00993925"/>
    <w:rsid w:val="00993977"/>
    <w:rsid w:val="00993E3C"/>
    <w:rsid w:val="00995084"/>
    <w:rsid w:val="0099542B"/>
    <w:rsid w:val="0099696B"/>
    <w:rsid w:val="00996B35"/>
    <w:rsid w:val="009A04ED"/>
    <w:rsid w:val="009A0556"/>
    <w:rsid w:val="009A05D1"/>
    <w:rsid w:val="009A163A"/>
    <w:rsid w:val="009A28AC"/>
    <w:rsid w:val="009A2EB3"/>
    <w:rsid w:val="009A3A5B"/>
    <w:rsid w:val="009A3F2A"/>
    <w:rsid w:val="009A694A"/>
    <w:rsid w:val="009A6CBF"/>
    <w:rsid w:val="009A7ECB"/>
    <w:rsid w:val="009B10D8"/>
    <w:rsid w:val="009B2AAC"/>
    <w:rsid w:val="009B2E88"/>
    <w:rsid w:val="009B3521"/>
    <w:rsid w:val="009B3F03"/>
    <w:rsid w:val="009B3FF2"/>
    <w:rsid w:val="009B541C"/>
    <w:rsid w:val="009B5CC2"/>
    <w:rsid w:val="009B6E98"/>
    <w:rsid w:val="009C06AC"/>
    <w:rsid w:val="009C14DD"/>
    <w:rsid w:val="009C1D1E"/>
    <w:rsid w:val="009C2A6A"/>
    <w:rsid w:val="009C2CF2"/>
    <w:rsid w:val="009C2DE1"/>
    <w:rsid w:val="009C3343"/>
    <w:rsid w:val="009C35DC"/>
    <w:rsid w:val="009C38BB"/>
    <w:rsid w:val="009C3D77"/>
    <w:rsid w:val="009C40B0"/>
    <w:rsid w:val="009C4460"/>
    <w:rsid w:val="009C48E2"/>
    <w:rsid w:val="009C7951"/>
    <w:rsid w:val="009D0668"/>
    <w:rsid w:val="009D0F24"/>
    <w:rsid w:val="009D1A6D"/>
    <w:rsid w:val="009D1D93"/>
    <w:rsid w:val="009D3919"/>
    <w:rsid w:val="009D3DC5"/>
    <w:rsid w:val="009D7153"/>
    <w:rsid w:val="009D7192"/>
    <w:rsid w:val="009E07FB"/>
    <w:rsid w:val="009E0E38"/>
    <w:rsid w:val="009E1A35"/>
    <w:rsid w:val="009E410E"/>
    <w:rsid w:val="009E43A7"/>
    <w:rsid w:val="009E4407"/>
    <w:rsid w:val="009E56BE"/>
    <w:rsid w:val="009E61C3"/>
    <w:rsid w:val="009E714D"/>
    <w:rsid w:val="009F0368"/>
    <w:rsid w:val="009F07DD"/>
    <w:rsid w:val="009F09AA"/>
    <w:rsid w:val="009F09CB"/>
    <w:rsid w:val="009F0C94"/>
    <w:rsid w:val="009F2C16"/>
    <w:rsid w:val="009F2C1B"/>
    <w:rsid w:val="009F335C"/>
    <w:rsid w:val="009F3403"/>
    <w:rsid w:val="009F3889"/>
    <w:rsid w:val="009F3964"/>
    <w:rsid w:val="009F3F1C"/>
    <w:rsid w:val="009F4551"/>
    <w:rsid w:val="009F4F34"/>
    <w:rsid w:val="009F5523"/>
    <w:rsid w:val="009F5A89"/>
    <w:rsid w:val="00A002B5"/>
    <w:rsid w:val="00A00636"/>
    <w:rsid w:val="00A0260C"/>
    <w:rsid w:val="00A041B5"/>
    <w:rsid w:val="00A041D7"/>
    <w:rsid w:val="00A04F8C"/>
    <w:rsid w:val="00A05158"/>
    <w:rsid w:val="00A05B4D"/>
    <w:rsid w:val="00A06429"/>
    <w:rsid w:val="00A11652"/>
    <w:rsid w:val="00A12387"/>
    <w:rsid w:val="00A13BF5"/>
    <w:rsid w:val="00A14837"/>
    <w:rsid w:val="00A1660A"/>
    <w:rsid w:val="00A16892"/>
    <w:rsid w:val="00A16D7F"/>
    <w:rsid w:val="00A1734F"/>
    <w:rsid w:val="00A225E3"/>
    <w:rsid w:val="00A23A26"/>
    <w:rsid w:val="00A23ECC"/>
    <w:rsid w:val="00A2435A"/>
    <w:rsid w:val="00A247E1"/>
    <w:rsid w:val="00A24A8F"/>
    <w:rsid w:val="00A25449"/>
    <w:rsid w:val="00A25708"/>
    <w:rsid w:val="00A25BF0"/>
    <w:rsid w:val="00A260EA"/>
    <w:rsid w:val="00A27C63"/>
    <w:rsid w:val="00A3026E"/>
    <w:rsid w:val="00A3364F"/>
    <w:rsid w:val="00A33C98"/>
    <w:rsid w:val="00A34556"/>
    <w:rsid w:val="00A34A2B"/>
    <w:rsid w:val="00A36D1E"/>
    <w:rsid w:val="00A37461"/>
    <w:rsid w:val="00A37E7E"/>
    <w:rsid w:val="00A40C4F"/>
    <w:rsid w:val="00A41BBE"/>
    <w:rsid w:val="00A43557"/>
    <w:rsid w:val="00A44DF4"/>
    <w:rsid w:val="00A454C9"/>
    <w:rsid w:val="00A4576A"/>
    <w:rsid w:val="00A45AD0"/>
    <w:rsid w:val="00A45EE9"/>
    <w:rsid w:val="00A4601D"/>
    <w:rsid w:val="00A473B0"/>
    <w:rsid w:val="00A4779A"/>
    <w:rsid w:val="00A503A5"/>
    <w:rsid w:val="00A5176A"/>
    <w:rsid w:val="00A51CBA"/>
    <w:rsid w:val="00A522F3"/>
    <w:rsid w:val="00A52882"/>
    <w:rsid w:val="00A53520"/>
    <w:rsid w:val="00A536E4"/>
    <w:rsid w:val="00A53779"/>
    <w:rsid w:val="00A53C14"/>
    <w:rsid w:val="00A545FD"/>
    <w:rsid w:val="00A55F1E"/>
    <w:rsid w:val="00A55F65"/>
    <w:rsid w:val="00A562F4"/>
    <w:rsid w:val="00A56432"/>
    <w:rsid w:val="00A56EA1"/>
    <w:rsid w:val="00A61410"/>
    <w:rsid w:val="00A6198A"/>
    <w:rsid w:val="00A61D27"/>
    <w:rsid w:val="00A62BAF"/>
    <w:rsid w:val="00A62D07"/>
    <w:rsid w:val="00A63972"/>
    <w:rsid w:val="00A649E3"/>
    <w:rsid w:val="00A65108"/>
    <w:rsid w:val="00A657EE"/>
    <w:rsid w:val="00A6708A"/>
    <w:rsid w:val="00A67BDA"/>
    <w:rsid w:val="00A7057D"/>
    <w:rsid w:val="00A7067F"/>
    <w:rsid w:val="00A707A7"/>
    <w:rsid w:val="00A718FD"/>
    <w:rsid w:val="00A719B1"/>
    <w:rsid w:val="00A71F8F"/>
    <w:rsid w:val="00A72341"/>
    <w:rsid w:val="00A72C8F"/>
    <w:rsid w:val="00A72F94"/>
    <w:rsid w:val="00A73504"/>
    <w:rsid w:val="00A76982"/>
    <w:rsid w:val="00A774AE"/>
    <w:rsid w:val="00A776ED"/>
    <w:rsid w:val="00A802E0"/>
    <w:rsid w:val="00A80E50"/>
    <w:rsid w:val="00A8137F"/>
    <w:rsid w:val="00A81599"/>
    <w:rsid w:val="00A818F4"/>
    <w:rsid w:val="00A82C81"/>
    <w:rsid w:val="00A83082"/>
    <w:rsid w:val="00A83663"/>
    <w:rsid w:val="00A83945"/>
    <w:rsid w:val="00A83B0F"/>
    <w:rsid w:val="00A84216"/>
    <w:rsid w:val="00A84D11"/>
    <w:rsid w:val="00A8555C"/>
    <w:rsid w:val="00A85CAA"/>
    <w:rsid w:val="00A90BFA"/>
    <w:rsid w:val="00A91210"/>
    <w:rsid w:val="00A92BF3"/>
    <w:rsid w:val="00A930EA"/>
    <w:rsid w:val="00A93C79"/>
    <w:rsid w:val="00A943C8"/>
    <w:rsid w:val="00A947DA"/>
    <w:rsid w:val="00A950A4"/>
    <w:rsid w:val="00A9520D"/>
    <w:rsid w:val="00A959DE"/>
    <w:rsid w:val="00A95F9D"/>
    <w:rsid w:val="00A964E4"/>
    <w:rsid w:val="00A96A84"/>
    <w:rsid w:val="00A96D0F"/>
    <w:rsid w:val="00A96D64"/>
    <w:rsid w:val="00A9704E"/>
    <w:rsid w:val="00A97105"/>
    <w:rsid w:val="00A9747D"/>
    <w:rsid w:val="00A9770A"/>
    <w:rsid w:val="00AA00A6"/>
    <w:rsid w:val="00AA08FF"/>
    <w:rsid w:val="00AA217C"/>
    <w:rsid w:val="00AA274C"/>
    <w:rsid w:val="00AA37FD"/>
    <w:rsid w:val="00AA47BA"/>
    <w:rsid w:val="00AA51DC"/>
    <w:rsid w:val="00AA5298"/>
    <w:rsid w:val="00AA5516"/>
    <w:rsid w:val="00AA6794"/>
    <w:rsid w:val="00AA6BA8"/>
    <w:rsid w:val="00AA7F5A"/>
    <w:rsid w:val="00AB2340"/>
    <w:rsid w:val="00AB5E7F"/>
    <w:rsid w:val="00AB5FE4"/>
    <w:rsid w:val="00AB659D"/>
    <w:rsid w:val="00AB6EE7"/>
    <w:rsid w:val="00AC0770"/>
    <w:rsid w:val="00AC229F"/>
    <w:rsid w:val="00AC690A"/>
    <w:rsid w:val="00AC6B5A"/>
    <w:rsid w:val="00AD0E09"/>
    <w:rsid w:val="00AD177F"/>
    <w:rsid w:val="00AD2E3E"/>
    <w:rsid w:val="00AD3905"/>
    <w:rsid w:val="00AD54ED"/>
    <w:rsid w:val="00AD7671"/>
    <w:rsid w:val="00AE0E2E"/>
    <w:rsid w:val="00AE0E3B"/>
    <w:rsid w:val="00AE1C6B"/>
    <w:rsid w:val="00AE1D1F"/>
    <w:rsid w:val="00AE24A8"/>
    <w:rsid w:val="00AE27BE"/>
    <w:rsid w:val="00AE2BD8"/>
    <w:rsid w:val="00AE3BC0"/>
    <w:rsid w:val="00AE53E8"/>
    <w:rsid w:val="00AE5687"/>
    <w:rsid w:val="00AE6FE4"/>
    <w:rsid w:val="00AF0300"/>
    <w:rsid w:val="00AF10C2"/>
    <w:rsid w:val="00AF1922"/>
    <w:rsid w:val="00AF2059"/>
    <w:rsid w:val="00AF3326"/>
    <w:rsid w:val="00AF3D84"/>
    <w:rsid w:val="00AF4161"/>
    <w:rsid w:val="00AF50DF"/>
    <w:rsid w:val="00AF580B"/>
    <w:rsid w:val="00AF64A1"/>
    <w:rsid w:val="00AF68BC"/>
    <w:rsid w:val="00AF6B53"/>
    <w:rsid w:val="00AF7A73"/>
    <w:rsid w:val="00B007C8"/>
    <w:rsid w:val="00B04066"/>
    <w:rsid w:val="00B04F23"/>
    <w:rsid w:val="00B12080"/>
    <w:rsid w:val="00B12BEC"/>
    <w:rsid w:val="00B13F7F"/>
    <w:rsid w:val="00B14410"/>
    <w:rsid w:val="00B14557"/>
    <w:rsid w:val="00B14E0F"/>
    <w:rsid w:val="00B15E61"/>
    <w:rsid w:val="00B16414"/>
    <w:rsid w:val="00B16BBE"/>
    <w:rsid w:val="00B17510"/>
    <w:rsid w:val="00B1770F"/>
    <w:rsid w:val="00B212F3"/>
    <w:rsid w:val="00B2176B"/>
    <w:rsid w:val="00B22AD3"/>
    <w:rsid w:val="00B22C0B"/>
    <w:rsid w:val="00B23275"/>
    <w:rsid w:val="00B24EC9"/>
    <w:rsid w:val="00B24F35"/>
    <w:rsid w:val="00B2639D"/>
    <w:rsid w:val="00B2755C"/>
    <w:rsid w:val="00B275F3"/>
    <w:rsid w:val="00B30A4D"/>
    <w:rsid w:val="00B310EC"/>
    <w:rsid w:val="00B31876"/>
    <w:rsid w:val="00B32C88"/>
    <w:rsid w:val="00B3339B"/>
    <w:rsid w:val="00B3358E"/>
    <w:rsid w:val="00B34747"/>
    <w:rsid w:val="00B34886"/>
    <w:rsid w:val="00B34CBD"/>
    <w:rsid w:val="00B3514F"/>
    <w:rsid w:val="00B36F50"/>
    <w:rsid w:val="00B372E1"/>
    <w:rsid w:val="00B40C67"/>
    <w:rsid w:val="00B41080"/>
    <w:rsid w:val="00B41158"/>
    <w:rsid w:val="00B41F9E"/>
    <w:rsid w:val="00B426FE"/>
    <w:rsid w:val="00B42E49"/>
    <w:rsid w:val="00B4365F"/>
    <w:rsid w:val="00B43786"/>
    <w:rsid w:val="00B45CA5"/>
    <w:rsid w:val="00B468CE"/>
    <w:rsid w:val="00B46EC2"/>
    <w:rsid w:val="00B4742A"/>
    <w:rsid w:val="00B50903"/>
    <w:rsid w:val="00B517F7"/>
    <w:rsid w:val="00B51A70"/>
    <w:rsid w:val="00B52CAB"/>
    <w:rsid w:val="00B53317"/>
    <w:rsid w:val="00B53652"/>
    <w:rsid w:val="00B542D5"/>
    <w:rsid w:val="00B54B0B"/>
    <w:rsid w:val="00B561BA"/>
    <w:rsid w:val="00B56A67"/>
    <w:rsid w:val="00B56D7B"/>
    <w:rsid w:val="00B60772"/>
    <w:rsid w:val="00B6176D"/>
    <w:rsid w:val="00B62BA5"/>
    <w:rsid w:val="00B62FD6"/>
    <w:rsid w:val="00B62FFE"/>
    <w:rsid w:val="00B6304A"/>
    <w:rsid w:val="00B63CAC"/>
    <w:rsid w:val="00B6458D"/>
    <w:rsid w:val="00B64F06"/>
    <w:rsid w:val="00B65013"/>
    <w:rsid w:val="00B65F4E"/>
    <w:rsid w:val="00B665EA"/>
    <w:rsid w:val="00B6666D"/>
    <w:rsid w:val="00B709DB"/>
    <w:rsid w:val="00B70D8C"/>
    <w:rsid w:val="00B7123A"/>
    <w:rsid w:val="00B71366"/>
    <w:rsid w:val="00B72510"/>
    <w:rsid w:val="00B727B4"/>
    <w:rsid w:val="00B72B20"/>
    <w:rsid w:val="00B72CD9"/>
    <w:rsid w:val="00B7307E"/>
    <w:rsid w:val="00B7435C"/>
    <w:rsid w:val="00B74A5B"/>
    <w:rsid w:val="00B759FE"/>
    <w:rsid w:val="00B76F38"/>
    <w:rsid w:val="00B774DB"/>
    <w:rsid w:val="00B8085D"/>
    <w:rsid w:val="00B81B19"/>
    <w:rsid w:val="00B81EFF"/>
    <w:rsid w:val="00B82EF4"/>
    <w:rsid w:val="00B83084"/>
    <w:rsid w:val="00B83438"/>
    <w:rsid w:val="00B836BB"/>
    <w:rsid w:val="00B83D71"/>
    <w:rsid w:val="00B84122"/>
    <w:rsid w:val="00B84DE3"/>
    <w:rsid w:val="00B851AD"/>
    <w:rsid w:val="00B85A71"/>
    <w:rsid w:val="00B86183"/>
    <w:rsid w:val="00B862B0"/>
    <w:rsid w:val="00B8675F"/>
    <w:rsid w:val="00B87093"/>
    <w:rsid w:val="00B87190"/>
    <w:rsid w:val="00B91003"/>
    <w:rsid w:val="00B92447"/>
    <w:rsid w:val="00B92F9D"/>
    <w:rsid w:val="00B930EA"/>
    <w:rsid w:val="00B9409C"/>
    <w:rsid w:val="00B957A5"/>
    <w:rsid w:val="00B95B48"/>
    <w:rsid w:val="00B96876"/>
    <w:rsid w:val="00B972EC"/>
    <w:rsid w:val="00BA25A9"/>
    <w:rsid w:val="00BA2B7C"/>
    <w:rsid w:val="00BA3233"/>
    <w:rsid w:val="00BA38F3"/>
    <w:rsid w:val="00BA4095"/>
    <w:rsid w:val="00BA6160"/>
    <w:rsid w:val="00BA64EA"/>
    <w:rsid w:val="00BA68E5"/>
    <w:rsid w:val="00BB00BD"/>
    <w:rsid w:val="00BB05D5"/>
    <w:rsid w:val="00BB06F6"/>
    <w:rsid w:val="00BB0B03"/>
    <w:rsid w:val="00BB142A"/>
    <w:rsid w:val="00BB1948"/>
    <w:rsid w:val="00BB2204"/>
    <w:rsid w:val="00BB2F02"/>
    <w:rsid w:val="00BB34B9"/>
    <w:rsid w:val="00BB35C2"/>
    <w:rsid w:val="00BB38C7"/>
    <w:rsid w:val="00BB3989"/>
    <w:rsid w:val="00BB3C88"/>
    <w:rsid w:val="00BB4BD6"/>
    <w:rsid w:val="00BB4CAD"/>
    <w:rsid w:val="00BB505B"/>
    <w:rsid w:val="00BB553B"/>
    <w:rsid w:val="00BB6FAE"/>
    <w:rsid w:val="00BB7B93"/>
    <w:rsid w:val="00BC0F15"/>
    <w:rsid w:val="00BC11F1"/>
    <w:rsid w:val="00BC28D7"/>
    <w:rsid w:val="00BC2F62"/>
    <w:rsid w:val="00BC376C"/>
    <w:rsid w:val="00BC48FC"/>
    <w:rsid w:val="00BC4A9E"/>
    <w:rsid w:val="00BC6321"/>
    <w:rsid w:val="00BC6E19"/>
    <w:rsid w:val="00BC6EEE"/>
    <w:rsid w:val="00BC70AE"/>
    <w:rsid w:val="00BC7817"/>
    <w:rsid w:val="00BD03C5"/>
    <w:rsid w:val="00BD0C60"/>
    <w:rsid w:val="00BD3819"/>
    <w:rsid w:val="00BD431D"/>
    <w:rsid w:val="00BD4533"/>
    <w:rsid w:val="00BD4B90"/>
    <w:rsid w:val="00BD4D65"/>
    <w:rsid w:val="00BD5D63"/>
    <w:rsid w:val="00BD642D"/>
    <w:rsid w:val="00BD694A"/>
    <w:rsid w:val="00BD6988"/>
    <w:rsid w:val="00BD705D"/>
    <w:rsid w:val="00BD74AA"/>
    <w:rsid w:val="00BE0EE2"/>
    <w:rsid w:val="00BE1A77"/>
    <w:rsid w:val="00BE1CA7"/>
    <w:rsid w:val="00BE1E98"/>
    <w:rsid w:val="00BE251C"/>
    <w:rsid w:val="00BE26BA"/>
    <w:rsid w:val="00BE4742"/>
    <w:rsid w:val="00BE4D3A"/>
    <w:rsid w:val="00BE63D3"/>
    <w:rsid w:val="00BE722E"/>
    <w:rsid w:val="00BE7383"/>
    <w:rsid w:val="00BE754D"/>
    <w:rsid w:val="00BE7E39"/>
    <w:rsid w:val="00BF0110"/>
    <w:rsid w:val="00BF1DB9"/>
    <w:rsid w:val="00BF1E30"/>
    <w:rsid w:val="00BF4049"/>
    <w:rsid w:val="00BF5028"/>
    <w:rsid w:val="00BF6D10"/>
    <w:rsid w:val="00BF6E79"/>
    <w:rsid w:val="00BF709E"/>
    <w:rsid w:val="00C00912"/>
    <w:rsid w:val="00C01D6B"/>
    <w:rsid w:val="00C02B01"/>
    <w:rsid w:val="00C03F6C"/>
    <w:rsid w:val="00C04772"/>
    <w:rsid w:val="00C04A81"/>
    <w:rsid w:val="00C05018"/>
    <w:rsid w:val="00C05F1B"/>
    <w:rsid w:val="00C06CFC"/>
    <w:rsid w:val="00C06E32"/>
    <w:rsid w:val="00C07007"/>
    <w:rsid w:val="00C10E9B"/>
    <w:rsid w:val="00C12108"/>
    <w:rsid w:val="00C121D9"/>
    <w:rsid w:val="00C126DB"/>
    <w:rsid w:val="00C13453"/>
    <w:rsid w:val="00C1536D"/>
    <w:rsid w:val="00C15C09"/>
    <w:rsid w:val="00C15EC1"/>
    <w:rsid w:val="00C17061"/>
    <w:rsid w:val="00C17642"/>
    <w:rsid w:val="00C17724"/>
    <w:rsid w:val="00C20BDB"/>
    <w:rsid w:val="00C20CF1"/>
    <w:rsid w:val="00C21E5A"/>
    <w:rsid w:val="00C220F9"/>
    <w:rsid w:val="00C230E2"/>
    <w:rsid w:val="00C2447B"/>
    <w:rsid w:val="00C2469C"/>
    <w:rsid w:val="00C24E38"/>
    <w:rsid w:val="00C2541C"/>
    <w:rsid w:val="00C254DA"/>
    <w:rsid w:val="00C25611"/>
    <w:rsid w:val="00C26603"/>
    <w:rsid w:val="00C26862"/>
    <w:rsid w:val="00C30458"/>
    <w:rsid w:val="00C31998"/>
    <w:rsid w:val="00C31DA6"/>
    <w:rsid w:val="00C322CA"/>
    <w:rsid w:val="00C33260"/>
    <w:rsid w:val="00C34410"/>
    <w:rsid w:val="00C34A1E"/>
    <w:rsid w:val="00C37137"/>
    <w:rsid w:val="00C37789"/>
    <w:rsid w:val="00C4292E"/>
    <w:rsid w:val="00C4468D"/>
    <w:rsid w:val="00C4564E"/>
    <w:rsid w:val="00C4598F"/>
    <w:rsid w:val="00C45A76"/>
    <w:rsid w:val="00C45D61"/>
    <w:rsid w:val="00C45EEB"/>
    <w:rsid w:val="00C4644E"/>
    <w:rsid w:val="00C479A4"/>
    <w:rsid w:val="00C50360"/>
    <w:rsid w:val="00C503D8"/>
    <w:rsid w:val="00C503E6"/>
    <w:rsid w:val="00C51476"/>
    <w:rsid w:val="00C54E12"/>
    <w:rsid w:val="00C55468"/>
    <w:rsid w:val="00C56709"/>
    <w:rsid w:val="00C602BB"/>
    <w:rsid w:val="00C6192C"/>
    <w:rsid w:val="00C622C3"/>
    <w:rsid w:val="00C62FCF"/>
    <w:rsid w:val="00C63489"/>
    <w:rsid w:val="00C637D5"/>
    <w:rsid w:val="00C63BD5"/>
    <w:rsid w:val="00C65B7F"/>
    <w:rsid w:val="00C67450"/>
    <w:rsid w:val="00C716B0"/>
    <w:rsid w:val="00C7203F"/>
    <w:rsid w:val="00C72040"/>
    <w:rsid w:val="00C73BAC"/>
    <w:rsid w:val="00C747FF"/>
    <w:rsid w:val="00C74906"/>
    <w:rsid w:val="00C75D94"/>
    <w:rsid w:val="00C77677"/>
    <w:rsid w:val="00C801EE"/>
    <w:rsid w:val="00C81B40"/>
    <w:rsid w:val="00C81FEA"/>
    <w:rsid w:val="00C8300D"/>
    <w:rsid w:val="00C83969"/>
    <w:rsid w:val="00C86896"/>
    <w:rsid w:val="00C86C95"/>
    <w:rsid w:val="00C900A2"/>
    <w:rsid w:val="00C92152"/>
    <w:rsid w:val="00C92F28"/>
    <w:rsid w:val="00C935CB"/>
    <w:rsid w:val="00C938C9"/>
    <w:rsid w:val="00C93F3F"/>
    <w:rsid w:val="00CA048B"/>
    <w:rsid w:val="00CA05EB"/>
    <w:rsid w:val="00CA24CE"/>
    <w:rsid w:val="00CA2CD7"/>
    <w:rsid w:val="00CA2D32"/>
    <w:rsid w:val="00CA3515"/>
    <w:rsid w:val="00CA3A05"/>
    <w:rsid w:val="00CA3A9E"/>
    <w:rsid w:val="00CA3DD7"/>
    <w:rsid w:val="00CA3E0B"/>
    <w:rsid w:val="00CA4B62"/>
    <w:rsid w:val="00CA5357"/>
    <w:rsid w:val="00CA587F"/>
    <w:rsid w:val="00CA6217"/>
    <w:rsid w:val="00CA788D"/>
    <w:rsid w:val="00CA7DF8"/>
    <w:rsid w:val="00CB0EFE"/>
    <w:rsid w:val="00CB14E9"/>
    <w:rsid w:val="00CB1C41"/>
    <w:rsid w:val="00CB1F89"/>
    <w:rsid w:val="00CB2DA8"/>
    <w:rsid w:val="00CB2FA0"/>
    <w:rsid w:val="00CB2FFF"/>
    <w:rsid w:val="00CB6D90"/>
    <w:rsid w:val="00CB72C3"/>
    <w:rsid w:val="00CC0D59"/>
    <w:rsid w:val="00CC138C"/>
    <w:rsid w:val="00CC1BBF"/>
    <w:rsid w:val="00CC1F16"/>
    <w:rsid w:val="00CC204E"/>
    <w:rsid w:val="00CC36D1"/>
    <w:rsid w:val="00CC3CEC"/>
    <w:rsid w:val="00CC45E4"/>
    <w:rsid w:val="00CC6934"/>
    <w:rsid w:val="00CD019F"/>
    <w:rsid w:val="00CD06CD"/>
    <w:rsid w:val="00CD13FE"/>
    <w:rsid w:val="00CD2291"/>
    <w:rsid w:val="00CD2413"/>
    <w:rsid w:val="00CD2557"/>
    <w:rsid w:val="00CD27C5"/>
    <w:rsid w:val="00CD32D4"/>
    <w:rsid w:val="00CD399E"/>
    <w:rsid w:val="00CD3A50"/>
    <w:rsid w:val="00CD3C5F"/>
    <w:rsid w:val="00CD411D"/>
    <w:rsid w:val="00CD5154"/>
    <w:rsid w:val="00CD7564"/>
    <w:rsid w:val="00CE00BF"/>
    <w:rsid w:val="00CE0D7C"/>
    <w:rsid w:val="00CE197E"/>
    <w:rsid w:val="00CE265D"/>
    <w:rsid w:val="00CE4169"/>
    <w:rsid w:val="00CE481D"/>
    <w:rsid w:val="00CE4ACC"/>
    <w:rsid w:val="00CE5E8F"/>
    <w:rsid w:val="00CE66E5"/>
    <w:rsid w:val="00CE6C87"/>
    <w:rsid w:val="00CE7894"/>
    <w:rsid w:val="00CF06A1"/>
    <w:rsid w:val="00CF06C6"/>
    <w:rsid w:val="00CF0913"/>
    <w:rsid w:val="00CF1467"/>
    <w:rsid w:val="00CF14CF"/>
    <w:rsid w:val="00CF1C97"/>
    <w:rsid w:val="00CF1E2D"/>
    <w:rsid w:val="00CF372D"/>
    <w:rsid w:val="00CF48D6"/>
    <w:rsid w:val="00CF4FC7"/>
    <w:rsid w:val="00CF51AC"/>
    <w:rsid w:val="00CF57D6"/>
    <w:rsid w:val="00CF6C1B"/>
    <w:rsid w:val="00CF71C4"/>
    <w:rsid w:val="00CF7EC0"/>
    <w:rsid w:val="00D019D5"/>
    <w:rsid w:val="00D040FE"/>
    <w:rsid w:val="00D0456C"/>
    <w:rsid w:val="00D048EF"/>
    <w:rsid w:val="00D056CF"/>
    <w:rsid w:val="00D05B15"/>
    <w:rsid w:val="00D06D3B"/>
    <w:rsid w:val="00D07C72"/>
    <w:rsid w:val="00D1227D"/>
    <w:rsid w:val="00D1299F"/>
    <w:rsid w:val="00D142E6"/>
    <w:rsid w:val="00D148F3"/>
    <w:rsid w:val="00D168B9"/>
    <w:rsid w:val="00D168FD"/>
    <w:rsid w:val="00D16F64"/>
    <w:rsid w:val="00D21AE6"/>
    <w:rsid w:val="00D22169"/>
    <w:rsid w:val="00D23761"/>
    <w:rsid w:val="00D2472C"/>
    <w:rsid w:val="00D261EF"/>
    <w:rsid w:val="00D26E68"/>
    <w:rsid w:val="00D26F45"/>
    <w:rsid w:val="00D279BA"/>
    <w:rsid w:val="00D3005A"/>
    <w:rsid w:val="00D322F4"/>
    <w:rsid w:val="00D336D3"/>
    <w:rsid w:val="00D33DA3"/>
    <w:rsid w:val="00D3485F"/>
    <w:rsid w:val="00D3501C"/>
    <w:rsid w:val="00D356CE"/>
    <w:rsid w:val="00D363ED"/>
    <w:rsid w:val="00D36E06"/>
    <w:rsid w:val="00D37FAE"/>
    <w:rsid w:val="00D404B5"/>
    <w:rsid w:val="00D426D2"/>
    <w:rsid w:val="00D447CB"/>
    <w:rsid w:val="00D44BB5"/>
    <w:rsid w:val="00D4576B"/>
    <w:rsid w:val="00D45E6F"/>
    <w:rsid w:val="00D4697D"/>
    <w:rsid w:val="00D46E34"/>
    <w:rsid w:val="00D47D16"/>
    <w:rsid w:val="00D505F4"/>
    <w:rsid w:val="00D51CE1"/>
    <w:rsid w:val="00D53619"/>
    <w:rsid w:val="00D5528B"/>
    <w:rsid w:val="00D55442"/>
    <w:rsid w:val="00D55BE5"/>
    <w:rsid w:val="00D55CDF"/>
    <w:rsid w:val="00D5614E"/>
    <w:rsid w:val="00D562F2"/>
    <w:rsid w:val="00D56C93"/>
    <w:rsid w:val="00D60FBC"/>
    <w:rsid w:val="00D61A88"/>
    <w:rsid w:val="00D61B93"/>
    <w:rsid w:val="00D63C2C"/>
    <w:rsid w:val="00D648A3"/>
    <w:rsid w:val="00D648D0"/>
    <w:rsid w:val="00D65424"/>
    <w:rsid w:val="00D66F0E"/>
    <w:rsid w:val="00D67E4A"/>
    <w:rsid w:val="00D70C2C"/>
    <w:rsid w:val="00D71AD5"/>
    <w:rsid w:val="00D724BB"/>
    <w:rsid w:val="00D7352C"/>
    <w:rsid w:val="00D751E0"/>
    <w:rsid w:val="00D763FD"/>
    <w:rsid w:val="00D76561"/>
    <w:rsid w:val="00D76CB6"/>
    <w:rsid w:val="00D77D36"/>
    <w:rsid w:val="00D81087"/>
    <w:rsid w:val="00D82D36"/>
    <w:rsid w:val="00D8353C"/>
    <w:rsid w:val="00D84A7D"/>
    <w:rsid w:val="00D861AE"/>
    <w:rsid w:val="00D871F6"/>
    <w:rsid w:val="00D8764C"/>
    <w:rsid w:val="00D900CF"/>
    <w:rsid w:val="00D90310"/>
    <w:rsid w:val="00D908EB"/>
    <w:rsid w:val="00D90AD1"/>
    <w:rsid w:val="00D933A8"/>
    <w:rsid w:val="00D938E8"/>
    <w:rsid w:val="00D941F7"/>
    <w:rsid w:val="00DA1FFC"/>
    <w:rsid w:val="00DA230E"/>
    <w:rsid w:val="00DA37FD"/>
    <w:rsid w:val="00DA4DDF"/>
    <w:rsid w:val="00DA5851"/>
    <w:rsid w:val="00DA6324"/>
    <w:rsid w:val="00DA69BA"/>
    <w:rsid w:val="00DA6D82"/>
    <w:rsid w:val="00DB0589"/>
    <w:rsid w:val="00DB0804"/>
    <w:rsid w:val="00DB1655"/>
    <w:rsid w:val="00DB2E93"/>
    <w:rsid w:val="00DB2FC4"/>
    <w:rsid w:val="00DB3C42"/>
    <w:rsid w:val="00DB43C8"/>
    <w:rsid w:val="00DB7924"/>
    <w:rsid w:val="00DC07E3"/>
    <w:rsid w:val="00DC1CBA"/>
    <w:rsid w:val="00DC1D49"/>
    <w:rsid w:val="00DC25C1"/>
    <w:rsid w:val="00DC382A"/>
    <w:rsid w:val="00DC3946"/>
    <w:rsid w:val="00DC3A1A"/>
    <w:rsid w:val="00DC3A8A"/>
    <w:rsid w:val="00DC54C8"/>
    <w:rsid w:val="00DC5EAC"/>
    <w:rsid w:val="00DC605B"/>
    <w:rsid w:val="00DD0397"/>
    <w:rsid w:val="00DD0D16"/>
    <w:rsid w:val="00DD1ACE"/>
    <w:rsid w:val="00DD1F80"/>
    <w:rsid w:val="00DD5A72"/>
    <w:rsid w:val="00DD5F6C"/>
    <w:rsid w:val="00DD76CB"/>
    <w:rsid w:val="00DE1695"/>
    <w:rsid w:val="00DE1808"/>
    <w:rsid w:val="00DE1923"/>
    <w:rsid w:val="00DE2A0F"/>
    <w:rsid w:val="00DE2B33"/>
    <w:rsid w:val="00DE42EB"/>
    <w:rsid w:val="00DE55FE"/>
    <w:rsid w:val="00DE5772"/>
    <w:rsid w:val="00DE596D"/>
    <w:rsid w:val="00DE5D48"/>
    <w:rsid w:val="00DE638B"/>
    <w:rsid w:val="00DE72EE"/>
    <w:rsid w:val="00DE755E"/>
    <w:rsid w:val="00DE7F15"/>
    <w:rsid w:val="00DF2A18"/>
    <w:rsid w:val="00DF37E5"/>
    <w:rsid w:val="00DF4076"/>
    <w:rsid w:val="00DF5B11"/>
    <w:rsid w:val="00DF71B3"/>
    <w:rsid w:val="00DF7643"/>
    <w:rsid w:val="00E00B2A"/>
    <w:rsid w:val="00E00C3D"/>
    <w:rsid w:val="00E024F2"/>
    <w:rsid w:val="00E03076"/>
    <w:rsid w:val="00E034FE"/>
    <w:rsid w:val="00E038F7"/>
    <w:rsid w:val="00E04159"/>
    <w:rsid w:val="00E041E5"/>
    <w:rsid w:val="00E045F3"/>
    <w:rsid w:val="00E04888"/>
    <w:rsid w:val="00E058F8"/>
    <w:rsid w:val="00E05C2D"/>
    <w:rsid w:val="00E0763B"/>
    <w:rsid w:val="00E10302"/>
    <w:rsid w:val="00E10B3E"/>
    <w:rsid w:val="00E10D48"/>
    <w:rsid w:val="00E10DBD"/>
    <w:rsid w:val="00E12347"/>
    <w:rsid w:val="00E12D8C"/>
    <w:rsid w:val="00E1414A"/>
    <w:rsid w:val="00E146A9"/>
    <w:rsid w:val="00E17EC5"/>
    <w:rsid w:val="00E20D43"/>
    <w:rsid w:val="00E21822"/>
    <w:rsid w:val="00E21FEE"/>
    <w:rsid w:val="00E220FD"/>
    <w:rsid w:val="00E23E8E"/>
    <w:rsid w:val="00E240B2"/>
    <w:rsid w:val="00E248EC"/>
    <w:rsid w:val="00E258CF"/>
    <w:rsid w:val="00E25B12"/>
    <w:rsid w:val="00E26328"/>
    <w:rsid w:val="00E26BFD"/>
    <w:rsid w:val="00E2774B"/>
    <w:rsid w:val="00E27ACC"/>
    <w:rsid w:val="00E27E90"/>
    <w:rsid w:val="00E31382"/>
    <w:rsid w:val="00E33693"/>
    <w:rsid w:val="00E3383A"/>
    <w:rsid w:val="00E33D02"/>
    <w:rsid w:val="00E3455C"/>
    <w:rsid w:val="00E345D2"/>
    <w:rsid w:val="00E349C4"/>
    <w:rsid w:val="00E34F2C"/>
    <w:rsid w:val="00E35424"/>
    <w:rsid w:val="00E35D79"/>
    <w:rsid w:val="00E3611A"/>
    <w:rsid w:val="00E365B6"/>
    <w:rsid w:val="00E3747F"/>
    <w:rsid w:val="00E3752B"/>
    <w:rsid w:val="00E40F42"/>
    <w:rsid w:val="00E416A2"/>
    <w:rsid w:val="00E45D70"/>
    <w:rsid w:val="00E4641E"/>
    <w:rsid w:val="00E47367"/>
    <w:rsid w:val="00E519AE"/>
    <w:rsid w:val="00E53D9D"/>
    <w:rsid w:val="00E54134"/>
    <w:rsid w:val="00E560C4"/>
    <w:rsid w:val="00E563F2"/>
    <w:rsid w:val="00E5648B"/>
    <w:rsid w:val="00E5690B"/>
    <w:rsid w:val="00E56A52"/>
    <w:rsid w:val="00E57AF7"/>
    <w:rsid w:val="00E61666"/>
    <w:rsid w:val="00E61DEC"/>
    <w:rsid w:val="00E6241B"/>
    <w:rsid w:val="00E63FCE"/>
    <w:rsid w:val="00E64FCC"/>
    <w:rsid w:val="00E650E1"/>
    <w:rsid w:val="00E6607E"/>
    <w:rsid w:val="00E667C4"/>
    <w:rsid w:val="00E66FE6"/>
    <w:rsid w:val="00E67868"/>
    <w:rsid w:val="00E6795E"/>
    <w:rsid w:val="00E703B6"/>
    <w:rsid w:val="00E7116E"/>
    <w:rsid w:val="00E719E4"/>
    <w:rsid w:val="00E72200"/>
    <w:rsid w:val="00E72403"/>
    <w:rsid w:val="00E7288C"/>
    <w:rsid w:val="00E72B1B"/>
    <w:rsid w:val="00E73B27"/>
    <w:rsid w:val="00E74293"/>
    <w:rsid w:val="00E75AA1"/>
    <w:rsid w:val="00E75D47"/>
    <w:rsid w:val="00E75E7D"/>
    <w:rsid w:val="00E766F5"/>
    <w:rsid w:val="00E76E2E"/>
    <w:rsid w:val="00E8113F"/>
    <w:rsid w:val="00E81BAA"/>
    <w:rsid w:val="00E82427"/>
    <w:rsid w:val="00E82948"/>
    <w:rsid w:val="00E834F4"/>
    <w:rsid w:val="00E83EDF"/>
    <w:rsid w:val="00E8629A"/>
    <w:rsid w:val="00E8634E"/>
    <w:rsid w:val="00E90218"/>
    <w:rsid w:val="00E90907"/>
    <w:rsid w:val="00E913BB"/>
    <w:rsid w:val="00E9252C"/>
    <w:rsid w:val="00E925E6"/>
    <w:rsid w:val="00E92847"/>
    <w:rsid w:val="00E93A11"/>
    <w:rsid w:val="00E9550F"/>
    <w:rsid w:val="00E956C0"/>
    <w:rsid w:val="00E95F2E"/>
    <w:rsid w:val="00E97AEE"/>
    <w:rsid w:val="00EA11D2"/>
    <w:rsid w:val="00EA1508"/>
    <w:rsid w:val="00EA1541"/>
    <w:rsid w:val="00EA160D"/>
    <w:rsid w:val="00EA1AFA"/>
    <w:rsid w:val="00EA2323"/>
    <w:rsid w:val="00EA32E4"/>
    <w:rsid w:val="00EA4A1D"/>
    <w:rsid w:val="00EA5BC7"/>
    <w:rsid w:val="00EA5DA2"/>
    <w:rsid w:val="00EA6402"/>
    <w:rsid w:val="00EA6CAD"/>
    <w:rsid w:val="00EA7C9F"/>
    <w:rsid w:val="00EA7E36"/>
    <w:rsid w:val="00EB0898"/>
    <w:rsid w:val="00EB11A4"/>
    <w:rsid w:val="00EB150F"/>
    <w:rsid w:val="00EB2447"/>
    <w:rsid w:val="00EB496C"/>
    <w:rsid w:val="00EB4BF1"/>
    <w:rsid w:val="00EB5035"/>
    <w:rsid w:val="00EB627B"/>
    <w:rsid w:val="00EB6D94"/>
    <w:rsid w:val="00EC2A3A"/>
    <w:rsid w:val="00EC2C98"/>
    <w:rsid w:val="00EC4053"/>
    <w:rsid w:val="00EC40FA"/>
    <w:rsid w:val="00EC4183"/>
    <w:rsid w:val="00EC6468"/>
    <w:rsid w:val="00EC6708"/>
    <w:rsid w:val="00EC70C5"/>
    <w:rsid w:val="00EC76E9"/>
    <w:rsid w:val="00EC7B2A"/>
    <w:rsid w:val="00ED0A55"/>
    <w:rsid w:val="00ED207C"/>
    <w:rsid w:val="00ED325A"/>
    <w:rsid w:val="00ED3BCF"/>
    <w:rsid w:val="00ED3F41"/>
    <w:rsid w:val="00ED5615"/>
    <w:rsid w:val="00ED6359"/>
    <w:rsid w:val="00ED692E"/>
    <w:rsid w:val="00ED69AF"/>
    <w:rsid w:val="00ED79B7"/>
    <w:rsid w:val="00EE1847"/>
    <w:rsid w:val="00EE240E"/>
    <w:rsid w:val="00EE3C6D"/>
    <w:rsid w:val="00EE4A76"/>
    <w:rsid w:val="00EE5109"/>
    <w:rsid w:val="00EE688E"/>
    <w:rsid w:val="00EE6A6D"/>
    <w:rsid w:val="00EE6E43"/>
    <w:rsid w:val="00EE7D76"/>
    <w:rsid w:val="00EF02BE"/>
    <w:rsid w:val="00EF03E2"/>
    <w:rsid w:val="00EF0CF7"/>
    <w:rsid w:val="00EF1109"/>
    <w:rsid w:val="00EF30E8"/>
    <w:rsid w:val="00EF31F6"/>
    <w:rsid w:val="00EF416B"/>
    <w:rsid w:val="00EF5600"/>
    <w:rsid w:val="00EF617B"/>
    <w:rsid w:val="00EF749D"/>
    <w:rsid w:val="00EF7BAE"/>
    <w:rsid w:val="00EF7F8B"/>
    <w:rsid w:val="00F01725"/>
    <w:rsid w:val="00F01E9B"/>
    <w:rsid w:val="00F03814"/>
    <w:rsid w:val="00F038F7"/>
    <w:rsid w:val="00F042F6"/>
    <w:rsid w:val="00F043EB"/>
    <w:rsid w:val="00F055A6"/>
    <w:rsid w:val="00F05BA8"/>
    <w:rsid w:val="00F063F9"/>
    <w:rsid w:val="00F06BAC"/>
    <w:rsid w:val="00F07A09"/>
    <w:rsid w:val="00F10584"/>
    <w:rsid w:val="00F11851"/>
    <w:rsid w:val="00F1200D"/>
    <w:rsid w:val="00F13601"/>
    <w:rsid w:val="00F1390C"/>
    <w:rsid w:val="00F14D98"/>
    <w:rsid w:val="00F1545F"/>
    <w:rsid w:val="00F15BC7"/>
    <w:rsid w:val="00F16075"/>
    <w:rsid w:val="00F171DB"/>
    <w:rsid w:val="00F20C5E"/>
    <w:rsid w:val="00F210B6"/>
    <w:rsid w:val="00F2605F"/>
    <w:rsid w:val="00F279D7"/>
    <w:rsid w:val="00F30014"/>
    <w:rsid w:val="00F352EC"/>
    <w:rsid w:val="00F36A1D"/>
    <w:rsid w:val="00F40484"/>
    <w:rsid w:val="00F4118A"/>
    <w:rsid w:val="00F43704"/>
    <w:rsid w:val="00F44278"/>
    <w:rsid w:val="00F44C4D"/>
    <w:rsid w:val="00F46F8C"/>
    <w:rsid w:val="00F47860"/>
    <w:rsid w:val="00F5092D"/>
    <w:rsid w:val="00F51B65"/>
    <w:rsid w:val="00F52148"/>
    <w:rsid w:val="00F52AAB"/>
    <w:rsid w:val="00F52EB6"/>
    <w:rsid w:val="00F542A5"/>
    <w:rsid w:val="00F54C52"/>
    <w:rsid w:val="00F54F3A"/>
    <w:rsid w:val="00F55075"/>
    <w:rsid w:val="00F55260"/>
    <w:rsid w:val="00F557DF"/>
    <w:rsid w:val="00F55BF4"/>
    <w:rsid w:val="00F562B3"/>
    <w:rsid w:val="00F566DA"/>
    <w:rsid w:val="00F569E5"/>
    <w:rsid w:val="00F60668"/>
    <w:rsid w:val="00F62416"/>
    <w:rsid w:val="00F62579"/>
    <w:rsid w:val="00F6316B"/>
    <w:rsid w:val="00F641C0"/>
    <w:rsid w:val="00F644EB"/>
    <w:rsid w:val="00F65049"/>
    <w:rsid w:val="00F65AE0"/>
    <w:rsid w:val="00F65BA9"/>
    <w:rsid w:val="00F67B3F"/>
    <w:rsid w:val="00F70272"/>
    <w:rsid w:val="00F707C8"/>
    <w:rsid w:val="00F70990"/>
    <w:rsid w:val="00F718D7"/>
    <w:rsid w:val="00F722A8"/>
    <w:rsid w:val="00F72FA8"/>
    <w:rsid w:val="00F745DF"/>
    <w:rsid w:val="00F74E38"/>
    <w:rsid w:val="00F76BC7"/>
    <w:rsid w:val="00F76D6F"/>
    <w:rsid w:val="00F77555"/>
    <w:rsid w:val="00F77863"/>
    <w:rsid w:val="00F778B0"/>
    <w:rsid w:val="00F77DDB"/>
    <w:rsid w:val="00F808C1"/>
    <w:rsid w:val="00F83BC2"/>
    <w:rsid w:val="00F83E5F"/>
    <w:rsid w:val="00F842BA"/>
    <w:rsid w:val="00F8469C"/>
    <w:rsid w:val="00F847C6"/>
    <w:rsid w:val="00F85696"/>
    <w:rsid w:val="00F873A0"/>
    <w:rsid w:val="00F90436"/>
    <w:rsid w:val="00F90545"/>
    <w:rsid w:val="00F9084C"/>
    <w:rsid w:val="00F908E5"/>
    <w:rsid w:val="00F90F54"/>
    <w:rsid w:val="00F92EC1"/>
    <w:rsid w:val="00F94538"/>
    <w:rsid w:val="00F948E6"/>
    <w:rsid w:val="00F94C47"/>
    <w:rsid w:val="00F97C1A"/>
    <w:rsid w:val="00FA0054"/>
    <w:rsid w:val="00FA0421"/>
    <w:rsid w:val="00FA0D60"/>
    <w:rsid w:val="00FA3389"/>
    <w:rsid w:val="00FA33FE"/>
    <w:rsid w:val="00FA3476"/>
    <w:rsid w:val="00FA495F"/>
    <w:rsid w:val="00FA6252"/>
    <w:rsid w:val="00FA6BBD"/>
    <w:rsid w:val="00FB074C"/>
    <w:rsid w:val="00FB095F"/>
    <w:rsid w:val="00FB0C10"/>
    <w:rsid w:val="00FB3C36"/>
    <w:rsid w:val="00FB4280"/>
    <w:rsid w:val="00FB49DA"/>
    <w:rsid w:val="00FB75D0"/>
    <w:rsid w:val="00FB7CCE"/>
    <w:rsid w:val="00FC01C8"/>
    <w:rsid w:val="00FC21A1"/>
    <w:rsid w:val="00FC2256"/>
    <w:rsid w:val="00FC5027"/>
    <w:rsid w:val="00FC50C7"/>
    <w:rsid w:val="00FC511D"/>
    <w:rsid w:val="00FC68BC"/>
    <w:rsid w:val="00FC6E2F"/>
    <w:rsid w:val="00FD008F"/>
    <w:rsid w:val="00FD11D4"/>
    <w:rsid w:val="00FD225D"/>
    <w:rsid w:val="00FD2384"/>
    <w:rsid w:val="00FD25F1"/>
    <w:rsid w:val="00FD6110"/>
    <w:rsid w:val="00FD6755"/>
    <w:rsid w:val="00FD7F1C"/>
    <w:rsid w:val="00FE0567"/>
    <w:rsid w:val="00FE1725"/>
    <w:rsid w:val="00FE17DC"/>
    <w:rsid w:val="00FE2791"/>
    <w:rsid w:val="00FE452E"/>
    <w:rsid w:val="00FE46D2"/>
    <w:rsid w:val="00FE49A7"/>
    <w:rsid w:val="00FE5ECA"/>
    <w:rsid w:val="00FF2318"/>
    <w:rsid w:val="00FF27C4"/>
    <w:rsid w:val="00FF2EC4"/>
    <w:rsid w:val="00FF402D"/>
    <w:rsid w:val="00FF4275"/>
    <w:rsid w:val="00FF4A4C"/>
    <w:rsid w:val="00FF4C15"/>
    <w:rsid w:val="00FF55C6"/>
    <w:rsid w:val="00FF78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uiPriority="99" w:qFormat="1"/>
    <w:lsdException w:name="heading 5" w:semiHidden="0" w:uiPriority="99" w:unhideWhenUsed="0" w:qFormat="1"/>
    <w:lsdException w:name="heading 6" w:qFormat="1"/>
    <w:lsdException w:name="heading 7" w:uiPriority="99" w:qFormat="1"/>
    <w:lsdException w:name="heading 8" w:qFormat="1"/>
    <w:lsdException w:name="heading 9" w:qFormat="1"/>
    <w:lsdException w:name="toc 1" w:uiPriority="39"/>
    <w:lsdException w:name="toc 2" w:uiPriority="39"/>
    <w:lsdException w:name="toc 3" w:uiPriority="3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quot;Cita textual&quot;Normal"/>
    <w:qFormat/>
    <w:rsid w:val="00285721"/>
    <w:pPr>
      <w:spacing w:after="140"/>
      <w:ind w:firstLine="567"/>
      <w:jc w:val="both"/>
    </w:pPr>
    <w:rPr>
      <w:lang w:val="es-ES_tradnl"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156CD3"/>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156CD3"/>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uiPriority w:val="99"/>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uiPriority w:val="99"/>
    <w:rsid w:val="001D4F09"/>
    <w:pPr>
      <w:numPr>
        <w:numId w:val="2"/>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uiPriority w:val="99"/>
    <w:rsid w:val="00FF4A4C"/>
    <w:pPr>
      <w:spacing w:before="60" w:after="0"/>
      <w:ind w:left="4536" w:firstLine="0"/>
    </w:pPr>
    <w:rPr>
      <w:rFonts w:ascii="ITCCentury Book" w:hAnsi="ITCCentury Book"/>
      <w:sz w:val="60"/>
    </w:rPr>
  </w:style>
  <w:style w:type="paragraph" w:customStyle="1" w:styleId="texto">
    <w:name w:val="texto"/>
    <w:basedOn w:val="Normal"/>
    <w:link w:val="textoCar"/>
    <w:uiPriority w:val="99"/>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4B2F01"/>
    <w:rPr>
      <w:b w:val="0"/>
      <w:bCs/>
      <w:iCs/>
      <w:spacing w:val="10"/>
    </w:rPr>
  </w:style>
  <w:style w:type="paragraph" w:customStyle="1" w:styleId="atitulo3">
    <w:name w:val="atitulo3"/>
    <w:basedOn w:val="atitulo2"/>
    <w:uiPriority w:val="99"/>
    <w:rsid w:val="004B2F01"/>
    <w:rPr>
      <w:bCs w:val="0"/>
      <w:i/>
    </w:rPr>
  </w:style>
  <w:style w:type="paragraph" w:styleId="TDC1">
    <w:name w:val="toc 1"/>
    <w:basedOn w:val="Normal"/>
    <w:next w:val="Normal"/>
    <w:autoRedefine/>
    <w:uiPriority w:val="39"/>
    <w:rsid w:val="00290C01"/>
    <w:pPr>
      <w:tabs>
        <w:tab w:val="right" w:leader="dot" w:pos="8930"/>
      </w:tabs>
      <w:spacing w:before="60" w:after="80"/>
      <w:ind w:firstLine="0"/>
      <w:jc w:val="left"/>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uiPriority w:val="99"/>
    <w:rsid w:val="00337493"/>
    <w:pPr>
      <w:spacing w:after="90"/>
    </w:pPr>
    <w:rPr>
      <w:sz w:val="20"/>
    </w:rPr>
  </w:style>
  <w:style w:type="paragraph" w:customStyle="1" w:styleId="ndice">
    <w:name w:val="índice"/>
    <w:basedOn w:val="atitulo1"/>
    <w:uiPriority w:val="99"/>
    <w:rsid w:val="007446E8"/>
    <w:pPr>
      <w:jc w:val="center"/>
    </w:pPr>
    <w:rPr>
      <w:caps/>
    </w:rPr>
  </w:style>
  <w:style w:type="paragraph" w:customStyle="1" w:styleId="Fechaportada">
    <w:name w:val="Fechaportada"/>
    <w:basedOn w:val="texto"/>
    <w:uiPriority w:val="99"/>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uiPriority w:val="99"/>
    <w:qFormat/>
    <w:rsid w:val="001D4F09"/>
    <w:rPr>
      <w:spacing w:val="6"/>
      <w:sz w:val="26"/>
      <w:szCs w:val="24"/>
      <w:lang w:val="es-ES_tradnl" w:eastAsia="en-US" w:bidi="ar-SA"/>
    </w:rPr>
  </w:style>
  <w:style w:type="paragraph" w:customStyle="1" w:styleId="atitulo4">
    <w:name w:val="atitulo4"/>
    <w:basedOn w:val="atitulo3"/>
    <w:uiPriority w:val="99"/>
    <w:rsid w:val="001D4F09"/>
  </w:style>
  <w:style w:type="paragraph" w:customStyle="1" w:styleId="cuadroCabe">
    <w:name w:val="cuadroCabe"/>
    <w:basedOn w:val="cuatexto"/>
    <w:uiPriority w:val="99"/>
    <w:rsid w:val="002717A6"/>
    <w:rPr>
      <w:rFonts w:ascii="Arial" w:hAnsi="Arial"/>
      <w:sz w:val="18"/>
    </w:rPr>
  </w:style>
  <w:style w:type="paragraph" w:customStyle="1" w:styleId="Portada0">
    <w:name w:val="Portada"/>
    <w:basedOn w:val="portada"/>
    <w:uiPriority w:val="99"/>
    <w:rsid w:val="00FF4A4C"/>
    <w:pPr>
      <w:ind w:left="4396" w:right="-1051"/>
      <w:jc w:val="left"/>
    </w:pPr>
  </w:style>
  <w:style w:type="table" w:styleId="Tablaconcuadrcula">
    <w:name w:val="Table Grid"/>
    <w:basedOn w:val="Tablanormal"/>
    <w:uiPriority w:val="5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uiPriority w:val="99"/>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uiPriority w:val="39"/>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uiPriority w:val="99"/>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9"/>
    <w:rsid w:val="00156CD3"/>
    <w:rPr>
      <w:b/>
      <w:bCs/>
      <w:sz w:val="28"/>
      <w:szCs w:val="28"/>
      <w:lang w:val="es-ES_tradnl" w:eastAsia="en-US"/>
    </w:rPr>
  </w:style>
  <w:style w:type="character" w:customStyle="1" w:styleId="Ttulo7Car">
    <w:name w:val="Título 7 Car"/>
    <w:basedOn w:val="Fuentedeprrafopredeter"/>
    <w:link w:val="Ttulo7"/>
    <w:uiPriority w:val="99"/>
    <w:rsid w:val="00156CD3"/>
    <w:rPr>
      <w:sz w:val="52"/>
    </w:rPr>
  </w:style>
  <w:style w:type="character" w:customStyle="1" w:styleId="atitulo1Car">
    <w:name w:val="atitulo1 Car"/>
    <w:basedOn w:val="Fuentedeprrafopredeter"/>
    <w:link w:val="atitulo1"/>
    <w:uiPriority w:val="99"/>
    <w:locked/>
    <w:rsid w:val="00156CD3"/>
    <w:rPr>
      <w:rFonts w:ascii="Arial" w:hAnsi="Arial"/>
      <w:b/>
      <w:color w:val="000000"/>
      <w:kern w:val="28"/>
      <w:sz w:val="25"/>
      <w:szCs w:val="26"/>
      <w:lang w:val="es-ES_tradnl" w:eastAsia="en-US"/>
    </w:rPr>
  </w:style>
  <w:style w:type="character" w:customStyle="1" w:styleId="PiedepginaCar">
    <w:name w:val="Pie de página Car"/>
    <w:basedOn w:val="Fuentedeprrafopredeter"/>
    <w:link w:val="Piedepgina"/>
    <w:uiPriority w:val="99"/>
    <w:locked/>
    <w:rsid w:val="00156CD3"/>
    <w:rPr>
      <w:spacing w:val="6"/>
      <w:lang w:val="es-ES_tradnl" w:eastAsia="en-US"/>
    </w:rPr>
  </w:style>
  <w:style w:type="character" w:customStyle="1" w:styleId="atitulo2Car">
    <w:name w:val="atitulo2 Car"/>
    <w:link w:val="atitulo2"/>
    <w:uiPriority w:val="99"/>
    <w:locked/>
    <w:rsid w:val="00156CD3"/>
    <w:rPr>
      <w:rFonts w:ascii="Arial" w:hAnsi="Arial"/>
      <w:bCs/>
      <w:iCs/>
      <w:color w:val="000000"/>
      <w:spacing w:val="10"/>
      <w:kern w:val="28"/>
      <w:sz w:val="25"/>
      <w:szCs w:val="26"/>
      <w:lang w:val="es-ES_tradnl" w:eastAsia="en-US"/>
    </w:rPr>
  </w:style>
  <w:style w:type="paragraph" w:styleId="Textonotapie">
    <w:name w:val="footnote text"/>
    <w:basedOn w:val="Normal"/>
    <w:link w:val="TextonotapieCar"/>
    <w:uiPriority w:val="99"/>
    <w:rsid w:val="00156CD3"/>
  </w:style>
  <w:style w:type="character" w:customStyle="1" w:styleId="TextonotapieCar">
    <w:name w:val="Texto nota pie Car"/>
    <w:basedOn w:val="Fuentedeprrafopredeter"/>
    <w:link w:val="Textonotapie"/>
    <w:uiPriority w:val="99"/>
    <w:rsid w:val="00156CD3"/>
    <w:rPr>
      <w:lang w:val="es-ES_tradnl" w:eastAsia="en-US"/>
    </w:rPr>
  </w:style>
  <w:style w:type="character" w:styleId="Refdenotaalpie">
    <w:name w:val="footnote reference"/>
    <w:basedOn w:val="Fuentedeprrafopredeter"/>
    <w:uiPriority w:val="99"/>
    <w:rsid w:val="00156CD3"/>
    <w:rPr>
      <w:rFonts w:cs="Times New Roman"/>
      <w:vertAlign w:val="superscript"/>
    </w:rPr>
  </w:style>
  <w:style w:type="table" w:customStyle="1" w:styleId="Tablaconcuadrcula1">
    <w:name w:val="Tabla con cuadrícula1"/>
    <w:basedOn w:val="Tablanormal"/>
    <w:next w:val="Tablaconcuadrcula"/>
    <w:uiPriority w:val="99"/>
    <w:rsid w:val="00156CD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9"/>
    <w:locked/>
    <w:rsid w:val="00156CD3"/>
    <w:rPr>
      <w:rFonts w:ascii="Arial" w:hAnsi="Arial" w:cs="Arial"/>
      <w:b/>
      <w:bCs/>
      <w:kern w:val="32"/>
      <w:sz w:val="32"/>
      <w:szCs w:val="32"/>
      <w:lang w:val="es-ES_tradnl" w:eastAsia="en-US"/>
    </w:rPr>
  </w:style>
  <w:style w:type="character" w:customStyle="1" w:styleId="Ttulo2Car">
    <w:name w:val="Título 2 Car"/>
    <w:basedOn w:val="Fuentedeprrafopredeter"/>
    <w:link w:val="Ttulo2"/>
    <w:uiPriority w:val="99"/>
    <w:locked/>
    <w:rsid w:val="00156CD3"/>
    <w:rPr>
      <w:rFonts w:ascii="Arial" w:hAnsi="Arial" w:cs="Arial"/>
      <w:b/>
      <w:bCs/>
      <w:i/>
      <w:iCs/>
      <w:sz w:val="28"/>
      <w:szCs w:val="28"/>
      <w:lang w:val="es-ES_tradnl" w:eastAsia="en-US"/>
    </w:rPr>
  </w:style>
  <w:style w:type="character" w:customStyle="1" w:styleId="Ttulo3Car">
    <w:name w:val="Título 3 Car"/>
    <w:basedOn w:val="Fuentedeprrafopredeter"/>
    <w:link w:val="Ttulo3"/>
    <w:uiPriority w:val="99"/>
    <w:locked/>
    <w:rsid w:val="00156CD3"/>
    <w:rPr>
      <w:rFonts w:ascii="Arial" w:hAnsi="Arial" w:cs="Arial"/>
      <w:b/>
      <w:bCs/>
      <w:szCs w:val="26"/>
      <w:lang w:val="es-ES_tradnl" w:eastAsia="en-US"/>
    </w:rPr>
  </w:style>
  <w:style w:type="character" w:customStyle="1" w:styleId="Ttulo5Car">
    <w:name w:val="Título 5 Car"/>
    <w:basedOn w:val="Fuentedeprrafopredeter"/>
    <w:link w:val="Ttulo5"/>
    <w:uiPriority w:val="99"/>
    <w:locked/>
    <w:rsid w:val="00156CD3"/>
    <w:rPr>
      <w:b/>
      <w:sz w:val="28"/>
      <w:lang w:eastAsia="en-US"/>
    </w:rPr>
  </w:style>
  <w:style w:type="character" w:customStyle="1" w:styleId="TextodegloboCar">
    <w:name w:val="Texto de globo Car"/>
    <w:basedOn w:val="Fuentedeprrafopredeter"/>
    <w:link w:val="Textodeglobo"/>
    <w:uiPriority w:val="99"/>
    <w:semiHidden/>
    <w:locked/>
    <w:rsid w:val="00156CD3"/>
    <w:rPr>
      <w:rFonts w:ascii="Tahoma" w:hAnsi="Tahoma" w:cs="Tahoma"/>
      <w:sz w:val="16"/>
      <w:szCs w:val="16"/>
      <w:lang w:val="es-ES_tradnl" w:eastAsia="en-US"/>
    </w:rPr>
  </w:style>
  <w:style w:type="character" w:customStyle="1" w:styleId="EncabezadoCar">
    <w:name w:val="Encabezado Car"/>
    <w:basedOn w:val="Fuentedeprrafopredeter"/>
    <w:link w:val="Encabezado"/>
    <w:uiPriority w:val="99"/>
    <w:locked/>
    <w:rsid w:val="00156CD3"/>
    <w:rPr>
      <w:bCs/>
      <w:caps/>
      <w:sz w:val="14"/>
      <w:szCs w:val="12"/>
      <w:lang w:val="es-ES_tradnl" w:eastAsia="en-US"/>
    </w:rPr>
  </w:style>
  <w:style w:type="paragraph" w:styleId="Textoindependiente">
    <w:name w:val="Body Text"/>
    <w:basedOn w:val="Normal"/>
    <w:link w:val="TextoindependienteCar"/>
    <w:rsid w:val="00156CD3"/>
    <w:pPr>
      <w:spacing w:after="0"/>
      <w:ind w:firstLine="0"/>
    </w:pPr>
    <w:rPr>
      <w:rFonts w:ascii="Arial" w:hAnsi="Arial"/>
      <w:sz w:val="24"/>
      <w:lang w:eastAsia="es-ES"/>
    </w:rPr>
  </w:style>
  <w:style w:type="character" w:customStyle="1" w:styleId="TextoindependienteCar">
    <w:name w:val="Texto independiente Car"/>
    <w:basedOn w:val="Fuentedeprrafopredeter"/>
    <w:link w:val="Textoindependiente"/>
    <w:rsid w:val="00156CD3"/>
    <w:rPr>
      <w:rFonts w:ascii="Arial" w:hAnsi="Arial"/>
      <w:sz w:val="24"/>
      <w:lang w:val="es-ES_tradnl"/>
    </w:rPr>
  </w:style>
  <w:style w:type="paragraph" w:customStyle="1" w:styleId="Estndar">
    <w:name w:val="Estándar"/>
    <w:uiPriority w:val="99"/>
    <w:rsid w:val="00156CD3"/>
    <w:pPr>
      <w:snapToGrid w:val="0"/>
    </w:pPr>
    <w:rPr>
      <w:rFonts w:ascii="CG Omega" w:hAnsi="CG Omega"/>
      <w:color w:val="000000"/>
      <w:sz w:val="22"/>
    </w:rPr>
  </w:style>
  <w:style w:type="paragraph" w:customStyle="1" w:styleId="tabla10">
    <w:name w:val="tabla10"/>
    <w:uiPriority w:val="99"/>
    <w:rsid w:val="00156CD3"/>
    <w:pPr>
      <w:tabs>
        <w:tab w:val="left" w:pos="567"/>
        <w:tab w:val="left" w:pos="1134"/>
      </w:tabs>
    </w:pPr>
    <w:rPr>
      <w:rFonts w:ascii="CG Times" w:hAnsi="CG Times"/>
      <w:color w:val="000000"/>
    </w:rPr>
  </w:style>
  <w:style w:type="paragraph" w:customStyle="1" w:styleId="Tabla-10">
    <w:name w:val="Tabla-10"/>
    <w:basedOn w:val="Normal"/>
    <w:uiPriority w:val="99"/>
    <w:rsid w:val="00156CD3"/>
    <w:pPr>
      <w:tabs>
        <w:tab w:val="decimal" w:pos="992"/>
      </w:tabs>
      <w:spacing w:before="84" w:after="20"/>
      <w:ind w:firstLine="0"/>
      <w:jc w:val="left"/>
    </w:pPr>
    <w:rPr>
      <w:rFonts w:ascii="CG Omega" w:hAnsi="CG Omega"/>
    </w:rPr>
  </w:style>
  <w:style w:type="paragraph" w:customStyle="1" w:styleId="Tabla-10-2">
    <w:name w:val="Tabla-10-2"/>
    <w:basedOn w:val="Normal"/>
    <w:uiPriority w:val="99"/>
    <w:rsid w:val="00156CD3"/>
    <w:pPr>
      <w:tabs>
        <w:tab w:val="decimal" w:pos="1021"/>
      </w:tabs>
      <w:spacing w:before="84" w:after="20"/>
      <w:ind w:firstLine="0"/>
      <w:jc w:val="left"/>
    </w:pPr>
    <w:rPr>
      <w:rFonts w:ascii="CG Omega" w:hAnsi="CG Omega"/>
      <w:sz w:val="18"/>
    </w:rPr>
  </w:style>
  <w:style w:type="paragraph" w:customStyle="1" w:styleId="GenBasePiePag">
    <w:name w:val="GenBasePiePag"/>
    <w:uiPriority w:val="99"/>
    <w:rsid w:val="00156CD3"/>
    <w:pPr>
      <w:spacing w:line="190" w:lineRule="exact"/>
      <w:jc w:val="center"/>
    </w:pPr>
    <w:rPr>
      <w:rFonts w:ascii="Arial Narrow" w:hAnsi="Arial Narrow"/>
      <w:sz w:val="18"/>
    </w:rPr>
  </w:style>
  <w:style w:type="paragraph" w:customStyle="1" w:styleId="cuatitul">
    <w:name w:val="cuatitul"/>
    <w:basedOn w:val="Normal"/>
    <w:uiPriority w:val="99"/>
    <w:rsid w:val="00156CD3"/>
    <w:pPr>
      <w:spacing w:after="60"/>
      <w:ind w:firstLine="0"/>
      <w:jc w:val="center"/>
    </w:pPr>
    <w:rPr>
      <w:rFonts w:ascii="GillSans" w:hAnsi="GillSans"/>
      <w:sz w:val="22"/>
      <w:lang w:eastAsia="es-ES"/>
    </w:rPr>
  </w:style>
  <w:style w:type="paragraph" w:customStyle="1" w:styleId="TablaCC">
    <w:name w:val="TablaCC"/>
    <w:basedOn w:val="Normal"/>
    <w:uiPriority w:val="99"/>
    <w:rsid w:val="00156CD3"/>
    <w:pPr>
      <w:spacing w:before="200" w:after="0"/>
      <w:ind w:firstLine="0"/>
      <w:jc w:val="left"/>
    </w:pPr>
    <w:rPr>
      <w:rFonts w:ascii="Arial" w:hAnsi="Arial"/>
      <w:b/>
      <w:sz w:val="24"/>
      <w:szCs w:val="24"/>
      <w:lang w:val="es-ES"/>
    </w:rPr>
  </w:style>
  <w:style w:type="paragraph" w:customStyle="1" w:styleId="xl25">
    <w:name w:val="xl25"/>
    <w:basedOn w:val="Normal"/>
    <w:uiPriority w:val="99"/>
    <w:rsid w:val="00156CD3"/>
    <w:pPr>
      <w:pBdr>
        <w:left w:val="double" w:sz="6" w:space="0" w:color="auto"/>
      </w:pBdr>
      <w:spacing w:before="100" w:beforeAutospacing="1" w:after="100" w:afterAutospacing="1"/>
      <w:ind w:firstLine="0"/>
      <w:jc w:val="left"/>
      <w:textAlignment w:val="top"/>
    </w:pPr>
    <w:rPr>
      <w:rFonts w:eastAsia="Arial Unicode MS"/>
      <w:sz w:val="24"/>
      <w:szCs w:val="24"/>
      <w:lang w:val="es-ES" w:eastAsia="es-ES"/>
    </w:rPr>
  </w:style>
  <w:style w:type="paragraph" w:styleId="NormalWeb">
    <w:name w:val="Normal (Web)"/>
    <w:basedOn w:val="Normal"/>
    <w:uiPriority w:val="99"/>
    <w:rsid w:val="00156CD3"/>
    <w:pPr>
      <w:spacing w:before="100" w:beforeAutospacing="1" w:after="100" w:afterAutospacing="1"/>
      <w:ind w:firstLine="0"/>
      <w:jc w:val="left"/>
    </w:pPr>
    <w:rPr>
      <w:sz w:val="24"/>
      <w:szCs w:val="24"/>
      <w:lang w:val="es-ES" w:eastAsia="es-ES"/>
    </w:rPr>
  </w:style>
  <w:style w:type="character" w:customStyle="1" w:styleId="AyuntamientoCar">
    <w:name w:val="Ayuntamiento Car"/>
    <w:link w:val="Ayuntamiento"/>
    <w:uiPriority w:val="99"/>
    <w:locked/>
    <w:rsid w:val="00156CD3"/>
    <w:rPr>
      <w:rFonts w:ascii="Arial" w:hAnsi="Arial"/>
      <w:sz w:val="24"/>
    </w:rPr>
  </w:style>
  <w:style w:type="paragraph" w:customStyle="1" w:styleId="Ayuntamiento">
    <w:name w:val="Ayuntamiento"/>
    <w:basedOn w:val="Normal"/>
    <w:link w:val="AyuntamientoCar"/>
    <w:uiPriority w:val="99"/>
    <w:rsid w:val="00156CD3"/>
    <w:pPr>
      <w:spacing w:after="0"/>
      <w:ind w:firstLine="0"/>
    </w:pPr>
    <w:rPr>
      <w:rFonts w:ascii="Arial" w:hAnsi="Arial"/>
      <w:sz w:val="24"/>
      <w:lang w:val="es-ES" w:eastAsia="es-ES"/>
    </w:rPr>
  </w:style>
  <w:style w:type="character" w:customStyle="1" w:styleId="JavierCar">
    <w:name w:val="Javier Car"/>
    <w:link w:val="Javier"/>
    <w:uiPriority w:val="99"/>
    <w:locked/>
    <w:rsid w:val="00156CD3"/>
    <w:rPr>
      <w:rFonts w:ascii="Arial" w:hAnsi="Arial"/>
      <w:sz w:val="24"/>
    </w:rPr>
  </w:style>
  <w:style w:type="paragraph" w:customStyle="1" w:styleId="Javier">
    <w:name w:val="Javier"/>
    <w:basedOn w:val="Normal"/>
    <w:link w:val="JavierCar"/>
    <w:uiPriority w:val="99"/>
    <w:rsid w:val="00156CD3"/>
    <w:pPr>
      <w:spacing w:after="0"/>
      <w:ind w:firstLine="0"/>
    </w:pPr>
    <w:rPr>
      <w:rFonts w:ascii="Arial" w:hAnsi="Arial"/>
      <w:sz w:val="24"/>
      <w:lang w:val="es-ES" w:eastAsia="es-ES"/>
    </w:rPr>
  </w:style>
  <w:style w:type="character" w:styleId="Textoennegrita">
    <w:name w:val="Strong"/>
    <w:basedOn w:val="Fuentedeprrafopredeter"/>
    <w:uiPriority w:val="99"/>
    <w:qFormat/>
    <w:rsid w:val="00156CD3"/>
    <w:rPr>
      <w:rFonts w:cs="Times New Roman"/>
      <w:b/>
    </w:rPr>
  </w:style>
  <w:style w:type="paragraph" w:customStyle="1" w:styleId="foral-f-parrafo-c">
    <w:name w:val="foral-f-parrafo-c"/>
    <w:basedOn w:val="Normal"/>
    <w:uiPriority w:val="99"/>
    <w:rsid w:val="00156CD3"/>
    <w:pPr>
      <w:spacing w:after="240"/>
      <w:ind w:firstLine="0"/>
      <w:jc w:val="left"/>
    </w:pPr>
    <w:rPr>
      <w:sz w:val="24"/>
      <w:szCs w:val="24"/>
      <w:lang w:val="es-ES" w:eastAsia="es-ES"/>
    </w:rPr>
  </w:style>
  <w:style w:type="paragraph" w:styleId="Textoindependiente2">
    <w:name w:val="Body Text 2"/>
    <w:basedOn w:val="Normal"/>
    <w:link w:val="Textoindependiente2Car"/>
    <w:uiPriority w:val="99"/>
    <w:rsid w:val="00156CD3"/>
    <w:pPr>
      <w:spacing w:after="120" w:line="480" w:lineRule="auto"/>
    </w:pPr>
  </w:style>
  <w:style w:type="character" w:customStyle="1" w:styleId="Textoindependiente2Car">
    <w:name w:val="Texto independiente 2 Car"/>
    <w:basedOn w:val="Fuentedeprrafopredeter"/>
    <w:link w:val="Textoindependiente2"/>
    <w:uiPriority w:val="99"/>
    <w:rsid w:val="00156CD3"/>
    <w:rPr>
      <w:lang w:val="es-ES_tradnl" w:eastAsia="en-US"/>
    </w:rPr>
  </w:style>
  <w:style w:type="paragraph" w:styleId="Textoindependiente3">
    <w:name w:val="Body Text 3"/>
    <w:basedOn w:val="Normal"/>
    <w:link w:val="Textoindependiente3Car"/>
    <w:uiPriority w:val="99"/>
    <w:rsid w:val="00156CD3"/>
    <w:pPr>
      <w:spacing w:after="0"/>
      <w:ind w:firstLine="0"/>
      <w:jc w:val="center"/>
    </w:pPr>
    <w:rPr>
      <w:rFonts w:ascii="ITCCentury Book" w:hAnsi="ITCCentury Book"/>
      <w:b/>
      <w:sz w:val="96"/>
      <w:lang w:val="es-ES" w:eastAsia="es-ES"/>
    </w:rPr>
  </w:style>
  <w:style w:type="character" w:customStyle="1" w:styleId="Textoindependiente3Car">
    <w:name w:val="Texto independiente 3 Car"/>
    <w:basedOn w:val="Fuentedeprrafopredeter"/>
    <w:link w:val="Textoindependiente3"/>
    <w:uiPriority w:val="99"/>
    <w:rsid w:val="00156CD3"/>
    <w:rPr>
      <w:rFonts w:ascii="ITCCentury Book" w:hAnsi="ITCCentury Book"/>
      <w:b/>
      <w:sz w:val="96"/>
    </w:rPr>
  </w:style>
  <w:style w:type="paragraph" w:customStyle="1" w:styleId="c22">
    <w:name w:val="c22"/>
    <w:basedOn w:val="Normal"/>
    <w:uiPriority w:val="99"/>
    <w:rsid w:val="00156CD3"/>
    <w:pPr>
      <w:spacing w:before="100" w:beforeAutospacing="1" w:after="100" w:afterAutospacing="1"/>
      <w:ind w:firstLine="0"/>
      <w:jc w:val="left"/>
    </w:pPr>
    <w:rPr>
      <w:sz w:val="24"/>
      <w:szCs w:val="24"/>
      <w:lang w:val="es-ES" w:eastAsia="es-ES"/>
    </w:rPr>
  </w:style>
  <w:style w:type="paragraph" w:customStyle="1" w:styleId="np">
    <w:name w:val="np"/>
    <w:basedOn w:val="Normal"/>
    <w:uiPriority w:val="99"/>
    <w:rsid w:val="00156CD3"/>
    <w:pPr>
      <w:spacing w:before="100" w:beforeAutospacing="1" w:after="100" w:afterAutospacing="1"/>
      <w:ind w:firstLine="0"/>
      <w:jc w:val="left"/>
    </w:pPr>
    <w:rPr>
      <w:sz w:val="24"/>
      <w:szCs w:val="24"/>
      <w:lang w:val="es-ES" w:eastAsia="es-ES"/>
    </w:rPr>
  </w:style>
  <w:style w:type="paragraph" w:customStyle="1" w:styleId="Default">
    <w:name w:val="Default"/>
    <w:uiPriority w:val="99"/>
    <w:rsid w:val="00156CD3"/>
    <w:pPr>
      <w:autoSpaceDE w:val="0"/>
      <w:autoSpaceDN w:val="0"/>
      <w:adjustRightInd w:val="0"/>
    </w:pPr>
    <w:rPr>
      <w:rFonts w:ascii="TimesNewRoman" w:hAnsi="TimesNewRoman" w:cs="TimesNewRoman"/>
    </w:rPr>
  </w:style>
  <w:style w:type="paragraph" w:customStyle="1" w:styleId="Subepgrafe">
    <w:name w:val="Subepígrafe"/>
    <w:basedOn w:val="Normal"/>
    <w:next w:val="Normal"/>
    <w:uiPriority w:val="99"/>
    <w:rsid w:val="00156CD3"/>
    <w:pPr>
      <w:overflowPunct w:val="0"/>
      <w:adjustRightInd w:val="0"/>
      <w:spacing w:before="240" w:after="0"/>
      <w:ind w:firstLine="0"/>
    </w:pPr>
    <w:rPr>
      <w:sz w:val="22"/>
      <w:lang w:eastAsia="es-ES"/>
    </w:rPr>
  </w:style>
  <w:style w:type="character" w:styleId="nfasis">
    <w:name w:val="Emphasis"/>
    <w:basedOn w:val="Fuentedeprrafopredeter"/>
    <w:uiPriority w:val="20"/>
    <w:qFormat/>
    <w:rsid w:val="00156CD3"/>
    <w:rPr>
      <w:rFonts w:cs="Times New Roman"/>
      <w:i/>
      <w:iCs/>
    </w:rPr>
  </w:style>
  <w:style w:type="paragraph" w:customStyle="1" w:styleId="xa1">
    <w:name w:val="xa1"/>
    <w:basedOn w:val="Normal"/>
    <w:uiPriority w:val="99"/>
    <w:rsid w:val="00156CD3"/>
    <w:pPr>
      <w:spacing w:after="240"/>
      <w:ind w:left="300" w:right="75" w:firstLine="0"/>
    </w:pPr>
    <w:rPr>
      <w:sz w:val="24"/>
      <w:szCs w:val="24"/>
      <w:lang w:val="es-ES" w:eastAsia="es-ES"/>
    </w:rPr>
  </w:style>
  <w:style w:type="paragraph" w:customStyle="1" w:styleId="xl2">
    <w:name w:val="xl2"/>
    <w:basedOn w:val="Normal"/>
    <w:uiPriority w:val="99"/>
    <w:rsid w:val="00156CD3"/>
    <w:pPr>
      <w:spacing w:after="240"/>
      <w:ind w:left="525" w:right="75" w:hanging="225"/>
    </w:pPr>
    <w:rPr>
      <w:sz w:val="24"/>
      <w:szCs w:val="24"/>
      <w:lang w:val="es-ES" w:eastAsia="es-ES"/>
    </w:rPr>
  </w:style>
  <w:style w:type="paragraph" w:customStyle="1" w:styleId="xl1">
    <w:name w:val="xl1"/>
    <w:basedOn w:val="Normal"/>
    <w:uiPriority w:val="99"/>
    <w:rsid w:val="00156CD3"/>
    <w:pPr>
      <w:spacing w:after="240"/>
      <w:ind w:left="300" w:right="75" w:hanging="225"/>
    </w:pPr>
    <w:rPr>
      <w:sz w:val="24"/>
      <w:szCs w:val="24"/>
      <w:lang w:val="es-ES" w:eastAsia="es-ES"/>
    </w:rPr>
  </w:style>
  <w:style w:type="paragraph" w:customStyle="1" w:styleId="norma1">
    <w:name w:val="norma1"/>
    <w:basedOn w:val="Normal"/>
    <w:uiPriority w:val="99"/>
    <w:rsid w:val="00156CD3"/>
    <w:pPr>
      <w:spacing w:after="240"/>
      <w:ind w:firstLine="0"/>
    </w:pPr>
    <w:rPr>
      <w:b/>
      <w:bCs/>
      <w:caps/>
      <w:sz w:val="24"/>
      <w:szCs w:val="24"/>
      <w:lang w:val="es-ES" w:eastAsia="es-ES"/>
    </w:rPr>
  </w:style>
  <w:style w:type="paragraph" w:customStyle="1" w:styleId="simpleizquierdanone1">
    <w:name w:val="simple izquierda none1"/>
    <w:basedOn w:val="Normal"/>
    <w:uiPriority w:val="99"/>
    <w:rsid w:val="00156CD3"/>
    <w:pPr>
      <w:spacing w:before="72" w:after="192" w:line="336" w:lineRule="atLeast"/>
      <w:ind w:left="1368" w:firstLine="0"/>
      <w:jc w:val="left"/>
    </w:pPr>
    <w:rPr>
      <w:rFonts w:ascii="Arial" w:hAnsi="Arial" w:cs="Arial"/>
      <w:color w:val="000000"/>
      <w:sz w:val="29"/>
      <w:szCs w:val="29"/>
      <w:lang w:eastAsia="es-ES_tradnl"/>
    </w:rPr>
  </w:style>
  <w:style w:type="paragraph" w:customStyle="1" w:styleId="simpleizquierda1">
    <w:name w:val="simple izquierda 1"/>
    <w:basedOn w:val="Normal"/>
    <w:uiPriority w:val="99"/>
    <w:rsid w:val="00156CD3"/>
    <w:pPr>
      <w:spacing w:before="72" w:after="192" w:line="336" w:lineRule="atLeast"/>
      <w:ind w:left="1368" w:firstLine="0"/>
      <w:jc w:val="left"/>
    </w:pPr>
    <w:rPr>
      <w:rFonts w:ascii="Arial" w:hAnsi="Arial" w:cs="Arial"/>
      <w:color w:val="000000"/>
      <w:sz w:val="29"/>
      <w:szCs w:val="29"/>
      <w:lang w:eastAsia="es-ES_tradnl"/>
    </w:rPr>
  </w:style>
  <w:style w:type="character" w:customStyle="1" w:styleId="highlight1">
    <w:name w:val="highlight1"/>
    <w:basedOn w:val="Fuentedeprrafopredeter"/>
    <w:uiPriority w:val="99"/>
    <w:rsid w:val="00156CD3"/>
    <w:rPr>
      <w:rFonts w:cs="Times New Roman"/>
      <w:b/>
      <w:bCs/>
      <w:shd w:val="clear" w:color="auto" w:fill="D2F7E1"/>
    </w:rPr>
  </w:style>
  <w:style w:type="paragraph" w:customStyle="1" w:styleId="parrafo">
    <w:name w:val="parrafo"/>
    <w:basedOn w:val="Normal"/>
    <w:rsid w:val="00156CD3"/>
    <w:pPr>
      <w:spacing w:before="100" w:beforeAutospacing="1" w:after="100" w:afterAutospacing="1"/>
      <w:ind w:firstLine="0"/>
      <w:jc w:val="left"/>
    </w:pPr>
    <w:rPr>
      <w:sz w:val="24"/>
      <w:szCs w:val="24"/>
      <w:lang w:val="es-ES" w:eastAsia="es-ES"/>
    </w:rPr>
  </w:style>
  <w:style w:type="character" w:customStyle="1" w:styleId="searchterm2">
    <w:name w:val="searchterm2"/>
    <w:basedOn w:val="Fuentedeprrafopredeter"/>
    <w:uiPriority w:val="99"/>
    <w:rsid w:val="00156CD3"/>
    <w:rPr>
      <w:rFonts w:cs="Times New Roman"/>
      <w:b/>
      <w:bCs/>
      <w:color w:val="000000"/>
      <w:shd w:val="clear" w:color="auto" w:fill="FFFFBF"/>
    </w:rPr>
  </w:style>
  <w:style w:type="paragraph" w:styleId="Sangradetextonormal">
    <w:name w:val="Body Text Indent"/>
    <w:basedOn w:val="Normal"/>
    <w:link w:val="SangradetextonormalCar"/>
    <w:uiPriority w:val="99"/>
    <w:rsid w:val="00156CD3"/>
    <w:pPr>
      <w:spacing w:after="120"/>
      <w:ind w:left="283"/>
    </w:pPr>
  </w:style>
  <w:style w:type="character" w:customStyle="1" w:styleId="SangradetextonormalCar">
    <w:name w:val="Sangría de texto normal Car"/>
    <w:basedOn w:val="Fuentedeprrafopredeter"/>
    <w:link w:val="Sangradetextonormal"/>
    <w:uiPriority w:val="99"/>
    <w:rsid w:val="00156CD3"/>
    <w:rPr>
      <w:lang w:val="es-ES_tradnl" w:eastAsia="en-US"/>
    </w:rPr>
  </w:style>
  <w:style w:type="character" w:styleId="Hipervnculovisitado">
    <w:name w:val="FollowedHyperlink"/>
    <w:basedOn w:val="Fuentedeprrafopredeter"/>
    <w:uiPriority w:val="99"/>
    <w:rsid w:val="00156CD3"/>
    <w:rPr>
      <w:rFonts w:cs="Times New Roman"/>
      <w:color w:val="800080"/>
      <w:u w:val="single"/>
    </w:rPr>
  </w:style>
  <w:style w:type="paragraph" w:styleId="Textosinformato">
    <w:name w:val="Plain Text"/>
    <w:basedOn w:val="Normal"/>
    <w:link w:val="TextosinformatoCar"/>
    <w:uiPriority w:val="99"/>
    <w:unhideWhenUsed/>
    <w:rsid w:val="00156CD3"/>
    <w:pPr>
      <w:spacing w:after="0"/>
      <w:ind w:firstLine="0"/>
      <w:jc w:val="left"/>
    </w:pPr>
    <w:rPr>
      <w:rFonts w:ascii="Calibri" w:eastAsia="Calibri" w:hAnsi="Calibri"/>
      <w:sz w:val="22"/>
      <w:szCs w:val="21"/>
      <w:lang w:val="es-ES"/>
    </w:rPr>
  </w:style>
  <w:style w:type="character" w:customStyle="1" w:styleId="TextosinformatoCar">
    <w:name w:val="Texto sin formato Car"/>
    <w:basedOn w:val="Fuentedeprrafopredeter"/>
    <w:link w:val="Textosinformato"/>
    <w:uiPriority w:val="99"/>
    <w:rsid w:val="00156CD3"/>
    <w:rPr>
      <w:rFonts w:ascii="Calibri" w:eastAsia="Calibri" w:hAnsi="Calibri"/>
      <w:sz w:val="22"/>
      <w:szCs w:val="21"/>
      <w:lang w:eastAsia="en-US"/>
    </w:rPr>
  </w:style>
  <w:style w:type="paragraph" w:styleId="Prrafodelista">
    <w:name w:val="List Paragraph"/>
    <w:basedOn w:val="Normal"/>
    <w:uiPriority w:val="34"/>
    <w:qFormat/>
    <w:rsid w:val="00156CD3"/>
    <w:pPr>
      <w:ind w:left="720"/>
      <w:contextualSpacing/>
    </w:pPr>
  </w:style>
  <w:style w:type="paragraph" w:styleId="Textonotaalfinal">
    <w:name w:val="endnote text"/>
    <w:basedOn w:val="Normal"/>
    <w:link w:val="TextonotaalfinalCar"/>
    <w:rsid w:val="00156CD3"/>
    <w:pPr>
      <w:spacing w:after="0"/>
    </w:pPr>
  </w:style>
  <w:style w:type="character" w:customStyle="1" w:styleId="TextonotaalfinalCar">
    <w:name w:val="Texto nota al final Car"/>
    <w:basedOn w:val="Fuentedeprrafopredeter"/>
    <w:link w:val="Textonotaalfinal"/>
    <w:rsid w:val="00156CD3"/>
    <w:rPr>
      <w:lang w:val="es-ES_tradnl" w:eastAsia="en-US"/>
    </w:rPr>
  </w:style>
  <w:style w:type="character" w:styleId="Refdenotaalfinal">
    <w:name w:val="endnote reference"/>
    <w:basedOn w:val="Fuentedeprrafopredeter"/>
    <w:rsid w:val="00156CD3"/>
    <w:rPr>
      <w:vertAlign w:val="superscript"/>
    </w:rPr>
  </w:style>
  <w:style w:type="paragraph" w:styleId="Cita">
    <w:name w:val="Quote"/>
    <w:basedOn w:val="Normal"/>
    <w:next w:val="Normal"/>
    <w:link w:val="CitaCar"/>
    <w:uiPriority w:val="29"/>
    <w:qFormat/>
    <w:rsid w:val="00925DA3"/>
    <w:rPr>
      <w:i/>
      <w:iCs/>
      <w:color w:val="000000" w:themeColor="text1"/>
    </w:rPr>
  </w:style>
  <w:style w:type="character" w:customStyle="1" w:styleId="CitaCar">
    <w:name w:val="Cita Car"/>
    <w:basedOn w:val="Fuentedeprrafopredeter"/>
    <w:link w:val="Cita"/>
    <w:uiPriority w:val="29"/>
    <w:rsid w:val="00925DA3"/>
    <w:rPr>
      <w:i/>
      <w:iCs/>
      <w:color w:val="000000" w:themeColor="text1"/>
      <w:lang w:val="es-ES_tradnl" w:eastAsia="en-US"/>
    </w:rPr>
  </w:style>
  <w:style w:type="table" w:customStyle="1" w:styleId="TableNormal">
    <w:name w:val="Table Normal"/>
    <w:uiPriority w:val="59"/>
    <w:rsid w:val="0067725A"/>
    <w:pPr>
      <w:autoSpaceDE w:val="0"/>
      <w:autoSpaceDN w:val="0"/>
      <w:adjustRightInd w:val="0"/>
      <w:spacing w:line="276" w:lineRule="auto"/>
    </w:pPr>
    <w:rPr>
      <w:rFonts w:ascii="Verdana" w:hAnsi="Verdana"/>
      <w:color w:val="000000"/>
      <w:sz w:val="24"/>
      <w:szCs w:val="24"/>
      <w:u w:color="000000"/>
      <w:lang w:val="en-US"/>
    </w:rPr>
    <w:tblPr>
      <w:tblCellMar>
        <w:top w:w="0" w:type="dxa"/>
        <w:left w:w="0" w:type="dxa"/>
        <w:bottom w:w="0" w:type="dxa"/>
        <w:right w:w="0" w:type="dxa"/>
      </w:tblCellMar>
    </w:tblPr>
  </w:style>
  <w:style w:type="character" w:styleId="Refdecomentario">
    <w:name w:val="annotation reference"/>
    <w:basedOn w:val="Fuentedeprrafopredeter"/>
    <w:semiHidden/>
    <w:unhideWhenUsed/>
    <w:rsid w:val="00797DEF"/>
    <w:rPr>
      <w:sz w:val="16"/>
      <w:szCs w:val="16"/>
    </w:rPr>
  </w:style>
  <w:style w:type="paragraph" w:styleId="Textocomentario">
    <w:name w:val="annotation text"/>
    <w:basedOn w:val="Normal"/>
    <w:link w:val="TextocomentarioCar"/>
    <w:semiHidden/>
    <w:unhideWhenUsed/>
    <w:rsid w:val="00797DEF"/>
  </w:style>
  <w:style w:type="character" w:customStyle="1" w:styleId="TextocomentarioCar">
    <w:name w:val="Texto comentario Car"/>
    <w:basedOn w:val="Fuentedeprrafopredeter"/>
    <w:link w:val="Textocomentario"/>
    <w:semiHidden/>
    <w:rsid w:val="00797DEF"/>
    <w:rPr>
      <w:lang w:val="es-ES_tradnl" w:eastAsia="en-US"/>
    </w:rPr>
  </w:style>
  <w:style w:type="paragraph" w:styleId="Asuntodelcomentario">
    <w:name w:val="annotation subject"/>
    <w:basedOn w:val="Textocomentario"/>
    <w:next w:val="Textocomentario"/>
    <w:link w:val="AsuntodelcomentarioCar"/>
    <w:semiHidden/>
    <w:unhideWhenUsed/>
    <w:rsid w:val="00797DEF"/>
    <w:rPr>
      <w:b/>
      <w:bCs/>
    </w:rPr>
  </w:style>
  <w:style w:type="character" w:customStyle="1" w:styleId="AsuntodelcomentarioCar">
    <w:name w:val="Asunto del comentario Car"/>
    <w:basedOn w:val="TextocomentarioCar"/>
    <w:link w:val="Asuntodelcomentario"/>
    <w:semiHidden/>
    <w:rsid w:val="00797DEF"/>
    <w:rPr>
      <w:b/>
      <w:bCs/>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uiPriority="99" w:qFormat="1"/>
    <w:lsdException w:name="heading 5" w:semiHidden="0" w:uiPriority="99" w:unhideWhenUsed="0" w:qFormat="1"/>
    <w:lsdException w:name="heading 6" w:qFormat="1"/>
    <w:lsdException w:name="heading 7" w:uiPriority="99" w:qFormat="1"/>
    <w:lsdException w:name="heading 8" w:qFormat="1"/>
    <w:lsdException w:name="heading 9" w:qFormat="1"/>
    <w:lsdException w:name="toc 1" w:uiPriority="39"/>
    <w:lsdException w:name="toc 2" w:uiPriority="39"/>
    <w:lsdException w:name="toc 3" w:uiPriority="3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quot;Cita textual&quot;Normal"/>
    <w:qFormat/>
    <w:rsid w:val="00285721"/>
    <w:pPr>
      <w:spacing w:after="140"/>
      <w:ind w:firstLine="567"/>
      <w:jc w:val="both"/>
    </w:pPr>
    <w:rPr>
      <w:lang w:val="es-ES_tradnl"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156CD3"/>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156CD3"/>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uiPriority w:val="99"/>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uiPriority w:val="99"/>
    <w:rsid w:val="001D4F09"/>
    <w:pPr>
      <w:numPr>
        <w:numId w:val="2"/>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uiPriority w:val="99"/>
    <w:rsid w:val="00FF4A4C"/>
    <w:pPr>
      <w:spacing w:before="60" w:after="0"/>
      <w:ind w:left="4536" w:firstLine="0"/>
    </w:pPr>
    <w:rPr>
      <w:rFonts w:ascii="ITCCentury Book" w:hAnsi="ITCCentury Book"/>
      <w:sz w:val="60"/>
    </w:rPr>
  </w:style>
  <w:style w:type="paragraph" w:customStyle="1" w:styleId="texto">
    <w:name w:val="texto"/>
    <w:basedOn w:val="Normal"/>
    <w:link w:val="textoCar"/>
    <w:uiPriority w:val="99"/>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4B2F01"/>
    <w:rPr>
      <w:b w:val="0"/>
      <w:bCs/>
      <w:iCs/>
      <w:spacing w:val="10"/>
    </w:rPr>
  </w:style>
  <w:style w:type="paragraph" w:customStyle="1" w:styleId="atitulo3">
    <w:name w:val="atitulo3"/>
    <w:basedOn w:val="atitulo2"/>
    <w:uiPriority w:val="99"/>
    <w:rsid w:val="004B2F01"/>
    <w:rPr>
      <w:bCs w:val="0"/>
      <w:i/>
    </w:rPr>
  </w:style>
  <w:style w:type="paragraph" w:styleId="TDC1">
    <w:name w:val="toc 1"/>
    <w:basedOn w:val="Normal"/>
    <w:next w:val="Normal"/>
    <w:autoRedefine/>
    <w:uiPriority w:val="39"/>
    <w:rsid w:val="00290C01"/>
    <w:pPr>
      <w:tabs>
        <w:tab w:val="right" w:leader="dot" w:pos="8930"/>
      </w:tabs>
      <w:spacing w:before="60" w:after="80"/>
      <w:ind w:firstLine="0"/>
      <w:jc w:val="left"/>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uiPriority w:val="99"/>
    <w:rsid w:val="00337493"/>
    <w:pPr>
      <w:spacing w:after="90"/>
    </w:pPr>
    <w:rPr>
      <w:sz w:val="20"/>
    </w:rPr>
  </w:style>
  <w:style w:type="paragraph" w:customStyle="1" w:styleId="ndice">
    <w:name w:val="índice"/>
    <w:basedOn w:val="atitulo1"/>
    <w:uiPriority w:val="99"/>
    <w:rsid w:val="007446E8"/>
    <w:pPr>
      <w:jc w:val="center"/>
    </w:pPr>
    <w:rPr>
      <w:caps/>
    </w:rPr>
  </w:style>
  <w:style w:type="paragraph" w:customStyle="1" w:styleId="Fechaportada">
    <w:name w:val="Fechaportada"/>
    <w:basedOn w:val="texto"/>
    <w:uiPriority w:val="99"/>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uiPriority w:val="99"/>
    <w:qFormat/>
    <w:rsid w:val="001D4F09"/>
    <w:rPr>
      <w:spacing w:val="6"/>
      <w:sz w:val="26"/>
      <w:szCs w:val="24"/>
      <w:lang w:val="es-ES_tradnl" w:eastAsia="en-US" w:bidi="ar-SA"/>
    </w:rPr>
  </w:style>
  <w:style w:type="paragraph" w:customStyle="1" w:styleId="atitulo4">
    <w:name w:val="atitulo4"/>
    <w:basedOn w:val="atitulo3"/>
    <w:uiPriority w:val="99"/>
    <w:rsid w:val="001D4F09"/>
  </w:style>
  <w:style w:type="paragraph" w:customStyle="1" w:styleId="cuadroCabe">
    <w:name w:val="cuadroCabe"/>
    <w:basedOn w:val="cuatexto"/>
    <w:uiPriority w:val="99"/>
    <w:rsid w:val="002717A6"/>
    <w:rPr>
      <w:rFonts w:ascii="Arial" w:hAnsi="Arial"/>
      <w:sz w:val="18"/>
    </w:rPr>
  </w:style>
  <w:style w:type="paragraph" w:customStyle="1" w:styleId="Portada0">
    <w:name w:val="Portada"/>
    <w:basedOn w:val="portada"/>
    <w:uiPriority w:val="99"/>
    <w:rsid w:val="00FF4A4C"/>
    <w:pPr>
      <w:ind w:left="4396" w:right="-1051"/>
      <w:jc w:val="left"/>
    </w:pPr>
  </w:style>
  <w:style w:type="table" w:styleId="Tablaconcuadrcula">
    <w:name w:val="Table Grid"/>
    <w:basedOn w:val="Tablanormal"/>
    <w:uiPriority w:val="5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uiPriority w:val="99"/>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uiPriority w:val="39"/>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uiPriority w:val="99"/>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9"/>
    <w:rsid w:val="00156CD3"/>
    <w:rPr>
      <w:b/>
      <w:bCs/>
      <w:sz w:val="28"/>
      <w:szCs w:val="28"/>
      <w:lang w:val="es-ES_tradnl" w:eastAsia="en-US"/>
    </w:rPr>
  </w:style>
  <w:style w:type="character" w:customStyle="1" w:styleId="Ttulo7Car">
    <w:name w:val="Título 7 Car"/>
    <w:basedOn w:val="Fuentedeprrafopredeter"/>
    <w:link w:val="Ttulo7"/>
    <w:uiPriority w:val="99"/>
    <w:rsid w:val="00156CD3"/>
    <w:rPr>
      <w:sz w:val="52"/>
    </w:rPr>
  </w:style>
  <w:style w:type="character" w:customStyle="1" w:styleId="atitulo1Car">
    <w:name w:val="atitulo1 Car"/>
    <w:basedOn w:val="Fuentedeprrafopredeter"/>
    <w:link w:val="atitulo1"/>
    <w:uiPriority w:val="99"/>
    <w:locked/>
    <w:rsid w:val="00156CD3"/>
    <w:rPr>
      <w:rFonts w:ascii="Arial" w:hAnsi="Arial"/>
      <w:b/>
      <w:color w:val="000000"/>
      <w:kern w:val="28"/>
      <w:sz w:val="25"/>
      <w:szCs w:val="26"/>
      <w:lang w:val="es-ES_tradnl" w:eastAsia="en-US"/>
    </w:rPr>
  </w:style>
  <w:style w:type="character" w:customStyle="1" w:styleId="PiedepginaCar">
    <w:name w:val="Pie de página Car"/>
    <w:basedOn w:val="Fuentedeprrafopredeter"/>
    <w:link w:val="Piedepgina"/>
    <w:uiPriority w:val="99"/>
    <w:locked/>
    <w:rsid w:val="00156CD3"/>
    <w:rPr>
      <w:spacing w:val="6"/>
      <w:lang w:val="es-ES_tradnl" w:eastAsia="en-US"/>
    </w:rPr>
  </w:style>
  <w:style w:type="character" w:customStyle="1" w:styleId="atitulo2Car">
    <w:name w:val="atitulo2 Car"/>
    <w:link w:val="atitulo2"/>
    <w:uiPriority w:val="99"/>
    <w:locked/>
    <w:rsid w:val="00156CD3"/>
    <w:rPr>
      <w:rFonts w:ascii="Arial" w:hAnsi="Arial"/>
      <w:bCs/>
      <w:iCs/>
      <w:color w:val="000000"/>
      <w:spacing w:val="10"/>
      <w:kern w:val="28"/>
      <w:sz w:val="25"/>
      <w:szCs w:val="26"/>
      <w:lang w:val="es-ES_tradnl" w:eastAsia="en-US"/>
    </w:rPr>
  </w:style>
  <w:style w:type="paragraph" w:styleId="Textonotapie">
    <w:name w:val="footnote text"/>
    <w:basedOn w:val="Normal"/>
    <w:link w:val="TextonotapieCar"/>
    <w:uiPriority w:val="99"/>
    <w:rsid w:val="00156CD3"/>
  </w:style>
  <w:style w:type="character" w:customStyle="1" w:styleId="TextonotapieCar">
    <w:name w:val="Texto nota pie Car"/>
    <w:basedOn w:val="Fuentedeprrafopredeter"/>
    <w:link w:val="Textonotapie"/>
    <w:uiPriority w:val="99"/>
    <w:rsid w:val="00156CD3"/>
    <w:rPr>
      <w:lang w:val="es-ES_tradnl" w:eastAsia="en-US"/>
    </w:rPr>
  </w:style>
  <w:style w:type="character" w:styleId="Refdenotaalpie">
    <w:name w:val="footnote reference"/>
    <w:basedOn w:val="Fuentedeprrafopredeter"/>
    <w:uiPriority w:val="99"/>
    <w:rsid w:val="00156CD3"/>
    <w:rPr>
      <w:rFonts w:cs="Times New Roman"/>
      <w:vertAlign w:val="superscript"/>
    </w:rPr>
  </w:style>
  <w:style w:type="table" w:customStyle="1" w:styleId="Tablaconcuadrcula1">
    <w:name w:val="Tabla con cuadrícula1"/>
    <w:basedOn w:val="Tablanormal"/>
    <w:next w:val="Tablaconcuadrcula"/>
    <w:uiPriority w:val="99"/>
    <w:rsid w:val="00156CD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9"/>
    <w:locked/>
    <w:rsid w:val="00156CD3"/>
    <w:rPr>
      <w:rFonts w:ascii="Arial" w:hAnsi="Arial" w:cs="Arial"/>
      <w:b/>
      <w:bCs/>
      <w:kern w:val="32"/>
      <w:sz w:val="32"/>
      <w:szCs w:val="32"/>
      <w:lang w:val="es-ES_tradnl" w:eastAsia="en-US"/>
    </w:rPr>
  </w:style>
  <w:style w:type="character" w:customStyle="1" w:styleId="Ttulo2Car">
    <w:name w:val="Título 2 Car"/>
    <w:basedOn w:val="Fuentedeprrafopredeter"/>
    <w:link w:val="Ttulo2"/>
    <w:uiPriority w:val="99"/>
    <w:locked/>
    <w:rsid w:val="00156CD3"/>
    <w:rPr>
      <w:rFonts w:ascii="Arial" w:hAnsi="Arial" w:cs="Arial"/>
      <w:b/>
      <w:bCs/>
      <w:i/>
      <w:iCs/>
      <w:sz w:val="28"/>
      <w:szCs w:val="28"/>
      <w:lang w:val="es-ES_tradnl" w:eastAsia="en-US"/>
    </w:rPr>
  </w:style>
  <w:style w:type="character" w:customStyle="1" w:styleId="Ttulo3Car">
    <w:name w:val="Título 3 Car"/>
    <w:basedOn w:val="Fuentedeprrafopredeter"/>
    <w:link w:val="Ttulo3"/>
    <w:uiPriority w:val="99"/>
    <w:locked/>
    <w:rsid w:val="00156CD3"/>
    <w:rPr>
      <w:rFonts w:ascii="Arial" w:hAnsi="Arial" w:cs="Arial"/>
      <w:b/>
      <w:bCs/>
      <w:szCs w:val="26"/>
      <w:lang w:val="es-ES_tradnl" w:eastAsia="en-US"/>
    </w:rPr>
  </w:style>
  <w:style w:type="character" w:customStyle="1" w:styleId="Ttulo5Car">
    <w:name w:val="Título 5 Car"/>
    <w:basedOn w:val="Fuentedeprrafopredeter"/>
    <w:link w:val="Ttulo5"/>
    <w:uiPriority w:val="99"/>
    <w:locked/>
    <w:rsid w:val="00156CD3"/>
    <w:rPr>
      <w:b/>
      <w:sz w:val="28"/>
      <w:lang w:eastAsia="en-US"/>
    </w:rPr>
  </w:style>
  <w:style w:type="character" w:customStyle="1" w:styleId="TextodegloboCar">
    <w:name w:val="Texto de globo Car"/>
    <w:basedOn w:val="Fuentedeprrafopredeter"/>
    <w:link w:val="Textodeglobo"/>
    <w:uiPriority w:val="99"/>
    <w:semiHidden/>
    <w:locked/>
    <w:rsid w:val="00156CD3"/>
    <w:rPr>
      <w:rFonts w:ascii="Tahoma" w:hAnsi="Tahoma" w:cs="Tahoma"/>
      <w:sz w:val="16"/>
      <w:szCs w:val="16"/>
      <w:lang w:val="es-ES_tradnl" w:eastAsia="en-US"/>
    </w:rPr>
  </w:style>
  <w:style w:type="character" w:customStyle="1" w:styleId="EncabezadoCar">
    <w:name w:val="Encabezado Car"/>
    <w:basedOn w:val="Fuentedeprrafopredeter"/>
    <w:link w:val="Encabezado"/>
    <w:uiPriority w:val="99"/>
    <w:locked/>
    <w:rsid w:val="00156CD3"/>
    <w:rPr>
      <w:bCs/>
      <w:caps/>
      <w:sz w:val="14"/>
      <w:szCs w:val="12"/>
      <w:lang w:val="es-ES_tradnl" w:eastAsia="en-US"/>
    </w:rPr>
  </w:style>
  <w:style w:type="paragraph" w:styleId="Textoindependiente">
    <w:name w:val="Body Text"/>
    <w:basedOn w:val="Normal"/>
    <w:link w:val="TextoindependienteCar"/>
    <w:rsid w:val="00156CD3"/>
    <w:pPr>
      <w:spacing w:after="0"/>
      <w:ind w:firstLine="0"/>
    </w:pPr>
    <w:rPr>
      <w:rFonts w:ascii="Arial" w:hAnsi="Arial"/>
      <w:sz w:val="24"/>
      <w:lang w:eastAsia="es-ES"/>
    </w:rPr>
  </w:style>
  <w:style w:type="character" w:customStyle="1" w:styleId="TextoindependienteCar">
    <w:name w:val="Texto independiente Car"/>
    <w:basedOn w:val="Fuentedeprrafopredeter"/>
    <w:link w:val="Textoindependiente"/>
    <w:rsid w:val="00156CD3"/>
    <w:rPr>
      <w:rFonts w:ascii="Arial" w:hAnsi="Arial"/>
      <w:sz w:val="24"/>
      <w:lang w:val="es-ES_tradnl"/>
    </w:rPr>
  </w:style>
  <w:style w:type="paragraph" w:customStyle="1" w:styleId="Estndar">
    <w:name w:val="Estándar"/>
    <w:uiPriority w:val="99"/>
    <w:rsid w:val="00156CD3"/>
    <w:pPr>
      <w:snapToGrid w:val="0"/>
    </w:pPr>
    <w:rPr>
      <w:rFonts w:ascii="CG Omega" w:hAnsi="CG Omega"/>
      <w:color w:val="000000"/>
      <w:sz w:val="22"/>
    </w:rPr>
  </w:style>
  <w:style w:type="paragraph" w:customStyle="1" w:styleId="tabla10">
    <w:name w:val="tabla10"/>
    <w:uiPriority w:val="99"/>
    <w:rsid w:val="00156CD3"/>
    <w:pPr>
      <w:tabs>
        <w:tab w:val="left" w:pos="567"/>
        <w:tab w:val="left" w:pos="1134"/>
      </w:tabs>
    </w:pPr>
    <w:rPr>
      <w:rFonts w:ascii="CG Times" w:hAnsi="CG Times"/>
      <w:color w:val="000000"/>
    </w:rPr>
  </w:style>
  <w:style w:type="paragraph" w:customStyle="1" w:styleId="Tabla-10">
    <w:name w:val="Tabla-10"/>
    <w:basedOn w:val="Normal"/>
    <w:uiPriority w:val="99"/>
    <w:rsid w:val="00156CD3"/>
    <w:pPr>
      <w:tabs>
        <w:tab w:val="decimal" w:pos="992"/>
      </w:tabs>
      <w:spacing w:before="84" w:after="20"/>
      <w:ind w:firstLine="0"/>
      <w:jc w:val="left"/>
    </w:pPr>
    <w:rPr>
      <w:rFonts w:ascii="CG Omega" w:hAnsi="CG Omega"/>
    </w:rPr>
  </w:style>
  <w:style w:type="paragraph" w:customStyle="1" w:styleId="Tabla-10-2">
    <w:name w:val="Tabla-10-2"/>
    <w:basedOn w:val="Normal"/>
    <w:uiPriority w:val="99"/>
    <w:rsid w:val="00156CD3"/>
    <w:pPr>
      <w:tabs>
        <w:tab w:val="decimal" w:pos="1021"/>
      </w:tabs>
      <w:spacing w:before="84" w:after="20"/>
      <w:ind w:firstLine="0"/>
      <w:jc w:val="left"/>
    </w:pPr>
    <w:rPr>
      <w:rFonts w:ascii="CG Omega" w:hAnsi="CG Omega"/>
      <w:sz w:val="18"/>
    </w:rPr>
  </w:style>
  <w:style w:type="paragraph" w:customStyle="1" w:styleId="GenBasePiePag">
    <w:name w:val="GenBasePiePag"/>
    <w:uiPriority w:val="99"/>
    <w:rsid w:val="00156CD3"/>
    <w:pPr>
      <w:spacing w:line="190" w:lineRule="exact"/>
      <w:jc w:val="center"/>
    </w:pPr>
    <w:rPr>
      <w:rFonts w:ascii="Arial Narrow" w:hAnsi="Arial Narrow"/>
      <w:sz w:val="18"/>
    </w:rPr>
  </w:style>
  <w:style w:type="paragraph" w:customStyle="1" w:styleId="cuatitul">
    <w:name w:val="cuatitul"/>
    <w:basedOn w:val="Normal"/>
    <w:uiPriority w:val="99"/>
    <w:rsid w:val="00156CD3"/>
    <w:pPr>
      <w:spacing w:after="60"/>
      <w:ind w:firstLine="0"/>
      <w:jc w:val="center"/>
    </w:pPr>
    <w:rPr>
      <w:rFonts w:ascii="GillSans" w:hAnsi="GillSans"/>
      <w:sz w:val="22"/>
      <w:lang w:eastAsia="es-ES"/>
    </w:rPr>
  </w:style>
  <w:style w:type="paragraph" w:customStyle="1" w:styleId="TablaCC">
    <w:name w:val="TablaCC"/>
    <w:basedOn w:val="Normal"/>
    <w:uiPriority w:val="99"/>
    <w:rsid w:val="00156CD3"/>
    <w:pPr>
      <w:spacing w:before="200" w:after="0"/>
      <w:ind w:firstLine="0"/>
      <w:jc w:val="left"/>
    </w:pPr>
    <w:rPr>
      <w:rFonts w:ascii="Arial" w:hAnsi="Arial"/>
      <w:b/>
      <w:sz w:val="24"/>
      <w:szCs w:val="24"/>
      <w:lang w:val="es-ES"/>
    </w:rPr>
  </w:style>
  <w:style w:type="paragraph" w:customStyle="1" w:styleId="xl25">
    <w:name w:val="xl25"/>
    <w:basedOn w:val="Normal"/>
    <w:uiPriority w:val="99"/>
    <w:rsid w:val="00156CD3"/>
    <w:pPr>
      <w:pBdr>
        <w:left w:val="double" w:sz="6" w:space="0" w:color="auto"/>
      </w:pBdr>
      <w:spacing w:before="100" w:beforeAutospacing="1" w:after="100" w:afterAutospacing="1"/>
      <w:ind w:firstLine="0"/>
      <w:jc w:val="left"/>
      <w:textAlignment w:val="top"/>
    </w:pPr>
    <w:rPr>
      <w:rFonts w:eastAsia="Arial Unicode MS"/>
      <w:sz w:val="24"/>
      <w:szCs w:val="24"/>
      <w:lang w:val="es-ES" w:eastAsia="es-ES"/>
    </w:rPr>
  </w:style>
  <w:style w:type="paragraph" w:styleId="NormalWeb">
    <w:name w:val="Normal (Web)"/>
    <w:basedOn w:val="Normal"/>
    <w:uiPriority w:val="99"/>
    <w:rsid w:val="00156CD3"/>
    <w:pPr>
      <w:spacing w:before="100" w:beforeAutospacing="1" w:after="100" w:afterAutospacing="1"/>
      <w:ind w:firstLine="0"/>
      <w:jc w:val="left"/>
    </w:pPr>
    <w:rPr>
      <w:sz w:val="24"/>
      <w:szCs w:val="24"/>
      <w:lang w:val="es-ES" w:eastAsia="es-ES"/>
    </w:rPr>
  </w:style>
  <w:style w:type="character" w:customStyle="1" w:styleId="AyuntamientoCar">
    <w:name w:val="Ayuntamiento Car"/>
    <w:link w:val="Ayuntamiento"/>
    <w:uiPriority w:val="99"/>
    <w:locked/>
    <w:rsid w:val="00156CD3"/>
    <w:rPr>
      <w:rFonts w:ascii="Arial" w:hAnsi="Arial"/>
      <w:sz w:val="24"/>
    </w:rPr>
  </w:style>
  <w:style w:type="paragraph" w:customStyle="1" w:styleId="Ayuntamiento">
    <w:name w:val="Ayuntamiento"/>
    <w:basedOn w:val="Normal"/>
    <w:link w:val="AyuntamientoCar"/>
    <w:uiPriority w:val="99"/>
    <w:rsid w:val="00156CD3"/>
    <w:pPr>
      <w:spacing w:after="0"/>
      <w:ind w:firstLine="0"/>
    </w:pPr>
    <w:rPr>
      <w:rFonts w:ascii="Arial" w:hAnsi="Arial"/>
      <w:sz w:val="24"/>
      <w:lang w:val="es-ES" w:eastAsia="es-ES"/>
    </w:rPr>
  </w:style>
  <w:style w:type="character" w:customStyle="1" w:styleId="JavierCar">
    <w:name w:val="Javier Car"/>
    <w:link w:val="Javier"/>
    <w:uiPriority w:val="99"/>
    <w:locked/>
    <w:rsid w:val="00156CD3"/>
    <w:rPr>
      <w:rFonts w:ascii="Arial" w:hAnsi="Arial"/>
      <w:sz w:val="24"/>
    </w:rPr>
  </w:style>
  <w:style w:type="paragraph" w:customStyle="1" w:styleId="Javier">
    <w:name w:val="Javier"/>
    <w:basedOn w:val="Normal"/>
    <w:link w:val="JavierCar"/>
    <w:uiPriority w:val="99"/>
    <w:rsid w:val="00156CD3"/>
    <w:pPr>
      <w:spacing w:after="0"/>
      <w:ind w:firstLine="0"/>
    </w:pPr>
    <w:rPr>
      <w:rFonts w:ascii="Arial" w:hAnsi="Arial"/>
      <w:sz w:val="24"/>
      <w:lang w:val="es-ES" w:eastAsia="es-ES"/>
    </w:rPr>
  </w:style>
  <w:style w:type="character" w:styleId="Textoennegrita">
    <w:name w:val="Strong"/>
    <w:basedOn w:val="Fuentedeprrafopredeter"/>
    <w:uiPriority w:val="99"/>
    <w:qFormat/>
    <w:rsid w:val="00156CD3"/>
    <w:rPr>
      <w:rFonts w:cs="Times New Roman"/>
      <w:b/>
    </w:rPr>
  </w:style>
  <w:style w:type="paragraph" w:customStyle="1" w:styleId="foral-f-parrafo-c">
    <w:name w:val="foral-f-parrafo-c"/>
    <w:basedOn w:val="Normal"/>
    <w:uiPriority w:val="99"/>
    <w:rsid w:val="00156CD3"/>
    <w:pPr>
      <w:spacing w:after="240"/>
      <w:ind w:firstLine="0"/>
      <w:jc w:val="left"/>
    </w:pPr>
    <w:rPr>
      <w:sz w:val="24"/>
      <w:szCs w:val="24"/>
      <w:lang w:val="es-ES" w:eastAsia="es-ES"/>
    </w:rPr>
  </w:style>
  <w:style w:type="paragraph" w:styleId="Textoindependiente2">
    <w:name w:val="Body Text 2"/>
    <w:basedOn w:val="Normal"/>
    <w:link w:val="Textoindependiente2Car"/>
    <w:uiPriority w:val="99"/>
    <w:rsid w:val="00156CD3"/>
    <w:pPr>
      <w:spacing w:after="120" w:line="480" w:lineRule="auto"/>
    </w:pPr>
  </w:style>
  <w:style w:type="character" w:customStyle="1" w:styleId="Textoindependiente2Car">
    <w:name w:val="Texto independiente 2 Car"/>
    <w:basedOn w:val="Fuentedeprrafopredeter"/>
    <w:link w:val="Textoindependiente2"/>
    <w:uiPriority w:val="99"/>
    <w:rsid w:val="00156CD3"/>
    <w:rPr>
      <w:lang w:val="es-ES_tradnl" w:eastAsia="en-US"/>
    </w:rPr>
  </w:style>
  <w:style w:type="paragraph" w:styleId="Textoindependiente3">
    <w:name w:val="Body Text 3"/>
    <w:basedOn w:val="Normal"/>
    <w:link w:val="Textoindependiente3Car"/>
    <w:uiPriority w:val="99"/>
    <w:rsid w:val="00156CD3"/>
    <w:pPr>
      <w:spacing w:after="0"/>
      <w:ind w:firstLine="0"/>
      <w:jc w:val="center"/>
    </w:pPr>
    <w:rPr>
      <w:rFonts w:ascii="ITCCentury Book" w:hAnsi="ITCCentury Book"/>
      <w:b/>
      <w:sz w:val="96"/>
      <w:lang w:val="es-ES" w:eastAsia="es-ES"/>
    </w:rPr>
  </w:style>
  <w:style w:type="character" w:customStyle="1" w:styleId="Textoindependiente3Car">
    <w:name w:val="Texto independiente 3 Car"/>
    <w:basedOn w:val="Fuentedeprrafopredeter"/>
    <w:link w:val="Textoindependiente3"/>
    <w:uiPriority w:val="99"/>
    <w:rsid w:val="00156CD3"/>
    <w:rPr>
      <w:rFonts w:ascii="ITCCentury Book" w:hAnsi="ITCCentury Book"/>
      <w:b/>
      <w:sz w:val="96"/>
    </w:rPr>
  </w:style>
  <w:style w:type="paragraph" w:customStyle="1" w:styleId="c22">
    <w:name w:val="c22"/>
    <w:basedOn w:val="Normal"/>
    <w:uiPriority w:val="99"/>
    <w:rsid w:val="00156CD3"/>
    <w:pPr>
      <w:spacing w:before="100" w:beforeAutospacing="1" w:after="100" w:afterAutospacing="1"/>
      <w:ind w:firstLine="0"/>
      <w:jc w:val="left"/>
    </w:pPr>
    <w:rPr>
      <w:sz w:val="24"/>
      <w:szCs w:val="24"/>
      <w:lang w:val="es-ES" w:eastAsia="es-ES"/>
    </w:rPr>
  </w:style>
  <w:style w:type="paragraph" w:customStyle="1" w:styleId="np">
    <w:name w:val="np"/>
    <w:basedOn w:val="Normal"/>
    <w:uiPriority w:val="99"/>
    <w:rsid w:val="00156CD3"/>
    <w:pPr>
      <w:spacing w:before="100" w:beforeAutospacing="1" w:after="100" w:afterAutospacing="1"/>
      <w:ind w:firstLine="0"/>
      <w:jc w:val="left"/>
    </w:pPr>
    <w:rPr>
      <w:sz w:val="24"/>
      <w:szCs w:val="24"/>
      <w:lang w:val="es-ES" w:eastAsia="es-ES"/>
    </w:rPr>
  </w:style>
  <w:style w:type="paragraph" w:customStyle="1" w:styleId="Default">
    <w:name w:val="Default"/>
    <w:uiPriority w:val="99"/>
    <w:rsid w:val="00156CD3"/>
    <w:pPr>
      <w:autoSpaceDE w:val="0"/>
      <w:autoSpaceDN w:val="0"/>
      <w:adjustRightInd w:val="0"/>
    </w:pPr>
    <w:rPr>
      <w:rFonts w:ascii="TimesNewRoman" w:hAnsi="TimesNewRoman" w:cs="TimesNewRoman"/>
    </w:rPr>
  </w:style>
  <w:style w:type="paragraph" w:customStyle="1" w:styleId="Subepgrafe">
    <w:name w:val="Subepígrafe"/>
    <w:basedOn w:val="Normal"/>
    <w:next w:val="Normal"/>
    <w:uiPriority w:val="99"/>
    <w:rsid w:val="00156CD3"/>
    <w:pPr>
      <w:overflowPunct w:val="0"/>
      <w:adjustRightInd w:val="0"/>
      <w:spacing w:before="240" w:after="0"/>
      <w:ind w:firstLine="0"/>
    </w:pPr>
    <w:rPr>
      <w:sz w:val="22"/>
      <w:lang w:eastAsia="es-ES"/>
    </w:rPr>
  </w:style>
  <w:style w:type="character" w:styleId="nfasis">
    <w:name w:val="Emphasis"/>
    <w:basedOn w:val="Fuentedeprrafopredeter"/>
    <w:uiPriority w:val="20"/>
    <w:qFormat/>
    <w:rsid w:val="00156CD3"/>
    <w:rPr>
      <w:rFonts w:cs="Times New Roman"/>
      <w:i/>
      <w:iCs/>
    </w:rPr>
  </w:style>
  <w:style w:type="paragraph" w:customStyle="1" w:styleId="xa1">
    <w:name w:val="xa1"/>
    <w:basedOn w:val="Normal"/>
    <w:uiPriority w:val="99"/>
    <w:rsid w:val="00156CD3"/>
    <w:pPr>
      <w:spacing w:after="240"/>
      <w:ind w:left="300" w:right="75" w:firstLine="0"/>
    </w:pPr>
    <w:rPr>
      <w:sz w:val="24"/>
      <w:szCs w:val="24"/>
      <w:lang w:val="es-ES" w:eastAsia="es-ES"/>
    </w:rPr>
  </w:style>
  <w:style w:type="paragraph" w:customStyle="1" w:styleId="xl2">
    <w:name w:val="xl2"/>
    <w:basedOn w:val="Normal"/>
    <w:uiPriority w:val="99"/>
    <w:rsid w:val="00156CD3"/>
    <w:pPr>
      <w:spacing w:after="240"/>
      <w:ind w:left="525" w:right="75" w:hanging="225"/>
    </w:pPr>
    <w:rPr>
      <w:sz w:val="24"/>
      <w:szCs w:val="24"/>
      <w:lang w:val="es-ES" w:eastAsia="es-ES"/>
    </w:rPr>
  </w:style>
  <w:style w:type="paragraph" w:customStyle="1" w:styleId="xl1">
    <w:name w:val="xl1"/>
    <w:basedOn w:val="Normal"/>
    <w:uiPriority w:val="99"/>
    <w:rsid w:val="00156CD3"/>
    <w:pPr>
      <w:spacing w:after="240"/>
      <w:ind w:left="300" w:right="75" w:hanging="225"/>
    </w:pPr>
    <w:rPr>
      <w:sz w:val="24"/>
      <w:szCs w:val="24"/>
      <w:lang w:val="es-ES" w:eastAsia="es-ES"/>
    </w:rPr>
  </w:style>
  <w:style w:type="paragraph" w:customStyle="1" w:styleId="norma1">
    <w:name w:val="norma1"/>
    <w:basedOn w:val="Normal"/>
    <w:uiPriority w:val="99"/>
    <w:rsid w:val="00156CD3"/>
    <w:pPr>
      <w:spacing w:after="240"/>
      <w:ind w:firstLine="0"/>
    </w:pPr>
    <w:rPr>
      <w:b/>
      <w:bCs/>
      <w:caps/>
      <w:sz w:val="24"/>
      <w:szCs w:val="24"/>
      <w:lang w:val="es-ES" w:eastAsia="es-ES"/>
    </w:rPr>
  </w:style>
  <w:style w:type="paragraph" w:customStyle="1" w:styleId="simpleizquierdanone1">
    <w:name w:val="simple izquierda none1"/>
    <w:basedOn w:val="Normal"/>
    <w:uiPriority w:val="99"/>
    <w:rsid w:val="00156CD3"/>
    <w:pPr>
      <w:spacing w:before="72" w:after="192" w:line="336" w:lineRule="atLeast"/>
      <w:ind w:left="1368" w:firstLine="0"/>
      <w:jc w:val="left"/>
    </w:pPr>
    <w:rPr>
      <w:rFonts w:ascii="Arial" w:hAnsi="Arial" w:cs="Arial"/>
      <w:color w:val="000000"/>
      <w:sz w:val="29"/>
      <w:szCs w:val="29"/>
      <w:lang w:eastAsia="es-ES_tradnl"/>
    </w:rPr>
  </w:style>
  <w:style w:type="paragraph" w:customStyle="1" w:styleId="simpleizquierda1">
    <w:name w:val="simple izquierda 1"/>
    <w:basedOn w:val="Normal"/>
    <w:uiPriority w:val="99"/>
    <w:rsid w:val="00156CD3"/>
    <w:pPr>
      <w:spacing w:before="72" w:after="192" w:line="336" w:lineRule="atLeast"/>
      <w:ind w:left="1368" w:firstLine="0"/>
      <w:jc w:val="left"/>
    </w:pPr>
    <w:rPr>
      <w:rFonts w:ascii="Arial" w:hAnsi="Arial" w:cs="Arial"/>
      <w:color w:val="000000"/>
      <w:sz w:val="29"/>
      <w:szCs w:val="29"/>
      <w:lang w:eastAsia="es-ES_tradnl"/>
    </w:rPr>
  </w:style>
  <w:style w:type="character" w:customStyle="1" w:styleId="highlight1">
    <w:name w:val="highlight1"/>
    <w:basedOn w:val="Fuentedeprrafopredeter"/>
    <w:uiPriority w:val="99"/>
    <w:rsid w:val="00156CD3"/>
    <w:rPr>
      <w:rFonts w:cs="Times New Roman"/>
      <w:b/>
      <w:bCs/>
      <w:shd w:val="clear" w:color="auto" w:fill="D2F7E1"/>
    </w:rPr>
  </w:style>
  <w:style w:type="paragraph" w:customStyle="1" w:styleId="parrafo">
    <w:name w:val="parrafo"/>
    <w:basedOn w:val="Normal"/>
    <w:rsid w:val="00156CD3"/>
    <w:pPr>
      <w:spacing w:before="100" w:beforeAutospacing="1" w:after="100" w:afterAutospacing="1"/>
      <w:ind w:firstLine="0"/>
      <w:jc w:val="left"/>
    </w:pPr>
    <w:rPr>
      <w:sz w:val="24"/>
      <w:szCs w:val="24"/>
      <w:lang w:val="es-ES" w:eastAsia="es-ES"/>
    </w:rPr>
  </w:style>
  <w:style w:type="character" w:customStyle="1" w:styleId="searchterm2">
    <w:name w:val="searchterm2"/>
    <w:basedOn w:val="Fuentedeprrafopredeter"/>
    <w:uiPriority w:val="99"/>
    <w:rsid w:val="00156CD3"/>
    <w:rPr>
      <w:rFonts w:cs="Times New Roman"/>
      <w:b/>
      <w:bCs/>
      <w:color w:val="000000"/>
      <w:shd w:val="clear" w:color="auto" w:fill="FFFFBF"/>
    </w:rPr>
  </w:style>
  <w:style w:type="paragraph" w:styleId="Sangradetextonormal">
    <w:name w:val="Body Text Indent"/>
    <w:basedOn w:val="Normal"/>
    <w:link w:val="SangradetextonormalCar"/>
    <w:uiPriority w:val="99"/>
    <w:rsid w:val="00156CD3"/>
    <w:pPr>
      <w:spacing w:after="120"/>
      <w:ind w:left="283"/>
    </w:pPr>
  </w:style>
  <w:style w:type="character" w:customStyle="1" w:styleId="SangradetextonormalCar">
    <w:name w:val="Sangría de texto normal Car"/>
    <w:basedOn w:val="Fuentedeprrafopredeter"/>
    <w:link w:val="Sangradetextonormal"/>
    <w:uiPriority w:val="99"/>
    <w:rsid w:val="00156CD3"/>
    <w:rPr>
      <w:lang w:val="es-ES_tradnl" w:eastAsia="en-US"/>
    </w:rPr>
  </w:style>
  <w:style w:type="character" w:styleId="Hipervnculovisitado">
    <w:name w:val="FollowedHyperlink"/>
    <w:basedOn w:val="Fuentedeprrafopredeter"/>
    <w:uiPriority w:val="99"/>
    <w:rsid w:val="00156CD3"/>
    <w:rPr>
      <w:rFonts w:cs="Times New Roman"/>
      <w:color w:val="800080"/>
      <w:u w:val="single"/>
    </w:rPr>
  </w:style>
  <w:style w:type="paragraph" w:styleId="Textosinformato">
    <w:name w:val="Plain Text"/>
    <w:basedOn w:val="Normal"/>
    <w:link w:val="TextosinformatoCar"/>
    <w:uiPriority w:val="99"/>
    <w:unhideWhenUsed/>
    <w:rsid w:val="00156CD3"/>
    <w:pPr>
      <w:spacing w:after="0"/>
      <w:ind w:firstLine="0"/>
      <w:jc w:val="left"/>
    </w:pPr>
    <w:rPr>
      <w:rFonts w:ascii="Calibri" w:eastAsia="Calibri" w:hAnsi="Calibri"/>
      <w:sz w:val="22"/>
      <w:szCs w:val="21"/>
      <w:lang w:val="es-ES"/>
    </w:rPr>
  </w:style>
  <w:style w:type="character" w:customStyle="1" w:styleId="TextosinformatoCar">
    <w:name w:val="Texto sin formato Car"/>
    <w:basedOn w:val="Fuentedeprrafopredeter"/>
    <w:link w:val="Textosinformato"/>
    <w:uiPriority w:val="99"/>
    <w:rsid w:val="00156CD3"/>
    <w:rPr>
      <w:rFonts w:ascii="Calibri" w:eastAsia="Calibri" w:hAnsi="Calibri"/>
      <w:sz w:val="22"/>
      <w:szCs w:val="21"/>
      <w:lang w:eastAsia="en-US"/>
    </w:rPr>
  </w:style>
  <w:style w:type="paragraph" w:styleId="Prrafodelista">
    <w:name w:val="List Paragraph"/>
    <w:basedOn w:val="Normal"/>
    <w:uiPriority w:val="34"/>
    <w:qFormat/>
    <w:rsid w:val="00156CD3"/>
    <w:pPr>
      <w:ind w:left="720"/>
      <w:contextualSpacing/>
    </w:pPr>
  </w:style>
  <w:style w:type="paragraph" w:styleId="Textonotaalfinal">
    <w:name w:val="endnote text"/>
    <w:basedOn w:val="Normal"/>
    <w:link w:val="TextonotaalfinalCar"/>
    <w:rsid w:val="00156CD3"/>
    <w:pPr>
      <w:spacing w:after="0"/>
    </w:pPr>
  </w:style>
  <w:style w:type="character" w:customStyle="1" w:styleId="TextonotaalfinalCar">
    <w:name w:val="Texto nota al final Car"/>
    <w:basedOn w:val="Fuentedeprrafopredeter"/>
    <w:link w:val="Textonotaalfinal"/>
    <w:rsid w:val="00156CD3"/>
    <w:rPr>
      <w:lang w:val="es-ES_tradnl" w:eastAsia="en-US"/>
    </w:rPr>
  </w:style>
  <w:style w:type="character" w:styleId="Refdenotaalfinal">
    <w:name w:val="endnote reference"/>
    <w:basedOn w:val="Fuentedeprrafopredeter"/>
    <w:rsid w:val="00156CD3"/>
    <w:rPr>
      <w:vertAlign w:val="superscript"/>
    </w:rPr>
  </w:style>
  <w:style w:type="paragraph" w:styleId="Cita">
    <w:name w:val="Quote"/>
    <w:basedOn w:val="Normal"/>
    <w:next w:val="Normal"/>
    <w:link w:val="CitaCar"/>
    <w:uiPriority w:val="29"/>
    <w:qFormat/>
    <w:rsid w:val="00925DA3"/>
    <w:rPr>
      <w:i/>
      <w:iCs/>
      <w:color w:val="000000" w:themeColor="text1"/>
    </w:rPr>
  </w:style>
  <w:style w:type="character" w:customStyle="1" w:styleId="CitaCar">
    <w:name w:val="Cita Car"/>
    <w:basedOn w:val="Fuentedeprrafopredeter"/>
    <w:link w:val="Cita"/>
    <w:uiPriority w:val="29"/>
    <w:rsid w:val="00925DA3"/>
    <w:rPr>
      <w:i/>
      <w:iCs/>
      <w:color w:val="000000" w:themeColor="text1"/>
      <w:lang w:val="es-ES_tradnl" w:eastAsia="en-US"/>
    </w:rPr>
  </w:style>
  <w:style w:type="table" w:customStyle="1" w:styleId="TableNormal">
    <w:name w:val="Table Normal"/>
    <w:uiPriority w:val="59"/>
    <w:rsid w:val="0067725A"/>
    <w:pPr>
      <w:autoSpaceDE w:val="0"/>
      <w:autoSpaceDN w:val="0"/>
      <w:adjustRightInd w:val="0"/>
      <w:spacing w:line="276" w:lineRule="auto"/>
    </w:pPr>
    <w:rPr>
      <w:rFonts w:ascii="Verdana" w:hAnsi="Verdana"/>
      <w:color w:val="000000"/>
      <w:sz w:val="24"/>
      <w:szCs w:val="24"/>
      <w:u w:color="000000"/>
      <w:lang w:val="en-US"/>
    </w:rPr>
    <w:tblPr>
      <w:tblCellMar>
        <w:top w:w="0" w:type="dxa"/>
        <w:left w:w="0" w:type="dxa"/>
        <w:bottom w:w="0" w:type="dxa"/>
        <w:right w:w="0" w:type="dxa"/>
      </w:tblCellMar>
    </w:tblPr>
  </w:style>
  <w:style w:type="character" w:styleId="Refdecomentario">
    <w:name w:val="annotation reference"/>
    <w:basedOn w:val="Fuentedeprrafopredeter"/>
    <w:semiHidden/>
    <w:unhideWhenUsed/>
    <w:rsid w:val="00797DEF"/>
    <w:rPr>
      <w:sz w:val="16"/>
      <w:szCs w:val="16"/>
    </w:rPr>
  </w:style>
  <w:style w:type="paragraph" w:styleId="Textocomentario">
    <w:name w:val="annotation text"/>
    <w:basedOn w:val="Normal"/>
    <w:link w:val="TextocomentarioCar"/>
    <w:semiHidden/>
    <w:unhideWhenUsed/>
    <w:rsid w:val="00797DEF"/>
  </w:style>
  <w:style w:type="character" w:customStyle="1" w:styleId="TextocomentarioCar">
    <w:name w:val="Texto comentario Car"/>
    <w:basedOn w:val="Fuentedeprrafopredeter"/>
    <w:link w:val="Textocomentario"/>
    <w:semiHidden/>
    <w:rsid w:val="00797DEF"/>
    <w:rPr>
      <w:lang w:val="es-ES_tradnl" w:eastAsia="en-US"/>
    </w:rPr>
  </w:style>
  <w:style w:type="paragraph" w:styleId="Asuntodelcomentario">
    <w:name w:val="annotation subject"/>
    <w:basedOn w:val="Textocomentario"/>
    <w:next w:val="Textocomentario"/>
    <w:link w:val="AsuntodelcomentarioCar"/>
    <w:semiHidden/>
    <w:unhideWhenUsed/>
    <w:rsid w:val="00797DEF"/>
    <w:rPr>
      <w:b/>
      <w:bCs/>
    </w:rPr>
  </w:style>
  <w:style w:type="character" w:customStyle="1" w:styleId="AsuntodelcomentarioCar">
    <w:name w:val="Asunto del comentario Car"/>
    <w:basedOn w:val="TextocomentarioCar"/>
    <w:link w:val="Asuntodelcomentario"/>
    <w:semiHidden/>
    <w:rsid w:val="00797DEF"/>
    <w:rPr>
      <w:b/>
      <w:bCs/>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6609">
      <w:bodyDiv w:val="1"/>
      <w:marLeft w:val="0"/>
      <w:marRight w:val="0"/>
      <w:marTop w:val="0"/>
      <w:marBottom w:val="0"/>
      <w:divBdr>
        <w:top w:val="none" w:sz="0" w:space="0" w:color="auto"/>
        <w:left w:val="none" w:sz="0" w:space="0" w:color="auto"/>
        <w:bottom w:val="none" w:sz="0" w:space="0" w:color="auto"/>
        <w:right w:val="none" w:sz="0" w:space="0" w:color="auto"/>
      </w:divBdr>
    </w:div>
    <w:div w:id="32269199">
      <w:bodyDiv w:val="1"/>
      <w:marLeft w:val="0"/>
      <w:marRight w:val="0"/>
      <w:marTop w:val="0"/>
      <w:marBottom w:val="0"/>
      <w:divBdr>
        <w:top w:val="none" w:sz="0" w:space="0" w:color="auto"/>
        <w:left w:val="none" w:sz="0" w:space="0" w:color="auto"/>
        <w:bottom w:val="none" w:sz="0" w:space="0" w:color="auto"/>
        <w:right w:val="none" w:sz="0" w:space="0" w:color="auto"/>
      </w:divBdr>
    </w:div>
    <w:div w:id="66651754">
      <w:bodyDiv w:val="1"/>
      <w:marLeft w:val="0"/>
      <w:marRight w:val="0"/>
      <w:marTop w:val="0"/>
      <w:marBottom w:val="0"/>
      <w:divBdr>
        <w:top w:val="none" w:sz="0" w:space="0" w:color="auto"/>
        <w:left w:val="none" w:sz="0" w:space="0" w:color="auto"/>
        <w:bottom w:val="none" w:sz="0" w:space="0" w:color="auto"/>
        <w:right w:val="none" w:sz="0" w:space="0" w:color="auto"/>
      </w:divBdr>
    </w:div>
    <w:div w:id="69617875">
      <w:bodyDiv w:val="1"/>
      <w:marLeft w:val="0"/>
      <w:marRight w:val="0"/>
      <w:marTop w:val="0"/>
      <w:marBottom w:val="0"/>
      <w:divBdr>
        <w:top w:val="none" w:sz="0" w:space="0" w:color="auto"/>
        <w:left w:val="none" w:sz="0" w:space="0" w:color="auto"/>
        <w:bottom w:val="none" w:sz="0" w:space="0" w:color="auto"/>
        <w:right w:val="none" w:sz="0" w:space="0" w:color="auto"/>
      </w:divBdr>
    </w:div>
    <w:div w:id="102966416">
      <w:bodyDiv w:val="1"/>
      <w:marLeft w:val="0"/>
      <w:marRight w:val="0"/>
      <w:marTop w:val="0"/>
      <w:marBottom w:val="0"/>
      <w:divBdr>
        <w:top w:val="none" w:sz="0" w:space="0" w:color="auto"/>
        <w:left w:val="none" w:sz="0" w:space="0" w:color="auto"/>
        <w:bottom w:val="none" w:sz="0" w:space="0" w:color="auto"/>
        <w:right w:val="none" w:sz="0" w:space="0" w:color="auto"/>
      </w:divBdr>
    </w:div>
    <w:div w:id="112331291">
      <w:bodyDiv w:val="1"/>
      <w:marLeft w:val="0"/>
      <w:marRight w:val="0"/>
      <w:marTop w:val="0"/>
      <w:marBottom w:val="0"/>
      <w:divBdr>
        <w:top w:val="none" w:sz="0" w:space="0" w:color="auto"/>
        <w:left w:val="none" w:sz="0" w:space="0" w:color="auto"/>
        <w:bottom w:val="none" w:sz="0" w:space="0" w:color="auto"/>
        <w:right w:val="none" w:sz="0" w:space="0" w:color="auto"/>
      </w:divBdr>
    </w:div>
    <w:div w:id="157772686">
      <w:bodyDiv w:val="1"/>
      <w:marLeft w:val="0"/>
      <w:marRight w:val="0"/>
      <w:marTop w:val="0"/>
      <w:marBottom w:val="0"/>
      <w:divBdr>
        <w:top w:val="none" w:sz="0" w:space="0" w:color="auto"/>
        <w:left w:val="none" w:sz="0" w:space="0" w:color="auto"/>
        <w:bottom w:val="none" w:sz="0" w:space="0" w:color="auto"/>
        <w:right w:val="none" w:sz="0" w:space="0" w:color="auto"/>
      </w:divBdr>
    </w:div>
    <w:div w:id="201215963">
      <w:bodyDiv w:val="1"/>
      <w:marLeft w:val="0"/>
      <w:marRight w:val="0"/>
      <w:marTop w:val="0"/>
      <w:marBottom w:val="0"/>
      <w:divBdr>
        <w:top w:val="none" w:sz="0" w:space="0" w:color="auto"/>
        <w:left w:val="none" w:sz="0" w:space="0" w:color="auto"/>
        <w:bottom w:val="none" w:sz="0" w:space="0" w:color="auto"/>
        <w:right w:val="none" w:sz="0" w:space="0" w:color="auto"/>
      </w:divBdr>
    </w:div>
    <w:div w:id="209268685">
      <w:bodyDiv w:val="1"/>
      <w:marLeft w:val="0"/>
      <w:marRight w:val="0"/>
      <w:marTop w:val="0"/>
      <w:marBottom w:val="0"/>
      <w:divBdr>
        <w:top w:val="none" w:sz="0" w:space="0" w:color="auto"/>
        <w:left w:val="none" w:sz="0" w:space="0" w:color="auto"/>
        <w:bottom w:val="none" w:sz="0" w:space="0" w:color="auto"/>
        <w:right w:val="none" w:sz="0" w:space="0" w:color="auto"/>
      </w:divBdr>
    </w:div>
    <w:div w:id="260646178">
      <w:bodyDiv w:val="1"/>
      <w:marLeft w:val="0"/>
      <w:marRight w:val="0"/>
      <w:marTop w:val="0"/>
      <w:marBottom w:val="0"/>
      <w:divBdr>
        <w:top w:val="none" w:sz="0" w:space="0" w:color="auto"/>
        <w:left w:val="none" w:sz="0" w:space="0" w:color="auto"/>
        <w:bottom w:val="none" w:sz="0" w:space="0" w:color="auto"/>
        <w:right w:val="none" w:sz="0" w:space="0" w:color="auto"/>
      </w:divBdr>
    </w:div>
    <w:div w:id="302319141">
      <w:bodyDiv w:val="1"/>
      <w:marLeft w:val="0"/>
      <w:marRight w:val="0"/>
      <w:marTop w:val="0"/>
      <w:marBottom w:val="0"/>
      <w:divBdr>
        <w:top w:val="none" w:sz="0" w:space="0" w:color="auto"/>
        <w:left w:val="none" w:sz="0" w:space="0" w:color="auto"/>
        <w:bottom w:val="none" w:sz="0" w:space="0" w:color="auto"/>
        <w:right w:val="none" w:sz="0" w:space="0" w:color="auto"/>
      </w:divBdr>
    </w:div>
    <w:div w:id="305479915">
      <w:bodyDiv w:val="1"/>
      <w:marLeft w:val="0"/>
      <w:marRight w:val="0"/>
      <w:marTop w:val="0"/>
      <w:marBottom w:val="0"/>
      <w:divBdr>
        <w:top w:val="none" w:sz="0" w:space="0" w:color="auto"/>
        <w:left w:val="none" w:sz="0" w:space="0" w:color="auto"/>
        <w:bottom w:val="none" w:sz="0" w:space="0" w:color="auto"/>
        <w:right w:val="none" w:sz="0" w:space="0" w:color="auto"/>
      </w:divBdr>
    </w:div>
    <w:div w:id="319775176">
      <w:bodyDiv w:val="1"/>
      <w:marLeft w:val="0"/>
      <w:marRight w:val="0"/>
      <w:marTop w:val="0"/>
      <w:marBottom w:val="0"/>
      <w:divBdr>
        <w:top w:val="none" w:sz="0" w:space="0" w:color="auto"/>
        <w:left w:val="none" w:sz="0" w:space="0" w:color="auto"/>
        <w:bottom w:val="none" w:sz="0" w:space="0" w:color="auto"/>
        <w:right w:val="none" w:sz="0" w:space="0" w:color="auto"/>
      </w:divBdr>
    </w:div>
    <w:div w:id="322123943">
      <w:bodyDiv w:val="1"/>
      <w:marLeft w:val="0"/>
      <w:marRight w:val="0"/>
      <w:marTop w:val="0"/>
      <w:marBottom w:val="0"/>
      <w:divBdr>
        <w:top w:val="none" w:sz="0" w:space="0" w:color="auto"/>
        <w:left w:val="none" w:sz="0" w:space="0" w:color="auto"/>
        <w:bottom w:val="none" w:sz="0" w:space="0" w:color="auto"/>
        <w:right w:val="none" w:sz="0" w:space="0" w:color="auto"/>
      </w:divBdr>
    </w:div>
    <w:div w:id="339160298">
      <w:bodyDiv w:val="1"/>
      <w:marLeft w:val="0"/>
      <w:marRight w:val="0"/>
      <w:marTop w:val="0"/>
      <w:marBottom w:val="0"/>
      <w:divBdr>
        <w:top w:val="none" w:sz="0" w:space="0" w:color="auto"/>
        <w:left w:val="none" w:sz="0" w:space="0" w:color="auto"/>
        <w:bottom w:val="none" w:sz="0" w:space="0" w:color="auto"/>
        <w:right w:val="none" w:sz="0" w:space="0" w:color="auto"/>
      </w:divBdr>
    </w:div>
    <w:div w:id="369502847">
      <w:bodyDiv w:val="1"/>
      <w:marLeft w:val="0"/>
      <w:marRight w:val="0"/>
      <w:marTop w:val="0"/>
      <w:marBottom w:val="0"/>
      <w:divBdr>
        <w:top w:val="none" w:sz="0" w:space="0" w:color="auto"/>
        <w:left w:val="none" w:sz="0" w:space="0" w:color="auto"/>
        <w:bottom w:val="none" w:sz="0" w:space="0" w:color="auto"/>
        <w:right w:val="none" w:sz="0" w:space="0" w:color="auto"/>
      </w:divBdr>
    </w:div>
    <w:div w:id="376050748">
      <w:bodyDiv w:val="1"/>
      <w:marLeft w:val="0"/>
      <w:marRight w:val="0"/>
      <w:marTop w:val="0"/>
      <w:marBottom w:val="0"/>
      <w:divBdr>
        <w:top w:val="none" w:sz="0" w:space="0" w:color="auto"/>
        <w:left w:val="none" w:sz="0" w:space="0" w:color="auto"/>
        <w:bottom w:val="none" w:sz="0" w:space="0" w:color="auto"/>
        <w:right w:val="none" w:sz="0" w:space="0" w:color="auto"/>
      </w:divBdr>
    </w:div>
    <w:div w:id="381903399">
      <w:bodyDiv w:val="1"/>
      <w:marLeft w:val="0"/>
      <w:marRight w:val="0"/>
      <w:marTop w:val="0"/>
      <w:marBottom w:val="0"/>
      <w:divBdr>
        <w:top w:val="none" w:sz="0" w:space="0" w:color="auto"/>
        <w:left w:val="none" w:sz="0" w:space="0" w:color="auto"/>
        <w:bottom w:val="none" w:sz="0" w:space="0" w:color="auto"/>
        <w:right w:val="none" w:sz="0" w:space="0" w:color="auto"/>
      </w:divBdr>
    </w:div>
    <w:div w:id="389038588">
      <w:bodyDiv w:val="1"/>
      <w:marLeft w:val="0"/>
      <w:marRight w:val="0"/>
      <w:marTop w:val="0"/>
      <w:marBottom w:val="0"/>
      <w:divBdr>
        <w:top w:val="none" w:sz="0" w:space="0" w:color="auto"/>
        <w:left w:val="none" w:sz="0" w:space="0" w:color="auto"/>
        <w:bottom w:val="none" w:sz="0" w:space="0" w:color="auto"/>
        <w:right w:val="none" w:sz="0" w:space="0" w:color="auto"/>
      </w:divBdr>
    </w:div>
    <w:div w:id="397559605">
      <w:bodyDiv w:val="1"/>
      <w:marLeft w:val="0"/>
      <w:marRight w:val="0"/>
      <w:marTop w:val="0"/>
      <w:marBottom w:val="0"/>
      <w:divBdr>
        <w:top w:val="none" w:sz="0" w:space="0" w:color="auto"/>
        <w:left w:val="none" w:sz="0" w:space="0" w:color="auto"/>
        <w:bottom w:val="none" w:sz="0" w:space="0" w:color="auto"/>
        <w:right w:val="none" w:sz="0" w:space="0" w:color="auto"/>
      </w:divBdr>
    </w:div>
    <w:div w:id="418254940">
      <w:bodyDiv w:val="1"/>
      <w:marLeft w:val="0"/>
      <w:marRight w:val="0"/>
      <w:marTop w:val="0"/>
      <w:marBottom w:val="0"/>
      <w:divBdr>
        <w:top w:val="none" w:sz="0" w:space="0" w:color="auto"/>
        <w:left w:val="none" w:sz="0" w:space="0" w:color="auto"/>
        <w:bottom w:val="none" w:sz="0" w:space="0" w:color="auto"/>
        <w:right w:val="none" w:sz="0" w:space="0" w:color="auto"/>
      </w:divBdr>
    </w:div>
    <w:div w:id="494690367">
      <w:bodyDiv w:val="1"/>
      <w:marLeft w:val="0"/>
      <w:marRight w:val="0"/>
      <w:marTop w:val="0"/>
      <w:marBottom w:val="0"/>
      <w:divBdr>
        <w:top w:val="none" w:sz="0" w:space="0" w:color="auto"/>
        <w:left w:val="none" w:sz="0" w:space="0" w:color="auto"/>
        <w:bottom w:val="none" w:sz="0" w:space="0" w:color="auto"/>
        <w:right w:val="none" w:sz="0" w:space="0" w:color="auto"/>
      </w:divBdr>
      <w:divsChild>
        <w:div w:id="1607078078">
          <w:marLeft w:val="720"/>
          <w:marRight w:val="0"/>
          <w:marTop w:val="0"/>
          <w:marBottom w:val="200"/>
          <w:divBdr>
            <w:top w:val="none" w:sz="0" w:space="0" w:color="auto"/>
            <w:left w:val="none" w:sz="0" w:space="0" w:color="auto"/>
            <w:bottom w:val="none" w:sz="0" w:space="0" w:color="auto"/>
            <w:right w:val="none" w:sz="0" w:space="0" w:color="auto"/>
          </w:divBdr>
        </w:div>
        <w:div w:id="1459297503">
          <w:marLeft w:val="0"/>
          <w:marRight w:val="0"/>
          <w:marTop w:val="0"/>
          <w:marBottom w:val="0"/>
          <w:divBdr>
            <w:top w:val="none" w:sz="0" w:space="0" w:color="auto"/>
            <w:left w:val="none" w:sz="0" w:space="0" w:color="auto"/>
            <w:bottom w:val="none" w:sz="0" w:space="0" w:color="auto"/>
            <w:right w:val="none" w:sz="0" w:space="0" w:color="auto"/>
          </w:divBdr>
        </w:div>
        <w:div w:id="943418534">
          <w:marLeft w:val="0"/>
          <w:marRight w:val="0"/>
          <w:marTop w:val="0"/>
          <w:marBottom w:val="0"/>
          <w:divBdr>
            <w:top w:val="none" w:sz="0" w:space="0" w:color="auto"/>
            <w:left w:val="none" w:sz="0" w:space="0" w:color="auto"/>
            <w:bottom w:val="none" w:sz="0" w:space="0" w:color="auto"/>
            <w:right w:val="none" w:sz="0" w:space="0" w:color="auto"/>
          </w:divBdr>
        </w:div>
        <w:div w:id="1076167858">
          <w:marLeft w:val="0"/>
          <w:marRight w:val="0"/>
          <w:marTop w:val="0"/>
          <w:marBottom w:val="0"/>
          <w:divBdr>
            <w:top w:val="none" w:sz="0" w:space="0" w:color="auto"/>
            <w:left w:val="none" w:sz="0" w:space="0" w:color="auto"/>
            <w:bottom w:val="none" w:sz="0" w:space="0" w:color="auto"/>
            <w:right w:val="none" w:sz="0" w:space="0" w:color="auto"/>
          </w:divBdr>
        </w:div>
        <w:div w:id="1011373395">
          <w:marLeft w:val="0"/>
          <w:marRight w:val="0"/>
          <w:marTop w:val="0"/>
          <w:marBottom w:val="0"/>
          <w:divBdr>
            <w:top w:val="none" w:sz="0" w:space="0" w:color="auto"/>
            <w:left w:val="none" w:sz="0" w:space="0" w:color="auto"/>
            <w:bottom w:val="none" w:sz="0" w:space="0" w:color="auto"/>
            <w:right w:val="none" w:sz="0" w:space="0" w:color="auto"/>
          </w:divBdr>
        </w:div>
        <w:div w:id="1875536151">
          <w:marLeft w:val="0"/>
          <w:marRight w:val="0"/>
          <w:marTop w:val="0"/>
          <w:marBottom w:val="0"/>
          <w:divBdr>
            <w:top w:val="none" w:sz="0" w:space="0" w:color="auto"/>
            <w:left w:val="none" w:sz="0" w:space="0" w:color="auto"/>
            <w:bottom w:val="none" w:sz="0" w:space="0" w:color="auto"/>
            <w:right w:val="none" w:sz="0" w:space="0" w:color="auto"/>
          </w:divBdr>
        </w:div>
        <w:div w:id="755635107">
          <w:marLeft w:val="0"/>
          <w:marRight w:val="0"/>
          <w:marTop w:val="0"/>
          <w:marBottom w:val="0"/>
          <w:divBdr>
            <w:top w:val="none" w:sz="0" w:space="0" w:color="auto"/>
            <w:left w:val="none" w:sz="0" w:space="0" w:color="auto"/>
            <w:bottom w:val="none" w:sz="0" w:space="0" w:color="auto"/>
            <w:right w:val="none" w:sz="0" w:space="0" w:color="auto"/>
          </w:divBdr>
        </w:div>
      </w:divsChild>
    </w:div>
    <w:div w:id="507019068">
      <w:bodyDiv w:val="1"/>
      <w:marLeft w:val="0"/>
      <w:marRight w:val="0"/>
      <w:marTop w:val="0"/>
      <w:marBottom w:val="0"/>
      <w:divBdr>
        <w:top w:val="none" w:sz="0" w:space="0" w:color="auto"/>
        <w:left w:val="none" w:sz="0" w:space="0" w:color="auto"/>
        <w:bottom w:val="none" w:sz="0" w:space="0" w:color="auto"/>
        <w:right w:val="none" w:sz="0" w:space="0" w:color="auto"/>
      </w:divBdr>
    </w:div>
    <w:div w:id="552892552">
      <w:bodyDiv w:val="1"/>
      <w:marLeft w:val="0"/>
      <w:marRight w:val="0"/>
      <w:marTop w:val="0"/>
      <w:marBottom w:val="0"/>
      <w:divBdr>
        <w:top w:val="none" w:sz="0" w:space="0" w:color="auto"/>
        <w:left w:val="none" w:sz="0" w:space="0" w:color="auto"/>
        <w:bottom w:val="none" w:sz="0" w:space="0" w:color="auto"/>
        <w:right w:val="none" w:sz="0" w:space="0" w:color="auto"/>
      </w:divBdr>
    </w:div>
    <w:div w:id="568539939">
      <w:bodyDiv w:val="1"/>
      <w:marLeft w:val="0"/>
      <w:marRight w:val="0"/>
      <w:marTop w:val="0"/>
      <w:marBottom w:val="0"/>
      <w:divBdr>
        <w:top w:val="none" w:sz="0" w:space="0" w:color="auto"/>
        <w:left w:val="none" w:sz="0" w:space="0" w:color="auto"/>
        <w:bottom w:val="none" w:sz="0" w:space="0" w:color="auto"/>
        <w:right w:val="none" w:sz="0" w:space="0" w:color="auto"/>
      </w:divBdr>
    </w:div>
    <w:div w:id="622882481">
      <w:bodyDiv w:val="1"/>
      <w:marLeft w:val="0"/>
      <w:marRight w:val="0"/>
      <w:marTop w:val="0"/>
      <w:marBottom w:val="0"/>
      <w:divBdr>
        <w:top w:val="none" w:sz="0" w:space="0" w:color="auto"/>
        <w:left w:val="none" w:sz="0" w:space="0" w:color="auto"/>
        <w:bottom w:val="none" w:sz="0" w:space="0" w:color="auto"/>
        <w:right w:val="none" w:sz="0" w:space="0" w:color="auto"/>
      </w:divBdr>
    </w:div>
    <w:div w:id="644159730">
      <w:bodyDiv w:val="1"/>
      <w:marLeft w:val="0"/>
      <w:marRight w:val="0"/>
      <w:marTop w:val="0"/>
      <w:marBottom w:val="0"/>
      <w:divBdr>
        <w:top w:val="none" w:sz="0" w:space="0" w:color="auto"/>
        <w:left w:val="none" w:sz="0" w:space="0" w:color="auto"/>
        <w:bottom w:val="none" w:sz="0" w:space="0" w:color="auto"/>
        <w:right w:val="none" w:sz="0" w:space="0" w:color="auto"/>
      </w:divBdr>
    </w:div>
    <w:div w:id="663748740">
      <w:bodyDiv w:val="1"/>
      <w:marLeft w:val="0"/>
      <w:marRight w:val="0"/>
      <w:marTop w:val="0"/>
      <w:marBottom w:val="0"/>
      <w:divBdr>
        <w:top w:val="none" w:sz="0" w:space="0" w:color="auto"/>
        <w:left w:val="none" w:sz="0" w:space="0" w:color="auto"/>
        <w:bottom w:val="none" w:sz="0" w:space="0" w:color="auto"/>
        <w:right w:val="none" w:sz="0" w:space="0" w:color="auto"/>
      </w:divBdr>
    </w:div>
    <w:div w:id="674041388">
      <w:bodyDiv w:val="1"/>
      <w:marLeft w:val="0"/>
      <w:marRight w:val="0"/>
      <w:marTop w:val="0"/>
      <w:marBottom w:val="0"/>
      <w:divBdr>
        <w:top w:val="none" w:sz="0" w:space="0" w:color="auto"/>
        <w:left w:val="none" w:sz="0" w:space="0" w:color="auto"/>
        <w:bottom w:val="none" w:sz="0" w:space="0" w:color="auto"/>
        <w:right w:val="none" w:sz="0" w:space="0" w:color="auto"/>
      </w:divBdr>
    </w:div>
    <w:div w:id="692343989">
      <w:bodyDiv w:val="1"/>
      <w:marLeft w:val="0"/>
      <w:marRight w:val="0"/>
      <w:marTop w:val="0"/>
      <w:marBottom w:val="0"/>
      <w:divBdr>
        <w:top w:val="none" w:sz="0" w:space="0" w:color="auto"/>
        <w:left w:val="none" w:sz="0" w:space="0" w:color="auto"/>
        <w:bottom w:val="none" w:sz="0" w:space="0" w:color="auto"/>
        <w:right w:val="none" w:sz="0" w:space="0" w:color="auto"/>
      </w:divBdr>
    </w:div>
    <w:div w:id="695883558">
      <w:bodyDiv w:val="1"/>
      <w:marLeft w:val="0"/>
      <w:marRight w:val="0"/>
      <w:marTop w:val="0"/>
      <w:marBottom w:val="0"/>
      <w:divBdr>
        <w:top w:val="none" w:sz="0" w:space="0" w:color="auto"/>
        <w:left w:val="none" w:sz="0" w:space="0" w:color="auto"/>
        <w:bottom w:val="none" w:sz="0" w:space="0" w:color="auto"/>
        <w:right w:val="none" w:sz="0" w:space="0" w:color="auto"/>
      </w:divBdr>
    </w:div>
    <w:div w:id="699282308">
      <w:bodyDiv w:val="1"/>
      <w:marLeft w:val="0"/>
      <w:marRight w:val="0"/>
      <w:marTop w:val="0"/>
      <w:marBottom w:val="0"/>
      <w:divBdr>
        <w:top w:val="none" w:sz="0" w:space="0" w:color="auto"/>
        <w:left w:val="none" w:sz="0" w:space="0" w:color="auto"/>
        <w:bottom w:val="none" w:sz="0" w:space="0" w:color="auto"/>
        <w:right w:val="none" w:sz="0" w:space="0" w:color="auto"/>
      </w:divBdr>
    </w:div>
    <w:div w:id="700279485">
      <w:bodyDiv w:val="1"/>
      <w:marLeft w:val="0"/>
      <w:marRight w:val="0"/>
      <w:marTop w:val="0"/>
      <w:marBottom w:val="0"/>
      <w:divBdr>
        <w:top w:val="none" w:sz="0" w:space="0" w:color="auto"/>
        <w:left w:val="none" w:sz="0" w:space="0" w:color="auto"/>
        <w:bottom w:val="none" w:sz="0" w:space="0" w:color="auto"/>
        <w:right w:val="none" w:sz="0" w:space="0" w:color="auto"/>
      </w:divBdr>
    </w:div>
    <w:div w:id="725836046">
      <w:bodyDiv w:val="1"/>
      <w:marLeft w:val="0"/>
      <w:marRight w:val="0"/>
      <w:marTop w:val="0"/>
      <w:marBottom w:val="0"/>
      <w:divBdr>
        <w:top w:val="none" w:sz="0" w:space="0" w:color="auto"/>
        <w:left w:val="none" w:sz="0" w:space="0" w:color="auto"/>
        <w:bottom w:val="none" w:sz="0" w:space="0" w:color="auto"/>
        <w:right w:val="none" w:sz="0" w:space="0" w:color="auto"/>
      </w:divBdr>
    </w:div>
    <w:div w:id="735930307">
      <w:bodyDiv w:val="1"/>
      <w:marLeft w:val="0"/>
      <w:marRight w:val="0"/>
      <w:marTop w:val="0"/>
      <w:marBottom w:val="0"/>
      <w:divBdr>
        <w:top w:val="none" w:sz="0" w:space="0" w:color="auto"/>
        <w:left w:val="none" w:sz="0" w:space="0" w:color="auto"/>
        <w:bottom w:val="none" w:sz="0" w:space="0" w:color="auto"/>
        <w:right w:val="none" w:sz="0" w:space="0" w:color="auto"/>
      </w:divBdr>
    </w:div>
    <w:div w:id="736243386">
      <w:bodyDiv w:val="1"/>
      <w:marLeft w:val="0"/>
      <w:marRight w:val="0"/>
      <w:marTop w:val="0"/>
      <w:marBottom w:val="0"/>
      <w:divBdr>
        <w:top w:val="none" w:sz="0" w:space="0" w:color="auto"/>
        <w:left w:val="none" w:sz="0" w:space="0" w:color="auto"/>
        <w:bottom w:val="none" w:sz="0" w:space="0" w:color="auto"/>
        <w:right w:val="none" w:sz="0" w:space="0" w:color="auto"/>
      </w:divBdr>
    </w:div>
    <w:div w:id="790055812">
      <w:bodyDiv w:val="1"/>
      <w:marLeft w:val="0"/>
      <w:marRight w:val="0"/>
      <w:marTop w:val="0"/>
      <w:marBottom w:val="0"/>
      <w:divBdr>
        <w:top w:val="none" w:sz="0" w:space="0" w:color="auto"/>
        <w:left w:val="none" w:sz="0" w:space="0" w:color="auto"/>
        <w:bottom w:val="none" w:sz="0" w:space="0" w:color="auto"/>
        <w:right w:val="none" w:sz="0" w:space="0" w:color="auto"/>
      </w:divBdr>
    </w:div>
    <w:div w:id="803431152">
      <w:bodyDiv w:val="1"/>
      <w:marLeft w:val="0"/>
      <w:marRight w:val="0"/>
      <w:marTop w:val="0"/>
      <w:marBottom w:val="0"/>
      <w:divBdr>
        <w:top w:val="none" w:sz="0" w:space="0" w:color="auto"/>
        <w:left w:val="none" w:sz="0" w:space="0" w:color="auto"/>
        <w:bottom w:val="none" w:sz="0" w:space="0" w:color="auto"/>
        <w:right w:val="none" w:sz="0" w:space="0" w:color="auto"/>
      </w:divBdr>
    </w:div>
    <w:div w:id="808087388">
      <w:bodyDiv w:val="1"/>
      <w:marLeft w:val="0"/>
      <w:marRight w:val="0"/>
      <w:marTop w:val="0"/>
      <w:marBottom w:val="0"/>
      <w:divBdr>
        <w:top w:val="none" w:sz="0" w:space="0" w:color="auto"/>
        <w:left w:val="none" w:sz="0" w:space="0" w:color="auto"/>
        <w:bottom w:val="none" w:sz="0" w:space="0" w:color="auto"/>
        <w:right w:val="none" w:sz="0" w:space="0" w:color="auto"/>
      </w:divBdr>
    </w:div>
    <w:div w:id="821043839">
      <w:bodyDiv w:val="1"/>
      <w:marLeft w:val="0"/>
      <w:marRight w:val="0"/>
      <w:marTop w:val="0"/>
      <w:marBottom w:val="0"/>
      <w:divBdr>
        <w:top w:val="none" w:sz="0" w:space="0" w:color="auto"/>
        <w:left w:val="none" w:sz="0" w:space="0" w:color="auto"/>
        <w:bottom w:val="none" w:sz="0" w:space="0" w:color="auto"/>
        <w:right w:val="none" w:sz="0" w:space="0" w:color="auto"/>
      </w:divBdr>
    </w:div>
    <w:div w:id="878277360">
      <w:bodyDiv w:val="1"/>
      <w:marLeft w:val="0"/>
      <w:marRight w:val="0"/>
      <w:marTop w:val="0"/>
      <w:marBottom w:val="0"/>
      <w:divBdr>
        <w:top w:val="none" w:sz="0" w:space="0" w:color="auto"/>
        <w:left w:val="none" w:sz="0" w:space="0" w:color="auto"/>
        <w:bottom w:val="none" w:sz="0" w:space="0" w:color="auto"/>
        <w:right w:val="none" w:sz="0" w:space="0" w:color="auto"/>
      </w:divBdr>
    </w:div>
    <w:div w:id="935285112">
      <w:bodyDiv w:val="1"/>
      <w:marLeft w:val="0"/>
      <w:marRight w:val="0"/>
      <w:marTop w:val="0"/>
      <w:marBottom w:val="0"/>
      <w:divBdr>
        <w:top w:val="none" w:sz="0" w:space="0" w:color="auto"/>
        <w:left w:val="none" w:sz="0" w:space="0" w:color="auto"/>
        <w:bottom w:val="none" w:sz="0" w:space="0" w:color="auto"/>
        <w:right w:val="none" w:sz="0" w:space="0" w:color="auto"/>
      </w:divBdr>
    </w:div>
    <w:div w:id="961226269">
      <w:bodyDiv w:val="1"/>
      <w:marLeft w:val="0"/>
      <w:marRight w:val="0"/>
      <w:marTop w:val="0"/>
      <w:marBottom w:val="0"/>
      <w:divBdr>
        <w:top w:val="none" w:sz="0" w:space="0" w:color="auto"/>
        <w:left w:val="none" w:sz="0" w:space="0" w:color="auto"/>
        <w:bottom w:val="none" w:sz="0" w:space="0" w:color="auto"/>
        <w:right w:val="none" w:sz="0" w:space="0" w:color="auto"/>
      </w:divBdr>
    </w:div>
    <w:div w:id="964046800">
      <w:bodyDiv w:val="1"/>
      <w:marLeft w:val="0"/>
      <w:marRight w:val="0"/>
      <w:marTop w:val="0"/>
      <w:marBottom w:val="0"/>
      <w:divBdr>
        <w:top w:val="none" w:sz="0" w:space="0" w:color="auto"/>
        <w:left w:val="none" w:sz="0" w:space="0" w:color="auto"/>
        <w:bottom w:val="none" w:sz="0" w:space="0" w:color="auto"/>
        <w:right w:val="none" w:sz="0" w:space="0" w:color="auto"/>
      </w:divBdr>
    </w:div>
    <w:div w:id="969553899">
      <w:bodyDiv w:val="1"/>
      <w:marLeft w:val="0"/>
      <w:marRight w:val="0"/>
      <w:marTop w:val="0"/>
      <w:marBottom w:val="0"/>
      <w:divBdr>
        <w:top w:val="none" w:sz="0" w:space="0" w:color="auto"/>
        <w:left w:val="none" w:sz="0" w:space="0" w:color="auto"/>
        <w:bottom w:val="none" w:sz="0" w:space="0" w:color="auto"/>
        <w:right w:val="none" w:sz="0" w:space="0" w:color="auto"/>
      </w:divBdr>
    </w:div>
    <w:div w:id="1041638264">
      <w:bodyDiv w:val="1"/>
      <w:marLeft w:val="0"/>
      <w:marRight w:val="0"/>
      <w:marTop w:val="0"/>
      <w:marBottom w:val="0"/>
      <w:divBdr>
        <w:top w:val="none" w:sz="0" w:space="0" w:color="auto"/>
        <w:left w:val="none" w:sz="0" w:space="0" w:color="auto"/>
        <w:bottom w:val="none" w:sz="0" w:space="0" w:color="auto"/>
        <w:right w:val="none" w:sz="0" w:space="0" w:color="auto"/>
      </w:divBdr>
    </w:div>
    <w:div w:id="1142963818">
      <w:bodyDiv w:val="1"/>
      <w:marLeft w:val="0"/>
      <w:marRight w:val="0"/>
      <w:marTop w:val="0"/>
      <w:marBottom w:val="0"/>
      <w:divBdr>
        <w:top w:val="none" w:sz="0" w:space="0" w:color="auto"/>
        <w:left w:val="none" w:sz="0" w:space="0" w:color="auto"/>
        <w:bottom w:val="none" w:sz="0" w:space="0" w:color="auto"/>
        <w:right w:val="none" w:sz="0" w:space="0" w:color="auto"/>
      </w:divBdr>
    </w:div>
    <w:div w:id="1179350722">
      <w:bodyDiv w:val="1"/>
      <w:marLeft w:val="0"/>
      <w:marRight w:val="0"/>
      <w:marTop w:val="0"/>
      <w:marBottom w:val="0"/>
      <w:divBdr>
        <w:top w:val="none" w:sz="0" w:space="0" w:color="auto"/>
        <w:left w:val="none" w:sz="0" w:space="0" w:color="auto"/>
        <w:bottom w:val="none" w:sz="0" w:space="0" w:color="auto"/>
        <w:right w:val="none" w:sz="0" w:space="0" w:color="auto"/>
      </w:divBdr>
    </w:div>
    <w:div w:id="1225875924">
      <w:bodyDiv w:val="1"/>
      <w:marLeft w:val="0"/>
      <w:marRight w:val="0"/>
      <w:marTop w:val="0"/>
      <w:marBottom w:val="0"/>
      <w:divBdr>
        <w:top w:val="none" w:sz="0" w:space="0" w:color="auto"/>
        <w:left w:val="none" w:sz="0" w:space="0" w:color="auto"/>
        <w:bottom w:val="none" w:sz="0" w:space="0" w:color="auto"/>
        <w:right w:val="none" w:sz="0" w:space="0" w:color="auto"/>
      </w:divBdr>
    </w:div>
    <w:div w:id="1240794637">
      <w:bodyDiv w:val="1"/>
      <w:marLeft w:val="0"/>
      <w:marRight w:val="0"/>
      <w:marTop w:val="0"/>
      <w:marBottom w:val="0"/>
      <w:divBdr>
        <w:top w:val="none" w:sz="0" w:space="0" w:color="auto"/>
        <w:left w:val="none" w:sz="0" w:space="0" w:color="auto"/>
        <w:bottom w:val="none" w:sz="0" w:space="0" w:color="auto"/>
        <w:right w:val="none" w:sz="0" w:space="0" w:color="auto"/>
      </w:divBdr>
    </w:div>
    <w:div w:id="1251743973">
      <w:bodyDiv w:val="1"/>
      <w:marLeft w:val="0"/>
      <w:marRight w:val="0"/>
      <w:marTop w:val="0"/>
      <w:marBottom w:val="0"/>
      <w:divBdr>
        <w:top w:val="none" w:sz="0" w:space="0" w:color="auto"/>
        <w:left w:val="none" w:sz="0" w:space="0" w:color="auto"/>
        <w:bottom w:val="none" w:sz="0" w:space="0" w:color="auto"/>
        <w:right w:val="none" w:sz="0" w:space="0" w:color="auto"/>
      </w:divBdr>
    </w:div>
    <w:div w:id="1265580099">
      <w:bodyDiv w:val="1"/>
      <w:marLeft w:val="0"/>
      <w:marRight w:val="0"/>
      <w:marTop w:val="0"/>
      <w:marBottom w:val="0"/>
      <w:divBdr>
        <w:top w:val="none" w:sz="0" w:space="0" w:color="auto"/>
        <w:left w:val="none" w:sz="0" w:space="0" w:color="auto"/>
        <w:bottom w:val="none" w:sz="0" w:space="0" w:color="auto"/>
        <w:right w:val="none" w:sz="0" w:space="0" w:color="auto"/>
      </w:divBdr>
    </w:div>
    <w:div w:id="1318807664">
      <w:bodyDiv w:val="1"/>
      <w:marLeft w:val="0"/>
      <w:marRight w:val="0"/>
      <w:marTop w:val="0"/>
      <w:marBottom w:val="0"/>
      <w:divBdr>
        <w:top w:val="none" w:sz="0" w:space="0" w:color="auto"/>
        <w:left w:val="none" w:sz="0" w:space="0" w:color="auto"/>
        <w:bottom w:val="none" w:sz="0" w:space="0" w:color="auto"/>
        <w:right w:val="none" w:sz="0" w:space="0" w:color="auto"/>
      </w:divBdr>
    </w:div>
    <w:div w:id="1342901477">
      <w:bodyDiv w:val="1"/>
      <w:marLeft w:val="0"/>
      <w:marRight w:val="0"/>
      <w:marTop w:val="0"/>
      <w:marBottom w:val="0"/>
      <w:divBdr>
        <w:top w:val="none" w:sz="0" w:space="0" w:color="auto"/>
        <w:left w:val="none" w:sz="0" w:space="0" w:color="auto"/>
        <w:bottom w:val="none" w:sz="0" w:space="0" w:color="auto"/>
        <w:right w:val="none" w:sz="0" w:space="0" w:color="auto"/>
      </w:divBdr>
    </w:div>
    <w:div w:id="1344210060">
      <w:bodyDiv w:val="1"/>
      <w:marLeft w:val="0"/>
      <w:marRight w:val="0"/>
      <w:marTop w:val="0"/>
      <w:marBottom w:val="0"/>
      <w:divBdr>
        <w:top w:val="none" w:sz="0" w:space="0" w:color="auto"/>
        <w:left w:val="none" w:sz="0" w:space="0" w:color="auto"/>
        <w:bottom w:val="none" w:sz="0" w:space="0" w:color="auto"/>
        <w:right w:val="none" w:sz="0" w:space="0" w:color="auto"/>
      </w:divBdr>
    </w:div>
    <w:div w:id="1353804644">
      <w:bodyDiv w:val="1"/>
      <w:marLeft w:val="0"/>
      <w:marRight w:val="0"/>
      <w:marTop w:val="0"/>
      <w:marBottom w:val="0"/>
      <w:divBdr>
        <w:top w:val="none" w:sz="0" w:space="0" w:color="auto"/>
        <w:left w:val="none" w:sz="0" w:space="0" w:color="auto"/>
        <w:bottom w:val="none" w:sz="0" w:space="0" w:color="auto"/>
        <w:right w:val="none" w:sz="0" w:space="0" w:color="auto"/>
      </w:divBdr>
    </w:div>
    <w:div w:id="1360668991">
      <w:bodyDiv w:val="1"/>
      <w:marLeft w:val="0"/>
      <w:marRight w:val="0"/>
      <w:marTop w:val="0"/>
      <w:marBottom w:val="0"/>
      <w:divBdr>
        <w:top w:val="none" w:sz="0" w:space="0" w:color="auto"/>
        <w:left w:val="none" w:sz="0" w:space="0" w:color="auto"/>
        <w:bottom w:val="none" w:sz="0" w:space="0" w:color="auto"/>
        <w:right w:val="none" w:sz="0" w:space="0" w:color="auto"/>
      </w:divBdr>
    </w:div>
    <w:div w:id="1364400047">
      <w:bodyDiv w:val="1"/>
      <w:marLeft w:val="0"/>
      <w:marRight w:val="0"/>
      <w:marTop w:val="0"/>
      <w:marBottom w:val="0"/>
      <w:divBdr>
        <w:top w:val="none" w:sz="0" w:space="0" w:color="auto"/>
        <w:left w:val="none" w:sz="0" w:space="0" w:color="auto"/>
        <w:bottom w:val="none" w:sz="0" w:space="0" w:color="auto"/>
        <w:right w:val="none" w:sz="0" w:space="0" w:color="auto"/>
      </w:divBdr>
    </w:div>
    <w:div w:id="1398211836">
      <w:bodyDiv w:val="1"/>
      <w:marLeft w:val="0"/>
      <w:marRight w:val="0"/>
      <w:marTop w:val="0"/>
      <w:marBottom w:val="0"/>
      <w:divBdr>
        <w:top w:val="none" w:sz="0" w:space="0" w:color="auto"/>
        <w:left w:val="none" w:sz="0" w:space="0" w:color="auto"/>
        <w:bottom w:val="none" w:sz="0" w:space="0" w:color="auto"/>
        <w:right w:val="none" w:sz="0" w:space="0" w:color="auto"/>
      </w:divBdr>
    </w:div>
    <w:div w:id="1400516422">
      <w:bodyDiv w:val="1"/>
      <w:marLeft w:val="0"/>
      <w:marRight w:val="0"/>
      <w:marTop w:val="0"/>
      <w:marBottom w:val="0"/>
      <w:divBdr>
        <w:top w:val="none" w:sz="0" w:space="0" w:color="auto"/>
        <w:left w:val="none" w:sz="0" w:space="0" w:color="auto"/>
        <w:bottom w:val="none" w:sz="0" w:space="0" w:color="auto"/>
        <w:right w:val="none" w:sz="0" w:space="0" w:color="auto"/>
      </w:divBdr>
    </w:div>
    <w:div w:id="1400636092">
      <w:bodyDiv w:val="1"/>
      <w:marLeft w:val="0"/>
      <w:marRight w:val="0"/>
      <w:marTop w:val="0"/>
      <w:marBottom w:val="0"/>
      <w:divBdr>
        <w:top w:val="none" w:sz="0" w:space="0" w:color="auto"/>
        <w:left w:val="none" w:sz="0" w:space="0" w:color="auto"/>
        <w:bottom w:val="none" w:sz="0" w:space="0" w:color="auto"/>
        <w:right w:val="none" w:sz="0" w:space="0" w:color="auto"/>
      </w:divBdr>
    </w:div>
    <w:div w:id="1437169688">
      <w:bodyDiv w:val="1"/>
      <w:marLeft w:val="0"/>
      <w:marRight w:val="0"/>
      <w:marTop w:val="0"/>
      <w:marBottom w:val="0"/>
      <w:divBdr>
        <w:top w:val="none" w:sz="0" w:space="0" w:color="auto"/>
        <w:left w:val="none" w:sz="0" w:space="0" w:color="auto"/>
        <w:bottom w:val="none" w:sz="0" w:space="0" w:color="auto"/>
        <w:right w:val="none" w:sz="0" w:space="0" w:color="auto"/>
      </w:divBdr>
    </w:div>
    <w:div w:id="1447308299">
      <w:bodyDiv w:val="1"/>
      <w:marLeft w:val="0"/>
      <w:marRight w:val="0"/>
      <w:marTop w:val="0"/>
      <w:marBottom w:val="0"/>
      <w:divBdr>
        <w:top w:val="none" w:sz="0" w:space="0" w:color="auto"/>
        <w:left w:val="none" w:sz="0" w:space="0" w:color="auto"/>
        <w:bottom w:val="none" w:sz="0" w:space="0" w:color="auto"/>
        <w:right w:val="none" w:sz="0" w:space="0" w:color="auto"/>
      </w:divBdr>
    </w:div>
    <w:div w:id="1464730570">
      <w:bodyDiv w:val="1"/>
      <w:marLeft w:val="0"/>
      <w:marRight w:val="0"/>
      <w:marTop w:val="0"/>
      <w:marBottom w:val="0"/>
      <w:divBdr>
        <w:top w:val="none" w:sz="0" w:space="0" w:color="auto"/>
        <w:left w:val="none" w:sz="0" w:space="0" w:color="auto"/>
        <w:bottom w:val="none" w:sz="0" w:space="0" w:color="auto"/>
        <w:right w:val="none" w:sz="0" w:space="0" w:color="auto"/>
      </w:divBdr>
    </w:div>
    <w:div w:id="1496721110">
      <w:bodyDiv w:val="1"/>
      <w:marLeft w:val="0"/>
      <w:marRight w:val="0"/>
      <w:marTop w:val="0"/>
      <w:marBottom w:val="0"/>
      <w:divBdr>
        <w:top w:val="none" w:sz="0" w:space="0" w:color="auto"/>
        <w:left w:val="none" w:sz="0" w:space="0" w:color="auto"/>
        <w:bottom w:val="none" w:sz="0" w:space="0" w:color="auto"/>
        <w:right w:val="none" w:sz="0" w:space="0" w:color="auto"/>
      </w:divBdr>
    </w:div>
    <w:div w:id="1525247810">
      <w:bodyDiv w:val="1"/>
      <w:marLeft w:val="0"/>
      <w:marRight w:val="0"/>
      <w:marTop w:val="0"/>
      <w:marBottom w:val="0"/>
      <w:divBdr>
        <w:top w:val="none" w:sz="0" w:space="0" w:color="auto"/>
        <w:left w:val="none" w:sz="0" w:space="0" w:color="auto"/>
        <w:bottom w:val="none" w:sz="0" w:space="0" w:color="auto"/>
        <w:right w:val="none" w:sz="0" w:space="0" w:color="auto"/>
      </w:divBdr>
    </w:div>
    <w:div w:id="1550727382">
      <w:bodyDiv w:val="1"/>
      <w:marLeft w:val="0"/>
      <w:marRight w:val="0"/>
      <w:marTop w:val="0"/>
      <w:marBottom w:val="0"/>
      <w:divBdr>
        <w:top w:val="none" w:sz="0" w:space="0" w:color="auto"/>
        <w:left w:val="none" w:sz="0" w:space="0" w:color="auto"/>
        <w:bottom w:val="none" w:sz="0" w:space="0" w:color="auto"/>
        <w:right w:val="none" w:sz="0" w:space="0" w:color="auto"/>
      </w:divBdr>
    </w:div>
    <w:div w:id="1555266242">
      <w:bodyDiv w:val="1"/>
      <w:marLeft w:val="0"/>
      <w:marRight w:val="0"/>
      <w:marTop w:val="0"/>
      <w:marBottom w:val="0"/>
      <w:divBdr>
        <w:top w:val="none" w:sz="0" w:space="0" w:color="auto"/>
        <w:left w:val="none" w:sz="0" w:space="0" w:color="auto"/>
        <w:bottom w:val="none" w:sz="0" w:space="0" w:color="auto"/>
        <w:right w:val="none" w:sz="0" w:space="0" w:color="auto"/>
      </w:divBdr>
    </w:div>
    <w:div w:id="1567766470">
      <w:bodyDiv w:val="1"/>
      <w:marLeft w:val="0"/>
      <w:marRight w:val="0"/>
      <w:marTop w:val="0"/>
      <w:marBottom w:val="0"/>
      <w:divBdr>
        <w:top w:val="none" w:sz="0" w:space="0" w:color="auto"/>
        <w:left w:val="none" w:sz="0" w:space="0" w:color="auto"/>
        <w:bottom w:val="none" w:sz="0" w:space="0" w:color="auto"/>
        <w:right w:val="none" w:sz="0" w:space="0" w:color="auto"/>
      </w:divBdr>
    </w:div>
    <w:div w:id="1602101186">
      <w:bodyDiv w:val="1"/>
      <w:marLeft w:val="0"/>
      <w:marRight w:val="0"/>
      <w:marTop w:val="0"/>
      <w:marBottom w:val="0"/>
      <w:divBdr>
        <w:top w:val="none" w:sz="0" w:space="0" w:color="auto"/>
        <w:left w:val="none" w:sz="0" w:space="0" w:color="auto"/>
        <w:bottom w:val="none" w:sz="0" w:space="0" w:color="auto"/>
        <w:right w:val="none" w:sz="0" w:space="0" w:color="auto"/>
      </w:divBdr>
    </w:div>
    <w:div w:id="1617253673">
      <w:bodyDiv w:val="1"/>
      <w:marLeft w:val="0"/>
      <w:marRight w:val="0"/>
      <w:marTop w:val="0"/>
      <w:marBottom w:val="0"/>
      <w:divBdr>
        <w:top w:val="none" w:sz="0" w:space="0" w:color="auto"/>
        <w:left w:val="none" w:sz="0" w:space="0" w:color="auto"/>
        <w:bottom w:val="none" w:sz="0" w:space="0" w:color="auto"/>
        <w:right w:val="none" w:sz="0" w:space="0" w:color="auto"/>
      </w:divBdr>
    </w:div>
    <w:div w:id="1622569649">
      <w:bodyDiv w:val="1"/>
      <w:marLeft w:val="0"/>
      <w:marRight w:val="0"/>
      <w:marTop w:val="0"/>
      <w:marBottom w:val="0"/>
      <w:divBdr>
        <w:top w:val="none" w:sz="0" w:space="0" w:color="auto"/>
        <w:left w:val="none" w:sz="0" w:space="0" w:color="auto"/>
        <w:bottom w:val="none" w:sz="0" w:space="0" w:color="auto"/>
        <w:right w:val="none" w:sz="0" w:space="0" w:color="auto"/>
      </w:divBdr>
    </w:div>
    <w:div w:id="1636369171">
      <w:bodyDiv w:val="1"/>
      <w:marLeft w:val="0"/>
      <w:marRight w:val="0"/>
      <w:marTop w:val="0"/>
      <w:marBottom w:val="0"/>
      <w:divBdr>
        <w:top w:val="none" w:sz="0" w:space="0" w:color="auto"/>
        <w:left w:val="none" w:sz="0" w:space="0" w:color="auto"/>
        <w:bottom w:val="none" w:sz="0" w:space="0" w:color="auto"/>
        <w:right w:val="none" w:sz="0" w:space="0" w:color="auto"/>
      </w:divBdr>
    </w:div>
    <w:div w:id="1656911650">
      <w:bodyDiv w:val="1"/>
      <w:marLeft w:val="0"/>
      <w:marRight w:val="0"/>
      <w:marTop w:val="0"/>
      <w:marBottom w:val="0"/>
      <w:divBdr>
        <w:top w:val="none" w:sz="0" w:space="0" w:color="auto"/>
        <w:left w:val="none" w:sz="0" w:space="0" w:color="auto"/>
        <w:bottom w:val="none" w:sz="0" w:space="0" w:color="auto"/>
        <w:right w:val="none" w:sz="0" w:space="0" w:color="auto"/>
      </w:divBdr>
    </w:div>
    <w:div w:id="1700400353">
      <w:bodyDiv w:val="1"/>
      <w:marLeft w:val="0"/>
      <w:marRight w:val="0"/>
      <w:marTop w:val="0"/>
      <w:marBottom w:val="0"/>
      <w:divBdr>
        <w:top w:val="none" w:sz="0" w:space="0" w:color="auto"/>
        <w:left w:val="none" w:sz="0" w:space="0" w:color="auto"/>
        <w:bottom w:val="none" w:sz="0" w:space="0" w:color="auto"/>
        <w:right w:val="none" w:sz="0" w:space="0" w:color="auto"/>
      </w:divBdr>
    </w:div>
    <w:div w:id="1707486681">
      <w:bodyDiv w:val="1"/>
      <w:marLeft w:val="0"/>
      <w:marRight w:val="0"/>
      <w:marTop w:val="0"/>
      <w:marBottom w:val="0"/>
      <w:divBdr>
        <w:top w:val="none" w:sz="0" w:space="0" w:color="auto"/>
        <w:left w:val="none" w:sz="0" w:space="0" w:color="auto"/>
        <w:bottom w:val="none" w:sz="0" w:space="0" w:color="auto"/>
        <w:right w:val="none" w:sz="0" w:space="0" w:color="auto"/>
      </w:divBdr>
    </w:div>
    <w:div w:id="1709794883">
      <w:bodyDiv w:val="1"/>
      <w:marLeft w:val="0"/>
      <w:marRight w:val="0"/>
      <w:marTop w:val="0"/>
      <w:marBottom w:val="0"/>
      <w:divBdr>
        <w:top w:val="none" w:sz="0" w:space="0" w:color="auto"/>
        <w:left w:val="none" w:sz="0" w:space="0" w:color="auto"/>
        <w:bottom w:val="none" w:sz="0" w:space="0" w:color="auto"/>
        <w:right w:val="none" w:sz="0" w:space="0" w:color="auto"/>
      </w:divBdr>
    </w:div>
    <w:div w:id="1709914842">
      <w:bodyDiv w:val="1"/>
      <w:marLeft w:val="0"/>
      <w:marRight w:val="0"/>
      <w:marTop w:val="0"/>
      <w:marBottom w:val="0"/>
      <w:divBdr>
        <w:top w:val="none" w:sz="0" w:space="0" w:color="auto"/>
        <w:left w:val="none" w:sz="0" w:space="0" w:color="auto"/>
        <w:bottom w:val="none" w:sz="0" w:space="0" w:color="auto"/>
        <w:right w:val="none" w:sz="0" w:space="0" w:color="auto"/>
      </w:divBdr>
    </w:div>
    <w:div w:id="1711762605">
      <w:bodyDiv w:val="1"/>
      <w:marLeft w:val="0"/>
      <w:marRight w:val="0"/>
      <w:marTop w:val="0"/>
      <w:marBottom w:val="0"/>
      <w:divBdr>
        <w:top w:val="none" w:sz="0" w:space="0" w:color="auto"/>
        <w:left w:val="none" w:sz="0" w:space="0" w:color="auto"/>
        <w:bottom w:val="none" w:sz="0" w:space="0" w:color="auto"/>
        <w:right w:val="none" w:sz="0" w:space="0" w:color="auto"/>
      </w:divBdr>
    </w:div>
    <w:div w:id="1723676944">
      <w:bodyDiv w:val="1"/>
      <w:marLeft w:val="0"/>
      <w:marRight w:val="0"/>
      <w:marTop w:val="0"/>
      <w:marBottom w:val="0"/>
      <w:divBdr>
        <w:top w:val="none" w:sz="0" w:space="0" w:color="auto"/>
        <w:left w:val="none" w:sz="0" w:space="0" w:color="auto"/>
        <w:bottom w:val="none" w:sz="0" w:space="0" w:color="auto"/>
        <w:right w:val="none" w:sz="0" w:space="0" w:color="auto"/>
      </w:divBdr>
    </w:div>
    <w:div w:id="1767337695">
      <w:bodyDiv w:val="1"/>
      <w:marLeft w:val="0"/>
      <w:marRight w:val="0"/>
      <w:marTop w:val="0"/>
      <w:marBottom w:val="0"/>
      <w:divBdr>
        <w:top w:val="none" w:sz="0" w:space="0" w:color="auto"/>
        <w:left w:val="none" w:sz="0" w:space="0" w:color="auto"/>
        <w:bottom w:val="none" w:sz="0" w:space="0" w:color="auto"/>
        <w:right w:val="none" w:sz="0" w:space="0" w:color="auto"/>
      </w:divBdr>
    </w:div>
    <w:div w:id="1814370814">
      <w:bodyDiv w:val="1"/>
      <w:marLeft w:val="0"/>
      <w:marRight w:val="0"/>
      <w:marTop w:val="0"/>
      <w:marBottom w:val="0"/>
      <w:divBdr>
        <w:top w:val="none" w:sz="0" w:space="0" w:color="auto"/>
        <w:left w:val="none" w:sz="0" w:space="0" w:color="auto"/>
        <w:bottom w:val="none" w:sz="0" w:space="0" w:color="auto"/>
        <w:right w:val="none" w:sz="0" w:space="0" w:color="auto"/>
      </w:divBdr>
    </w:div>
    <w:div w:id="1816146035">
      <w:bodyDiv w:val="1"/>
      <w:marLeft w:val="0"/>
      <w:marRight w:val="0"/>
      <w:marTop w:val="0"/>
      <w:marBottom w:val="0"/>
      <w:divBdr>
        <w:top w:val="none" w:sz="0" w:space="0" w:color="auto"/>
        <w:left w:val="none" w:sz="0" w:space="0" w:color="auto"/>
        <w:bottom w:val="none" w:sz="0" w:space="0" w:color="auto"/>
        <w:right w:val="none" w:sz="0" w:space="0" w:color="auto"/>
      </w:divBdr>
    </w:div>
    <w:div w:id="1820733773">
      <w:bodyDiv w:val="1"/>
      <w:marLeft w:val="0"/>
      <w:marRight w:val="0"/>
      <w:marTop w:val="0"/>
      <w:marBottom w:val="0"/>
      <w:divBdr>
        <w:top w:val="none" w:sz="0" w:space="0" w:color="auto"/>
        <w:left w:val="none" w:sz="0" w:space="0" w:color="auto"/>
        <w:bottom w:val="none" w:sz="0" w:space="0" w:color="auto"/>
        <w:right w:val="none" w:sz="0" w:space="0" w:color="auto"/>
      </w:divBdr>
    </w:div>
    <w:div w:id="1832788963">
      <w:bodyDiv w:val="1"/>
      <w:marLeft w:val="0"/>
      <w:marRight w:val="0"/>
      <w:marTop w:val="0"/>
      <w:marBottom w:val="0"/>
      <w:divBdr>
        <w:top w:val="none" w:sz="0" w:space="0" w:color="auto"/>
        <w:left w:val="none" w:sz="0" w:space="0" w:color="auto"/>
        <w:bottom w:val="none" w:sz="0" w:space="0" w:color="auto"/>
        <w:right w:val="none" w:sz="0" w:space="0" w:color="auto"/>
      </w:divBdr>
    </w:div>
    <w:div w:id="1843660969">
      <w:bodyDiv w:val="1"/>
      <w:marLeft w:val="0"/>
      <w:marRight w:val="0"/>
      <w:marTop w:val="0"/>
      <w:marBottom w:val="0"/>
      <w:divBdr>
        <w:top w:val="none" w:sz="0" w:space="0" w:color="auto"/>
        <w:left w:val="none" w:sz="0" w:space="0" w:color="auto"/>
        <w:bottom w:val="none" w:sz="0" w:space="0" w:color="auto"/>
        <w:right w:val="none" w:sz="0" w:space="0" w:color="auto"/>
      </w:divBdr>
    </w:div>
    <w:div w:id="1860856169">
      <w:bodyDiv w:val="1"/>
      <w:marLeft w:val="0"/>
      <w:marRight w:val="0"/>
      <w:marTop w:val="0"/>
      <w:marBottom w:val="0"/>
      <w:divBdr>
        <w:top w:val="none" w:sz="0" w:space="0" w:color="auto"/>
        <w:left w:val="none" w:sz="0" w:space="0" w:color="auto"/>
        <w:bottom w:val="none" w:sz="0" w:space="0" w:color="auto"/>
        <w:right w:val="none" w:sz="0" w:space="0" w:color="auto"/>
      </w:divBdr>
    </w:div>
    <w:div w:id="1863787619">
      <w:bodyDiv w:val="1"/>
      <w:marLeft w:val="0"/>
      <w:marRight w:val="0"/>
      <w:marTop w:val="0"/>
      <w:marBottom w:val="0"/>
      <w:divBdr>
        <w:top w:val="none" w:sz="0" w:space="0" w:color="auto"/>
        <w:left w:val="none" w:sz="0" w:space="0" w:color="auto"/>
        <w:bottom w:val="none" w:sz="0" w:space="0" w:color="auto"/>
        <w:right w:val="none" w:sz="0" w:space="0" w:color="auto"/>
      </w:divBdr>
    </w:div>
    <w:div w:id="1893419696">
      <w:bodyDiv w:val="1"/>
      <w:marLeft w:val="0"/>
      <w:marRight w:val="0"/>
      <w:marTop w:val="0"/>
      <w:marBottom w:val="0"/>
      <w:divBdr>
        <w:top w:val="none" w:sz="0" w:space="0" w:color="auto"/>
        <w:left w:val="none" w:sz="0" w:space="0" w:color="auto"/>
        <w:bottom w:val="none" w:sz="0" w:space="0" w:color="auto"/>
        <w:right w:val="none" w:sz="0" w:space="0" w:color="auto"/>
      </w:divBdr>
    </w:div>
    <w:div w:id="1900751170">
      <w:bodyDiv w:val="1"/>
      <w:marLeft w:val="0"/>
      <w:marRight w:val="0"/>
      <w:marTop w:val="0"/>
      <w:marBottom w:val="0"/>
      <w:divBdr>
        <w:top w:val="none" w:sz="0" w:space="0" w:color="auto"/>
        <w:left w:val="none" w:sz="0" w:space="0" w:color="auto"/>
        <w:bottom w:val="none" w:sz="0" w:space="0" w:color="auto"/>
        <w:right w:val="none" w:sz="0" w:space="0" w:color="auto"/>
      </w:divBdr>
    </w:div>
    <w:div w:id="1902671577">
      <w:bodyDiv w:val="1"/>
      <w:marLeft w:val="0"/>
      <w:marRight w:val="0"/>
      <w:marTop w:val="0"/>
      <w:marBottom w:val="0"/>
      <w:divBdr>
        <w:top w:val="none" w:sz="0" w:space="0" w:color="auto"/>
        <w:left w:val="none" w:sz="0" w:space="0" w:color="auto"/>
        <w:bottom w:val="none" w:sz="0" w:space="0" w:color="auto"/>
        <w:right w:val="none" w:sz="0" w:space="0" w:color="auto"/>
      </w:divBdr>
    </w:div>
    <w:div w:id="1907449860">
      <w:bodyDiv w:val="1"/>
      <w:marLeft w:val="0"/>
      <w:marRight w:val="0"/>
      <w:marTop w:val="0"/>
      <w:marBottom w:val="0"/>
      <w:divBdr>
        <w:top w:val="none" w:sz="0" w:space="0" w:color="auto"/>
        <w:left w:val="none" w:sz="0" w:space="0" w:color="auto"/>
        <w:bottom w:val="none" w:sz="0" w:space="0" w:color="auto"/>
        <w:right w:val="none" w:sz="0" w:space="0" w:color="auto"/>
      </w:divBdr>
    </w:div>
    <w:div w:id="1974939191">
      <w:bodyDiv w:val="1"/>
      <w:marLeft w:val="0"/>
      <w:marRight w:val="0"/>
      <w:marTop w:val="0"/>
      <w:marBottom w:val="0"/>
      <w:divBdr>
        <w:top w:val="none" w:sz="0" w:space="0" w:color="auto"/>
        <w:left w:val="none" w:sz="0" w:space="0" w:color="auto"/>
        <w:bottom w:val="none" w:sz="0" w:space="0" w:color="auto"/>
        <w:right w:val="none" w:sz="0" w:space="0" w:color="auto"/>
      </w:divBdr>
    </w:div>
    <w:div w:id="1998917551">
      <w:bodyDiv w:val="1"/>
      <w:marLeft w:val="0"/>
      <w:marRight w:val="0"/>
      <w:marTop w:val="0"/>
      <w:marBottom w:val="0"/>
      <w:divBdr>
        <w:top w:val="none" w:sz="0" w:space="0" w:color="auto"/>
        <w:left w:val="none" w:sz="0" w:space="0" w:color="auto"/>
        <w:bottom w:val="none" w:sz="0" w:space="0" w:color="auto"/>
        <w:right w:val="none" w:sz="0" w:space="0" w:color="auto"/>
      </w:divBdr>
    </w:div>
    <w:div w:id="2021076243">
      <w:bodyDiv w:val="1"/>
      <w:marLeft w:val="0"/>
      <w:marRight w:val="0"/>
      <w:marTop w:val="0"/>
      <w:marBottom w:val="0"/>
      <w:divBdr>
        <w:top w:val="none" w:sz="0" w:space="0" w:color="auto"/>
        <w:left w:val="none" w:sz="0" w:space="0" w:color="auto"/>
        <w:bottom w:val="none" w:sz="0" w:space="0" w:color="auto"/>
        <w:right w:val="none" w:sz="0" w:space="0" w:color="auto"/>
      </w:divBdr>
    </w:div>
    <w:div w:id="2118137416">
      <w:bodyDiv w:val="1"/>
      <w:marLeft w:val="0"/>
      <w:marRight w:val="0"/>
      <w:marTop w:val="0"/>
      <w:marBottom w:val="0"/>
      <w:divBdr>
        <w:top w:val="none" w:sz="0" w:space="0" w:color="auto"/>
        <w:left w:val="none" w:sz="0" w:space="0" w:color="auto"/>
        <w:bottom w:val="none" w:sz="0" w:space="0" w:color="auto"/>
        <w:right w:val="none" w:sz="0" w:space="0" w:color="auto"/>
      </w:divBdr>
    </w:div>
    <w:div w:id="2124106036">
      <w:bodyDiv w:val="1"/>
      <w:marLeft w:val="0"/>
      <w:marRight w:val="0"/>
      <w:marTop w:val="0"/>
      <w:marBottom w:val="0"/>
      <w:divBdr>
        <w:top w:val="none" w:sz="0" w:space="0" w:color="auto"/>
        <w:left w:val="none" w:sz="0" w:space="0" w:color="auto"/>
        <w:bottom w:val="none" w:sz="0" w:space="0" w:color="auto"/>
        <w:right w:val="none" w:sz="0" w:space="0" w:color="auto"/>
      </w:divBdr>
    </w:div>
    <w:div w:id="214075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64227-4DB2-488D-ACCC-935177464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9936</Words>
  <Characters>57543</Characters>
  <Application>Microsoft Office Word</Application>
  <DocSecurity>0</DocSecurity>
  <Lines>2501</Lines>
  <Paragraphs>1927</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65552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Lander Laurenz, Isabel (Cámara de Comptos)</dc:creator>
  <cp:lastModifiedBy>Aranaz, Carlota</cp:lastModifiedBy>
  <cp:revision>3</cp:revision>
  <cp:lastPrinted>2020-09-03T08:00:00Z</cp:lastPrinted>
  <dcterms:created xsi:type="dcterms:W3CDTF">2020-09-04T10:50:00Z</dcterms:created>
  <dcterms:modified xsi:type="dcterms:W3CDTF">2020-09-04T10:50:00Z</dcterms:modified>
</cp:coreProperties>
</file>