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obra publikoetan inbertituz ekonomia suspertzeari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dezan:</w:t>
      </w:r>
    </w:p>
    <w:p>
      <w:pPr>
        <w:pStyle w:val="0"/>
        <w:suppressAutoHyphens w:val="false"/>
        <w:rPr>
          <w:rStyle w:val="1"/>
        </w:rPr>
      </w:pPr>
      <w:r>
        <w:rPr>
          <w:rStyle w:val="1"/>
        </w:rPr>
        <w:t xml:space="preserve">Nafarroako Gobernuarentzat lehentasuna al da ekonomia suspertzea obra publikoetan inbertituz? Eta hala bada, zer jarduera espezifiko egin ditu?</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