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Plan de Residuos de Navarra,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Cámara,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Plan de Residuos de Navarra vigente en su apartado 6.3.3.1.4. “Residuos no reciclables procedentes de rechazos de plantas de tratamiento de residuos domésticos y comerciales” manifiesta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«En el Plan Estatal de Residuos vigente, FEMAR 2016-2022, se indica opcionalmente la posibilidad de fijar objetivos de valorización energética hasta un máximo de un 15 %, para los rechazos procedentes de instalaciones de tratamiento de los residuos municipales y para materiales no reciclables.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Teniendo en cuenta: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 gestión que se viene realizando en Navarra, con el esfuerzo realizado por los ciudadanos en la recogida, y que ha permitido obtener altos niveles de reciclado,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las importantes medidas establecidas en este Plan para avanzar en los escalones superiores de la jerarquía, como prevención, preparación para la reutilización y reciclado avanzado, en línea con lo establecido en la Ley de Residuos y en el propio FEMAR, donde se indica que es necesario promover más activamente las opciones de gestión prioritarias de la jerarquía, que por otro lado permitirán cumplir con los objetivos de prevención y reciclado establecidos.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las auditorías realizadas en las plantas de fracción resto en Navarra ya comentadas en el apartado anterior, cuyo resultado plantea dudas respecto a la calidad de los rechazos obtenidos en las mismas para su uso mediante estas tecnologías, respecto a garantizar un uso seguro para el medio ambiente y la salud de las personas.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las aportaciones recibidas dentro del proceso de participación solicitando sustituir la valorización energética de este tipo de residuos, por la búsqueda de otras formas de valorización material, y en última instancia, por su eliminación en vertedero.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Plan no ha optado por la posibilidad indicada en el FEMAR sobre la valorización energética. 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En su lugar, además de fomentar la prevención, preparación para la reutilización y la recogida selectiva, contempla objetivos y medidas para avanzar en las alternativas de valorización de los residuos no reciclables procedentes de los rechazos de plantas de tratamiento de residuo domésticos mediante otras vías de valorización distintas a la energética, como el reciclaje y la valorización por materiales (construcción de carreteras, parques, mobiliario urbano, etcétera). De este modo, el Plan fija para 2027 un objetivo máximo de valorización material, por técnicas tradicionales y/o emergentes, de un 75 % de la generación de residuos domésticos y comerciales, destinando el 25 % restante, correspondiente a los rechazos no valorizables de las plantas de tratamiento, a eliminación en vertedero».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 se formulan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-¿Está de acuerdo el Gobierno con seguir manteniendo en el Plan de Residuos el rechazo a la posibilidad de fijar objetivos de valorización energética hasta un máximo de un 15 %, para los rechazos procedentes de instalaciones de tratamiento de los residuos municipales y para materiales no reciclables?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-En caso afirmativo, ¿mantiene el Gobierno su negativa a que los rechazos procedentes de instalaciones de tratamiento de los residuos municipales y para materiales no reciclables pudieran ser objeto de incineración en el territorio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-¿Rechaza también el Gobierno que los rechazos procedentes de instalaciones de tratamiento de los residuos municipales y para materiales no reciclables pudieran ser objeto de valoración energética fuera del territorio de Navarra, por ejemplo, en las incineradoras de Bizkaia o Gipuzkoa?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29 de septiembre de 2020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