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139. artikuluan ezarritakoa betez, agintzen dut Nafarroako Parlamentuko Aldizkari Ofizialean argitara dadin Ekonomia eta Ogasuneko Batzordeak Nafarroako Toki Ogasunei buruzko Foru Legea aldatzen duen Foru Lege proiektuari buruz onetsitako irizpena. Proiektu hori 2020ko azaroaren 16ko 126. Nafarroako Parlamentuko Aldizkari Ofizialean argitaratu zen.</w:t>
      </w:r>
    </w:p>
    <w:p>
      <w:pPr>
        <w:pStyle w:val="0"/>
        <w:suppressAutoHyphens w:val="false"/>
        <w:rPr>
          <w:rStyle w:val="1"/>
        </w:rPr>
      </w:pPr>
      <w:r>
        <w:rPr>
          <w:rStyle w:val="1"/>
        </w:rPr>
        <w:t xml:space="preserve">Aipatu irizpena dela-eta, ez da zuzenketarik mantendu, ezta boto partikularrik egin ere.</w:t>
      </w:r>
    </w:p>
    <w:p>
      <w:pPr>
        <w:pStyle w:val="0"/>
        <w:suppressAutoHyphens w:val="false"/>
        <w:rPr>
          <w:rStyle w:val="1"/>
        </w:rPr>
      </w:pPr>
      <w:r>
        <w:rPr>
          <w:rStyle w:val="1"/>
        </w:rPr>
        <w:t xml:space="preserve">Iruñean, 2020ko abenduaren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b w:val="true"/>
          <w:sz w:val="24"/>
          <w:w w:val="110.001"/>
          <w:rFonts w:ascii="Times New Roman" w:cs="Times New Roman" w:eastAsia="Times New Roman" w:hAnsi="Times New Roman"/>
        </w:rPr>
      </w:pPr>
      <w:r>
        <w:rPr>
          <w:rStyle w:val="1"/>
        </w:rPr>
        <w:t xml:space="preserve">Ekonomia eta Ogasuneko Batzordeak 2020ko abenduaren 18an eta 21ean egindako bileran onetsia.</w:t>
      </w:r>
      <w:r>
        <w:rPr>
          <w:b w:val="true"/>
          <w:sz w:val="24"/>
          <w:w w:val="110.001"/>
          <w:rFonts w:ascii="Times New Roman" w:cs="Times New Roman" w:eastAsia="Times New Roman" w:hAnsi="Times New Roman"/>
        </w:rPr>
      </w:r>
    </w:p>
    <w:p>
      <w:pPr>
        <w:pStyle w:val="2"/>
        <w:suppressAutoHyphens w:val="false"/>
        <w:rPr/>
      </w:pPr>
      <w:r>
        <w:rPr/>
        <w:t xml:space="preserve">Foru Lege proiektua,</w:t>
        <w:br w:type="textWrapping"/>
        <w:t xml:space="preserve">Nafarroako Toki Ogasunei buruzko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Komunitateak, Konstituzioaren lehen xedapen gehigarrian xedatutakoaz baliatuz, aski eskumen-gaikuntza du bere toki ogasunei dagokiena arautzeko, eta arlo horretan araubide historikoa, bereki eta espezifikoa izan du.</w:t>
      </w:r>
    </w:p>
    <w:p>
      <w:pPr>
        <w:pStyle w:val="0"/>
        <w:suppressAutoHyphens w:val="false"/>
        <w:rPr>
          <w:rStyle w:val="1"/>
        </w:rPr>
      </w:pPr>
      <w:r>
        <w:rPr>
          <w:rStyle w:val="1"/>
        </w:rPr>
        <w:t xml:space="preserve">Gaikuntza hori Nafarroako Foru Eraentza Berrezarri eta Hobetzeari buruzko Lege Organikoaren 46.1 artikuluan zehaztuta dago, Nafarroari esleitzen baitizkio “gaur egun (lege organikoak indarra hartzean) dituen ahalmen eta eskumenak, 1841eko abuztuaren 16ko Lege Itunduan, 1925eko azaroaren 4ko Errege Lege-dekretu Itunduan eta beren xedapen osagarrietan erabakitakoaren babesean, bai eta aurrekoekin bateragarriak izan eta Estatuko oinarrizko legeriaren arabera autonomia erkidegoei edo probintziei dagozkiekeenak ere”.</w:t>
      </w:r>
    </w:p>
    <w:p>
      <w:pPr>
        <w:pStyle w:val="0"/>
        <w:suppressAutoHyphens w:val="false"/>
        <w:rPr>
          <w:rStyle w:val="1"/>
        </w:rPr>
      </w:pPr>
      <w:r>
        <w:rPr>
          <w:rStyle w:val="1"/>
        </w:rPr>
        <w:t xml:space="preserve">Toki Araubidearen Oinarriak arautzen dituen apirilaren 2ko 7/1985 Legearen hirugarren xedapen gehigarriak berak ezartzen duenez, lege horrek aginduko du Nafarroan, arlo horretan Nafarroako Foru Eraentza Berrezarri eta Hobetzeari buruzko abuztuaren 10eko 13/1982 Lege Organikoaren 46. artikuluak Nafarroako toki administraziorako ezartzen duen araubidearen kontrakoak ez diren gaietan.</w:t>
      </w:r>
    </w:p>
    <w:p>
      <w:pPr>
        <w:pStyle w:val="0"/>
        <w:suppressAutoHyphens w:val="false"/>
        <w:rPr>
          <w:rStyle w:val="1"/>
        </w:rPr>
      </w:pPr>
      <w:r>
        <w:rPr>
          <w:rStyle w:val="1"/>
        </w:rPr>
        <w:t xml:space="preserve">Aurrekontu Egonkortasunari eta Finantza Jasangarritasunari buruzko apirilaren 27ko 2/2012 Lege Organikoaren azken xedapenetako hirugarrenaren lehen apartatuak ezartzen duenez, Nafarroako Foru Komunitatean, bere foru araubidea dela-eta, lege horretan xedatutakoa aplikatuko da, Nafarroako Foru Eraentza Berrezarri eta Hobetzeari buruzko Legearen 64. artikuluan ezarritakoari jarraikiz, Estatuaren eta Nafarroako Foru Komunitatearen arteko Hitzarmen Ekonomikoan xedatutakoarekin bat.</w:t>
      </w:r>
    </w:p>
    <w:p>
      <w:pPr>
        <w:pStyle w:val="0"/>
        <w:suppressAutoHyphens w:val="false"/>
        <w:rPr>
          <w:rStyle w:val="1"/>
        </w:rPr>
      </w:pPr>
      <w:r>
        <w:rPr>
          <w:rStyle w:val="1"/>
        </w:rPr>
        <w:t xml:space="preserve">Aurrekontu Egonkortasunari eta Finantza Jasangarritasunari buruzko apirilaren 27ko 2/2012 Lege Organikoan aurreikusitako informazioa emateko betebeharrak garatzen dituen urriaren 1eko HAP/2105/2012 Aginduaren xedapen gehigarri bakarrean xedatzen da ezen hura Nafarroako Foru Komunitatean eta Euskal Autonomia Erkidegoan aplikatuko dela, betiere apirilaren 27ko 2/2012 Lege Organikoaren azken xedapenetako hirugarrenean xedatutakoarekin bat.</w:t>
      </w:r>
    </w:p>
    <w:p>
      <w:pPr>
        <w:pStyle w:val="0"/>
        <w:suppressAutoHyphens w:val="false"/>
        <w:rPr>
          <w:rStyle w:val="1"/>
        </w:rPr>
      </w:pPr>
      <w:r>
        <w:rPr>
          <w:rStyle w:val="1"/>
        </w:rPr>
        <w:t xml:space="preserve">Era berean, Estatuaren eta Nafarroaren arteko Hitzarmen Ekonomikoak, 1990eko uztailaren 31n izenpetutakoak (abenduaren 26ko 28/1990 Legea), zazpigarren xedapen gehigarrian ezartzen du Foru Komunitateari dagozkiola Estatuak toki entitateetan betetzen dituen finantza arloko tutoretza ahalmenak, Aurrekontu Egonkortasunari buruz orduan indarra zuen abenduaren 12ko 18/2001 Lege Orokorraren aplikazioarekin lotuta; horrek ez du esan nahi inola ere Nafarroako toki entitateen autonomia maila araubide erkidekoek dutena baino apalagoa izatea.</w:t>
      </w:r>
    </w:p>
    <w:p>
      <w:pPr>
        <w:pStyle w:val="0"/>
        <w:suppressAutoHyphens w:val="false"/>
        <w:rPr>
          <w:rStyle w:val="1"/>
        </w:rPr>
      </w:pPr>
      <w:r>
        <w:rPr>
          <w:rStyle w:val="1"/>
        </w:rPr>
        <w:t xml:space="preserve">Hitzarmen Ekonomikoaren 48. artikuluak ezartzen du, halaber, printzipio orokor gisa, Foru Komunitateari dagozkiola toki ogasunen arloan dituen ahalmenak eta eskumenak, 1841eko abuztuaren 16ko Lege Itunduan, 1925eko azaroaren 4ko Errege Lege-dekretu Itunduan eta gainerako xedapen osagarrietan erabakitakoaren babesean.</w:t>
      </w:r>
    </w:p>
    <w:p>
      <w:pPr>
        <w:pStyle w:val="0"/>
        <w:suppressAutoHyphens w:val="false"/>
        <w:rPr>
          <w:rStyle w:val="1"/>
        </w:rPr>
      </w:pPr>
      <w:r>
        <w:rPr>
          <w:rStyle w:val="1"/>
        </w:rPr>
        <w:t xml:space="preserve">Foru lege proiektu honek zenbait aldaketa egiten ditu Nafarroako Toki Ogasunei buruzko martxoaren 10eko 2/1995 Foru Legean, hala toki entitateen aurrekontu eta barne kontrolaren esparruari nola toki tributuen esparruari dagokionez, toki ogasunen arloan Nafarroak duen eskumen historikoaz baliatuz.</w:t>
      </w:r>
    </w:p>
    <w:p>
      <w:pPr>
        <w:pStyle w:val="0"/>
        <w:suppressAutoHyphens w:val="false"/>
        <w:rPr>
          <w:rStyle w:val="1"/>
        </w:rPr>
      </w:pPr>
      <w:r>
        <w:rPr>
          <w:rStyle w:val="1"/>
        </w:rPr>
        <w:t xml:space="preserve">Horrela, 13. artikuluko 5. apartatua aldatzen da berariaz gehitzeko, Nafarroako Toki Administrazioari buruzko uztailaren 2ko 6/1990 Foru Legean aurreikusi bezala, ordenantza fiskalek indarra hartuko dutela onetsi eta hurrengo ekitaldian, salbu eta ordenantzetan bertan beste data bat adierazten bada, indarra har dezaten argitaratzearekin batera edo argitara eman ondoren.</w:t>
      </w:r>
    </w:p>
    <w:p>
      <w:pPr>
        <w:pStyle w:val="0"/>
        <w:suppressAutoHyphens w:val="false"/>
        <w:rPr>
          <w:rStyle w:val="1"/>
        </w:rPr>
      </w:pPr>
      <w:r>
        <w:rPr>
          <w:rStyle w:val="1"/>
        </w:rPr>
        <w:t xml:space="preserve">Aurrekontuaren eta gastu publikoaren arloan, aurrekontuaren likidazioa egiteko aurreikusitako data aldatzen da, martxoaren 1etik 31ra, onesteko denbora emateko.</w:t>
      </w:r>
    </w:p>
    <w:p>
      <w:pPr>
        <w:pStyle w:val="0"/>
        <w:suppressAutoHyphens w:val="false"/>
        <w:rPr>
          <w:rStyle w:val="1"/>
        </w:rPr>
      </w:pPr>
      <w:r>
        <w:rPr>
          <w:rStyle w:val="1"/>
        </w:rPr>
        <w:t xml:space="preserve">Horrenbestez, aurrerantzean toki entitateko buruak apirilaren 30ean aurkeztu beharko ditu toki entitateko egoera-orriak eta kontuak, bi aurkezpenak egun berberetan ez egiteko.</w:t>
      </w:r>
    </w:p>
    <w:p>
      <w:pPr>
        <w:pStyle w:val="0"/>
        <w:suppressAutoHyphens w:val="false"/>
        <w:rPr>
          <w:rStyle w:val="1"/>
        </w:rPr>
      </w:pPr>
      <w:r>
        <w:rPr>
          <w:rStyle w:val="1"/>
        </w:rPr>
        <w:t xml:space="preserve">Horrekin batera, desagertzen da ordainagiri bidez ordainarazitako tributu-zorrak edo ordezkoek atxikipenarengatik ordaindu behar dituztenak geroratzeko ezintasuna, horrela toki entitateek aukera izan dezaten zailtasun ekonomikoak dituzten subjektu pasiboei tributu horiek ordaintzen laguntzeko eskaera gero eta ohikoagoari erantzuteko; behar hori oso agerian geratu da egun bizi dugun osasun eta ekonomia krisialdiaren hasieratik.</w:t>
      </w:r>
    </w:p>
    <w:p>
      <w:pPr>
        <w:pStyle w:val="0"/>
        <w:suppressAutoHyphens w:val="false"/>
        <w:rPr>
          <w:rStyle w:val="1"/>
        </w:rPr>
      </w:pPr>
      <w:r>
        <w:rPr>
          <w:rStyle w:val="1"/>
        </w:rPr>
        <w:t xml:space="preserve">Orobat aurreikusten da kreditu transferentziak onartzeko xedearekin toki entitateek hartzen dituzten erabakiak, hondamendi publikoaren edo antzeko kasuetan, betearazleak izanen direla berehala, ukatu gabe haien kontra erreklamazioak sustatzeko aukera, zeinak aurkeztu eta hurrengo zortzi eguneko epean bideratu beharko baitira, eta ezetsitzat hartu erreklamazioaren egileari ebazpenik ez bazaio jakinarazten epe horretan.</w:t>
      </w:r>
    </w:p>
    <w:p>
      <w:pPr>
        <w:pStyle w:val="0"/>
        <w:suppressAutoHyphens w:val="false"/>
        <w:rPr>
          <w:rStyle w:val="1"/>
        </w:rPr>
      </w:pPr>
      <w:r>
        <w:rPr>
          <w:rStyle w:val="1"/>
        </w:rPr>
        <w:t xml:space="preserve">Honekin aintzat hartzen da toki entitatek askok egindako eskaera bat, garrantzi berezia duena egungo egoeran, osasun eta ekonomia krisian, lehen aipatu bezala, bide hau araudian aurreikusirik baitzegoen soilik aparteko kredituak eta kreditu-gehigarriak emateko.</w:t>
      </w:r>
    </w:p>
    <w:p>
      <w:pPr>
        <w:pStyle w:val="0"/>
        <w:suppressAutoHyphens w:val="false"/>
        <w:rPr>
          <w:rStyle w:val="1"/>
        </w:rPr>
      </w:pPr>
      <w:r>
        <w:rPr>
          <w:rStyle w:val="1"/>
        </w:rPr>
        <w:t xml:space="preserve">Toki entitateei aurrekontu eta ekonomia kudeaketaren arloko tresna malguak ematea ere beharrezkotzat jotzen da, horien bidez aurreratu ahal izan dezaten gastu espedienteen tramitazio administratiboa, aurrekontuan behar den kreditu erabilgarria egon dadin behar diren erabakiak hartzen diren bitartean, dela ekitaldi bererako dela aurrekontu-egozpena egiten den ekitaldi bererako dela aurreko ekitaldirako.</w:t>
      </w:r>
    </w:p>
    <w:p>
      <w:pPr>
        <w:pStyle w:val="0"/>
        <w:suppressAutoHyphens w:val="false"/>
        <w:rPr>
          <w:rStyle w:val="1"/>
        </w:rPr>
      </w:pPr>
      <w:r>
        <w:rPr>
          <w:rStyle w:val="1"/>
        </w:rPr>
        <w:t xml:space="preserve">Aukera horretan mota guztietako gastuak sartzen direnez, aurreikusten da kontrataziorako baldintza-agirietan, administrazio klausula partikularretako baldintzetan, dirulaguntzen deialdietan edo, gastuaren izaeraren arabera, beharrezkoak diren agirietan berariaz jasoko dela prebentzio hau: gastua, zeinaren tramitazioa aurreratzen ari baita, edo, kasua bada, baita adjudikazioa edo ebazpena ere, etenda egonen dela kasuan kasuko betebeharrak dagokion ekitaldian finantzatzeko kreditu egokia eta nahikoa izan arte.</w:t>
      </w:r>
    </w:p>
    <w:p>
      <w:pPr>
        <w:pStyle w:val="0"/>
        <w:suppressAutoHyphens w:val="false"/>
        <w:rPr>
          <w:rStyle w:val="1"/>
        </w:rPr>
      </w:pPr>
      <w:r>
        <w:rPr>
          <w:rStyle w:val="1"/>
        </w:rPr>
        <w:t xml:space="preserve">Dagokion kreditua egoteko behar den finantzaketa honako hauei loturik egoten ahalko da, osorik edo zati batean: baliabide berekiak, mailegu bat, kreditu bat, transferentzia bat edo beste entitate publiko edo pribatu baten ekarpena edo dirulaguntza, adibide batzuk aipatzearren.</w:t>
      </w:r>
    </w:p>
    <w:p>
      <w:pPr>
        <w:pStyle w:val="0"/>
        <w:suppressAutoHyphens w:val="false"/>
        <w:rPr>
          <w:rStyle w:val="1"/>
        </w:rPr>
      </w:pPr>
      <w:r>
        <w:rPr>
          <w:rStyle w:val="1"/>
        </w:rPr>
        <w:t xml:space="preserve">Horrela, toki entitateei ahalbidetzen zaie kreditua izan aurretik tramitatzea, besteak beste, kontratazio espedienteak, hurrengo ekitaldirako ez eze (Kontratu Publikoei buruzko egungo 2/2018 Foru Legean aurreikusi bezala), uneko ekitaldirako ere bai.</w:t>
      </w:r>
    </w:p>
    <w:p>
      <w:pPr>
        <w:pStyle w:val="0"/>
        <w:suppressAutoHyphens w:val="false"/>
        <w:rPr>
          <w:rStyle w:val="1"/>
        </w:rPr>
      </w:pPr>
      <w:r>
        <w:rPr>
          <w:rStyle w:val="1"/>
        </w:rPr>
        <w:t xml:space="preserve">Bestalde, Nafarroako toki entitateen aurrekontu egitura onesten duen 234/2015 Foru Dekretuan jasotako terminologiara ekartzen da foru legekoa, terminoak eguneratu eta harmonizatu baitzituen, halako moduan non “aurrekontuko partida” kontzeptua “aurrekontu aplikazioa” izanen baita hemendik aurrera, eta programen eta haien banaketaren araberako sailkapen berriak lehengo sailkapen funtzionala ordeztuko baitu.</w:t>
      </w:r>
    </w:p>
    <w:p>
      <w:pPr>
        <w:pStyle w:val="0"/>
        <w:suppressAutoHyphens w:val="false"/>
        <w:rPr>
          <w:rStyle w:val="1"/>
        </w:rPr>
      </w:pPr>
      <w:r>
        <w:rPr>
          <w:rStyle w:val="1"/>
        </w:rPr>
        <w:t xml:space="preserve">Orobat, zenbait aldaketa proposatzen dira aurrekontu aldaketei dagokienez, toki entitateen aurrekontu kudeaketa arinagoa izan dadin.</w:t>
      </w:r>
    </w:p>
    <w:p>
      <w:pPr>
        <w:pStyle w:val="0"/>
        <w:suppressAutoHyphens w:val="false"/>
        <w:rPr>
          <w:rStyle w:val="1"/>
        </w:rPr>
      </w:pPr>
      <w:r>
        <w:rPr>
          <w:rStyle w:val="1"/>
        </w:rPr>
        <w:t xml:space="preserve">Izan ere, aurreikusten da osoko bilkurak onetsi ahal izanen dituela aparteko kredituak edo kreditu-gehigarriak, egiaz erabilgarriak diren baliabide atxikiekin finantzatuak, aurrekontuaren likidazioaren onespenaren zain egon gabe; gauza bera aurreikusten da aurreko ekitaldian gastatu gabeko kredituak sartzeko ere.</w:t>
      </w:r>
    </w:p>
    <w:p>
      <w:pPr>
        <w:pStyle w:val="0"/>
        <w:suppressAutoHyphens w:val="false"/>
        <w:rPr>
          <w:rStyle w:val="1"/>
        </w:rPr>
      </w:pPr>
      <w:r>
        <w:rPr>
          <w:rStyle w:val="1"/>
        </w:rPr>
        <w:t xml:space="preserve">Bi kasuetan nahitaezkoa izanen da kontu-hartzailetzak txostena egitea egiazko finantzaketa erabilgarriari buruz. Hartara, exekuzioaldian dauden espedienteen aurrekontu arloko kudeaketa arintzen da diru-sarrera atxiki erabilgarriekin, aurrekontuaren likidazioa onetsi arte.</w:t>
      </w:r>
    </w:p>
    <w:p>
      <w:pPr>
        <w:pStyle w:val="0"/>
        <w:suppressAutoHyphens w:val="false"/>
        <w:rPr>
          <w:rStyle w:val="1"/>
        </w:rPr>
      </w:pPr>
      <w:r>
        <w:rPr>
          <w:rStyle w:val="1"/>
        </w:rPr>
        <w:t xml:space="preserve">Era berean, aurreikusirik dago osoko bilkurak jasotzea exekuzio oinarrietan (toki entitatearen aurrekontuarekin batera onesten direnak) tresna bat, aurrekontuaren onespenerako erabiltzen denaren parekoa baino arinagoa, organo horren eskumenekoak diren aurrekontu aldaketak tramitatu eta indarrean jartzeko.</w:t>
      </w:r>
    </w:p>
    <w:p>
      <w:pPr>
        <w:pStyle w:val="0"/>
        <w:suppressAutoHyphens w:val="false"/>
        <w:rPr>
          <w:rStyle w:val="1"/>
        </w:rPr>
      </w:pPr>
      <w:r>
        <w:rPr>
          <w:rStyle w:val="1"/>
        </w:rPr>
        <w:t xml:space="preserve">Aldaketa horien xede nagusia da lehenbailehen tramitatzea, hurrengo ekitaldira arte atzeratu ezin diren gastuak exekutatzeko, hala egin ezean hurrengo ekitaldian sartuko liratekeelako eta ez indarreko aurrekontu-ekitaldian.</w:t>
      </w:r>
    </w:p>
    <w:p>
      <w:pPr>
        <w:pStyle w:val="0"/>
        <w:suppressAutoHyphens w:val="false"/>
        <w:rPr>
          <w:rStyle w:val="1"/>
        </w:rPr>
      </w:pPr>
      <w:r>
        <w:rPr>
          <w:rStyle w:val="1"/>
        </w:rPr>
        <w:t xml:space="preserve">Horrenbestez, aldaketaren beraren izaera eta justifikazioarekin bat, tramitazioak helburuetarako egokia izan behar du, hau da, gastua uneko ekitaldian exekutatzea.</w:t>
      </w:r>
    </w:p>
    <w:p>
      <w:pPr>
        <w:pStyle w:val="0"/>
        <w:suppressAutoHyphens w:val="false"/>
        <w:rPr>
          <w:rStyle w:val="1"/>
        </w:rPr>
      </w:pPr>
      <w:r>
        <w:rPr>
          <w:rStyle w:val="1"/>
        </w:rPr>
        <w:t xml:space="preserve">Hori dela eta, gerta daiteke, aurrekontu aldaketak egiteko eta aurrekontua bera onesteko tramite berdinak eskatuz gero, ezinezkoa bihurtzea egin nahi den aldaketa uneko aurrekontu ekitaldian gauzatzea.</w:t>
      </w:r>
    </w:p>
    <w:p>
      <w:pPr>
        <w:pStyle w:val="0"/>
        <w:suppressAutoHyphens w:val="false"/>
        <w:rPr>
          <w:rStyle w:val="1"/>
        </w:rPr>
      </w:pPr>
      <w:r>
        <w:rPr>
          <w:rStyle w:val="1"/>
        </w:rPr>
        <w:t xml:space="preserve">Horri gehitu beharra zaio, aldaketen eduki materialari dagokionez, ez dagoela alde nabarmenik beste batzuekin alderatuta, esate baterako diru-sarreren bidezko kredituak sortzearekin, zeinaren tramitazioa exekuzio oinarrietan jaso bezala egiten baita, betiere baldintzak betez gero: egiaz lortu behar dira zergaz besteko diru-sarrera berriak, aparteko kredituetarako eta kreditu-gehigarrietarako aurreikusitakoen antzekoak, eta, uneko ekitaldian gastatzea lortu ezean, diruzaintzako gerakinean sartuko dira, aparteko kredituak edo kreditu-gehigarriak emateko espedienteak tramitatzea ahalbidetuz, bestelako tramitazioa baitute.</w:t>
      </w:r>
    </w:p>
    <w:p>
      <w:pPr>
        <w:pStyle w:val="0"/>
        <w:suppressAutoHyphens w:val="false"/>
        <w:rPr>
          <w:rStyle w:val="1"/>
        </w:rPr>
      </w:pPr>
      <w:r>
        <w:rPr>
          <w:rStyle w:val="1"/>
        </w:rPr>
        <w:t xml:space="preserve">Horregatik, Administrazio Publikoen Administrazio Prozedura Erkideari buruzko urriaren 1eko 39/2015 Legearen 1.2 artikuluan ezarritakoarekin bat, beharrezkoa da 2/1995 Foru Legeak ahalbidetzea toki entitatearen aurrekontuaren exekuzio oinarrietan (aurrekontuarekin batera onesten direnak eta, hortaz, aurrekontuaren beraren tramite eta betebehar berdinak dituztenak) aurreikusi ahal izatea aparteko kredituak, kreditu-gehigarriak eta antzekoak emateko espedienteak jendaurrean jartzea iragarki-taulan argitaratuz, osoko bilkurak hasiera batean onetsi ondoren; hala egitea eraginkorra, proportzionatua eta beharrezkoa da arestian aipatutako helburuak betetzeko.</w:t>
      </w:r>
    </w:p>
    <w:p>
      <w:pPr>
        <w:pStyle w:val="0"/>
        <w:suppressAutoHyphens w:val="false"/>
        <w:rPr>
          <w:rStyle w:val="1"/>
        </w:rPr>
      </w:pPr>
      <w:r>
        <w:rPr>
          <w:rStyle w:val="1"/>
        </w:rPr>
        <w:t xml:space="preserve">Epe horretan erreklamazioak edo alegazioak aurkezten ahalko dira, eta erabakia behin betiko onetsirik dagoela ulertuko da jendaurrean egoteko epea halakorik egin gabe iragan ondoren. Erreklamazioak edo alegazioak aurkeztuz gero, osoko bilkurak berariaz erabaki beharko du horien ebazpenaz eta proposatutako aldaketaren behin betiko onespenaz, zeinak indarra hartuko baitu behin betiko testua toki entitatearen iragarki-taulan argitaratu ondoren.</w:t>
      </w:r>
    </w:p>
    <w:p>
      <w:pPr>
        <w:pStyle w:val="0"/>
        <w:suppressAutoHyphens w:val="false"/>
        <w:rPr>
          <w:rStyle w:val="1"/>
        </w:rPr>
      </w:pPr>
      <w:r>
        <w:rPr>
          <w:rStyle w:val="1"/>
        </w:rPr>
        <w:t xml:space="preserve">Kontuan hartu behar da komunikazioaren teknologia berrien garapenari eta administrazio publikoen eta administrazio elektronikoaren kudeaketan gardentasunari buruzko araudiaren aplikazioari esker, toki entitate guztiek, gehiago edo gutxiago, bitartekoak dituztela publizitatea eta informazioa bermatzeko, Toki Ogasunei buruzko Foru Legea onartu zen garaian (1995ean) zeudenak baino arinagoak eta bestelakoak, web atariak eta egoitza elektronikoak, kasu.</w:t>
      </w:r>
    </w:p>
    <w:p>
      <w:pPr>
        <w:pStyle w:val="0"/>
        <w:suppressAutoHyphens w:val="false"/>
        <w:rPr>
          <w:rStyle w:val="1"/>
        </w:rPr>
      </w:pPr>
      <w:r>
        <w:rPr>
          <w:rStyle w:val="1"/>
        </w:rPr>
        <w:t xml:space="preserve">Berme erantsi gisa aurreikusten da exekuzio oinarrietan halako aurreikuspenik ez dagoen kasurako, osoko bilkurak tramitatu eta onetsiko dituela espedienteak aurrekontuetarako bete behar diren tramite eta betebehar berdinekin (informazioa, erreklamazioa eta publizitatea).</w:t>
      </w:r>
    </w:p>
    <w:p>
      <w:pPr>
        <w:pStyle w:val="0"/>
        <w:suppressAutoHyphens w:val="false"/>
        <w:rPr>
          <w:rStyle w:val="1"/>
        </w:rPr>
      </w:pPr>
      <w:r>
        <w:rPr>
          <w:rStyle w:val="1"/>
        </w:rPr>
        <w:t xml:space="preserve">Bestalde, aurrekontu egonkortasunaren eta finantza jasangarritasunaren helburuei dagokienez, horiek betetzeko beharrezkoak diren elementu eta bitarteko batzuk ezartzen dira.</w:t>
      </w:r>
    </w:p>
    <w:p>
      <w:pPr>
        <w:pStyle w:val="0"/>
        <w:suppressAutoHyphens w:val="false"/>
        <w:rPr>
          <w:rStyle w:val="1"/>
        </w:rPr>
      </w:pPr>
      <w:r>
        <w:rPr>
          <w:rStyle w:val="1"/>
        </w:rPr>
        <w:t xml:space="preserve">Horretarako, Bizkaiko, Arabako eta Gipuzkoako lurralde historikoetako toki entitateetarako foru arauen bidez arautu den bezala, kasu honetan ere, Nafarroako Foru Komunitateak toki ogasunen arloan duen eskumen historikoaz baliatuz, foru araudia egokitu beharra dago gure toki entitateei arau tresna batzuk emateko, batetik, aurrekontu egonkortasunaren eta finantza jasangarritasunaren helburuak betetzeko behar direnak, eta bestetik, horiek erabiliz, azkar eta eraginkortasunez erantzun diezaieten bizi dugun osasun eta ekonomia krisiak ekarri dituen beharrei, kontuan hartuta toki entitateak direla herritarrengandik gertuen dauden administrazio publikoak.</w:t>
      </w:r>
    </w:p>
    <w:p>
      <w:pPr>
        <w:pStyle w:val="0"/>
        <w:suppressAutoHyphens w:val="false"/>
        <w:rPr>
          <w:rStyle w:val="1"/>
        </w:rPr>
      </w:pPr>
      <w:r>
        <w:rPr>
          <w:rStyle w:val="1"/>
        </w:rPr>
        <w:t xml:space="preserve">Horrela, gainera, Nafarroako Kontuen Ganberaren gomendioa betetzen da; izan ere, toki sektore publikoari buruz 2018an egindako urteko txostenean gomendio hau jasotzen du: “araudia eta prozedurak ezartzea Foru Administrazioak bete behar duen finantza tutoretzarako, Aurrekontu Egonkortasunari eta Finantza Iraunkortasunari buruzko apirilaren 27ko 2/2012 Lege Organikoa Foru Komunitateko toki entitateei aplikatzeari dagokionez”.</w:t>
      </w:r>
    </w:p>
    <w:p>
      <w:pPr>
        <w:pStyle w:val="0"/>
        <w:suppressAutoHyphens w:val="false"/>
        <w:rPr>
          <w:rStyle w:val="1"/>
        </w:rPr>
      </w:pPr>
      <w:r>
        <w:rPr>
          <w:rStyle w:val="1"/>
        </w:rPr>
        <w:t xml:space="preserve">Nafarroako toki entitateek hitzartu ditzaketen kreditu eragiketen gaineko indarreko arautzeari dagokionez –Toki Ogasunei buruzko Foru Legearen 125. artikulutik 131. artikulura bitarte jasotakoa–, esan behar da zaharkitua gelditu dela indarra hartu zutenetik aipatutako legeak, hots, Aurrekontu Egonkortasunari eta Finantza Iraunkortasunari buruzko apirilaren 27ko 2/2012 Lege Organikoak, eta toki mailako zorpetzearen eta haren baimen araubidearen arloan emandako arauek.</w:t>
      </w:r>
    </w:p>
    <w:p>
      <w:pPr>
        <w:pStyle w:val="0"/>
        <w:suppressAutoHyphens w:val="false"/>
        <w:rPr>
          <w:rStyle w:val="1"/>
        </w:rPr>
      </w:pPr>
      <w:r>
        <w:rPr>
          <w:rStyle w:val="1"/>
        </w:rPr>
        <w:t xml:space="preserve">Horrenbestez, arlo honetako foru araudia eguneratu behar da, batetik, finantza zuhurtasunaren printzipioa gehitzeko, eta, bestetik, epe luzeko kreditu eragiketak baimentzeko araubidea eguneratzeko, estatuko araudian indarra duen araubidea aplikatuz.</w:t>
      </w:r>
    </w:p>
    <w:p>
      <w:pPr>
        <w:pStyle w:val="0"/>
        <w:suppressAutoHyphens w:val="false"/>
        <w:rPr>
          <w:rStyle w:val="1"/>
        </w:rPr>
      </w:pPr>
      <w:r>
        <w:rPr>
          <w:rStyle w:val="1"/>
        </w:rPr>
        <w:t xml:space="preserve">Epe luzeko kreditu eragiketak baimentzearen arloan, 2013rako Estatuko Aurrekontu Orokorrei buruzko abenduaren 27ko 17/2012 Legearen azken xedapenetako hogeita hamaikagarrenak aldatu zuen Defizit publikoa zuzentzeko presako neurriak, aurrekontuen, tributuen eta finantzen arlokoak arautzen dituen abenduaren 30eko 20/2011 Errege Lege-dekretuaren hamalaugarren xedapen gehigarriaren testua, eta mugagabeko indarra eman zion.</w:t>
      </w:r>
    </w:p>
    <w:p>
      <w:pPr>
        <w:pStyle w:val="0"/>
        <w:suppressAutoHyphens w:val="false"/>
        <w:rPr>
          <w:rStyle w:val="1"/>
        </w:rPr>
      </w:pPr>
      <w:r>
        <w:rPr>
          <w:rStyle w:val="1"/>
        </w:rPr>
        <w:t xml:space="preserve">Horren ondorioz, Toki Ogasunei buruzko Foru Legea egokitzen da araudi orokor aplikagarrian xedatutakora, Nafarroako toki entitateen onerako.</w:t>
      </w:r>
    </w:p>
    <w:p>
      <w:pPr>
        <w:pStyle w:val="0"/>
        <w:suppressAutoHyphens w:val="false"/>
        <w:rPr>
          <w:rStyle w:val="1"/>
        </w:rPr>
      </w:pPr>
      <w:r>
        <w:rPr>
          <w:rStyle w:val="1"/>
        </w:rPr>
        <w:t xml:space="preserve">Azkenik, barne kontrolaren arloan, 248. artikuluaren 2. apartatua aldatu behar da, Nafarroako edozein toki entitatek, ez bakarrik Iruñeko Udalak, aukera izan dezan ezartzeko aldez aurreko fiskalizazio eta kontu-hartze mugatuko araubidea, oinarrizko baldintza batzuk dituena, oro har eta udalerri guztientzat aurreikusita dagoena, zein den ere biztanle kopurua, Toki Ogasunak arautzen dituen Legearen testu bategina onetsi zuen martxoaren 5eko 2/2004 Legegintzako Errege Dekretuaren 219.2 artikuluan.</w:t>
      </w:r>
    </w:p>
    <w:p>
      <w:pPr>
        <w:pStyle w:val="0"/>
        <w:suppressAutoHyphens w:val="false"/>
        <w:rPr>
          <w:rStyle w:val="1"/>
        </w:rPr>
      </w:pPr>
      <w:r>
        <w:rPr>
          <w:rStyle w:val="1"/>
        </w:rPr>
        <w:t xml:space="preserve">Horretarako, ezabatu beharra dago 50.000 biztanletik gorako kopuruaren aipamena, hartara Nafarroako toki entitate guztiek erabaki ahal izan dezaten aldez aurreko kontu-hartzea mugatzea agindu horren a), b) eta c) letretan aipatzen diren gaiak egiaztatzera soilik, betiere toki entitateko buruak proposatuta eta kontu-hartzailetzako organoak txostena egin ondoren.</w:t>
      </w:r>
    </w:p>
    <w:p>
      <w:pPr>
        <w:pStyle w:val="0"/>
        <w:suppressAutoHyphens w:val="false"/>
        <w:rPr>
          <w:rStyle w:val="1"/>
        </w:rPr>
      </w:pPr>
      <w:r>
        <w:rPr>
          <w:rStyle w:val="1"/>
        </w:rPr>
        <w:t xml:space="preserve">Estatuan bezala, Nafarroan ere ahalbidetu behar da toki entitate txikietan barne kontrol erraztuko araubide bat ezartzea, lege gaikuntza nahikoa emanez Nafarroako Gobernuak berak erregelamenduz ezar dezan zein kasutan erabil dezaketen toki entitateek araubide hori eta zein diren haren ezaugarriak.</w:t>
      </w:r>
    </w:p>
    <w:p>
      <w:pPr>
        <w:pStyle w:val="0"/>
        <w:suppressAutoHyphens w:val="false"/>
        <w:rPr>
          <w:rStyle w:val="1"/>
        </w:rPr>
      </w:pPr>
      <w:r>
        <w:rPr>
          <w:rStyle w:val="1"/>
        </w:rPr>
        <w:t xml:space="preserve">Toki tributuen arautzeari dagokionez, toki jabari publikoaren erabilera pribatiboagatik edo aprobetxamendu bereziagatik aurreikusirik dauden tasen zenbatekoari dagokion araudia egokitu behar da merkatuaren errealitate berrira, bai interes orokorreko hornigaien kasuan bai populazio osoari edo zati garrantzitsu bati eragiten dioten hornigaien kasuan, energia hornidurarenean, nagusiki.</w:t>
      </w:r>
    </w:p>
    <w:p>
      <w:pPr>
        <w:pStyle w:val="0"/>
        <w:suppressAutoHyphens w:val="false"/>
        <w:rPr>
          <w:rStyle w:val="1"/>
        </w:rPr>
      </w:pPr>
      <w:r>
        <w:rPr>
          <w:rStyle w:val="1"/>
        </w:rPr>
        <w:t xml:space="preserve">Merkatuko errealitate berri horrek alde batera uzten du eremu geografiko bakoitzeko hornitzaile bakarraren sistema zaharra, eta bereizten ditu, alde batetik, hornikuntzarako beharrezkoak diren sareen titular diren enpresa banatzaileak eta, bestetik, hornigaiak merkatuko lehiaren araubidean merkaturatzen dituzten enpresak.</w:t>
      </w:r>
    </w:p>
    <w:p>
      <w:pPr>
        <w:pStyle w:val="0"/>
        <w:suppressAutoHyphens w:val="false"/>
        <w:rPr>
          <w:rStyle w:val="1"/>
        </w:rPr>
      </w:pPr>
      <w:r>
        <w:rPr>
          <w:rStyle w:val="1"/>
        </w:rPr>
        <w:t xml:space="preserve">Bi enpresa mota horiek aurreikusten dute ordainketa sistema bat banaketa sareen erabileragatik, kasu eta tributazio zehatzekin, eta hori guztia jaso behar da araudi aplikagarrian.</w:t>
      </w:r>
    </w:p>
    <w:p>
      <w:pPr>
        <w:pStyle w:val="0"/>
        <w:suppressAutoHyphens w:val="false"/>
        <w:rPr>
          <w:rStyle w:val="1"/>
        </w:rPr>
      </w:pPr>
      <w:r>
        <w:rPr>
          <w:rStyle w:val="1"/>
        </w:rPr>
        <w:t xml:space="preserve">Lurraren kontribuzioari dagokionez, gaikuntza ematen zaie udalei aukerako hobari batzuk ezartzeko. Lehenengo eta behin, ehuneko 90erainoko hobaria, familia ugarien eta guraso bakarrekoen edo gurasobakartasun egoeran daudenen etxebizitzen gainean. Aldaketa horrekin betetzen da Familia Ugariei buruzko martxoaren 25eko 20/2003 Foru Legearen 12.3.a) artikuluan eta Nafarroako Foru Komunitatean familia guraso bakarrekoak egiaztatzeari buruzko otsailaren 7ko 5/2019 Foru Legearen 12. artikuluan jasotzen diren aginduak. Horrez gain, ezartzen diren hobariak, ezartzen badira, etxebizitzen balio eguneratuen gainean aplika daitezen, hobariaren aplikaziorako nahitaezkoa izanen da balorazio txostena azken bost urteetan eguneratu izana.</w:t>
      </w:r>
    </w:p>
    <w:p>
      <w:pPr>
        <w:pStyle w:val="0"/>
        <w:suppressAutoHyphens w:val="false"/>
        <w:rPr>
          <w:rStyle w:val="1"/>
        </w:rPr>
      </w:pPr>
      <w:r>
        <w:rPr>
          <w:rStyle w:val="1"/>
        </w:rPr>
        <w:t xml:space="preserve">Orobat, 100eko 50erainoko hobaria ezartzen ahalko da ondasun higiezinen gainean, eguzki energia edo beste energia berriztagarri batzuen bidezko aprobetxamendu termiko edo elektrikorako sistemak ezarri badituzte.</w:t>
      </w:r>
    </w:p>
    <w:p>
      <w:pPr>
        <w:pStyle w:val="0"/>
        <w:suppressAutoHyphens w:val="false"/>
        <w:rPr>
          <w:rStyle w:val="1"/>
        </w:rPr>
      </w:pPr>
      <w:r>
        <w:rPr>
          <w:rStyle w:val="1"/>
        </w:rPr>
        <w:t xml:space="preserve">Bereziki aipagarria da ekonomia-jardueren gaineko zergaren aldaketa, 1.000.000 eurotik beherako negozio- zifra duten subjektu pasiboak zergaren ordainketatik salbuesteko xedea duena. Neurri horrek 31.000 langile autonomori eta 7.000 enpresa txikiri eraginen die, gutxi gorabehera, eta haren xedea da ekintzailetza bultzatu eta sustatzea eta koronabirusak ekarri duen krisi ekonomikoaren ondorioak apaltzea. Era berean, toki entitateen finantza nahikotasunaren printzipioa babestearren, lehen xedapen gehigarrian aurreikusten da Nafarroako Gobernuak konpentsazio bat emanen diela toki ogasunek Nafarroako tributuetan duten parte-hartzearen funtsaren kargura. Beste alde batetik, azken xedapenetako lehenak aldatzen du Toki ogasunek transferentzia arrunten eta beste laguntza batzuen kontzeptuetan Nafarroako tributuetan duten parte-hartzearen funtsaren zenbatekoa eta banaketa 2020. urterako ezartzen dituen Foru Legea, konpentsazio hori nola eginen den ezartzeko. </w:t>
      </w:r>
    </w:p>
    <w:p>
      <w:pPr>
        <w:pStyle w:val="0"/>
        <w:suppressAutoHyphens w:val="false"/>
        <w:rPr>
          <w:rStyle w:val="1"/>
        </w:rPr>
      </w:pPr>
      <w:r>
        <w:rPr>
          <w:rStyle w:val="1"/>
        </w:rPr>
        <w:t xml:space="preserve">Trakzio mekanikoko ibilgailuen gaineko zergari dagokionez, Arartekoaren gomendioak aintzat hartuta, zabaltzen da egokitzapen bereziak dituzten ibilgailuen eta desgaitasuna duten pertsonen izenean matrikulaturik daudenen gaineko salbuespena, ez baita aurrerantzean loturik egonen ibilgailuaren potentzia fiskalarekin. Bestalde, zergaren tarifak eguneratzen dira, toki ogasunek Nafarroako tributuetan duten parte-hartzearen funtserako, transferentzia arruntei dagokienez, finkatzen den igoeraren arabera.</w:t>
      </w:r>
    </w:p>
    <w:p>
      <w:pPr>
        <w:pStyle w:val="0"/>
        <w:suppressAutoHyphens w:val="false"/>
        <w:rPr>
          <w:rStyle w:val="1"/>
        </w:rPr>
      </w:pPr>
      <w:r>
        <w:rPr>
          <w:rStyle w:val="1"/>
        </w:rPr>
        <w:t xml:space="preserve">Tarifen azken eguneraketa abenduaren 27ko 19/2017 Foru Legean egin zenez, 2018an eta 2019an aplikatzeko, oraingoan tarifak eguneratzen dira, 2021ean aplikatu beharrekoak ezartzeko, 2020ko eta 2021eko igoerekin.</w:t>
      </w:r>
    </w:p>
    <w:p>
      <w:pPr>
        <w:pStyle w:val="0"/>
        <w:suppressAutoHyphens w:val="false"/>
        <w:rPr>
          <w:rStyle w:val="1"/>
        </w:rPr>
      </w:pPr>
      <w:r>
        <w:rPr>
          <w:rStyle w:val="1"/>
        </w:rPr>
        <w:t xml:space="preserve">Ildo horretan, Toki ogasunek transferentzia arrunten bidez Nafarroako tributuetan duten parte- hartzearen funtsaren zenbatekoa eta banaketa 2020rako ezartzen dituen 3/2020 Foru Legean aurreikusten denez, igoera izanen da Nafarroako Foru Komunitatean KPIak duen igoera portzentuala, 2018ko ekainetik 2019ko ekainera hartuta, gehi ehuneko 2. 2018ko ekainetik 2019ko ekainera hartuta, KPIaren igoera %1,0koa izan zenez, 2020rako igoera orokorra %3an ezarri zen.</w:t>
      </w:r>
    </w:p>
    <w:p>
      <w:pPr>
        <w:pStyle w:val="0"/>
        <w:suppressAutoHyphens w:val="false"/>
        <w:rPr>
          <w:rStyle w:val="1"/>
        </w:rPr>
      </w:pPr>
      <w:r>
        <w:rPr>
          <w:rStyle w:val="1"/>
        </w:rPr>
        <w:t xml:space="preserve">Horrekin batera, foru lege horren azken xedapenetako lehenak aurreikusten du hura 2021erako luzatzea, eta beraz, 2021erako funtsaren igoera izanen da Nafarroako Foru Komunitateko KPIaren igoera, 2019ko ekainetik 2020ko ekainera bitarte hartuta, gehi ehuneko bi. Aldi horretako KPIa negatiboa izan denez, ¬–%0,7koa, 2021erako aurreikusten den igoera %1,3koa da. Beraz, ehunekoak batuta, aplikatu beharreko igoera %4,3koa da.</w:t>
      </w:r>
    </w:p>
    <w:p>
      <w:pPr>
        <w:pStyle w:val="0"/>
        <w:suppressAutoHyphens w:val="false"/>
        <w:rPr>
          <w:rStyle w:val="1"/>
        </w:rPr>
      </w:pPr>
      <w:r>
        <w:rPr>
          <w:rStyle w:val="1"/>
        </w:rPr>
        <w:t xml:space="preserve">Eraikin, instalazio eta obren gaineko zergan lege gaikuntza bat eransten da, udalek ordenantza bidez arautu ahal izan dezaten hobari bat zergaren kuotarako, %95erainokoa eguzki energiaren edo beste energia berriztagarri batzuen aprobetxamendurako eraikuntza, instalazio edo obren kasurako. Horren helburua da Nafarroako udalen egoera ez izatea erkidego mugakideetako udalena baino okerragoa inbertsio mota hori erakartzeko.</w:t>
      </w:r>
    </w:p>
    <w:p>
      <w:pPr>
        <w:pStyle w:val="0"/>
        <w:suppressAutoHyphens w:val="false"/>
        <w:rPr>
          <w:rStyle w:val="1"/>
        </w:rPr>
      </w:pPr>
      <w:r>
        <w:rPr>
          <w:rStyle w:val="1"/>
        </w:rPr>
        <w:t xml:space="preserve">Hiri-lurren balio-igoeraren gaineko zergan bi aldaketa egin dira. Lehenbizikoaren xedea da argitzea zein den kontuan hartu behar den eskurapen-balioa, zehaztu nahi denean balio-igoerarik dagoen ala ez eskualdaketa batean, 173.1 artikuluko a), b) eta c) letretan xedatutako aplikatuz salbuetsirik egon den beste eskualdaketa baten ondotik egiten delarik. Abiapuntuko ideia da salbuespen horiek, duten konfigurazioaren ondorioz, zergaren ordainketaren atzerapena direla, salbuespena baino areago, legeak ezartzen baitu ezen, etorkizuneko eskualdaketa baten ondorioetarako, ulertuko dela lurren balio-igoera gertatu den urte kopurua ez dela eten letra horietan aurreikusitako negozio juridikoak direla-eta. Zergaren atzerapenak koherentea izaten jarraitzeko, eta sortutako zalantzak eta gatazkak kontuan harturik, berariaz ezartzen da ezen, balio-igoerarik izan den zehaztearren, eskurapen-balioa izanen dela higiezinaren aurreko eskualdaketari dagokiona, aipatutako negozio juridikoen ondorioa ez denari.</w:t>
      </w:r>
    </w:p>
    <w:p>
      <w:pPr>
        <w:pStyle w:val="0"/>
        <w:suppressAutoHyphens w:val="false"/>
        <w:rPr>
          <w:rStyle w:val="1"/>
        </w:rPr>
      </w:pPr>
      <w:r>
        <w:rPr>
          <w:rStyle w:val="1"/>
        </w:rPr>
        <w:t xml:space="preserve">Bigarren aldaketaren helburua da eguneratzea lurren balioari sortzapenaren unean aplikatu beharreko gehieneko koefizienteak, zeinak, Toki Ogasunei buruzko Foru Legean bertan ezarritakoaren arabera, urtero eguneratu behar baitira.</w:t>
      </w:r>
    </w:p>
    <w:p>
      <w:pPr>
        <w:pStyle w:val="0"/>
        <w:suppressAutoHyphens w:val="false"/>
        <w:rPr>
          <w:rStyle w:val="1"/>
        </w:rPr>
      </w:pPr>
      <w:r>
        <w:rPr>
          <w:rStyle w:val="1"/>
        </w:rPr>
        <w:t xml:space="preserve">Azkenik, luxuzko gastuen gaineko zergari dagokionez, bingo jokoan lortutako sarien gaineko karga kentzen da.</w:t>
      </w:r>
    </w:p>
    <w:p>
      <w:pPr>
        <w:pStyle w:val="0"/>
        <w:suppressAutoHyphens w:val="false"/>
        <w:rPr>
          <w:rStyle w:val="1"/>
        </w:rPr>
      </w:pPr>
      <w:r>
        <w:rPr>
          <w:rStyle w:val="1"/>
        </w:rPr>
        <w:t xml:space="preserve">Foru legearen egitura hauxe da: artikulu bakarra, bi xedapen gehigarri eta bi azken xedapen.</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w:t>
      </w:r>
    </w:p>
    <w:p>
      <w:pPr>
        <w:pStyle w:val="0"/>
        <w:suppressAutoHyphens w:val="false"/>
        <w:rPr>
          <w:rStyle w:val="1"/>
        </w:rPr>
      </w:pPr>
      <w:r>
        <w:rPr>
          <w:rStyle w:val="1"/>
        </w:rPr>
        <w:t xml:space="preserve">Foru legea, hori prestatzeko prozedura eta gainerako arauetan dituen ondorioak Nafarroako Parlamentuaren Aldizkari Ofizialean, Nafarroako Aldizkari Ofizialean eta nafarroa.eus webgunean argitaratzeak zaintzen du gardentasun eta irisgarritasun printzipioak errespetatuak izatea.</w:t>
      </w:r>
    </w:p>
    <w:p>
      <w:pPr>
        <w:pStyle w:val="0"/>
        <w:suppressAutoHyphens w:val="false"/>
        <w:rPr>
          <w:rStyle w:val="1"/>
        </w:rPr>
      </w:pPr>
      <w:r>
        <w:rPr>
          <w:rStyle w:val="1"/>
        </w:rPr>
        <w:t xml:space="preserve">Nafarroako Foru Eraentza Berrezarri eta Hobetzeari buruzko abuztuaren 10eko 13/1982 Lege Organikoaren 20.2 artikuluan eta Nafarroako Parlamentuko Erregelamenduaren testu bateginaren 152. eta 153. artikuluetan ezarritakoarekin bat, foru lege proiektu hau onesteko gehiengo osoa beharko da.</w:t>
      </w:r>
    </w:p>
    <w:p>
      <w:pPr>
        <w:pStyle w:val="0"/>
        <w:suppressAutoHyphens w:val="false"/>
        <w:rPr>
          <w:rStyle w:val="1"/>
        </w:rPr>
      </w:pPr>
      <w:r>
        <w:rPr>
          <w:rStyle w:val="1"/>
          <w:b w:val="true"/>
        </w:rPr>
        <w:t xml:space="preserve">Artikulu bakarra. </w:t>
      </w:r>
      <w:r>
        <w:rPr>
          <w:rStyle w:val="1"/>
        </w:rPr>
        <w:t xml:space="preserve">2021eko urtarrilaren 1etik aurrerako ondorioekin, Nafarroako Toki Ogasunei buruzko martxoaren 10eko 2/1995 Foru Legearen manu hauek testu hau izanen dute:</w:t>
      </w:r>
    </w:p>
    <w:p>
      <w:pPr>
        <w:pStyle w:val="0"/>
        <w:suppressAutoHyphens w:val="false"/>
        <w:rPr>
          <w:rStyle w:val="1"/>
        </w:rPr>
      </w:pPr>
      <w:r>
        <w:rPr>
          <w:rStyle w:val="1"/>
          <w:u w:val="single"/>
        </w:rPr>
        <w:t xml:space="preserve">Bat</w:t>
      </w:r>
      <w:r>
        <w:rPr>
          <w:rStyle w:val="1"/>
        </w:rPr>
        <w:t xml:space="preserve">. 13.5 artikulua.</w:t>
      </w:r>
    </w:p>
    <w:p>
      <w:pPr>
        <w:pStyle w:val="0"/>
        <w:suppressAutoHyphens w:val="false"/>
        <w:rPr>
          <w:rStyle w:val="1"/>
        </w:rPr>
      </w:pPr>
      <w:r>
        <w:rPr>
          <w:rStyle w:val="1"/>
        </w:rPr>
        <w:t xml:space="preserve">“5. Ordenantza fiskalen eta haien aldaketen onespena Nafarroako Aldizkari Ofizialean iragarriko da eta haien edukia Ordenantza Fiskalen erregistroari jakinaraziko zaio, erregistro publikoa baita, Nafarroako Aldizkari Ofizialean osorik edo zati batean argitaratzea ukatu gabe.</w:t>
      </w:r>
    </w:p>
    <w:p>
      <w:pPr>
        <w:pStyle w:val="0"/>
        <w:suppressAutoHyphens w:val="false"/>
        <w:rPr>
          <w:rStyle w:val="1"/>
        </w:rPr>
      </w:pPr>
      <w:r>
        <w:rPr>
          <w:rStyle w:val="1"/>
        </w:rPr>
        <w:t xml:space="preserve">Ordenantza fiskalek onetsi eta hurrengo ekitaldian hartuko dute indarra, salbu eta ordenantzetan bertan beste data bat ezartzen bada, argitaratzearekin batera edo argitaratu ondotik.”</w:t>
      </w:r>
    </w:p>
    <w:p>
      <w:pPr>
        <w:pStyle w:val="0"/>
        <w:suppressAutoHyphens w:val="false"/>
        <w:rPr>
          <w:rStyle w:val="1"/>
        </w:rPr>
      </w:pPr>
      <w:r>
        <w:rPr>
          <w:rStyle w:val="1"/>
          <w:u w:val="single"/>
        </w:rPr>
        <w:t xml:space="preserve">Bi</w:t>
      </w:r>
      <w:r>
        <w:rPr>
          <w:rStyle w:val="1"/>
        </w:rPr>
        <w:t xml:space="preserve">. 91. artikulua indargabetzea.</w:t>
      </w:r>
    </w:p>
    <w:p>
      <w:pPr>
        <w:pStyle w:val="0"/>
        <w:suppressAutoHyphens w:val="false"/>
        <w:rPr>
          <w:rStyle w:val="1"/>
        </w:rPr>
      </w:pPr>
      <w:r>
        <w:rPr>
          <w:rStyle w:val="1"/>
          <w:u w:val="single"/>
        </w:rPr>
        <w:t xml:space="preserve">Hiru</w:t>
      </w:r>
      <w:r>
        <w:rPr>
          <w:rStyle w:val="1"/>
        </w:rPr>
        <w:t xml:space="preserve">. 105.1 artikulua.</w:t>
      </w:r>
    </w:p>
    <w:p>
      <w:pPr>
        <w:pStyle w:val="0"/>
        <w:suppressAutoHyphens w:val="false"/>
        <w:rPr>
          <w:rStyle w:val="1"/>
        </w:rPr>
      </w:pPr>
      <w:r>
        <w:rPr>
          <w:rStyle w:val="1"/>
        </w:rPr>
        <w:t xml:space="preserve">“1. Toki jabari publikoaren erabilera pribatiboagatik edo aprobetxamendu bereziagatik aurreikusirik dauden tasen zenbatekoa honako arau hauen arabera ezarriko da:</w:t>
      </w:r>
    </w:p>
    <w:p>
      <w:pPr>
        <w:pStyle w:val="0"/>
        <w:suppressAutoHyphens w:val="false"/>
        <w:rPr>
          <w:rStyle w:val="1"/>
        </w:rPr>
      </w:pPr>
      <w:r>
        <w:rPr>
          <w:rStyle w:val="1"/>
        </w:rPr>
        <w:t xml:space="preserve">a) Oro har, erabileratik edo aprobetxamendutik eratorritako onurak merkatuan izanen lukeen balioa hartuko da oinarri, ukitutako ondasunak jabari publikokoak ez badira. Hartarako, ordenantza fiskalek zilegi izanen dute onura horren merkatu balioa definitzeko irizpide eta parametroak adieraztea, kasuan kasuko erabilera pribatiboaren edo aprobetxamendu bereziaren izaera espezifikoa kontuan hartuta.</w:t>
      </w:r>
    </w:p>
    <w:p>
      <w:pPr>
        <w:pStyle w:val="0"/>
        <w:suppressAutoHyphens w:val="false"/>
        <w:rPr>
          <w:rStyle w:val="1"/>
        </w:rPr>
      </w:pPr>
      <w:r>
        <w:rPr>
          <w:rStyle w:val="1"/>
        </w:rPr>
        <w:t xml:space="preserve">b) Lizitazio publikoko prozedurak erabiltzen direnean, emakida, baimena edo adjudikazioa zein proposamenentzat egiten den, haren balio ekonomikoaren arabera finkatuko da tasaren zenbatekoa.</w:t>
      </w:r>
    </w:p>
    <w:p>
      <w:pPr>
        <w:pStyle w:val="0"/>
        <w:suppressAutoHyphens w:val="false"/>
        <w:rPr>
          <w:rStyle w:val="1"/>
        </w:rPr>
      </w:pPr>
      <w:r>
        <w:rPr>
          <w:rStyle w:val="1"/>
        </w:rPr>
        <w:t xml:space="preserve">c) Hornidura zerbitzuak ustiatzen dituzten enpresek udalerrietako eremu publikoko lurzoru, lurgain eta lurpean egiten dituzten aprobetxamendu berezien edo erabilera pribatiboen kasuan, zerbitzu horiek interes orokorreko hornidurak edo herritar guztiei edo zati handi bati eragiten dieten hornidurak emateko direnean, tasa horien zenbatekoa izanen da enpresa horiek udal-mugarte bakoitzean urtero eskuratzen duten fakturaziotik heldu diren diru-sarrera gordinen %1,5, kasu guztietan eta batere salbuespenik egin gabe.</w:t>
      </w:r>
    </w:p>
    <w:p>
      <w:pPr>
        <w:pStyle w:val="0"/>
        <w:suppressAutoHyphens w:val="false"/>
        <w:rPr>
          <w:rStyle w:val="1"/>
        </w:rPr>
      </w:pPr>
      <w:r>
        <w:rPr>
          <w:rStyle w:val="1"/>
        </w:rPr>
        <w:t xml:space="preserve">Horri dagokionez, zerbitzu horiek ustiatzen dituzten enpresen artean sartzen dira banaketarako eta merkaturatzeko enpresak.</w:t>
      </w:r>
    </w:p>
    <w:p>
      <w:pPr>
        <w:pStyle w:val="0"/>
        <w:suppressAutoHyphens w:val="false"/>
        <w:rPr>
          <w:rStyle w:val="1"/>
        </w:rPr>
      </w:pPr>
      <w:r>
        <w:rPr>
          <w:rStyle w:val="1"/>
        </w:rPr>
        <w:t xml:space="preserve">Sakelako telefoniako zerbitzuak ez dira sartuko tasaren zenbatekoa zehazteko araubide berezi honetan.</w:t>
      </w:r>
    </w:p>
    <w:p>
      <w:pPr>
        <w:pStyle w:val="0"/>
        <w:suppressAutoHyphens w:val="false"/>
        <w:rPr>
          <w:rStyle w:val="1"/>
        </w:rPr>
      </w:pPr>
      <w:r>
        <w:rPr>
          <w:rStyle w:val="1"/>
        </w:rPr>
        <w:t xml:space="preserve">Zenbatekoa zehazteko araubide berezi hau aplikatuko zaie c) letra honek aipatzen dituen enpresei, bai kasuan kasuko sareen titularrak izanik haien bidez hornidurak egiten dituztenean, bai sare horien titularrak izan gabe, horiek erabiltzeko, eskuratzeko edo horiekin lotzeko eskubidearen titularrak direnean.</w:t>
      </w:r>
    </w:p>
    <w:p>
      <w:pPr>
        <w:pStyle w:val="0"/>
        <w:suppressAutoHyphens w:val="false"/>
        <w:rPr>
          <w:rStyle w:val="1"/>
        </w:rPr>
      </w:pPr>
      <w:r>
        <w:rPr>
          <w:rStyle w:val="1"/>
        </w:rPr>
        <w:t xml:space="preserve">Letra honetan xedatzen denari dagokionez, fakturaziotik heldu diren diru-sarrera gordintzat hartuko dira entitate bakoitzari egozten ahal zaizkion diru-sarrera gordinak, udal-mugartean emandako hornidura zerbitzuen ordainetan jaso dituenak.</w:t>
      </w:r>
    </w:p>
    <w:p>
      <w:pPr>
        <w:pStyle w:val="0"/>
        <w:suppressAutoHyphens w:val="false"/>
        <w:rPr>
          <w:rStyle w:val="1"/>
        </w:rPr>
      </w:pPr>
      <w:r>
        <w:rPr>
          <w:rStyle w:val="1"/>
        </w:rPr>
        <w:t xml:space="preserve">Ondorio horietarako, diru-sarrera gordinen artean ez dira sartuko egindako zerbitzuak kargatzen dituzten zeharkako zergak, ezta hirugarrenen kontura kobratutako partida edo zenbatekoak ere, baldin ez badira entitatearen diru-sarrera berekiak, alegia, tasaren zenbatekoa zehazteko araubide berezi hau aplikatzen zaion entitatearen diru-sarrera berekiak. Orobat, Ekonomia Ministerioaren energia elektrikoa sortzeko instalazioen administrazio erregistroaren 1. edo 2. ataletan inskribatutako instalazioetan erabili beharreko hornidura zerbitzuen ordainetan jasotako zenbatekoak ez dira sartuko fakturazioaren diru-sarrera gordinetan, araubide berezi horretan tributatu dezakeen energia sortzeko beharrezkoa den lehengai gisa.</w:t>
      </w:r>
    </w:p>
    <w:p>
      <w:pPr>
        <w:pStyle w:val="0"/>
        <w:suppressAutoHyphens w:val="false"/>
        <w:rPr>
          <w:rStyle w:val="1"/>
        </w:rPr>
      </w:pPr>
      <w:r>
        <w:rPr>
          <w:rStyle w:val="1"/>
        </w:rPr>
        <w:t xml:space="preserve">Hornidurak egiteko kanpoko sareak erabiltzen dituzten enpresek beren fakturazioko diru-sarrera gordinetatik kenduko dituzte beste enpresa batzuei ordaindu dizkieten zenbatekoak, haien sareak eskuratzeagatik edo haiei lotzeagatik. Sare horien titulartasuna duten enpresek kontzeptu horregatik eskuratzen dituzten zenbatekoak sartu beharko dituzte beren fakturazioko diru-sarrera gordinetan.</w:t>
      </w:r>
    </w:p>
    <w:p>
      <w:pPr>
        <w:pStyle w:val="0"/>
        <w:suppressAutoHyphens w:val="false"/>
        <w:rPr>
          <w:rStyle w:val="1"/>
        </w:rPr>
      </w:pPr>
      <w:r>
        <w:rPr>
          <w:rStyle w:val="1"/>
        </w:rPr>
        <w:t xml:space="preserve">Araubide berezi hau aplikatu ondoriozko zenbatekoa ez zaio jasanaraziko c) letra honek aipatzen dituen hornidura zerbitzuen erabiltzaileei.</w:t>
      </w:r>
    </w:p>
    <w:p>
      <w:pPr>
        <w:pStyle w:val="0"/>
        <w:suppressAutoHyphens w:val="false"/>
        <w:rPr>
          <w:rStyle w:val="1"/>
        </w:rPr>
      </w:pPr>
      <w:r>
        <w:rPr>
          <w:rStyle w:val="1"/>
        </w:rPr>
        <w:t xml:space="preserve">c) letra honetan arautzen diren tasak bateragarriak dira toki erakundearen eskumeneko jarduerak edo zerbitzuak egiteagatik ezar daitezkeen beste tasa batzuekin. Halakoetan, c) letra honek aipatzen dituen enpresek subjektu pasibo izan beharko dute, 104.1.b) artikuluan ezarritakoari jarraikiz. Udalerrietako eremu publikoko lurzoru, lurgain eta lurpean egiten dituzten erabilera pribatibo edo aprobetxamendu berezien ondoriozko beste tasa batzuk ez dira ordaindu beharko, tasa hau ordaintzen bada”.</w:t>
      </w:r>
    </w:p>
    <w:p>
      <w:pPr>
        <w:pStyle w:val="0"/>
        <w:suppressAutoHyphens w:val="false"/>
        <w:rPr>
          <w:rStyle w:val="1"/>
        </w:rPr>
      </w:pPr>
      <w:r>
        <w:rPr>
          <w:rStyle w:val="1"/>
          <w:u w:val="single"/>
        </w:rPr>
        <w:t xml:space="preserve">Lau</w:t>
      </w:r>
      <w:r>
        <w:rPr>
          <w:rStyle w:val="1"/>
        </w:rPr>
        <w:t xml:space="preserve">. 125 artikulua.</w:t>
      </w:r>
    </w:p>
    <w:p>
      <w:pPr>
        <w:pStyle w:val="0"/>
        <w:suppressAutoHyphens w:val="false"/>
        <w:rPr>
          <w:rStyle w:val="1"/>
        </w:rPr>
      </w:pPr>
      <w:r>
        <w:rPr>
          <w:rStyle w:val="1"/>
        </w:rPr>
        <w:t xml:space="preserve">“125. artikulua.</w:t>
      </w:r>
    </w:p>
    <w:p>
      <w:pPr>
        <w:pStyle w:val="0"/>
        <w:suppressAutoHyphens w:val="false"/>
        <w:rPr>
          <w:rStyle w:val="1"/>
        </w:rPr>
      </w:pPr>
      <w:r>
        <w:rPr>
          <w:rStyle w:val="1"/>
        </w:rPr>
        <w:t xml:space="preserve">1. Foru lege honetan aurreikusitako moduan, toki entitateek eta haien menpeko entitateek kreditu eragiketak hitzartzen ahalko dituzte, modalitate guztietakoak, epe luzeko nahiz laburrekoak, bai eta interes tasaren eta truke tasaren arriskua estali eta kudeatzeko finantza eragiketak ere.</w:t>
      </w:r>
    </w:p>
    <w:p>
      <w:pPr>
        <w:pStyle w:val="0"/>
        <w:suppressAutoHyphens w:val="false"/>
        <w:rPr>
          <w:rStyle w:val="1"/>
        </w:rPr>
      </w:pPr>
      <w:r>
        <w:rPr>
          <w:rStyle w:val="1"/>
        </w:rPr>
        <w:t xml:space="preserve">2. Toki entitateek izenpetzen dituzten kreditu eragiketa guztiak, bai eta abalak edo bestelako berme publikoak ematea ere, finantza zuhurtasunaren printzipioari loturik egonen dira. Finantza zuhurtasuna baldintza multzo bat da, finantza eragiketek bete behar dutena beren arriskua eta kostua ahalik eta txikienak izan daitezen.</w:t>
      </w:r>
    </w:p>
    <w:p>
      <w:pPr>
        <w:pStyle w:val="0"/>
        <w:suppressAutoHyphens w:val="false"/>
        <w:rPr>
          <w:rStyle w:val="1"/>
        </w:rPr>
      </w:pPr>
      <w:r>
        <w:rPr>
          <w:rStyle w:val="1"/>
        </w:rPr>
        <w:t xml:space="preserve">3. Eragiketek bete behar dituzten baldintzak finantza tutoretzaren arloan eskumena duen organoak emandako ebazpen bidez ezarriko dira”.</w:t>
      </w:r>
    </w:p>
    <w:p>
      <w:pPr>
        <w:pStyle w:val="0"/>
        <w:suppressAutoHyphens w:val="false"/>
        <w:rPr>
          <w:rStyle w:val="1"/>
        </w:rPr>
      </w:pPr>
      <w:r>
        <w:rPr>
          <w:rStyle w:val="1"/>
          <w:u w:val="single"/>
        </w:rPr>
        <w:t xml:space="preserve">Bost</w:t>
      </w:r>
      <w:r>
        <w:rPr>
          <w:rStyle w:val="1"/>
        </w:rPr>
        <w:t xml:space="preserve">. 126. artikulua.</w:t>
      </w:r>
    </w:p>
    <w:p>
      <w:pPr>
        <w:pStyle w:val="0"/>
        <w:suppressAutoHyphens w:val="false"/>
        <w:rPr>
          <w:rStyle w:val="1"/>
        </w:rPr>
      </w:pPr>
      <w:r>
        <w:rPr>
          <w:rStyle w:val="1"/>
        </w:rPr>
        <w:t xml:space="preserve">“126. artikulua.</w:t>
      </w:r>
    </w:p>
    <w:p>
      <w:pPr>
        <w:pStyle w:val="0"/>
        <w:suppressAutoHyphens w:val="false"/>
        <w:rPr>
          <w:rStyle w:val="1"/>
        </w:rPr>
      </w:pPr>
      <w:r>
        <w:rPr>
          <w:rStyle w:val="1"/>
        </w:rPr>
        <w:t xml:space="preserve">1. Aurreko artikuluan aipatzen diren entitateek epe luzeko kreditu publiko edo pribatura jotzen ahalko dute, edozein motatakoa dela, beren inbertsioak finantzatzeko, bai eta lehendik dituzten eragiketa guztiak nahiz batzuk ordezteko ere.</w:t>
      </w:r>
    </w:p>
    <w:p>
      <w:pPr>
        <w:pStyle w:val="0"/>
        <w:suppressAutoHyphens w:val="false"/>
        <w:rPr>
          <w:rStyle w:val="1"/>
        </w:rPr>
      </w:pPr>
      <w:r>
        <w:rPr>
          <w:rStyle w:val="1"/>
        </w:rPr>
        <w:t xml:space="preserve">2. Kreditua modu hauen arabera gauzatuko da:</w:t>
      </w:r>
    </w:p>
    <w:p>
      <w:pPr>
        <w:pStyle w:val="0"/>
        <w:suppressAutoHyphens w:val="false"/>
        <w:rPr>
          <w:rStyle w:val="1"/>
        </w:rPr>
      </w:pPr>
      <w:r>
        <w:rPr>
          <w:rStyle w:val="1"/>
        </w:rPr>
        <w:t xml:space="preserve">a) Zor publikoaren jaulkipena.</w:t>
      </w:r>
    </w:p>
    <w:p>
      <w:pPr>
        <w:pStyle w:val="0"/>
        <w:suppressAutoHyphens w:val="false"/>
        <w:rPr>
          <w:rStyle w:val="1"/>
        </w:rPr>
      </w:pPr>
      <w:r>
        <w:rPr>
          <w:rStyle w:val="1"/>
        </w:rPr>
        <w:t xml:space="preserve">b) Mota guztietako finantza-entitateekin mailegu edo kredituen kontratazioa.</w:t>
      </w:r>
    </w:p>
    <w:p>
      <w:pPr>
        <w:pStyle w:val="0"/>
        <w:suppressAutoHyphens w:val="false"/>
        <w:rPr>
          <w:rStyle w:val="1"/>
        </w:rPr>
      </w:pPr>
      <w:r>
        <w:rPr>
          <w:rStyle w:val="1"/>
        </w:rPr>
        <w:t xml:space="preserve">c) Kreditu publiko edo pribatuaren beste edozein erabilera.</w:t>
      </w:r>
    </w:p>
    <w:p>
      <w:pPr>
        <w:pStyle w:val="0"/>
        <w:suppressAutoHyphens w:val="false"/>
        <w:rPr>
          <w:rStyle w:val="1"/>
        </w:rPr>
      </w:pPr>
      <w:r>
        <w:rPr>
          <w:rStyle w:val="1"/>
        </w:rPr>
        <w:t xml:space="preserve">d) Lehendik dauden eragiketak eraldatu edo ordeztea, guztiak edo batzuk.</w:t>
      </w:r>
    </w:p>
    <w:p>
      <w:pPr>
        <w:pStyle w:val="0"/>
        <w:suppressAutoHyphens w:val="false"/>
        <w:rPr>
          <w:rStyle w:val="1"/>
        </w:rPr>
      </w:pPr>
      <w:r>
        <w:rPr>
          <w:rStyle w:val="1"/>
        </w:rPr>
        <w:t xml:space="preserve">3. Kreditu eragiketek eragindako betebeharren ordainketa bermatzen ahalko da diru-sarrera espezifikoak atxikiz, ondare ondasun zehatzen gaineko bermea eratuz, edo abalak emanez.</w:t>
      </w:r>
    </w:p>
    <w:p>
      <w:pPr>
        <w:pStyle w:val="0"/>
        <w:suppressAutoHyphens w:val="false"/>
        <w:rPr>
          <w:rStyle w:val="1"/>
        </w:rPr>
      </w:pPr>
      <w:r>
        <w:rPr>
          <w:rStyle w:val="1"/>
        </w:rPr>
        <w:t xml:space="preserve">4. Toki entitateen zor publikoak eta haiek jaulkitako balio bereko titulu-baloreek Nafarroako Gobernuak jaulkitako zor publikoaren onura eta baldintza berdinak izanen dituzte.</w:t>
      </w:r>
    </w:p>
    <w:p>
      <w:pPr>
        <w:pStyle w:val="0"/>
        <w:suppressAutoHyphens w:val="false"/>
        <w:rPr>
          <w:rStyle w:val="1"/>
        </w:rPr>
      </w:pPr>
      <w:r>
        <w:rPr>
          <w:rStyle w:val="1"/>
        </w:rPr>
        <w:t xml:space="preserve">5. Foru lege honetan aurreikusitako epe luzeko kreditu mota guztiak hitzartzeko, beharrezkoa izanen da indarra duen behin betiko aurrekontuan sartzea edo, kasua bada, aurrekontuaren luzapenean”.</w:t>
      </w:r>
    </w:p>
    <w:p>
      <w:pPr>
        <w:pStyle w:val="0"/>
        <w:suppressAutoHyphens w:val="false"/>
        <w:rPr>
          <w:rStyle w:val="1"/>
        </w:rPr>
      </w:pPr>
      <w:r>
        <w:rPr>
          <w:rStyle w:val="1"/>
          <w:u w:val="single"/>
        </w:rPr>
        <w:t xml:space="preserve">Sei</w:t>
      </w:r>
      <w:r>
        <w:rPr>
          <w:rStyle w:val="1"/>
        </w:rPr>
        <w:t xml:space="preserve">. 127. artikulua.</w:t>
      </w:r>
    </w:p>
    <w:p>
      <w:pPr>
        <w:pStyle w:val="0"/>
        <w:suppressAutoHyphens w:val="false"/>
        <w:rPr>
          <w:rStyle w:val="1"/>
        </w:rPr>
      </w:pPr>
      <w:r>
        <w:rPr>
          <w:rStyle w:val="1"/>
        </w:rPr>
        <w:t xml:space="preserve">“127. artikulua.</w:t>
      </w:r>
    </w:p>
    <w:p>
      <w:pPr>
        <w:pStyle w:val="0"/>
        <w:suppressAutoHyphens w:val="false"/>
        <w:rPr>
          <w:rStyle w:val="1"/>
        </w:rPr>
      </w:pPr>
      <w:r>
        <w:rPr>
          <w:rStyle w:val="1"/>
        </w:rPr>
        <w:t xml:space="preserve">1. Toki entitateek, beren interesetarako komeni zaienean eta beren eskumeneko lanak egin eta zerbitzuak ematea errazteko, abala ematen ahalko diote beraiekin lanak edo zerbitzuak kontratatzen dituzten edo toki entitatera itzuliko diren emakidak ustiatzen dituzten pertsona edo entitateek hitzartutako kreditu eragiketei, nolanahikoak direlarik eragiketa horiek; abalak banaka emanen dira eragiketa bakoitzerako.</w:t>
      </w:r>
    </w:p>
    <w:p>
      <w:pPr>
        <w:pStyle w:val="0"/>
        <w:suppressAutoHyphens w:val="false"/>
        <w:rPr>
          <w:rStyle w:val="1"/>
        </w:rPr>
      </w:pPr>
      <w:r>
        <w:rPr>
          <w:rStyle w:val="1"/>
        </w:rPr>
        <w:t xml:space="preserve">2. Toki entitateek abala ematen ahalko diote beren menpeko entitateek hitzartzen duten edozein mailegu eragiketari. Abalak, hala ere, ezin izanen du bermatu menpeko entitatean duen partaidetza baino handiagoa den kreditu-portzentajerik.</w:t>
      </w:r>
    </w:p>
    <w:p>
      <w:pPr>
        <w:pStyle w:val="0"/>
        <w:suppressAutoHyphens w:val="false"/>
        <w:rPr>
          <w:rStyle w:val="1"/>
        </w:rPr>
      </w:pPr>
      <w:r>
        <w:rPr>
          <w:rStyle w:val="1"/>
        </w:rPr>
        <w:t xml:space="preserve">3. Aurreko bi apartatuetan aipatutako eragiketak aurretiazko fiskalizazioaren menpe egonen dira eta bermatutako maileguaren zenbatekoa ez da izanen entitateak berak obra edo zerbitzua zuzenean finantzatu balu baino handiagoa”.</w:t>
      </w:r>
    </w:p>
    <w:p>
      <w:pPr>
        <w:pStyle w:val="0"/>
        <w:suppressAutoHyphens w:val="false"/>
        <w:rPr>
          <w:rStyle w:val="1"/>
        </w:rPr>
      </w:pPr>
      <w:r>
        <w:rPr>
          <w:rStyle w:val="1"/>
          <w:u w:val="single"/>
        </w:rPr>
        <w:t xml:space="preserve">Zazpi</w:t>
      </w:r>
      <w:r>
        <w:rPr>
          <w:rStyle w:val="1"/>
        </w:rPr>
        <w:t xml:space="preserve">. 128. artikulua.</w:t>
      </w:r>
    </w:p>
    <w:p>
      <w:pPr>
        <w:pStyle w:val="0"/>
        <w:suppressAutoHyphens w:val="false"/>
        <w:rPr>
          <w:rStyle w:val="1"/>
        </w:rPr>
      </w:pPr>
      <w:r>
        <w:rPr>
          <w:rStyle w:val="1"/>
        </w:rPr>
        <w:t xml:space="preserve">“128. artikulua.</w:t>
      </w:r>
    </w:p>
    <w:p>
      <w:pPr>
        <w:pStyle w:val="0"/>
        <w:suppressAutoHyphens w:val="false"/>
        <w:rPr>
          <w:rStyle w:val="1"/>
        </w:rPr>
      </w:pPr>
      <w:r>
        <w:rPr>
          <w:rStyle w:val="1"/>
        </w:rPr>
        <w:t xml:space="preserve">Toki entitateek diruzaintzako eragiketak hitzartzen ahalko dituzte, urtebeteko eperako gehienez, edozein finantza entitaterekin, diruzaintzan dituzten aldi baterako beharrei erantzuteko, baldin eta ez badira, osotara hartuta, aurreko ekitaldian eragiketa arruntengatik onartutako diru-sarreren ehuneko 35 baino handiagoak, non eta eragiketa ez den egin behar ekitaldi horretako aurrekontuaren likidazioa egin aurretik, kasu horretan kontuan hartuko baita azken ekitaldiaren aurrekoan egindako likidazioa”.</w:t>
      </w:r>
    </w:p>
    <w:p>
      <w:pPr>
        <w:pStyle w:val="0"/>
        <w:suppressAutoHyphens w:val="false"/>
        <w:rPr>
          <w:rStyle w:val="1"/>
        </w:rPr>
      </w:pPr>
      <w:r>
        <w:rPr>
          <w:rStyle w:val="1"/>
          <w:u w:val="single"/>
        </w:rPr>
        <w:t xml:space="preserve">Zortzi</w:t>
      </w:r>
      <w:r>
        <w:rPr>
          <w:rStyle w:val="1"/>
        </w:rPr>
        <w:t xml:space="preserve">. 129. artikulua.</w:t>
      </w:r>
    </w:p>
    <w:p>
      <w:pPr>
        <w:pStyle w:val="0"/>
        <w:suppressAutoHyphens w:val="false"/>
        <w:rPr>
          <w:rStyle w:val="1"/>
        </w:rPr>
      </w:pPr>
      <w:r>
        <w:rPr>
          <w:rStyle w:val="1"/>
        </w:rPr>
        <w:t xml:space="preserve">“129. artikulua.</w:t>
      </w:r>
    </w:p>
    <w:p>
      <w:pPr>
        <w:pStyle w:val="0"/>
        <w:suppressAutoHyphens w:val="false"/>
        <w:rPr>
          <w:rStyle w:val="1"/>
        </w:rPr>
      </w:pPr>
      <w:r>
        <w:rPr>
          <w:rStyle w:val="1"/>
        </w:rPr>
        <w:t xml:space="preserve">1. Kreditu eragiketak hitzartu edo aldatzea kontu-hartzailetzak txostena egin ondotik erabaki beharko dira. Txostenean, bereziki, aztertuko da toki entitateak gaitasuna duen eragiketetatik heldu diren betebeharrak denboran betetzeko, eta betebehar horiek aurrekontu egonkortasunean eta finantza jasangarritasunean izanen duten eragina.</w:t>
      </w:r>
    </w:p>
    <w:p>
      <w:pPr>
        <w:pStyle w:val="0"/>
        <w:suppressAutoHyphens w:val="false"/>
        <w:rPr>
          <w:rStyle w:val="1"/>
        </w:rPr>
      </w:pPr>
      <w:r>
        <w:rPr>
          <w:rStyle w:val="1"/>
        </w:rPr>
        <w:t xml:space="preserve">2. Toki entitateetako buruek aurrekontuan aurreikusitako epe luzeko kreditu eragiketak hitzartzen ahalko dituzte, baldin eta haien zenbateko metatua ez bada, ekitaldi ekonomiko bakoitzean, aurreko ekitaldian eragiketa arruntengatik onartutako diru-sarreren ehuneko 10 baino handiagoa, non eta eragiketa ez den egin behar ekitaldi horretako aurrekontuaren likidazioa egin aurretik, kasu horretan kontuan hartuko baita azken ekitaldiaren aurrekoan egindako likidazioa.</w:t>
      </w:r>
    </w:p>
    <w:p>
      <w:pPr>
        <w:pStyle w:val="0"/>
        <w:suppressAutoHyphens w:val="false"/>
        <w:rPr>
          <w:rStyle w:val="1"/>
        </w:rPr>
      </w:pPr>
      <w:r>
        <w:rPr>
          <w:rStyle w:val="1"/>
        </w:rPr>
        <w:t xml:space="preserve">Epe laburreko kreditu eragiketak hitzartzen ahalko ditu izaera horretako eragiketa bizien zenbateko metatua, eragiketa berria barne, ez denean aurreko ekitaldian eragiketa arruntengatik onartutako diru-sarreren ehuneko 15 baino handiagoa, non eta eragiketa ez den egin behar ekitaldi horretako aurrekontuaren likidazioa egin aurretik, kasu horretan kontuan hartuko baita azken ekitaldiaren aurrekoan egindako likidazioa.</w:t>
      </w:r>
    </w:p>
    <w:p>
      <w:pPr>
        <w:pStyle w:val="0"/>
        <w:suppressAutoHyphens w:val="false"/>
        <w:rPr>
          <w:rStyle w:val="1"/>
        </w:rPr>
      </w:pPr>
      <w:r>
        <w:rPr>
          <w:rStyle w:val="1"/>
        </w:rPr>
        <w:t xml:space="preserve">Toki entitateko buruak hitzartzen dituen eragiketen berri eman beharko dio toki entitatearen osoko bilkurari edo organo baliokideari, ondotik eginen den lehenbiziko bilkuran.</w:t>
      </w:r>
    </w:p>
    <w:p>
      <w:pPr>
        <w:pStyle w:val="0"/>
        <w:suppressAutoHyphens w:val="false"/>
        <w:rPr>
          <w:rStyle w:val="1"/>
        </w:rPr>
      </w:pPr>
      <w:r>
        <w:rPr>
          <w:rStyle w:val="1"/>
        </w:rPr>
        <w:t xml:space="preserve">Muga horiek gainditu behar direnean, udalbatzaren osoko bilkurari edo organo baliokideari dagokio onestea”.</w:t>
      </w:r>
    </w:p>
    <w:p>
      <w:pPr>
        <w:pStyle w:val="0"/>
        <w:suppressAutoHyphens w:val="false"/>
        <w:rPr>
          <w:rStyle w:val="1"/>
        </w:rPr>
      </w:pPr>
      <w:r>
        <w:rPr>
          <w:rStyle w:val="1"/>
          <w:u w:val="single"/>
        </w:rPr>
        <w:t xml:space="preserve">Bederatzi</w:t>
      </w:r>
      <w:r>
        <w:rPr>
          <w:rStyle w:val="1"/>
        </w:rPr>
        <w:t xml:space="preserve">. 130. artikulua.</w:t>
      </w:r>
    </w:p>
    <w:p>
      <w:pPr>
        <w:pStyle w:val="0"/>
        <w:suppressAutoHyphens w:val="false"/>
        <w:rPr>
          <w:rStyle w:val="1"/>
        </w:rPr>
      </w:pPr>
      <w:r>
        <w:rPr>
          <w:rStyle w:val="1"/>
        </w:rPr>
        <w:t xml:space="preserve">“130. artikulua.</w:t>
      </w:r>
    </w:p>
    <w:p>
      <w:pPr>
        <w:pStyle w:val="0"/>
        <w:suppressAutoHyphens w:val="false"/>
        <w:rPr>
          <w:rStyle w:val="1"/>
        </w:rPr>
      </w:pPr>
      <w:r>
        <w:rPr>
          <w:rStyle w:val="1"/>
        </w:rPr>
        <w:t xml:space="preserve">1. Toki entitateek eta haien menpeko entitateek, Europako Kontuen Sistemaren araberako definizio eta mugaketarekin bat Administrazio Publikoen sektorean sailkatutakoek, aurre-aurreko ekitaldiko likidazioa aurrezki garbi positiboarekin ixten badute, epe luzeko kreditu eragiketa berriak hitzartzen ahalko dituzte, baldin kapital biziaren bolumen osoa ez bada likidatutako edo sortutako diru-sarrera arrunten ehuneko 75etik gorakoa, kontabilitateko egoera-orri bateratuetatik ateratzen diren zifretan oinarrituta.</w:t>
      </w:r>
    </w:p>
    <w:p>
      <w:pPr>
        <w:pStyle w:val="0"/>
        <w:suppressAutoHyphens w:val="false"/>
        <w:rPr>
          <w:rStyle w:val="1"/>
        </w:rPr>
      </w:pPr>
      <w:r>
        <w:rPr>
          <w:rStyle w:val="1"/>
        </w:rPr>
        <w:t xml:space="preserve">Zorpetze bolumena aurreko paragrafoan aipatzen dena baino handiagoa eta likidatutako diru-sarrera arrunten ehuneko 110 baino txikiagoa duten toki entitateek zorpetze eragiketak hitzartzen ahalko dituzte, finantza tutoretzako organoak horretarako baimena eman ondoren.</w:t>
      </w:r>
    </w:p>
    <w:p>
      <w:pPr>
        <w:pStyle w:val="0"/>
        <w:suppressAutoHyphens w:val="false"/>
        <w:rPr>
          <w:rStyle w:val="1"/>
        </w:rPr>
      </w:pPr>
      <w:r>
        <w:rPr>
          <w:rStyle w:val="1"/>
        </w:rPr>
        <w:t xml:space="preserve">Aurrezki garbi negatiboa edo aurreko paragrafoan jasotzen dena baino zorpetze biziaren bolumen handiagoa duten entitateek ezin izanen dute epe luzeko kreditu eragiketarik hitzartu.</w:t>
      </w:r>
    </w:p>
    <w:p>
      <w:pPr>
        <w:pStyle w:val="0"/>
        <w:suppressAutoHyphens w:val="false"/>
        <w:rPr>
          <w:rStyle w:val="1"/>
        </w:rPr>
      </w:pPr>
      <w:r>
        <w:rPr>
          <w:rStyle w:val="1"/>
        </w:rPr>
        <w:t xml:space="preserve">Ondorio horietarako, ulertuko da toki entitateen eta haien erakunde autonomoen aurrezki garbia dela diru-sarrera arruntengatik likidatutako eskubideen eta gastuen egoera-orrietako lehen, bigarren eta laugarren kapituluetan onartutako betebeharren arteko diferentzia, zenbateko hau kenduta: urteko amortizazio-kuota teoriko bat, proiektatutako eragiketarena eta ordaintzeko dauden mailegu eta jesapen bereki nahiz hirugarrenei abalatutako guztiena.</w:t>
      </w:r>
    </w:p>
    <w:p>
      <w:pPr>
        <w:pStyle w:val="0"/>
        <w:suppressAutoHyphens w:val="false"/>
        <w:rPr>
          <w:rStyle w:val="1"/>
        </w:rPr>
      </w:pPr>
      <w:r>
        <w:rPr>
          <w:rStyle w:val="1"/>
        </w:rPr>
        <w:t xml:space="preserve">Urteko amortizazio-kuota teoriko horren zenbatekoa, biltzen dituena hitzartutako epe luzeko mailegu guztiena, korporazioak abalatutakoena, ordaintzeko dauden maileguena eta proiektatutako eragiketarena, termino konstantetan ezarriko da beti, interesak eta amortizaziorako urteko kuota barne hartuz, edozein direla ere eragiketa bakoitzaren modalitatea eta baldintzak.</w:t>
      </w:r>
    </w:p>
    <w:p>
      <w:pPr>
        <w:pStyle w:val="0"/>
        <w:suppressAutoHyphens w:val="false"/>
        <w:rPr>
          <w:rStyle w:val="1"/>
        </w:rPr>
      </w:pPr>
      <w:r>
        <w:rPr>
          <w:rStyle w:val="1"/>
        </w:rPr>
        <w:t xml:space="preserve">Enpresa-erakunde publikoetan eta toki mailako fundazioetan eta merkataritza sozietateetan, aurrezki garbia da jarduera arruntaren emaitza, mailegu edo jesapenen interesak alde batera utzita, eta urteko amortizazio-kuota teoriko bat kenduta, aurreko paragrafoan zehazten den bezala.</w:t>
      </w:r>
    </w:p>
    <w:p>
      <w:pPr>
        <w:pStyle w:val="0"/>
        <w:suppressAutoHyphens w:val="false"/>
        <w:rPr>
          <w:rStyle w:val="1"/>
        </w:rPr>
      </w:pPr>
      <w:r>
        <w:rPr>
          <w:rStyle w:val="1"/>
        </w:rPr>
        <w:t xml:space="preserve">Aurrezki garbian ez dira sartuko kreditu aldaketetatik datozen betebehar onartuak, diruzaintzako gerakin likidoarekin finantzatu direnak.</w:t>
      </w:r>
    </w:p>
    <w:p>
      <w:pPr>
        <w:pStyle w:val="0"/>
        <w:suppressAutoHyphens w:val="false"/>
        <w:rPr>
          <w:rStyle w:val="1"/>
        </w:rPr>
      </w:pPr>
      <w:r>
        <w:rPr>
          <w:rStyle w:val="1"/>
        </w:rPr>
        <w:t xml:space="preserve">Urteko kuota teoriko horien zenbatekoa kalkulatzean ez dira kontuan hartuko ondasun higiezinen gaineko hipoteken bidez bermatutako kreditu eragiketak, berme horrek hartzen duen mailegu-zatiari dagokion proportzioan.</w:t>
      </w:r>
    </w:p>
    <w:p>
      <w:pPr>
        <w:pStyle w:val="0"/>
        <w:suppressAutoHyphens w:val="false"/>
        <w:rPr>
          <w:rStyle w:val="1"/>
        </w:rPr>
      </w:pPr>
      <w:r>
        <w:rPr>
          <w:rStyle w:val="1"/>
        </w:rPr>
        <w:t xml:space="preserve">Toki mailako erakunde autonomoaren, enpresa-erakunde publikoaren edo merkataritza sozietatearen jardueraren xedea etxebizitzak eraikitzea baldin bada, aurrezki garbiaren kalkulua eginen da azken bi ekitaldietako batezbestekoa hartuz.</w:t>
      </w:r>
    </w:p>
    <w:p>
      <w:pPr>
        <w:pStyle w:val="0"/>
        <w:suppressAutoHyphens w:val="false"/>
        <w:rPr>
          <w:rStyle w:val="1"/>
        </w:rPr>
      </w:pPr>
      <w:r>
        <w:rPr>
          <w:rStyle w:val="1"/>
        </w:rPr>
        <w:t xml:space="preserve">Aurrezki garbia eta zorpetze maila kalkulatzean kontuan hartu beharreko diru-sarrera arruntak zehazteko, kenduko dira kapital eragiketei atxikitako diru-sarrerak eta 1. kapitulutik 5. kapitulura bitartekoei aplikatutako aparteko beste edozein diru-sarrera, legezko atxikipenagatik eta/edo errepikatuak ez izategatik diru-sarrera arruntak ez direnak.</w:t>
      </w:r>
    </w:p>
    <w:p>
      <w:pPr>
        <w:pStyle w:val="0"/>
        <w:suppressAutoHyphens w:val="false"/>
        <w:rPr>
          <w:rStyle w:val="1"/>
        </w:rPr>
      </w:pPr>
      <w:r>
        <w:rPr>
          <w:rStyle w:val="1"/>
        </w:rPr>
        <w:t xml:space="preserve">Kapital biziaren kalkulurako, kontuan hartuko dira aurreko urteko abenduaren 31n indarra zuten eragiketa guztiak, abalen arriskua barne, horri gehituta, kasua bada, eragiketa formalizatuen saldo erabili gabeak eta proiektatutako eragiketaren zenbatekoa.</w:t>
      </w:r>
    </w:p>
    <w:p>
      <w:pPr>
        <w:pStyle w:val="0"/>
        <w:suppressAutoHyphens w:val="false"/>
        <w:rPr>
          <w:rStyle w:val="1"/>
        </w:rPr>
      </w:pPr>
      <w:r>
        <w:rPr>
          <w:rStyle w:val="1"/>
        </w:rPr>
        <w:t xml:space="preserve">2. Edozein kasutan, finantza tutoretzako organoaren baimena beharko da epe laburreko eta luzeko kreditu eragiketetarako, abalak emateko eta kontratuen baldintzak aldatzen edo berme gehigarriak eransten dituzten gainerako eragiketetarako, hirugarrenen bitartekaritzarekin nahiz gabe, kasu hauetan:</w:t>
      </w:r>
    </w:p>
    <w:p>
      <w:pPr>
        <w:pStyle w:val="0"/>
        <w:suppressAutoHyphens w:val="false"/>
        <w:rPr>
          <w:rStyle w:val="1"/>
        </w:rPr>
      </w:pPr>
      <w:r>
        <w:rPr>
          <w:rStyle w:val="1"/>
        </w:rPr>
        <w:t xml:space="preserve">a) Atzerrian edo Espainiako egoiliarrak ez diren finantza entitateekin formalizatzen direnak, edozein dela ere proiektatutako eragiketaren kapitala ezartzeko dibisa; horren barnean daude finantza entitate ez-egoiliarrei egindako lagapenak, entitate egoiliarrek toki entitateei, haien erakunde autonomoei eta haien menpeko entitate, fundazio eta merkataritza-sozietateei emandako kredituetan dituzten partaidetzenak, horiek ematen dituzten zerbitzuak edo ekoizten dituzten produktuak nagusiki merkatuko diru-sarrerekin finantzatzen ez badira.</w:t>
      </w:r>
    </w:p>
    <w:p>
      <w:pPr>
        <w:pStyle w:val="0"/>
        <w:suppressAutoHyphens w:val="false"/>
        <w:rPr>
          <w:rStyle w:val="1"/>
        </w:rPr>
      </w:pPr>
      <w:r>
        <w:rPr>
          <w:rStyle w:val="1"/>
        </w:rPr>
        <w:t xml:space="preserve">b) Zor jaulkipenen bidez edo kreditu publikoaren beste edozein erabileraren bidez gauzatzen direnak.</w:t>
      </w:r>
    </w:p>
    <w:p>
      <w:pPr>
        <w:pStyle w:val="0"/>
        <w:suppressAutoHyphens w:val="false"/>
        <w:rPr>
          <w:rStyle w:val="1"/>
        </w:rPr>
      </w:pPr>
      <w:r>
        <w:rPr>
          <w:rStyle w:val="1"/>
        </w:rPr>
        <w:t xml:space="preserve">a) letran aurreikusten denari dagokionez, ez dira atzerriko finantzaketatzat hartuko Europar Batasuneko herrialdeen lurraldearen barruan herrialde horietako bateko egoiliarrak diren finantza entitateekin eurotan egiten diren eragiketak. Kasu guztietan, eragiketa horiek finantza tutoretzako organoari komunikatu beharko zaizkio aldez aurretik.</w:t>
      </w:r>
    </w:p>
    <w:p>
      <w:pPr>
        <w:pStyle w:val="0"/>
        <w:suppressAutoHyphens w:val="false"/>
        <w:rPr>
          <w:rStyle w:val="1"/>
        </w:rPr>
      </w:pPr>
      <w:r>
        <w:rPr>
          <w:rStyle w:val="1"/>
        </w:rPr>
        <w:t xml:space="preserve">3. Aldi baterako inbertsioak finantzatzen dituzten eta foru lege honen 128. artikuluan araututako mugak gainditzen dituzten epe laburreko eragiketetarako, baimena beharko da, zeina bakarrik emanen baita toki entitateak justifikatzen badu funtsak badituela dagokion muga-egunean kitatzeko.</w:t>
      </w:r>
    </w:p>
    <w:p>
      <w:pPr>
        <w:pStyle w:val="0"/>
        <w:suppressAutoHyphens w:val="false"/>
        <w:rPr>
          <w:rStyle w:val="1"/>
        </w:rPr>
      </w:pPr>
      <w:r>
        <w:rPr>
          <w:rStyle w:val="1"/>
        </w:rPr>
        <w:t xml:space="preserve">4. Artikulu honetan ezarritako arauekin bat, beharrezkoa bada finantza tutoretzako organoaren baimena kreditu eragiketa hitzartzeko, eragiketa horrekin lotutako gastu konpromisoak ez dira irmo bihurtuko harik eta baimen hori eskuratu arte. Horretarako, finantza tutoretzako organoaren komunikazioa, baimenari buruzkoa, toki entitatera igorriko da kreditu eragiketa hitzartzeko eskaera egin eta bi hilabete iragan baino lehen.</w:t>
      </w:r>
    </w:p>
    <w:p>
      <w:pPr>
        <w:pStyle w:val="0"/>
        <w:suppressAutoHyphens w:val="false"/>
        <w:rPr>
          <w:rStyle w:val="1"/>
        </w:rPr>
      </w:pPr>
      <w:r>
        <w:rPr>
          <w:rStyle w:val="1"/>
        </w:rPr>
        <w:t xml:space="preserve">5. Nafarroako Aurrekontu Orokorrei buruzko foru legeetan ezartzen ahalko dira, urtero, toki entitateek kreditua eskuratzeko bestelako baldintza batzuk, unean uneko egoera dela-eta neurri hori hartzea komeni denean, politika ekonomiko orokorraren arrazoiengatik. Aurrekontuak luzatzen direnean, mugak ezartzen ahalko dira horretarako onetsitako foru lege baten bidez.</w:t>
      </w:r>
    </w:p>
    <w:p>
      <w:pPr>
        <w:pStyle w:val="0"/>
        <w:suppressAutoHyphens w:val="false"/>
        <w:rPr>
          <w:rStyle w:val="1"/>
        </w:rPr>
      </w:pPr>
      <w:r>
        <w:rPr>
          <w:rStyle w:val="1"/>
        </w:rPr>
        <w:t xml:space="preserve">6. Mailegu edo kreditu eragiketa bat edo zor-jaulkipenak, bere modalitate guztietan, edozein motatako kredituan emandako abalak eta bermeak, finantza errentamenduko eragiketak eta etorkizuneko finantza egoerari eragiten dioten beste edozein, toki entitateek edo beren menpeko entitateek, Administrazio Publikoen sektorean sailkatutakoek, hitzartu dituztenak, izenpetu, kitatu edo aldatu eta hilabeteko epean, gehienez ere, jakinaraziko zaizkio finantza tutoretzako organoari eragiketaren baldintzak eta amortizazio taula”.</w:t>
      </w:r>
    </w:p>
    <w:p>
      <w:pPr>
        <w:pStyle w:val="0"/>
        <w:suppressAutoHyphens w:val="false"/>
        <w:rPr>
          <w:rStyle w:val="1"/>
        </w:rPr>
      </w:pPr>
      <w:r>
        <w:rPr>
          <w:rStyle w:val="1"/>
          <w:u w:val="single"/>
        </w:rPr>
        <w:t xml:space="preserve">Hamar</w:t>
      </w:r>
      <w:r>
        <w:rPr>
          <w:rStyle w:val="1"/>
        </w:rPr>
        <w:t xml:space="preserve">. 131. artikulua.</w:t>
      </w:r>
    </w:p>
    <w:p>
      <w:pPr>
        <w:pStyle w:val="0"/>
        <w:suppressAutoHyphens w:val="false"/>
        <w:rPr>
          <w:rStyle w:val="1"/>
        </w:rPr>
      </w:pPr>
      <w:r>
        <w:rPr>
          <w:rStyle w:val="1"/>
        </w:rPr>
        <w:t xml:space="preserve">“131. artikulua.</w:t>
      </w:r>
    </w:p>
    <w:p>
      <w:pPr>
        <w:pStyle w:val="0"/>
        <w:suppressAutoHyphens w:val="false"/>
        <w:rPr>
          <w:rStyle w:val="1"/>
        </w:rPr>
      </w:pPr>
      <w:r>
        <w:rPr>
          <w:rStyle w:val="1"/>
        </w:rPr>
        <w:t xml:space="preserve">Toki entitateen menpeko erakundeek kreditu eragiketak hitzartzen ahalko dituzte aurreko artikuluetan ezarritako baldintzetan, korporazioaren osoko bilkurak baimena eman eta kontu-hartzailetzak txostena egin ondotik”.</w:t>
      </w:r>
    </w:p>
    <w:p>
      <w:pPr>
        <w:pStyle w:val="0"/>
        <w:suppressAutoHyphens w:val="false"/>
        <w:rPr>
          <w:rStyle w:val="1"/>
        </w:rPr>
      </w:pPr>
      <w:r>
        <w:rPr>
          <w:rStyle w:val="1"/>
          <w:u w:val="single"/>
        </w:rPr>
        <w:t xml:space="preserve">Hamaika</w:t>
      </w:r>
      <w:r>
        <w:rPr>
          <w:rStyle w:val="1"/>
        </w:rPr>
        <w:t xml:space="preserve">. 140. artikulua, 4. eta 5. apartatuak gehitzea.</w:t>
      </w:r>
    </w:p>
    <w:p>
      <w:pPr>
        <w:pStyle w:val="0"/>
        <w:suppressAutoHyphens w:val="false"/>
        <w:rPr>
          <w:rStyle w:val="1"/>
        </w:rPr>
      </w:pPr>
      <w:r>
        <w:rPr>
          <w:rStyle w:val="1"/>
        </w:rPr>
        <w:t xml:space="preserve">“4. Ordenantza fiskalek arautzen ahalko dute zergaren kuotaren ehuneko 90erainoko hobari bat, kasuan kasuko etxebizitza familia ugariaren edo familia guraso bakarrekoaren edo gurasobakartasun egoeran dagoen familiaren titularrak diren subjektu pasiboen ohiko bizilekua denean.</w:t>
      </w:r>
    </w:p>
    <w:p>
      <w:pPr>
        <w:pStyle w:val="0"/>
        <w:suppressAutoHyphens w:val="false"/>
        <w:rPr>
          <w:rStyle w:val="1"/>
        </w:rPr>
      </w:pPr>
      <w:r>
        <w:rPr>
          <w:rStyle w:val="1"/>
        </w:rPr>
        <w:t xml:space="preserve">Toki-entitateek, beren udal-autonomiaren barruan, hobari hori berdindu ahal izanen dute kotizazio gabeko pentsioak dituzten zergadunekin, errenta bermatua edo bizitzeko gutxieneko diru-sarrera jasotzen dutenekin.</w:t>
      </w:r>
    </w:p>
    <w:p>
      <w:pPr>
        <w:pStyle w:val="0"/>
        <w:suppressAutoHyphens w:val="false"/>
        <w:rPr>
          <w:rStyle w:val="1"/>
        </w:rPr>
      </w:pPr>
      <w:r>
        <w:rPr>
          <w:rStyle w:val="1"/>
        </w:rPr>
        <w:t xml:space="preserve">Hobari hori jasotzeko, subjektu pasiboaren errentek, salbuetsiak alde batera utzita, ezin izanen dute gainditu lanbide arteko gutxieneko soldata halako 4, eta toki-entitate bakoitzak tarte desberdinak hartu ahal izanen ditu kontuan errentaren arabera, ehuneko 90eraino gehienez.</w:t>
      </w:r>
    </w:p>
    <w:p>
      <w:pPr>
        <w:pStyle w:val="0"/>
        <w:suppressAutoHyphens w:val="false"/>
        <w:rPr>
          <w:rStyle w:val="1"/>
        </w:rPr>
      </w:pPr>
      <w:r>
        <w:rPr>
          <w:rStyle w:val="1"/>
        </w:rPr>
        <w:t xml:space="preserve">Hobari hau aplikatzeko, beharrezkoa izanen da udalerriko balorazio txosten osoaren onespena edo azken berrikuspena aurreko bost urteko epean egina izatea, gehienez ere.</w:t>
      </w:r>
    </w:p>
    <w:p>
      <w:pPr>
        <w:pStyle w:val="0"/>
        <w:suppressAutoHyphens w:val="false"/>
        <w:rPr>
          <w:rStyle w:val="1"/>
        </w:rPr>
      </w:pPr>
      <w:r>
        <w:rPr>
          <w:rStyle w:val="1"/>
        </w:rPr>
        <w:t xml:space="preserve">Hobariaren gainerako alderdi substantiboak eta formalak ordenantza fiskalaren bidez arautuko dira.</w:t>
      </w:r>
    </w:p>
    <w:p>
      <w:pPr>
        <w:pStyle w:val="0"/>
        <w:suppressAutoHyphens w:val="false"/>
        <w:rPr>
          <w:rStyle w:val="1"/>
        </w:rPr>
      </w:pPr>
      <w:r>
        <w:rPr>
          <w:rStyle w:val="1"/>
        </w:rPr>
        <w:t xml:space="preserve">5. Orobat, ordenantza fiskalek arautzen ahalko dute ondasun higiezinen gaineko zergaren kuota osoaren 100eko 50erainoko hobaria, higiezinean eguzki energia edo beste energia berriztagarri batzuen bidezko aprobetxamendu termiko edo elektrikorako sistemak ezarri direnean.</w:t>
      </w:r>
    </w:p>
    <w:p>
      <w:pPr>
        <w:pStyle w:val="0"/>
        <w:suppressAutoHyphens w:val="false"/>
        <w:rPr>
          <w:rStyle w:val="1"/>
        </w:rPr>
      </w:pPr>
      <w:r>
        <w:rPr>
          <w:rStyle w:val="1"/>
        </w:rPr>
        <w:t xml:space="preserve">Hobari hori jasotzeko, subjektu pasiboaren errentek, salbuetsiak alde batera utzita, ezin izanen dute gainditu lanbide arteko gutxieneko soldata halako 4, eta toki-entitate bakoitzak tarte desberdinak hartu ahal izanen ditu kontuan errentaren arabera, ehuneko 90eraino gehienez.</w:t>
      </w:r>
    </w:p>
    <w:p>
      <w:pPr>
        <w:pStyle w:val="0"/>
        <w:suppressAutoHyphens w:val="false"/>
        <w:rPr>
          <w:rStyle w:val="1"/>
        </w:rPr>
      </w:pPr>
      <w:r>
        <w:rPr>
          <w:rStyle w:val="1"/>
        </w:rPr>
        <w:t xml:space="preserve">Hobari horren aplikaziorako, beharrezkoa izanen da beroa sortzeko instalazioetan administrazio eskudunaren homologazioa duten kolektoreak egotea.</w:t>
      </w:r>
    </w:p>
    <w:p>
      <w:pPr>
        <w:pStyle w:val="0"/>
        <w:suppressAutoHyphens w:val="false"/>
        <w:rPr>
          <w:rStyle w:val="1"/>
        </w:rPr>
      </w:pPr>
      <w:r>
        <w:rPr>
          <w:rStyle w:val="1"/>
        </w:rPr>
        <w:t xml:space="preserve">Hobariaren gainerako alderdi substantiboak eta formalak ordenantza fiskalaren bidez arautuko dira”.</w:t>
      </w:r>
    </w:p>
    <w:p>
      <w:pPr>
        <w:pStyle w:val="0"/>
        <w:suppressAutoHyphens w:val="false"/>
        <w:rPr>
          <w:rStyle w:val="1"/>
        </w:rPr>
      </w:pPr>
      <w:r>
        <w:rPr>
          <w:rStyle w:val="1"/>
          <w:u w:val="single"/>
        </w:rPr>
        <w:t xml:space="preserve">Hamabi</w:t>
      </w:r>
      <w:r>
        <w:rPr>
          <w:rStyle w:val="1"/>
        </w:rPr>
        <w:t xml:space="preserve">. 150.1 artikulua, g) letra gehitzea.</w:t>
      </w:r>
    </w:p>
    <w:p>
      <w:pPr>
        <w:pStyle w:val="0"/>
        <w:suppressAutoHyphens w:val="false"/>
        <w:rPr>
          <w:rStyle w:val="1"/>
        </w:rPr>
      </w:pPr>
      <w:r>
        <w:rPr>
          <w:rStyle w:val="1"/>
        </w:rPr>
        <w:t xml:space="preserve">“g) Negozio-zifraren zenbateko garbia 1.000.000 eurotik beherakoa duten subjektu pasiboak.</w:t>
      </w:r>
    </w:p>
    <w:p>
      <w:pPr>
        <w:pStyle w:val="0"/>
        <w:suppressAutoHyphens w:val="false"/>
        <w:rPr>
          <w:rStyle w:val="1"/>
        </w:rPr>
      </w:pPr>
      <w:r>
        <w:rPr>
          <w:rStyle w:val="1"/>
        </w:rPr>
        <w:t xml:space="preserve">Ez-egoiliarren errentaren gaineko zergaren zergadunei dagokienez, salbuespena aplikatuko zaie soilik Espainiako lurraldean establezimendu iraunkorraren bidez jarduten dutenei, baldin eta negozio-zifraren zenbateko garbia 1.000.000 eurotik beherakoa badute.</w:t>
      </w:r>
    </w:p>
    <w:p>
      <w:pPr>
        <w:pStyle w:val="0"/>
        <w:suppressAutoHyphens w:val="false"/>
        <w:rPr>
          <w:rStyle w:val="1"/>
        </w:rPr>
      </w:pPr>
      <w:r>
        <w:rPr>
          <w:rStyle w:val="1"/>
        </w:rPr>
        <w:t xml:space="preserve">Edozein kasutan, salbuespena aplikatzeko beharrezkoa izanen da subjektu pasiboetan ez izatea letra honetan aurreikusitako negozio-zifraren zenbateko garbiaren betebeharra betetzen ez duten enpresen ehuneko 25eko edo gehiagoko partaidetza, zuzenekoa nahiz zeharkakoa, salbu eta Sozietateen gaineko Zergari buruzko abenduaren 28ko 26/2016 Foru Legearen 94. artikuluan aipatzen diren arrisku kapitaleko entitateak badira, partaidetza entitate horien xede soziala betetzearen ondorioa denean.</w:t>
      </w:r>
    </w:p>
    <w:p>
      <w:pPr>
        <w:pStyle w:val="0"/>
        <w:suppressAutoHyphens w:val="false"/>
        <w:rPr>
          <w:rStyle w:val="1"/>
        </w:rPr>
      </w:pPr>
      <w:r>
        <w:rPr>
          <w:rStyle w:val="1"/>
        </w:rPr>
        <w:t xml:space="preserve">Letra honetan aurreikusitakoa aplikatzeko, arau hauek kontuan hartuko dira:</w:t>
      </w:r>
    </w:p>
    <w:p>
      <w:pPr>
        <w:pStyle w:val="0"/>
        <w:suppressAutoHyphens w:val="false"/>
        <w:rPr>
          <w:rStyle w:val="1"/>
        </w:rPr>
      </w:pPr>
      <w:r>
        <w:rPr>
          <w:rStyle w:val="1"/>
        </w:rPr>
        <w:t xml:space="preserve">Lehena. Subjektu pasiboaren negozio-zifraren zenbateko garbian kontuan hartuko dira enpresaren ohiko jarduerei dagozkien zerbitzu-prestazioen, produktu-salmenten eta beste diru-sarrera batzuen zenbatekoak, salmenten gaineko hobariak eta gainerako murriztapenak kenduta, bai eta balio erantsiaren gaineko zergaren eta aipatu negozio-zifrarekin zuzenean loturiko beste zerga batzuen zenbatekoak ere, jasanarazi beharrekoak.</w:t>
      </w:r>
    </w:p>
    <w:p>
      <w:pPr>
        <w:pStyle w:val="0"/>
        <w:suppressAutoHyphens w:val="false"/>
        <w:rPr>
          <w:rStyle w:val="1"/>
        </w:rPr>
      </w:pPr>
      <w:r>
        <w:rPr>
          <w:rStyle w:val="1"/>
        </w:rPr>
        <w:t xml:space="preserve">Bigarrena.. Pertsona fisikoen errentaren gaineko zergaren, sozietateen gaineko zergaren, edo ez-egoiliarren errentaren gaineko zergaren zergadunen kasuan, negozio-zifraren zenbateko garbia izanen da tributu horien aitorpenak aurkezteko epea zerga honen sortzapenaren aurreko urtean bukatu zen zergaldikoa.</w:t>
      </w:r>
    </w:p>
    <w:p>
      <w:pPr>
        <w:pStyle w:val="0"/>
        <w:suppressAutoHyphens w:val="false"/>
        <w:rPr>
          <w:rStyle w:val="1"/>
        </w:rPr>
      </w:pPr>
      <w:r>
        <w:rPr>
          <w:rStyle w:val="1"/>
        </w:rPr>
        <w:t xml:space="preserve">Sozietateen gaineko zergaren zergadun ez diren sozietate zibilen kasuan, bai eta Tributuei buruzko abenduaren 14ko 13/2000 Foru Lege Orokorraren 25. artikuluan aipatzen diren entitateen kasuan ere, negozio-zifraren zenbateko garbia izanen da zerga honen sortzapeneko urtearen aurreko azken-aurreko urteari dagokiona.</w:t>
      </w:r>
    </w:p>
    <w:p>
      <w:pPr>
        <w:pStyle w:val="0"/>
        <w:suppressAutoHyphens w:val="false"/>
        <w:rPr>
          <w:rStyle w:val="1"/>
        </w:rPr>
      </w:pPr>
      <w:r>
        <w:rPr>
          <w:rStyle w:val="1"/>
        </w:rPr>
        <w:t xml:space="preserve">Zergaldiaren iraupena urte naturala baino laburragoa izan bada, negozio-zifraren zenbateko garbia urte osoaren araberakoa izanen da.</w:t>
      </w:r>
    </w:p>
    <w:p>
      <w:pPr>
        <w:pStyle w:val="0"/>
        <w:suppressAutoHyphens w:val="false"/>
        <w:rPr>
          <w:rStyle w:val="1"/>
        </w:rPr>
      </w:pPr>
      <w:r>
        <w:rPr>
          <w:rStyle w:val="1"/>
        </w:rPr>
        <w:t xml:space="preserve">Hirugarrena, Subjektu pasiboaren negozio-zifraren zenbateko garbia kalkulatzeko, kontuan hartuko dira hark betetako jarduera ekonomiko guztiak.</w:t>
      </w:r>
    </w:p>
    <w:p>
      <w:pPr>
        <w:pStyle w:val="0"/>
        <w:suppressAutoHyphens w:val="false"/>
        <w:rPr>
          <w:rStyle w:val="1"/>
        </w:rPr>
      </w:pPr>
      <w:r>
        <w:rPr>
          <w:rStyle w:val="1"/>
        </w:rPr>
        <w:t xml:space="preserve">Delako entitatea sozietate talde bateko kidea bada (Merkataritza Kodearen 42. artikuluak definitzen duen bezala), alde batera utzita egoitza eta urteko kontu bateratuak formulatzeko betebeharra, negozio-zifraren zenbateko garbia kalkulatuko da talde horretako sozietate guztiak aintzat hartuta, kontuan harturik egoki diren eliminazioak eta gaineratutakoak, kontabilitateko araudia aplikatuta. Irizpide hori bera aplikatuko da pertsona fisiko bat, bera bakarrik edo ezkontidearekin edo ahaide dituen beste pertsona fisiko batzuekin elkar hartuta (ahaideak lerro zuzenekoak nahiz albokoak izan, odol bidezkoak nahiz ezkontza bidezkoak, bigarren graduraino, bigarrena barne), Merkataritza Kodearen 42. artikuluak aipatzen dituen kasuetako batean badago, bazkide direneko beste entitate batzuekiko, alde batera utzita entitateen egoitza eta urteko kontu kontsolidatuak egiteko betebeharra.</w:t>
      </w:r>
    </w:p>
    <w:p>
      <w:pPr>
        <w:pStyle w:val="0"/>
        <w:suppressAutoHyphens w:val="false"/>
        <w:rPr>
          <w:rStyle w:val="1"/>
        </w:rPr>
      </w:pPr>
      <w:r>
        <w:rPr>
          <w:rStyle w:val="1"/>
        </w:rPr>
        <w:t xml:space="preserve">Laugarrena. Ez-egoiliarren errentaren gaineko zergaren zergadunen kasuan, aintzat hartuko da Espainiako lurraldean dauden establezimendu iraunkor guztiei egotzi beharreko negozio-zifraren zenbateko garbia”.</w:t>
      </w:r>
    </w:p>
    <w:p>
      <w:pPr>
        <w:pStyle w:val="0"/>
        <w:suppressAutoHyphens w:val="false"/>
        <w:rPr>
          <w:rStyle w:val="1"/>
        </w:rPr>
      </w:pPr>
      <w:r>
        <w:rPr>
          <w:rStyle w:val="1"/>
          <w:u w:val="single"/>
        </w:rPr>
        <w:t xml:space="preserve">Hamahiru</w:t>
      </w:r>
      <w:r>
        <w:rPr>
          <w:rStyle w:val="1"/>
        </w:rPr>
        <w:t xml:space="preserve">. 160. artikulua.</w:t>
      </w:r>
    </w:p>
    <w:p>
      <w:pPr>
        <w:pStyle w:val="0"/>
        <w:suppressAutoHyphens w:val="false"/>
        <w:rPr>
          <w:rStyle w:val="1"/>
        </w:rPr>
      </w:pPr>
      <w:r>
        <w:rPr>
          <w:rStyle w:val="1"/>
        </w:rPr>
        <w:t xml:space="preserve">“160. artikulua.</w:t>
      </w:r>
    </w:p>
    <w:p>
      <w:pPr>
        <w:pStyle w:val="0"/>
        <w:suppressAutoHyphens w:val="false"/>
        <w:rPr>
          <w:rStyle w:val="1"/>
        </w:rPr>
      </w:pPr>
      <w:r>
        <w:rPr>
          <w:rStyle w:val="1"/>
        </w:rPr>
        <w:t xml:space="preserve">1. Honako hauek daude zerga honetatik salbuetsiak:</w:t>
      </w:r>
    </w:p>
    <w:p>
      <w:pPr>
        <w:pStyle w:val="0"/>
        <w:suppressAutoHyphens w:val="false"/>
        <w:rPr>
          <w:rStyle w:val="1"/>
        </w:rPr>
      </w:pPr>
      <w:r>
        <w:rPr>
          <w:rStyle w:val="1"/>
        </w:rPr>
        <w:t xml:space="preserve">a) Nafarroako Foru Komunitatearen, Estatuaren eta toki entitateen ibilgailu ofizialak.</w:t>
      </w:r>
    </w:p>
    <w:p>
      <w:pPr>
        <w:pStyle w:val="0"/>
        <w:suppressAutoHyphens w:val="false"/>
        <w:rPr>
          <w:rStyle w:val="1"/>
        </w:rPr>
      </w:pPr>
      <w:r>
        <w:rPr>
          <w:rStyle w:val="1"/>
        </w:rPr>
        <w:t xml:space="preserve">b) Bulego kontsularren eta Espainian akreditazioa duten karrerako funtzionario kontsularren ibilgailuak, horiek beren herrialdeetako hiritarrak badira, kanpoan identifikatuak eta bai kopuruan bai graduan erreziprozitatearen baldintzarekin.</w:t>
      </w:r>
    </w:p>
    <w:p>
      <w:pPr>
        <w:pStyle w:val="0"/>
        <w:suppressAutoHyphens w:val="false"/>
        <w:rPr>
          <w:rStyle w:val="1"/>
        </w:rPr>
      </w:pPr>
      <w:r>
        <w:rPr>
          <w:rStyle w:val="1"/>
        </w:rPr>
        <w:t xml:space="preserve">Era berean, Espainian egoitza edo bulegoa duten nazioarteko erakundeen ibilgailuak, bai eta haietako funtzionarioen edo estatutu diplomatikoa duten kideenenak ere.</w:t>
      </w:r>
    </w:p>
    <w:p>
      <w:pPr>
        <w:pStyle w:val="0"/>
        <w:suppressAutoHyphens w:val="false"/>
        <w:rPr>
          <w:rStyle w:val="1"/>
        </w:rPr>
      </w:pPr>
      <w:r>
        <w:rPr>
          <w:rStyle w:val="1"/>
        </w:rPr>
        <w:t xml:space="preserve">c) Anbulantziak eta osasun laguntza emateko zuzenean erabiltzen diren gainerako ibilgailuak, Espainiako Gurutze Gorriarenak eta DYA Elkartearenak.</w:t>
      </w:r>
    </w:p>
    <w:p>
      <w:pPr>
        <w:pStyle w:val="0"/>
        <w:suppressAutoHyphens w:val="false"/>
        <w:rPr>
          <w:rStyle w:val="1"/>
        </w:rPr>
      </w:pPr>
      <w:r>
        <w:rPr>
          <w:rStyle w:val="1"/>
        </w:rPr>
        <w:t xml:space="preserve">d) Desgaitasuna duten pertsonak eramateko ibilgailuak, irabazi-asmorik gabeko erakundeen izenean matrikulatutakoak.</w:t>
      </w:r>
    </w:p>
    <w:p>
      <w:pPr>
        <w:pStyle w:val="0"/>
        <w:suppressAutoHyphens w:val="false"/>
        <w:rPr>
          <w:rStyle w:val="1"/>
        </w:rPr>
      </w:pPr>
      <w:r>
        <w:rPr>
          <w:rStyle w:val="1"/>
        </w:rPr>
        <w:t xml:space="preserve">e) Egokitzapen bereziak dituzten ibilgailuak. Salbuetsirik egonen dira, halaber, ehuneko 33ko desgaitasuna edo handiagoa dutenen izenean matrikulatutako ibilgailuak eta, desgaitasunaz gain, ezaugarri hauetakoren bat badute:</w:t>
      </w:r>
    </w:p>
    <w:p>
      <w:pPr>
        <w:pStyle w:val="0"/>
        <w:suppressAutoHyphens w:val="false"/>
        <w:rPr>
          <w:rStyle w:val="1"/>
        </w:rPr>
      </w:pPr>
      <w:r>
        <w:rPr>
          <w:rStyle w:val="1"/>
        </w:rPr>
        <w:t xml:space="preserve">a’) Mugikortasun murriztua izatea, Desgaitasun maila aitortu, onartu eta kalifikatzeko prozedurari buruzko abenduaren 23ko 1971/1999 Errege Dekretuaren II. eranskinean jasotakoaren arabera.</w:t>
      </w:r>
    </w:p>
    <w:p>
      <w:pPr>
        <w:pStyle w:val="0"/>
        <w:suppressAutoHyphens w:val="false"/>
        <w:rPr>
          <w:rStyle w:val="1"/>
        </w:rPr>
      </w:pPr>
      <w:r>
        <w:rPr>
          <w:rStyle w:val="1"/>
        </w:rPr>
        <w:t xml:space="preserve">b’) Defizit kognitiboa, intelektuala edo nahasmendu mentala izatea.</w:t>
      </w:r>
    </w:p>
    <w:p>
      <w:pPr>
        <w:pStyle w:val="0"/>
        <w:suppressAutoHyphens w:val="false"/>
        <w:rPr>
          <w:rStyle w:val="1"/>
        </w:rPr>
      </w:pPr>
      <w:r>
        <w:rPr>
          <w:rStyle w:val="1"/>
        </w:rPr>
        <w:t xml:space="preserve">c’) Begirik hoberenean ikusmen-zolitasuna 0,1ekoa edo gutxiagokoa izatea leiar zuzentzaileekin, edo ikus-eremua 10 gradura edo gutxiagora murriztua.</w:t>
      </w:r>
    </w:p>
    <w:p>
      <w:pPr>
        <w:pStyle w:val="0"/>
        <w:suppressAutoHyphens w:val="false"/>
        <w:rPr>
          <w:rStyle w:val="1"/>
        </w:rPr>
      </w:pPr>
      <w:r>
        <w:rPr>
          <w:rStyle w:val="1"/>
        </w:rPr>
        <w:t xml:space="preserve">d’) Adingabea izatea.</w:t>
      </w:r>
    </w:p>
    <w:p>
      <w:pPr>
        <w:pStyle w:val="0"/>
        <w:suppressAutoHyphens w:val="false"/>
        <w:rPr>
          <w:rStyle w:val="1"/>
        </w:rPr>
      </w:pPr>
      <w:r>
        <w:rPr>
          <w:rStyle w:val="1"/>
        </w:rPr>
        <w:t xml:space="preserve">Salbuespenak ibilgailu bat hartuko du pertsona bakoitzeko.</w:t>
      </w:r>
    </w:p>
    <w:p>
      <w:pPr>
        <w:pStyle w:val="0"/>
        <w:suppressAutoHyphens w:val="false"/>
        <w:rPr>
          <w:rStyle w:val="1"/>
        </w:rPr>
      </w:pPr>
      <w:r>
        <w:rPr>
          <w:rStyle w:val="1"/>
        </w:rPr>
        <w:t xml:space="preserve">f) Garraio publikoari atxikitako hiri barneko autobusak, zerga ezartzen duen udalak edo udala, zerbitzu hori beste batzuekin elkartuta emateko, kide den toki entitateak emandako administrazio emakidaren araubidean.</w:t>
      </w:r>
    </w:p>
    <w:p>
      <w:pPr>
        <w:pStyle w:val="0"/>
        <w:suppressAutoHyphens w:val="false"/>
        <w:rPr>
          <w:rStyle w:val="1"/>
        </w:rPr>
      </w:pPr>
      <w:r>
        <w:rPr>
          <w:rStyle w:val="1"/>
        </w:rPr>
        <w:t xml:space="preserve">g) Nekazaritzako Inskripzio Txartela duten traktore, atoi, erdi-atoi eta makinak.</w:t>
      </w:r>
    </w:p>
    <w:p>
      <w:pPr>
        <w:pStyle w:val="0"/>
        <w:suppressAutoHyphens w:val="false"/>
        <w:rPr>
          <w:rStyle w:val="1"/>
        </w:rPr>
      </w:pPr>
      <w:r>
        <w:rPr>
          <w:rStyle w:val="1"/>
        </w:rPr>
        <w:t xml:space="preserve">2. 1. apartatuko e) eta g) letretan aipatzen diren salbuespenak baliatzeko, interesdunek eskatu beharko dute, ibilgailuaren ezaugarriak, matrikula eta onura izateko arrazoia adieraziz. Toki entitateak salbuespena deklaratu ondoren, hala dela frogatzen duen agiri bat eginen da”.</w:t>
      </w:r>
    </w:p>
    <w:p>
      <w:pPr>
        <w:pStyle w:val="0"/>
        <w:suppressAutoHyphens w:val="false"/>
        <w:rPr>
          <w:rStyle w:val="1"/>
        </w:rPr>
      </w:pPr>
      <w:r>
        <w:rPr>
          <w:rStyle w:val="1"/>
          <w:u w:val="single"/>
        </w:rPr>
        <w:t xml:space="preserve">Hamalau</w:t>
      </w:r>
      <w:r>
        <w:rPr>
          <w:rStyle w:val="1"/>
        </w:rPr>
        <w:t xml:space="preserve">. 162.1 artikulua.</w:t>
      </w:r>
    </w:p>
    <w:p>
      <w:pPr>
        <w:pStyle w:val="0"/>
        <w:suppressAutoHyphens w:val="false"/>
        <w:rPr>
          <w:rStyle w:val="1"/>
        </w:rPr>
      </w:pPr>
      <w:r>
        <w:rPr>
          <w:rStyle w:val="1"/>
        </w:rPr>
        <w:t xml:space="preserve">“1. Zerga honako kuota hauen arabera eskatuko da:</w:t>
      </w:r>
    </w:p>
    <w:p>
      <w:pPr>
        <w:pStyle w:val="0"/>
        <w:suppressAutoHyphens w:val="false"/>
        <w:rPr>
          <w:rStyle w:val="1"/>
        </w:rPr>
      </w:pPr>
      <w:r>
        <w:rPr>
          <w:rStyle w:val="1"/>
        </w:rPr>
        <w:t xml:space="preserve">a) Turismo ibilgailuak:</w:t>
      </w:r>
    </w:p>
    <w:p>
      <w:pPr>
        <w:pStyle w:val="0"/>
        <w:ind w:firstLine="0"/>
        <w:suppressAutoHyphens w:val="false"/>
        <w:rPr>
          <w:rStyle w:val="1"/>
        </w:rPr>
      </w:pPr>
      <w:r>
        <w:rPr>
          <w:rStyle w:val="1"/>
        </w:rPr>
        <w:t xml:space="preserve">– 8 zaldi fiskal baino gutxiagokoak: 20,88</w:t>
      </w:r>
    </w:p>
    <w:p>
      <w:pPr>
        <w:pStyle w:val="0"/>
        <w:ind w:firstLine="0"/>
        <w:suppressAutoHyphens w:val="false"/>
        <w:rPr>
          <w:rStyle w:val="1"/>
        </w:rPr>
      </w:pPr>
      <w:r>
        <w:rPr>
          <w:rStyle w:val="1"/>
        </w:rPr>
        <w:t xml:space="preserve">– 8 zaldi fiskaletik 12ra bitartean: 58,72</w:t>
      </w:r>
    </w:p>
    <w:p>
      <w:pPr>
        <w:pStyle w:val="0"/>
        <w:ind w:firstLine="0"/>
        <w:suppressAutoHyphens w:val="false"/>
        <w:rPr>
          <w:rStyle w:val="1"/>
        </w:rPr>
      </w:pPr>
      <w:r>
        <w:rPr>
          <w:rStyle w:val="1"/>
        </w:rPr>
        <w:t xml:space="preserve">– </w:t>
        <w:t xml:space="preserve">�</w:t>
        <w:t xml:space="preserve">12 zaldi fiskal baino gehiago eta gehienez 16: 125,25</w:t>
      </w:r>
    </w:p>
    <w:p>
      <w:pPr>
        <w:pStyle w:val="0"/>
        <w:ind w:firstLine="0"/>
        <w:suppressAutoHyphens w:val="false"/>
        <w:rPr>
          <w:rStyle w:val="1"/>
        </w:rPr>
      </w:pPr>
      <w:r>
        <w:rPr>
          <w:rStyle w:val="1"/>
        </w:rPr>
        <w:t xml:space="preserve">– 16 zaldi fiskal baino gehiago: 156,63</w:t>
      </w:r>
    </w:p>
    <w:p>
      <w:pPr>
        <w:pStyle w:val="0"/>
        <w:suppressAutoHyphens w:val="false"/>
        <w:rPr>
          <w:rStyle w:val="1"/>
        </w:rPr>
      </w:pPr>
      <w:r>
        <w:rPr>
          <w:rStyle w:val="1"/>
        </w:rPr>
        <w:t xml:space="preserve">b) Autobusak:</w:t>
      </w:r>
    </w:p>
    <w:p>
      <w:pPr>
        <w:pStyle w:val="0"/>
        <w:ind w:firstLine="0"/>
        <w:suppressAutoHyphens w:val="false"/>
        <w:rPr>
          <w:rStyle w:val="1"/>
        </w:rPr>
      </w:pPr>
      <w:r>
        <w:rPr>
          <w:rStyle w:val="1"/>
        </w:rPr>
        <w:t xml:space="preserve">– 21 leku baino gutxiago: 146.12</w:t>
      </w:r>
    </w:p>
    <w:p>
      <w:pPr>
        <w:pStyle w:val="0"/>
        <w:ind w:firstLine="0"/>
        <w:suppressAutoHyphens w:val="false"/>
        <w:rPr>
          <w:rStyle w:val="1"/>
        </w:rPr>
      </w:pPr>
      <w:r>
        <w:rPr>
          <w:rStyle w:val="1"/>
        </w:rPr>
        <w:t xml:space="preserve">– 21 lekutik 50era bitarte: 208.79</w:t>
      </w:r>
    </w:p>
    <w:p>
      <w:pPr>
        <w:pStyle w:val="0"/>
        <w:ind w:firstLine="0"/>
        <w:suppressAutoHyphens w:val="false"/>
        <w:rPr>
          <w:rStyle w:val="1"/>
        </w:rPr>
      </w:pPr>
      <w:r>
        <w:rPr>
          <w:rStyle w:val="1"/>
        </w:rPr>
        <w:t xml:space="preserve">– 50 leku baino gehiago: 260.99</w:t>
      </w:r>
    </w:p>
    <w:p>
      <w:pPr>
        <w:pStyle w:val="0"/>
        <w:suppressAutoHyphens w:val="false"/>
        <w:rPr>
          <w:rStyle w:val="1"/>
        </w:rPr>
      </w:pPr>
      <w:r>
        <w:rPr>
          <w:rStyle w:val="1"/>
        </w:rPr>
        <w:t xml:space="preserve">c) Kamioiak:</w:t>
      </w:r>
    </w:p>
    <w:p>
      <w:pPr>
        <w:pStyle w:val="0"/>
        <w:ind w:firstLine="0"/>
        <w:suppressAutoHyphens w:val="false"/>
        <w:rPr>
          <w:rStyle w:val="1"/>
        </w:rPr>
      </w:pPr>
      <w:r>
        <w:rPr>
          <w:rStyle w:val="1"/>
        </w:rPr>
        <w:t xml:space="preserve">– 1.000 kg-tik beherako karga erabilgarria: 73.15</w:t>
      </w:r>
    </w:p>
    <w:p>
      <w:pPr>
        <w:pStyle w:val="0"/>
        <w:ind w:firstLine="0"/>
        <w:suppressAutoHyphens w:val="false"/>
        <w:rPr>
          <w:rStyle w:val="1"/>
        </w:rPr>
      </w:pPr>
      <w:r>
        <w:rPr>
          <w:rStyle w:val="1"/>
        </w:rPr>
        <w:t xml:space="preserve">– </w:t>
        <w:t xml:space="preserve">�</w:t>
        <w:t xml:space="preserve">1.000 kg-tik 2.999ra bitarteko karga erabilgarria: 146.12</w:t>
      </w:r>
    </w:p>
    <w:p>
      <w:pPr>
        <w:pStyle w:val="0"/>
        <w:ind w:firstLine="0"/>
        <w:suppressAutoHyphens w:val="false"/>
        <w:rPr>
          <w:rStyle w:val="1"/>
        </w:rPr>
      </w:pPr>
      <w:r>
        <w:rPr>
          <w:rStyle w:val="1"/>
        </w:rPr>
        <w:t xml:space="preserve">– </w:t>
        <w:t xml:space="preserve">�</w:t>
        <w:t xml:space="preserve">2.999 kg-tik gora eta 9.999ra bitarteko karga erabilgarria: 208.79</w:t>
      </w:r>
    </w:p>
    <w:p>
      <w:pPr>
        <w:pStyle w:val="0"/>
        <w:ind w:firstLine="0"/>
        <w:suppressAutoHyphens w:val="false"/>
        <w:rPr>
          <w:rStyle w:val="1"/>
        </w:rPr>
      </w:pPr>
      <w:r>
        <w:rPr>
          <w:rStyle w:val="1"/>
        </w:rPr>
        <w:t xml:space="preserve">– </w:t>
        <w:t xml:space="preserve">�</w:t>
        <w:t xml:space="preserve">9.999 kg. baino gehiagoko karga erabilgarria dutenak: 260.99</w:t>
      </w:r>
    </w:p>
    <w:p>
      <w:pPr>
        <w:pStyle w:val="0"/>
        <w:suppressAutoHyphens w:val="false"/>
        <w:rPr>
          <w:rStyle w:val="1"/>
        </w:rPr>
      </w:pPr>
      <w:r>
        <w:rPr>
          <w:rStyle w:val="1"/>
        </w:rPr>
        <w:t xml:space="preserve">d) Traktoreak:</w:t>
      </w:r>
    </w:p>
    <w:p>
      <w:pPr>
        <w:pStyle w:val="0"/>
        <w:ind w:firstLine="0"/>
        <w:suppressAutoHyphens w:val="false"/>
        <w:rPr>
          <w:rStyle w:val="1"/>
        </w:rPr>
      </w:pPr>
      <w:r>
        <w:rPr>
          <w:rStyle w:val="1"/>
        </w:rPr>
        <w:t xml:space="preserve">– 16 zaldi fiskal baino gutxiago: 35,87</w:t>
      </w:r>
    </w:p>
    <w:p>
      <w:pPr>
        <w:pStyle w:val="0"/>
        <w:ind w:firstLine="0"/>
        <w:suppressAutoHyphens w:val="false"/>
        <w:rPr>
          <w:rStyle w:val="1"/>
        </w:rPr>
      </w:pPr>
      <w:r>
        <w:rPr>
          <w:rStyle w:val="1"/>
        </w:rPr>
        <w:t xml:space="preserve">– 16 zaldi fiskaletik 25era bitarte: 71,72</w:t>
      </w:r>
    </w:p>
    <w:p>
      <w:pPr>
        <w:pStyle w:val="0"/>
        <w:ind w:firstLine="0"/>
        <w:suppressAutoHyphens w:val="false"/>
        <w:rPr>
          <w:rStyle w:val="1"/>
        </w:rPr>
      </w:pPr>
      <w:r>
        <w:rPr>
          <w:rStyle w:val="1"/>
        </w:rPr>
        <w:t xml:space="preserve">– 25 zaldi fiskal baino gehiago: 143,27</w:t>
      </w:r>
    </w:p>
    <w:p>
      <w:pPr>
        <w:pStyle w:val="0"/>
        <w:suppressAutoHyphens w:val="false"/>
        <w:rPr>
          <w:rStyle w:val="1"/>
        </w:rPr>
      </w:pPr>
      <w:r>
        <w:rPr>
          <w:rStyle w:val="1"/>
        </w:rPr>
        <w:t xml:space="preserve">e) Atoiak eta erdi atoiak:</w:t>
      </w:r>
    </w:p>
    <w:p>
      <w:pPr>
        <w:pStyle w:val="0"/>
        <w:ind w:firstLine="0"/>
        <w:suppressAutoHyphens w:val="false"/>
        <w:rPr>
          <w:rStyle w:val="1"/>
        </w:rPr>
      </w:pPr>
      <w:r>
        <w:rPr>
          <w:rStyle w:val="1"/>
        </w:rPr>
        <w:t xml:space="preserve">– 1.000 kg-tik beherako karga erabilgarria: 36,61</w:t>
      </w:r>
    </w:p>
    <w:p>
      <w:pPr>
        <w:pStyle w:val="0"/>
        <w:ind w:firstLine="0"/>
        <w:suppressAutoHyphens w:val="false"/>
        <w:rPr>
          <w:rStyle w:val="1"/>
        </w:rPr>
      </w:pPr>
      <w:r>
        <w:rPr>
          <w:rStyle w:val="1"/>
        </w:rPr>
        <w:t xml:space="preserve">– </w:t>
        <w:t xml:space="preserve">�</w:t>
        <w:t xml:space="preserve">1.000 kg-tik 2.999ra bitarteko karga erabilgarria: 73.15</w:t>
      </w:r>
    </w:p>
    <w:p>
      <w:pPr>
        <w:pStyle w:val="0"/>
        <w:ind w:firstLine="0"/>
        <w:suppressAutoHyphens w:val="false"/>
        <w:rPr>
          <w:rStyle w:val="1"/>
        </w:rPr>
      </w:pPr>
      <w:r>
        <w:rPr>
          <w:rStyle w:val="1"/>
        </w:rPr>
        <w:t xml:space="preserve">– </w:t>
        <w:t xml:space="preserve">�</w:t>
        <w:t xml:space="preserve">2.999 kg. baino gehiagoko karga erabilgarria dutenak: 146.12</w:t>
      </w:r>
    </w:p>
    <w:p>
      <w:pPr>
        <w:pStyle w:val="0"/>
        <w:suppressAutoHyphens w:val="false"/>
        <w:rPr>
          <w:rStyle w:val="1"/>
        </w:rPr>
      </w:pPr>
      <w:r>
        <w:rPr>
          <w:rStyle w:val="1"/>
        </w:rPr>
        <w:t xml:space="preserve">f) Bestelako ibilgailuak:</w:t>
      </w:r>
    </w:p>
    <w:p>
      <w:pPr>
        <w:pStyle w:val="0"/>
        <w:ind w:firstLine="0"/>
        <w:suppressAutoHyphens w:val="false"/>
        <w:rPr>
          <w:rStyle w:val="1"/>
        </w:rPr>
      </w:pPr>
      <w:r>
        <w:rPr>
          <w:rStyle w:val="1"/>
        </w:rPr>
        <w:t xml:space="preserve">– Ziklomotorrak: 5,22</w:t>
      </w:r>
    </w:p>
    <w:p>
      <w:pPr>
        <w:pStyle w:val="0"/>
        <w:ind w:firstLine="0"/>
        <w:suppressAutoHyphens w:val="false"/>
        <w:rPr>
          <w:rStyle w:val="1"/>
        </w:rPr>
      </w:pPr>
      <w:r>
        <w:rPr>
          <w:rStyle w:val="1"/>
        </w:rPr>
        <w:t xml:space="preserve">– 125 cc-ra arteko motozikletak: 5,26</w:t>
      </w:r>
    </w:p>
    <w:p>
      <w:pPr>
        <w:pStyle w:val="0"/>
        <w:ind w:firstLine="0"/>
        <w:suppressAutoHyphens w:val="false"/>
        <w:rPr>
          <w:rStyle w:val="1"/>
        </w:rPr>
      </w:pPr>
      <w:r>
        <w:rPr>
          <w:rStyle w:val="1"/>
        </w:rPr>
        <w:t xml:space="preserve">– </w:t>
        <w:t xml:space="preserve">�</w:t>
        <w:t xml:space="preserve">125 cc-tik gora eta 250 cc-ra bitarteko motozikletak: 7,90</w:t>
      </w:r>
    </w:p>
    <w:p>
      <w:pPr>
        <w:pStyle w:val="0"/>
        <w:ind w:firstLine="0"/>
        <w:suppressAutoHyphens w:val="false"/>
        <w:rPr>
          <w:rStyle w:val="1"/>
        </w:rPr>
      </w:pPr>
      <w:r>
        <w:rPr>
          <w:rStyle w:val="1"/>
        </w:rPr>
        <w:t xml:space="preserve">– </w:t>
        <w:t xml:space="preserve">�</w:t>
        <w:t xml:space="preserve">250 cc-tik gora eta 500 cc-ra bitarteko motozikletak: 25,80</w:t>
      </w:r>
    </w:p>
    <w:p>
      <w:pPr>
        <w:pStyle w:val="0"/>
        <w:ind w:firstLine="0"/>
        <w:suppressAutoHyphens w:val="false"/>
        <w:rPr>
          <w:rStyle w:val="1"/>
        </w:rPr>
      </w:pPr>
      <w:r>
        <w:rPr>
          <w:rStyle w:val="1"/>
        </w:rPr>
        <w:t xml:space="preserve">– </w:t>
        <w:t xml:space="preserve">�</w:t>
        <w:t xml:space="preserve">500 cc-tik gora eta 1.000 cc-ra bitarteko motozikletak: 51,64</w:t>
      </w:r>
    </w:p>
    <w:p>
      <w:pPr>
        <w:pStyle w:val="0"/>
        <w:ind w:firstLine="0"/>
        <w:suppressAutoHyphens w:val="false"/>
        <w:rPr>
          <w:rStyle w:val="1"/>
        </w:rPr>
      </w:pPr>
      <w:r>
        <w:rPr>
          <w:rStyle w:val="1"/>
        </w:rPr>
        <w:t xml:space="preserve">– 1.000 cc-tik gorako motozikletak: 103,27”</w:t>
      </w:r>
    </w:p>
    <w:p>
      <w:pPr>
        <w:pStyle w:val="0"/>
        <w:suppressAutoHyphens w:val="false"/>
        <w:rPr>
          <w:rStyle w:val="1"/>
        </w:rPr>
      </w:pPr>
      <w:r>
        <w:rPr>
          <w:rStyle w:val="1"/>
          <w:u w:val="single"/>
        </w:rPr>
        <w:t xml:space="preserve">Hamabost</w:t>
      </w:r>
      <w:r>
        <w:rPr>
          <w:rStyle w:val="1"/>
        </w:rPr>
        <w:t xml:space="preserve">. 170. bis artikulua gehitzea.</w:t>
      </w:r>
    </w:p>
    <w:p>
      <w:pPr>
        <w:pStyle w:val="0"/>
        <w:suppressAutoHyphens w:val="false"/>
        <w:rPr>
          <w:rStyle w:val="1"/>
        </w:rPr>
      </w:pPr>
      <w:r>
        <w:rPr>
          <w:rStyle w:val="1"/>
        </w:rPr>
        <w:t xml:space="preserve">“170. bis artikulua. Aukerako hobariak.</w:t>
      </w:r>
    </w:p>
    <w:p>
      <w:pPr>
        <w:pStyle w:val="0"/>
        <w:suppressAutoHyphens w:val="false"/>
        <w:rPr>
          <w:rStyle w:val="1"/>
        </w:rPr>
      </w:pPr>
      <w:r>
        <w:rPr>
          <w:rStyle w:val="1"/>
        </w:rPr>
        <w:t xml:space="preserve">Ordenantza fiskalek arautzen ahalko dute zergaren kuotaren ehuneko 95erainoko hobari bat, eguzki energiaren edo beste energia berriztagarri batzuen aprobetxamendu termiko edo elektrikorako sistemak ezartzen dituzten eraikuntza, instalazio edo obren alde. Hobari horren aplikaziorako, beharrezkoa izanen da beroa sortzeko instalazioetan administrazio eskudunaren homologazioa duten kolektoreak egotea.</w:t>
      </w:r>
    </w:p>
    <w:p>
      <w:pPr>
        <w:pStyle w:val="0"/>
        <w:suppressAutoHyphens w:val="false"/>
      </w:pPr>
      <w:r>
        <w:rPr>
          <w:rStyle w:val="1"/>
        </w:rPr>
        <w:t xml:space="preserve">Hobariaren gainerako alderdi substantiboak eta formalak ordenantza fiskalaren bidez arautuko dira”.</w:t>
        <w:br w:type="column"/>
      </w:r>
    </w:p>
    <w:p>
      <w:pPr>
        <w:pStyle w:val="0"/>
        <w:suppressAutoHyphens w:val="false"/>
        <w:rPr>
          <w:rStyle w:val="1"/>
        </w:rPr>
      </w:pPr>
      <w:r>
        <w:rPr>
          <w:rStyle w:val="1"/>
          <w:u w:val="single"/>
        </w:rPr>
        <w:t xml:space="preserve">Hamasei</w:t>
      </w:r>
      <w:r>
        <w:rPr>
          <w:rStyle w:val="1"/>
        </w:rPr>
        <w:t xml:space="preserve">. 173.1 artikulua.</w:t>
      </w:r>
    </w:p>
    <w:p>
      <w:pPr>
        <w:pStyle w:val="0"/>
        <w:suppressAutoHyphens w:val="false"/>
        <w:rPr>
          <w:rStyle w:val="1"/>
        </w:rPr>
      </w:pPr>
      <w:r>
        <w:rPr>
          <w:rStyle w:val="1"/>
        </w:rPr>
        <w:t xml:space="preserve">“1. Zerga honetatik salbuetsirik daude honako egintza hauen ondorioz gertatzen diren balio-igoerak:</w:t>
      </w:r>
    </w:p>
    <w:p>
      <w:pPr>
        <w:pStyle w:val="0"/>
        <w:suppressAutoHyphens w:val="false"/>
        <w:rPr>
          <w:rStyle w:val="1"/>
        </w:rPr>
      </w:pPr>
      <w:r>
        <w:rPr>
          <w:rStyle w:val="1"/>
        </w:rPr>
        <w:t xml:space="preserve">a) Ezkontideek ezkontza-sozietateari egindako ondasun eta eskubide ekarpenak, haren alde eta haiek ordaintzeko egindako esleipenak, eta ezkontideei haien bien aktiboen ordainetan egiten zaizkienak.</w:t>
      </w:r>
    </w:p>
    <w:p>
      <w:pPr>
        <w:pStyle w:val="0"/>
        <w:suppressAutoHyphens w:val="false"/>
        <w:rPr>
          <w:rStyle w:val="1"/>
        </w:rPr>
      </w:pPr>
      <w:r>
        <w:rPr>
          <w:rStyle w:val="1"/>
        </w:rPr>
        <w:t xml:space="preserve">b) Herentziaz, legatuz, ezkonsariz, dohaintzaz edo doako beste edozein titulu bidez aurrekoen, ondorengoen eta ezkontideen artean egiten diren eskualdaketak, mota guztietako ondasunenak.</w:t>
      </w:r>
    </w:p>
    <w:p>
      <w:pPr>
        <w:pStyle w:val="0"/>
        <w:suppressAutoHyphens w:val="false"/>
        <w:rPr>
          <w:rStyle w:val="1"/>
        </w:rPr>
      </w:pPr>
      <w:r>
        <w:rPr>
          <w:rStyle w:val="1"/>
        </w:rPr>
        <w:t xml:space="preserve">c) Ezkontideen arteko edo seme-alaben aldeko ondasun eskualdaketak, deuseztasun, banaketa edo dibortzio kasuetan epaiak betetzearen ondoriozkoak, ezkontza araubide ekonomikoa edozein dela ere.</w:t>
      </w:r>
    </w:p>
    <w:p>
      <w:pPr>
        <w:pStyle w:val="0"/>
        <w:suppressAutoHyphens w:val="false"/>
        <w:rPr>
          <w:rStyle w:val="1"/>
        </w:rPr>
      </w:pPr>
      <w:r>
        <w:rPr>
          <w:rStyle w:val="1"/>
        </w:rPr>
        <w:t xml:space="preserve">Nolanahi ere, aurreko a), b) eta c) letretan aipatzen diren negozio juridikoak gertatzen direnean, eta balio-igoera lotua baina salbuetsia dagoelarik, ez dute etenik eraginen 175. artikuluan aurreikusitako hogei urteko epean. Higiezin horiek gero eskualdatzen direnean, ulertuko da lurren balio-igoera gertatu den urteen kopuruan ez dela etenik izan letra horietan aurreikusitako negozio juridikoen ondorioz. Era berean, 172.4 artikuluan aurreikusitakoaren ondorioetarako, ez da eskurapen-baliotzat hartuko aipatutako negozio juridikoei dagokiena, beste egintza batzuengatik higiezinaren aurreko eskualdaketari dagokiona baizik.</w:t>
      </w:r>
    </w:p>
    <w:p>
      <w:pPr>
        <w:pStyle w:val="0"/>
        <w:suppressAutoHyphens w:val="false"/>
        <w:rPr>
          <w:rStyle w:val="1"/>
        </w:rPr>
      </w:pPr>
      <w:r>
        <w:rPr>
          <w:rStyle w:val="1"/>
        </w:rPr>
        <w:t xml:space="preserve">d) Zortasun eskubide ororen eraketa eta eskualdaketa.</w:t>
      </w:r>
    </w:p>
    <w:p>
      <w:pPr>
        <w:pStyle w:val="0"/>
        <w:suppressAutoHyphens w:val="false"/>
        <w:rPr>
          <w:rStyle w:val="1"/>
        </w:rPr>
      </w:pPr>
      <w:r>
        <w:rPr>
          <w:rStyle w:val="1"/>
        </w:rPr>
        <w:t xml:space="preserve">e) Ondasun eskualdaketak edo jabaria mugatzen duten gozamen eskubide errealen eraketa edo eskualdaketa kostu gabekoa, Fundazioen eta Babes Jardueren Tributu Araubidea erregulatzen duen uztailaren 2ko 10/1996 Foru Legean aurreikusitako zerga araubidea aplikatzekoa zaien entitateen aldekoa, edo Nafarroako Foru Komunitatean kultur mezenasgoa eta haren zerga-pizgarriak arautzen dituen maiatzaren 16ko 8/2014 Foru Legearen 4. artikuluan aipatzen den kultur mezenasgoaren onuradunak diren pertsonen eta entitateen aldekoa.</w:t>
      </w:r>
    </w:p>
    <w:p>
      <w:pPr>
        <w:pStyle w:val="0"/>
        <w:suppressAutoHyphens w:val="false"/>
        <w:rPr>
          <w:rStyle w:val="1"/>
        </w:rPr>
      </w:pPr>
      <w:r>
        <w:rPr>
          <w:rStyle w:val="1"/>
        </w:rPr>
        <w:t xml:space="preserve">Letra honetan araututako salbuespenerako eskubidea izateko, beharrezkoa izanen da ondasun edo eskubide horiek 10/1996 Foru Legean jasotako entitateen berariazko xedea diren jarduerei atxikitzea, edo 8/2014 Foru Legean jasotako pertsonek edo entitateek egindako proiektuei edo jarduerei, baldin eta interes sozialaren deklarazioa badute, Nafarroako Gobernuan kulturaren eskumena duen departamentuak emana”.</w:t>
      </w:r>
    </w:p>
    <w:p>
      <w:pPr>
        <w:pStyle w:val="0"/>
        <w:suppressAutoHyphens w:val="false"/>
        <w:rPr>
          <w:rStyle w:val="1"/>
        </w:rPr>
      </w:pPr>
      <w:r>
        <w:rPr>
          <w:rStyle w:val="1"/>
          <w:u w:val="single"/>
        </w:rPr>
        <w:t xml:space="preserve">Hamazazpi</w:t>
      </w:r>
      <w:r>
        <w:rPr>
          <w:rStyle w:val="1"/>
        </w:rPr>
        <w:t xml:space="preserve">. 2021eko urtarrilaren 1etik aurrera, 175.2 artikuluan ezarritako gehieneko koefizienteak honako hauek izanen dira:</w:t>
      </w:r>
    </w:p>
    <w:p>
      <w:pPr>
        <w:pStyle w:val="4"/>
        <w:suppressAutoHyphens w:val="false"/>
        <w:tabs/>
        <w:rPr/>
      </w:pPr>
      <w:r>
        <w:rPr/>
        <w:t xml:space="preserve">“Koefizientea</w:t>
        <w:tab/>
        <w:t xml:space="preserve">Sortzealdia</w:t>
      </w:r>
    </w:p>
    <w:p>
      <w:pPr>
        <w:pStyle w:val="6"/>
        <w:suppressAutoHyphens w:val="false"/>
        <w:tabs/>
        <w:rPr/>
      </w:pPr>
      <w:r>
        <w:rPr/>
        <w:t xml:space="preserve">0,50</w:t>
        <w:tab/>
        <w:t xml:space="preserve">20 urte edo hortik gora</w:t>
      </w:r>
    </w:p>
    <w:p>
      <w:pPr>
        <w:pStyle w:val="6"/>
        <w:suppressAutoHyphens w:val="false"/>
        <w:tabs/>
        <w:rPr/>
      </w:pPr>
      <w:r>
        <w:rPr/>
        <w:t xml:space="preserve">0,52</w:t>
        <w:tab/>
        <w:t xml:space="preserve">19 urte</w:t>
      </w:r>
    </w:p>
    <w:p>
      <w:pPr>
        <w:pStyle w:val="6"/>
        <w:suppressAutoHyphens w:val="false"/>
        <w:tabs/>
        <w:rPr/>
      </w:pPr>
      <w:r>
        <w:rPr/>
        <w:t xml:space="preserve">0,14</w:t>
        <w:tab/>
        <w:t xml:space="preserve">18 urte</w:t>
      </w:r>
    </w:p>
    <w:p>
      <w:pPr>
        <w:pStyle w:val="6"/>
        <w:suppressAutoHyphens w:val="false"/>
        <w:tabs/>
        <w:rPr/>
      </w:pPr>
      <w:r>
        <w:rPr/>
        <w:t xml:space="preserve">0,13</w:t>
        <w:tab/>
        <w:t xml:space="preserve">17 urte</w:t>
      </w:r>
    </w:p>
    <w:p>
      <w:pPr>
        <w:pStyle w:val="6"/>
        <w:suppressAutoHyphens w:val="false"/>
        <w:tabs/>
        <w:rPr/>
      </w:pPr>
      <w:r>
        <w:rPr/>
        <w:t xml:space="preserve">0,06</w:t>
        <w:tab/>
        <w:t xml:space="preserve">16 urte</w:t>
      </w:r>
    </w:p>
    <w:p>
      <w:pPr>
        <w:pStyle w:val="6"/>
        <w:suppressAutoHyphens w:val="false"/>
        <w:tabs/>
        <w:rPr/>
      </w:pPr>
      <w:r>
        <w:rPr/>
        <w:t xml:space="preserve">0,06</w:t>
        <w:tab/>
        <w:t xml:space="preserve">15 urte</w:t>
      </w:r>
    </w:p>
    <w:p>
      <w:pPr>
        <w:pStyle w:val="6"/>
        <w:suppressAutoHyphens w:val="false"/>
        <w:tabs/>
        <w:rPr/>
      </w:pPr>
      <w:r>
        <w:rPr/>
        <w:t xml:space="preserve">0,06</w:t>
        <w:tab/>
        <w:t xml:space="preserve">14 urte</w:t>
      </w:r>
    </w:p>
    <w:p>
      <w:pPr>
        <w:pStyle w:val="6"/>
        <w:suppressAutoHyphens w:val="false"/>
        <w:tabs/>
        <w:rPr/>
      </w:pPr>
      <w:r>
        <w:rPr/>
        <w:t xml:space="preserve">0,06</w:t>
        <w:tab/>
        <w:t xml:space="preserve">13 urte</w:t>
      </w:r>
    </w:p>
    <w:p>
      <w:pPr>
        <w:pStyle w:val="6"/>
        <w:suppressAutoHyphens w:val="false"/>
        <w:tabs/>
        <w:rPr/>
      </w:pPr>
      <w:r>
        <w:rPr/>
        <w:t xml:space="preserve">0,06</w:t>
        <w:tab/>
        <w:t xml:space="preserve">12 urte</w:t>
      </w:r>
    </w:p>
    <w:p>
      <w:pPr>
        <w:pStyle w:val="6"/>
        <w:suppressAutoHyphens w:val="false"/>
        <w:tabs/>
        <w:rPr/>
      </w:pPr>
      <w:r>
        <w:rPr/>
        <w:t xml:space="preserve">0,06</w:t>
        <w:tab/>
        <w:t xml:space="preserve">11 urte</w:t>
      </w:r>
    </w:p>
    <w:p>
      <w:pPr>
        <w:pStyle w:val="6"/>
        <w:suppressAutoHyphens w:val="false"/>
        <w:tabs/>
        <w:rPr/>
      </w:pPr>
      <w:r>
        <w:rPr/>
        <w:t xml:space="preserve">0,06</w:t>
        <w:tab/>
        <w:t xml:space="preserve">10 urte</w:t>
      </w:r>
    </w:p>
    <w:p>
      <w:pPr>
        <w:pStyle w:val="6"/>
        <w:suppressAutoHyphens w:val="false"/>
        <w:tabs/>
        <w:rPr/>
      </w:pPr>
      <w:r>
        <w:rPr/>
        <w:t xml:space="preserve">0,06</w:t>
        <w:tab/>
        <w:t xml:space="preserve">9 urte</w:t>
      </w:r>
    </w:p>
    <w:p>
      <w:pPr>
        <w:pStyle w:val="6"/>
        <w:suppressAutoHyphens w:val="false"/>
        <w:tabs/>
        <w:rPr/>
      </w:pPr>
      <w:r>
        <w:rPr/>
        <w:t xml:space="preserve">0,06</w:t>
        <w:tab/>
        <w:t xml:space="preserve">8 urte</w:t>
      </w:r>
    </w:p>
    <w:p>
      <w:pPr>
        <w:pStyle w:val="6"/>
        <w:suppressAutoHyphens w:val="false"/>
        <w:tabs/>
        <w:rPr/>
      </w:pPr>
      <w:r>
        <w:rPr/>
        <w:t xml:space="preserve">0,13</w:t>
        <w:tab/>
        <w:t xml:space="preserve">7 urte</w:t>
      </w:r>
    </w:p>
    <w:p>
      <w:pPr>
        <w:pStyle w:val="6"/>
        <w:suppressAutoHyphens w:val="false"/>
        <w:tabs/>
        <w:rPr/>
      </w:pPr>
      <w:r>
        <w:rPr/>
        <w:t xml:space="preserve">0,30</w:t>
        <w:tab/>
        <w:t xml:space="preserve">6 urte</w:t>
      </w:r>
    </w:p>
    <w:p>
      <w:pPr>
        <w:pStyle w:val="6"/>
        <w:suppressAutoHyphens w:val="false"/>
        <w:tabs/>
        <w:rPr/>
      </w:pPr>
      <w:r>
        <w:rPr/>
        <w:t xml:space="preserve">0,36</w:t>
        <w:tab/>
        <w:t xml:space="preserve">5 urte</w:t>
      </w:r>
    </w:p>
    <w:p>
      <w:pPr>
        <w:pStyle w:val="6"/>
        <w:suppressAutoHyphens w:val="false"/>
        <w:tabs/>
        <w:rPr/>
      </w:pPr>
      <w:r>
        <w:rPr/>
        <w:t xml:space="preserve">0,28</w:t>
        <w:tab/>
        <w:t xml:space="preserve">4 urte</w:t>
      </w:r>
    </w:p>
    <w:p>
      <w:pPr>
        <w:pStyle w:val="6"/>
        <w:suppressAutoHyphens w:val="false"/>
        <w:tabs/>
        <w:rPr/>
      </w:pPr>
      <w:r>
        <w:rPr/>
        <w:t xml:space="preserve">0,20</w:t>
        <w:tab/>
        <w:t xml:space="preserve">3 urte</w:t>
      </w:r>
    </w:p>
    <w:p>
      <w:pPr>
        <w:pStyle w:val="6"/>
        <w:suppressAutoHyphens w:val="false"/>
        <w:tabs/>
        <w:rPr/>
      </w:pPr>
      <w:r>
        <w:rPr/>
        <w:t xml:space="preserve">0,11</w:t>
        <w:tab/>
        <w:t xml:space="preserve">2 urte</w:t>
      </w:r>
    </w:p>
    <w:p>
      <w:pPr>
        <w:pStyle w:val="6"/>
        <w:suppressAutoHyphens w:val="false"/>
        <w:tabs/>
        <w:rPr/>
      </w:pPr>
      <w:r>
        <w:rPr/>
        <w:t xml:space="preserve">0,06</w:t>
        <w:tab/>
        <w:t xml:space="preserve">1 urte</w:t>
      </w:r>
    </w:p>
    <w:p>
      <w:pPr>
        <w:pStyle w:val="8"/>
        <w:suppressAutoHyphens w:val="false"/>
        <w:tabs/>
        <w:rPr/>
      </w:pPr>
      <w:r>
        <w:rPr/>
        <w:t xml:space="preserve">0,06</w:t>
        <w:tab/>
        <w:t xml:space="preserve">Urtebetetik behera”</w:t>
      </w:r>
    </w:p>
    <w:p>
      <w:pPr>
        <w:pStyle w:val="10"/>
        <w:suppressAutoHyphens w:val="false"/>
        <w:rPr/>
      </w:pPr>
      <w:r>
        <w:rPr>
          <w:u w:val="single"/>
        </w:rPr>
        <w:t xml:space="preserve">Hemezortzi</w:t>
      </w:r>
      <w:r>
        <w:rPr/>
        <w:t xml:space="preserve">. 179.c) artikulua, indargabetzea.</w:t>
      </w:r>
    </w:p>
    <w:p>
      <w:pPr>
        <w:pStyle w:val="0"/>
        <w:suppressAutoHyphens w:val="false"/>
        <w:rPr>
          <w:rStyle w:val="1"/>
        </w:rPr>
      </w:pPr>
      <w:r>
        <w:rPr>
          <w:rStyle w:val="1"/>
          <w:u w:val="single"/>
        </w:rPr>
        <w:t xml:space="preserve">Hemeretzi</w:t>
      </w:r>
      <w:r>
        <w:rPr>
          <w:rStyle w:val="1"/>
        </w:rPr>
        <w:t xml:space="preserve">. 180.c) artikulua, indargabetzea.</w:t>
      </w:r>
    </w:p>
    <w:p>
      <w:pPr>
        <w:pStyle w:val="0"/>
        <w:suppressAutoHyphens w:val="false"/>
        <w:rPr>
          <w:rStyle w:val="1"/>
        </w:rPr>
      </w:pPr>
      <w:r>
        <w:rPr>
          <w:rStyle w:val="1"/>
          <w:u w:val="single"/>
        </w:rPr>
        <w:t xml:space="preserve">Hogei</w:t>
      </w:r>
      <w:r>
        <w:rPr>
          <w:rStyle w:val="1"/>
        </w:rPr>
        <w:t xml:space="preserve">. 181.1.c) artikulua, indargabetzea.</w:t>
      </w:r>
    </w:p>
    <w:p>
      <w:pPr>
        <w:pStyle w:val="0"/>
        <w:suppressAutoHyphens w:val="false"/>
        <w:rPr>
          <w:rStyle w:val="1"/>
        </w:rPr>
      </w:pPr>
      <w:r>
        <w:rPr>
          <w:rStyle w:val="1"/>
          <w:u w:val="single"/>
        </w:rPr>
        <w:t xml:space="preserve">Hogeita bat</w:t>
      </w:r>
      <w:r>
        <w:rPr>
          <w:rStyle w:val="1"/>
        </w:rPr>
        <w:t xml:space="preserve">. 182.c) artikulua, indargabetzea.</w:t>
      </w:r>
    </w:p>
    <w:p>
      <w:pPr>
        <w:pStyle w:val="0"/>
        <w:suppressAutoHyphens w:val="false"/>
        <w:rPr>
          <w:rStyle w:val="1"/>
        </w:rPr>
      </w:pPr>
      <w:r>
        <w:rPr>
          <w:rStyle w:val="1"/>
          <w:u w:val="single"/>
        </w:rPr>
        <w:t xml:space="preserve">Hogeita bi</w:t>
      </w:r>
      <w:r>
        <w:rPr>
          <w:rStyle w:val="1"/>
        </w:rPr>
        <w:t xml:space="preserve">. 183.c) artikulua, indargabetzea.</w:t>
      </w:r>
    </w:p>
    <w:p>
      <w:pPr>
        <w:pStyle w:val="0"/>
        <w:suppressAutoHyphens w:val="false"/>
        <w:rPr>
          <w:rStyle w:val="1"/>
        </w:rPr>
      </w:pPr>
      <w:r>
        <w:rPr>
          <w:rStyle w:val="1"/>
          <w:u w:val="single"/>
        </w:rPr>
        <w:t xml:space="preserve">Hogeita hiru</w:t>
      </w:r>
      <w:r>
        <w:rPr>
          <w:rStyle w:val="1"/>
        </w:rPr>
        <w:t xml:space="preserve">. 200.3 eta 4 artikulua.</w:t>
      </w:r>
    </w:p>
    <w:p>
      <w:pPr>
        <w:pStyle w:val="0"/>
        <w:suppressAutoHyphens w:val="false"/>
        <w:rPr>
          <w:rStyle w:val="1"/>
        </w:rPr>
      </w:pPr>
      <w:r>
        <w:rPr>
          <w:rStyle w:val="1"/>
        </w:rPr>
        <w:t xml:space="preserve">“3. Gastu aurrekontuko egituraren programen araberako sailkapenak eta sailkapen ekonomikoak irizpide hauek beteko dituzte:</w:t>
      </w:r>
    </w:p>
    <w:p>
      <w:pPr>
        <w:pStyle w:val="0"/>
        <w:suppressAutoHyphens w:val="false"/>
        <w:rPr>
          <w:rStyle w:val="1"/>
        </w:rPr>
      </w:pPr>
      <w:r>
        <w:rPr>
          <w:rStyle w:val="1"/>
        </w:rPr>
        <w:t xml:space="preserve">a) Programen araberako sailkapenak hiru maila izanen ditu. Lehenbizikoa gastuaren arlokoa, bigarrena gastu politikakoa eta hirugarrena programa taldekoa. Sailkapen honi maila bat edo bi gehitzen ahalko zaizkio, programarako eta azpiprogramarako, hurrenez hurren.</w:t>
      </w:r>
    </w:p>
    <w:p>
      <w:pPr>
        <w:pStyle w:val="0"/>
        <w:suppressAutoHyphens w:val="false"/>
        <w:rPr>
          <w:rStyle w:val="1"/>
        </w:rPr>
      </w:pPr>
      <w:r>
        <w:rPr>
          <w:rStyle w:val="1"/>
        </w:rPr>
        <w:t xml:space="preserve">b) Sailkapen ekonomikoak hiru maila izanen ditu, lehenbizikoa kapitulukoa, bigarrena artikulukoa eta hirugarrena kontzeptukoa. Sailkapen honi maila bat edo bi gehitzen ahalko zaizkio.</w:t>
      </w:r>
    </w:p>
    <w:p>
      <w:pPr>
        <w:pStyle w:val="0"/>
        <w:suppressAutoHyphens w:val="false"/>
        <w:rPr>
          <w:rStyle w:val="1"/>
        </w:rPr>
      </w:pPr>
      <w:r>
        <w:rPr>
          <w:rStyle w:val="1"/>
        </w:rPr>
        <w:t xml:space="preserve">4. Aurrekontu aplikazioan, zeinen adierazpen zenbakitua aurrekontuko kreditua baita, gutxienez programen araberako sailkapena eta sailkapen ekonomikoa sartuko dira.</w:t>
      </w:r>
    </w:p>
    <w:p>
      <w:pPr>
        <w:pStyle w:val="0"/>
        <w:suppressAutoHyphens w:val="false"/>
        <w:rPr>
          <w:rStyle w:val="1"/>
        </w:rPr>
      </w:pPr>
      <w:r>
        <w:rPr>
          <w:rStyle w:val="1"/>
        </w:rPr>
        <w:t xml:space="preserve">Toki entitateak sailkapen organikoa erabiltzea erabakitzen badu, aurrekontu aplikazioan ere sartuko da.</w:t>
      </w:r>
    </w:p>
    <w:p>
      <w:pPr>
        <w:pStyle w:val="0"/>
        <w:suppressAutoHyphens w:val="false"/>
        <w:rPr>
          <w:rStyle w:val="1"/>
        </w:rPr>
      </w:pPr>
      <w:r>
        <w:rPr>
          <w:rStyle w:val="1"/>
        </w:rPr>
        <w:t xml:space="preserve">Gastuen kontabilitate-kontrola aurrekontu aplikazioaren gainean eginen da eta kontrol fiskala, berriz, lotespen juridikoaren mailaren gainean, 208. artikuluak ezarri moduan”.</w:t>
      </w:r>
    </w:p>
    <w:p>
      <w:pPr>
        <w:pStyle w:val="0"/>
        <w:suppressAutoHyphens w:val="false"/>
        <w:rPr>
          <w:rStyle w:val="1"/>
        </w:rPr>
      </w:pPr>
      <w:r>
        <w:rPr>
          <w:rStyle w:val="1"/>
          <w:u w:val="single"/>
        </w:rPr>
        <w:t xml:space="preserve">Hogeita lau</w:t>
      </w:r>
      <w:r>
        <w:rPr>
          <w:rStyle w:val="1"/>
        </w:rPr>
        <w:t xml:space="preserve">. 208.2. eta 3 artikulua.</w:t>
      </w:r>
    </w:p>
    <w:p>
      <w:pPr>
        <w:pStyle w:val="0"/>
        <w:suppressAutoHyphens w:val="false"/>
        <w:rPr>
          <w:rStyle w:val="1"/>
        </w:rPr>
      </w:pPr>
      <w:r>
        <w:rPr>
          <w:rStyle w:val="1"/>
        </w:rPr>
        <w:t xml:space="preserve">“2. Aurrekontuaren exekuzio oinarrietan ezartzen ahalko da gastuetarako kredituen lotespena toki entitateak bere kudeaketa egokirako beharrezkotzat jotzen dituen garapen mailekin, garapena programen araberakoa, ekonomikoa edo organikoa dela.</w:t>
      </w:r>
    </w:p>
    <w:p>
      <w:pPr>
        <w:pStyle w:val="0"/>
        <w:suppressAutoHyphens w:val="false"/>
        <w:rPr>
          <w:rStyle w:val="1"/>
        </w:rPr>
      </w:pPr>
      <w:r>
        <w:rPr>
          <w:rStyle w:val="1"/>
        </w:rPr>
        <w:t xml:space="preserve">3. Aurreko apartatuan jasotzen den ahalmena erabiltzen duten toki entitateek, betiere, errespetatu beharko dituzte muga hauek lotespen mailei dagokienez:</w:t>
      </w:r>
    </w:p>
    <w:p>
      <w:pPr>
        <w:pStyle w:val="0"/>
        <w:suppressAutoHyphens w:val="false"/>
        <w:rPr>
          <w:rStyle w:val="1"/>
        </w:rPr>
      </w:pPr>
      <w:r>
        <w:rPr>
          <w:rStyle w:val="1"/>
        </w:rPr>
        <w:t xml:space="preserve">a) Programen araberako sailkapenari dagokionez, gastu arloa.</w:t>
      </w:r>
    </w:p>
    <w:p>
      <w:pPr>
        <w:pStyle w:val="0"/>
        <w:suppressAutoHyphens w:val="false"/>
        <w:rPr>
          <w:rStyle w:val="1"/>
        </w:rPr>
      </w:pPr>
      <w:r>
        <w:rPr>
          <w:rStyle w:val="1"/>
        </w:rPr>
        <w:t xml:space="preserve">b) Sailkapen ekonomikoari dagokionez, kapitulua”.</w:t>
      </w:r>
    </w:p>
    <w:p>
      <w:pPr>
        <w:pStyle w:val="0"/>
        <w:suppressAutoHyphens w:val="false"/>
        <w:rPr>
          <w:rStyle w:val="1"/>
        </w:rPr>
      </w:pPr>
      <w:r>
        <w:rPr>
          <w:rStyle w:val="1"/>
          <w:u w:val="single"/>
        </w:rPr>
        <w:t xml:space="preserve">Hogeita bost</w:t>
      </w:r>
      <w:r>
        <w:rPr>
          <w:rStyle w:val="1"/>
        </w:rPr>
        <w:t xml:space="preserve">. 210 bis artikulua gehitzea.</w:t>
      </w:r>
    </w:p>
    <w:p>
      <w:pPr>
        <w:pStyle w:val="0"/>
        <w:suppressAutoHyphens w:val="false"/>
        <w:rPr>
          <w:rStyle w:val="1"/>
        </w:rPr>
      </w:pPr>
      <w:r>
        <w:rPr>
          <w:rStyle w:val="1"/>
        </w:rPr>
        <w:t xml:space="preserve">"210.bis artikulua.</w:t>
      </w:r>
    </w:p>
    <w:p>
      <w:pPr>
        <w:pStyle w:val="0"/>
        <w:suppressAutoHyphens w:val="false"/>
        <w:rPr>
          <w:rStyle w:val="1"/>
        </w:rPr>
      </w:pPr>
      <w:r>
        <w:rPr>
          <w:rStyle w:val="1"/>
        </w:rPr>
        <w:t xml:space="preserve">1. Nafarroako toki entitateek hasiera ematen ahalko diote gastu espedienteen tramitazioari dagokion aurrekontu kreditua izan aurretik ere, zein ekitalditako aurrekonturi egotziko zaizkion, ekitaldi horretan berean nahiz aurrekoan.</w:t>
      </w:r>
    </w:p>
    <w:p>
      <w:pPr>
        <w:pStyle w:val="0"/>
        <w:suppressAutoHyphens w:val="false"/>
        <w:rPr>
          <w:rStyle w:val="1"/>
        </w:rPr>
      </w:pPr>
      <w:r>
        <w:rPr>
          <w:rStyle w:val="1"/>
        </w:rPr>
        <w:t xml:space="preserve">Espedientearen hasierari erantsi beharko zaio nahitaez kontu-hartzailetzaren txosten bat, zeinean berariaz jasoko baita gastua aurreratua dela eta kreditu egokia eta nahikoa izatearen baldintza etengarriaren menpe dagoela.</w:t>
      </w:r>
    </w:p>
    <w:p>
      <w:pPr>
        <w:pStyle w:val="0"/>
        <w:suppressAutoHyphens w:val="false"/>
      </w:pPr>
      <w:r>
        <w:rPr>
          <w:rStyle w:val="1"/>
        </w:rPr>
        <w:t xml:space="preserve">2. Edozein kasutan, administrazio klausula partikularren agiri edo baldintzetan, dirulaguntzen deialdietan edo, gastuaren izaeraren arabera, beharrezkoak diren agirietan berariaz jasoko da prebentzio hau: gastua, zeinaren tramitazioa aurreratzen ari den, edo, kasua bada, baita adjudikazioa edo ebazpena ere, etenda egonen dela kasuko betebeharrak dagokion ekitaldian finantzatzeko kreditu egokia eta nahikoa izan arte”.</w:t>
        <w:br w:type="column"/>
      </w:r>
    </w:p>
    <w:p>
      <w:pPr>
        <w:pStyle w:val="0"/>
        <w:suppressAutoHyphens w:val="false"/>
        <w:rPr>
          <w:rStyle w:val="1"/>
        </w:rPr>
      </w:pPr>
      <w:r>
        <w:rPr>
          <w:rStyle w:val="1"/>
          <w:u w:val="single"/>
        </w:rPr>
        <w:t xml:space="preserve">Hogeita sei</w:t>
      </w:r>
      <w:r>
        <w:rPr>
          <w:rStyle w:val="1"/>
        </w:rPr>
        <w:t xml:space="preserve">. 213.1 artikulua.</w:t>
      </w:r>
    </w:p>
    <w:p>
      <w:pPr>
        <w:pStyle w:val="0"/>
        <w:suppressAutoHyphens w:val="false"/>
        <w:rPr>
          <w:rStyle w:val="1"/>
        </w:rPr>
      </w:pPr>
      <w:r>
        <w:rPr>
          <w:rStyle w:val="1"/>
        </w:rPr>
        <w:t xml:space="preserve">“1. Aparteko kredituak eta kreditu-gehigarriak baliabide hauetako batekin edo batzuekin finantzatzen ahalko dira:</w:t>
      </w:r>
    </w:p>
    <w:p>
      <w:pPr>
        <w:pStyle w:val="0"/>
        <w:suppressAutoHyphens w:val="false"/>
        <w:rPr>
          <w:rStyle w:val="1"/>
        </w:rPr>
      </w:pPr>
      <w:r>
        <w:rPr>
          <w:rStyle w:val="1"/>
        </w:rPr>
        <w:t xml:space="preserve">a) Diruzaintzako gerakin likidoaren kargura.</w:t>
      </w:r>
    </w:p>
    <w:p>
      <w:pPr>
        <w:pStyle w:val="0"/>
        <w:suppressAutoHyphens w:val="false"/>
        <w:rPr>
          <w:rStyle w:val="1"/>
        </w:rPr>
      </w:pPr>
      <w:r>
        <w:rPr>
          <w:rStyle w:val="1"/>
        </w:rPr>
        <w:t xml:space="preserve">b) Ekitaldian, aurreikuspenen arabera, jasoko diren diru-sarrera berriekin edo aurrekontu arruntean aurreikusitakotik gora guztira egiaz bildu diren diru-sarrerekin.</w:t>
      </w:r>
    </w:p>
    <w:p>
      <w:pPr>
        <w:pStyle w:val="0"/>
        <w:suppressAutoHyphens w:val="false"/>
        <w:rPr>
          <w:rStyle w:val="1"/>
        </w:rPr>
      </w:pPr>
      <w:r>
        <w:rPr>
          <w:rStyle w:val="1"/>
        </w:rPr>
        <w:t xml:space="preserve">c) Indarreko aurrekontuko konprometitu gabeko beste aurrekontu aplikazio batzuetako kredituak baliogabetuz edo baja emanez, ulertzen denean horien zuzkidurak murriztu daitezkeela dagokion zerbitzuari nahasmendurik eragin gabe”.</w:t>
      </w:r>
    </w:p>
    <w:p>
      <w:pPr>
        <w:pStyle w:val="0"/>
        <w:suppressAutoHyphens w:val="false"/>
        <w:rPr>
          <w:rStyle w:val="1"/>
        </w:rPr>
      </w:pPr>
      <w:r>
        <w:rPr>
          <w:rStyle w:val="1"/>
          <w:u w:val="single"/>
        </w:rPr>
        <w:t xml:space="preserve">Hogeita zazpi</w:t>
      </w:r>
      <w:r>
        <w:rPr>
          <w:rStyle w:val="1"/>
        </w:rPr>
        <w:t xml:space="preserve">. 213. artikulua, 4. apartatua gehitzea.</w:t>
      </w:r>
    </w:p>
    <w:p>
      <w:pPr>
        <w:pStyle w:val="0"/>
        <w:suppressAutoHyphens w:val="false"/>
        <w:rPr>
          <w:rStyle w:val="1"/>
        </w:rPr>
      </w:pPr>
      <w:r>
        <w:rPr>
          <w:rStyle w:val="1"/>
        </w:rPr>
        <w:t xml:space="preserve">“4. Salbuespen gisa, aurreko ekitaldiko aurrekontuaren likidazioa onetsi arte, aurreko ekitaldian erabili gabeko baliabideekin finantzatzen ahalko dira gastu berriei edo handiagoei erantzuteko behar diren aldaketak. Nahitaezkoa izanen da kontu-hartzailetzaren txostena egiazko finantzaketa erabilgarriari buruz”.</w:t>
      </w:r>
    </w:p>
    <w:p>
      <w:pPr>
        <w:pStyle w:val="0"/>
        <w:suppressAutoHyphens w:val="false"/>
        <w:rPr>
          <w:rStyle w:val="1"/>
        </w:rPr>
      </w:pPr>
      <w:r>
        <w:rPr>
          <w:rStyle w:val="1"/>
          <w:u w:val="single"/>
        </w:rPr>
        <w:t xml:space="preserve">Hogeita zortzi</w:t>
      </w:r>
      <w:r>
        <w:rPr>
          <w:rStyle w:val="1"/>
        </w:rPr>
        <w:t xml:space="preserve">. 214.2. eta 3 artikulua.</w:t>
      </w:r>
    </w:p>
    <w:p>
      <w:pPr>
        <w:pStyle w:val="0"/>
        <w:suppressAutoHyphens w:val="false"/>
        <w:rPr>
          <w:rStyle w:val="1"/>
        </w:rPr>
      </w:pPr>
      <w:r>
        <w:rPr>
          <w:rStyle w:val="1"/>
        </w:rPr>
        <w:t xml:space="preserve">“2. Aurrekontuaren exekuzio oinarrietan hala ezarrita dagoenean, kreditu horiek emateko osoko bilkurak hartutako hasierako erabakia jendaurrean jarriko da Korporazioko iragarki-taulan hamabost egun naturaleko epean, bizilagunek edo interesdunek egokitzat jotzen dituzten erreklamazioak edo alegazioak aurkez ditzaten.</w:t>
      </w:r>
    </w:p>
    <w:p>
      <w:pPr>
        <w:pStyle w:val="0"/>
        <w:suppressAutoHyphens w:val="false"/>
        <w:rPr>
          <w:rStyle w:val="1"/>
        </w:rPr>
      </w:pPr>
      <w:r>
        <w:rPr>
          <w:rStyle w:val="1"/>
        </w:rPr>
        <w:t xml:space="preserve">Epe hori iraganik, eta erreklamazio edo alegaziorik egin ez bada, hasierako onespen erabakia behin betikoa dela ulertuko da, eta jendaurrean egoteko epea iraganik hartuko du indarra.</w:t>
      </w:r>
    </w:p>
    <w:p>
      <w:pPr>
        <w:pStyle w:val="0"/>
        <w:suppressAutoHyphens w:val="false"/>
        <w:rPr>
          <w:rStyle w:val="1"/>
        </w:rPr>
      </w:pPr>
      <w:r>
        <w:rPr>
          <w:rStyle w:val="1"/>
        </w:rPr>
        <w:t xml:space="preserve">Erreklamazioak edo alegazioak aurkezten badira, berriz, osoko bilkurak berariaz erabaki beharko du erreklamazio edo alegazio horien ebazpenaz eta proposatutako aldaketaren behin betiko onespenaz, zeinak indarra hartuko baitu behin betiko testua toki entitatearen iragarki-taulan argitaratu ondoren.</w:t>
      </w:r>
    </w:p>
    <w:p>
      <w:pPr>
        <w:pStyle w:val="0"/>
        <w:suppressAutoHyphens w:val="false"/>
        <w:rPr>
          <w:rStyle w:val="1"/>
        </w:rPr>
      </w:pPr>
      <w:r>
        <w:rPr>
          <w:rStyle w:val="1"/>
        </w:rPr>
        <w:t xml:space="preserve">Exekuzio oinarrietan halako aurreikuspenik ez dagoen kasurako, osoko bilkurak espedienteak tramitatu eta onetsiko ditu aurrekontuetarako bete behar diren tramite eta betebehar berdinekin (informazioa, erreklamazioa eta publizitatea).</w:t>
      </w:r>
    </w:p>
    <w:p>
      <w:pPr>
        <w:pStyle w:val="0"/>
        <w:suppressAutoHyphens w:val="false"/>
        <w:rPr>
          <w:rStyle w:val="1"/>
        </w:rPr>
      </w:pPr>
      <w:r>
        <w:rPr>
          <w:rStyle w:val="1"/>
        </w:rPr>
        <w:t xml:space="preserve">3. Aparteko kredituak edo kreditu-gehigarriak emateko xedearekin toki entitateek hartzen dituzten erabakiak, hondamendi publikoaren edo antzeko kasuetan, betearazleak izanen dira berehala, ukatu gabe haien kontra erreklamazioak sustatzeko aukera, zeinak aurkeztu eta hurrengo zortzi eguneko epean bideratu beharko baitira, eta ezetsitzat hartu erreklamazioaren egileari ebazpenik ez bazaio jakinarazten epe horretan”.</w:t>
      </w:r>
    </w:p>
    <w:p>
      <w:pPr>
        <w:pStyle w:val="0"/>
        <w:suppressAutoHyphens w:val="false"/>
        <w:rPr>
          <w:rStyle w:val="1"/>
        </w:rPr>
      </w:pPr>
      <w:r>
        <w:rPr>
          <w:rStyle w:val="1"/>
          <w:u w:val="single"/>
        </w:rPr>
        <w:t xml:space="preserve">Hogeita bederatzi</w:t>
      </w:r>
      <w:r>
        <w:rPr>
          <w:rStyle w:val="1"/>
        </w:rPr>
        <w:t xml:space="preserve">. 216.2. eta 3 artikulua.</w:t>
      </w:r>
    </w:p>
    <w:p>
      <w:pPr>
        <w:pStyle w:val="0"/>
        <w:suppressAutoHyphens w:val="false"/>
        <w:rPr>
          <w:rStyle w:val="1"/>
        </w:rPr>
      </w:pPr>
      <w:r>
        <w:rPr>
          <w:rStyle w:val="1"/>
        </w:rPr>
        <w:t xml:space="preserve">“2. Gastu arlo desberdinen arteko kreditu transferentziak onestea Korporazioaren osoko bilkuraren eskumena izanen da kasu guztietan, salbu eta bajek eta altek langileen arloko kredituei eragiten dietenean.</w:t>
      </w:r>
    </w:p>
    <w:p>
      <w:pPr>
        <w:pStyle w:val="0"/>
        <w:suppressAutoHyphens w:val="false"/>
        <w:rPr>
          <w:rStyle w:val="1"/>
        </w:rPr>
      </w:pPr>
      <w:r>
        <w:rPr>
          <w:rStyle w:val="1"/>
        </w:rPr>
        <w:t xml:space="preserve">3. Artikulu honetan aipatzen diren aurrekontu aldaketak, osoko bilkuraren eskumenekoak direnean, foru lege honen 214.2 artikuluan aurreikusitakoaren arabera tramitatuko dira”.</w:t>
      </w:r>
    </w:p>
    <w:p>
      <w:pPr>
        <w:pStyle w:val="0"/>
        <w:suppressAutoHyphens w:val="false"/>
        <w:rPr>
          <w:rStyle w:val="1"/>
        </w:rPr>
      </w:pPr>
      <w:r>
        <w:rPr>
          <w:rStyle w:val="1"/>
          <w:u w:val="single"/>
        </w:rPr>
        <w:t xml:space="preserve">Hogeita hamar</w:t>
      </w:r>
      <w:r>
        <w:rPr>
          <w:rStyle w:val="1"/>
        </w:rPr>
        <w:t xml:space="preserve">. 217. artikuluari 3. apartatua gehitzea.</w:t>
      </w:r>
    </w:p>
    <w:p>
      <w:pPr>
        <w:pStyle w:val="0"/>
        <w:suppressAutoHyphens w:val="false"/>
        <w:rPr>
          <w:rStyle w:val="1"/>
        </w:rPr>
      </w:pPr>
      <w:r>
        <w:rPr>
          <w:rStyle w:val="1"/>
        </w:rPr>
        <w:t xml:space="preserve">“3. Gastu arlo desberdinen arteko kreditu transferentziak egiteko xedearekin, toki entitateek hartzen dituzten erabakiak, hondamendi publikoaren edo antzeko kasuetan, betearazleak izanen dira berehala, ukatu gabe haien kontra erreklamazioak sustatzeko aukera, zeinak aurkeztu eta hurrengo zortzi eguneko epean bideratu beharko baitira, eta ezetsitzat hartu erreklamazioaren egileari ebazpenik ez bazaio jakinarazten epe horretan”.</w:t>
      </w:r>
    </w:p>
    <w:p>
      <w:pPr>
        <w:pStyle w:val="0"/>
        <w:suppressAutoHyphens w:val="false"/>
        <w:rPr>
          <w:rStyle w:val="1"/>
        </w:rPr>
      </w:pPr>
      <w:r>
        <w:rPr>
          <w:rStyle w:val="1"/>
          <w:u w:val="single"/>
        </w:rPr>
        <w:t xml:space="preserve">Hogeita hamaika</w:t>
      </w:r>
      <w:r>
        <w:rPr>
          <w:rStyle w:val="1"/>
        </w:rPr>
        <w:t xml:space="preserve">. 219. artikulua.</w:t>
      </w:r>
    </w:p>
    <w:p>
      <w:pPr>
        <w:pStyle w:val="0"/>
        <w:suppressAutoHyphens w:val="false"/>
        <w:rPr>
          <w:rStyle w:val="1"/>
        </w:rPr>
      </w:pPr>
      <w:r>
        <w:rPr>
          <w:rStyle w:val="1"/>
        </w:rPr>
        <w:t xml:space="preserve">“5. Halere, diru-sarrera atxikiekin finantzatutako proiektuak babesten dituzten kreditu gerakinak nahitaez sartu beharko dira, eta ez zaizkie aplikatuko ekitaldi kopuruari dagokion mugaren arauak, salbu eta uko egiten bazaio gastuaren exekuzioari hasiera edo jarraipena emateari, osorik nahiz zati batean, edo egitea ezinezkoa bada. Era berean, aurreko ekitaldiko aurrekontuaren likidazioa onetsi arte iragaten den denbora epean sartzen ahalko dira”.</w:t>
      </w:r>
    </w:p>
    <w:p>
      <w:pPr>
        <w:pStyle w:val="0"/>
        <w:suppressAutoHyphens w:val="false"/>
        <w:rPr>
          <w:rStyle w:val="1"/>
        </w:rPr>
      </w:pPr>
      <w:r>
        <w:rPr>
          <w:rStyle w:val="1"/>
        </w:rPr>
        <w:t xml:space="preserve">6. Salbuespen gisa, eta aurreko ekitaldiko aurrekontuaren likidazioa onartu arte, artikulu honetako 1. apartatuan deskribatutako erabili gabeko kredituak txertatu ahal izanen dira, besteak beste, aurreko ekitaldian erabili gabeko baliabideekin finantzatuta. Nahitaezkoa izanen da kontu-hartzailetzaren txostena egiazko kreditua egoteari buruz eta finantzaketa erabilgarriari buruz”.</w:t>
      </w:r>
    </w:p>
    <w:p>
      <w:pPr>
        <w:pStyle w:val="0"/>
        <w:suppressAutoHyphens w:val="false"/>
        <w:rPr>
          <w:rStyle w:val="1"/>
        </w:rPr>
      </w:pPr>
      <w:r>
        <w:rPr>
          <w:rStyle w:val="1"/>
          <w:u w:val="single"/>
        </w:rPr>
        <w:t xml:space="preserve">Hogeita hamabi</w:t>
      </w:r>
      <w:r>
        <w:rPr>
          <w:rStyle w:val="1"/>
        </w:rPr>
        <w:t xml:space="preserve">. 227.2 artikulua.</w:t>
      </w:r>
    </w:p>
    <w:p>
      <w:pPr>
        <w:pStyle w:val="0"/>
        <w:suppressAutoHyphens w:val="false"/>
        <w:rPr>
          <w:rStyle w:val="1"/>
        </w:rPr>
      </w:pPr>
      <w:r>
        <w:rPr>
          <w:rStyle w:val="1"/>
        </w:rPr>
        <w:t xml:space="preserve">“2. Kontu-hartzailetzak txostena egin ondoren, toki entitateko buruak onetsi beharko du, martxoaren 31 baino lehen, toki entitatearen eta haren menpeko erakunde autonomoen aurrekontuen likidazioa, bigarren kasu horretan organo eskudunak ere onetsi ondoren”.</w:t>
      </w:r>
    </w:p>
    <w:p>
      <w:pPr>
        <w:pStyle w:val="0"/>
        <w:suppressAutoHyphens w:val="false"/>
        <w:rPr>
          <w:rStyle w:val="1"/>
        </w:rPr>
      </w:pPr>
      <w:r>
        <w:rPr>
          <w:rStyle w:val="1"/>
          <w:u w:val="single"/>
        </w:rPr>
        <w:t xml:space="preserve">Hogeita hamahiru</w:t>
      </w:r>
      <w:r>
        <w:rPr>
          <w:rStyle w:val="1"/>
        </w:rPr>
        <w:t xml:space="preserve">. 227. artikuluari 3. apartatua gehitzea.</w:t>
      </w:r>
    </w:p>
    <w:p>
      <w:pPr>
        <w:pStyle w:val="0"/>
        <w:suppressAutoHyphens w:val="false"/>
        <w:rPr>
          <w:rStyle w:val="1"/>
        </w:rPr>
      </w:pPr>
      <w:r>
        <w:rPr>
          <w:rStyle w:val="1"/>
        </w:rPr>
        <w:t xml:space="preserve">“3. Behar bezala onetsitako likidazio hori igorriko diote toki entitateek Foru Komunitateko Administrazioari, onetsi eta hamabost egun balioduneko epean”.</w:t>
      </w:r>
    </w:p>
    <w:p>
      <w:pPr>
        <w:pStyle w:val="0"/>
        <w:suppressAutoHyphens w:val="false"/>
        <w:rPr>
          <w:rStyle w:val="1"/>
        </w:rPr>
      </w:pPr>
      <w:r>
        <w:rPr>
          <w:rStyle w:val="1"/>
          <w:u w:val="single"/>
        </w:rPr>
        <w:t xml:space="preserve">Hogeita hamalau</w:t>
      </w:r>
      <w:r>
        <w:rPr>
          <w:rStyle w:val="1"/>
        </w:rPr>
        <w:t xml:space="preserve">. 242.1 artikulua.</w:t>
      </w:r>
    </w:p>
    <w:p>
      <w:pPr>
        <w:pStyle w:val="0"/>
        <w:suppressAutoHyphens w:val="false"/>
        <w:rPr>
          <w:rStyle w:val="1"/>
        </w:rPr>
      </w:pPr>
      <w:r>
        <w:rPr>
          <w:rStyle w:val="1"/>
        </w:rPr>
        <w:t xml:space="preserve">“1. Toki entitateko buruak egoera-orriak eta kontuak osatu beharko ditu dagokien ekitaldiaren ondoko ekitaldiko apirilaren 30a baino lehen. Erakunde autonomoenak, merkataritza sozietateenak (horien kapitala toki entitatearena denean osorik edo zati handienean), eta toki entitatearen menpeko beste entitate batzuenak, hasiera batean horietako organo eskudunek eman eta proposatuak, epe berean igorriko zaizkio toki entitateari”.</w:t>
      </w:r>
    </w:p>
    <w:p>
      <w:pPr>
        <w:pStyle w:val="0"/>
        <w:suppressAutoHyphens w:val="false"/>
        <w:rPr>
          <w:rStyle w:val="1"/>
        </w:rPr>
      </w:pPr>
      <w:r>
        <w:rPr>
          <w:rStyle w:val="1"/>
          <w:u w:val="single"/>
        </w:rPr>
        <w:t xml:space="preserve">Hogeita hamabost</w:t>
      </w:r>
      <w:r>
        <w:rPr>
          <w:rStyle w:val="1"/>
        </w:rPr>
        <w:t xml:space="preserve">. 242. bis artikulua gehitzea.</w:t>
      </w:r>
    </w:p>
    <w:p>
      <w:pPr>
        <w:pStyle w:val="0"/>
        <w:suppressAutoHyphens w:val="false"/>
        <w:rPr>
          <w:rStyle w:val="1"/>
        </w:rPr>
      </w:pPr>
      <w:r>
        <w:rPr>
          <w:rStyle w:val="1"/>
        </w:rPr>
        <w:t xml:space="preserve">“242 bis artikulua.</w:t>
      </w:r>
    </w:p>
    <w:p>
      <w:pPr>
        <w:pStyle w:val="0"/>
        <w:suppressAutoHyphens w:val="false"/>
        <w:rPr>
          <w:rStyle w:val="1"/>
        </w:rPr>
      </w:pPr>
      <w:r>
        <w:rPr>
          <w:rStyle w:val="1"/>
        </w:rPr>
        <w:t xml:space="preserve">1. Nafarroako toki entitateen eta haien menpeko erakundeen aurrekontuen prestaketa, onespena eta exekuzioa, bai eta haien gastu eta diru-sarrerei eragiten dieten gainerako jarduketak ere, aurrekontu egonkortasuna eta finantza jasangarritasuna oinarri hartuta beteko dira, Foru Komunitateko Estatuko eta Europako araudiarekin bat.</w:t>
      </w:r>
    </w:p>
    <w:p>
      <w:pPr>
        <w:pStyle w:val="0"/>
        <w:suppressAutoHyphens w:val="false"/>
        <w:rPr>
          <w:rStyle w:val="1"/>
        </w:rPr>
      </w:pPr>
      <w:r>
        <w:rPr>
          <w:rStyle w:val="1"/>
        </w:rPr>
        <w:t xml:space="preserve">2. Gastu araua aplikatzeko, Kontu Nazionalen eta Eskualdeetakoen Europako Sistemaren arabera definitutako gastu ez-finantzarioen urtetik urterako aldea ez da izanen Espainiako ekonomian epe ertainean barne produktu gordinak duen erreferentziako hazkunde-tasa baino handiagoa. Kalkulu horretatik kanpo utziko dira zorraren interesak eta Europar Batasunetik, beste administrazio publiko batzuetatik, hirigintza kudeaketatik edo bestelakoetatik datozen funts finalisten bidez finantzatutako gastu-zatia”.</w:t>
      </w:r>
    </w:p>
    <w:p>
      <w:pPr>
        <w:pStyle w:val="0"/>
        <w:suppressAutoHyphens w:val="false"/>
        <w:rPr>
          <w:rStyle w:val="1"/>
        </w:rPr>
      </w:pPr>
      <w:r>
        <w:rPr>
          <w:rStyle w:val="1"/>
          <w:u w:val="single"/>
        </w:rPr>
        <w:t xml:space="preserve">Hogeita hamasei</w:t>
      </w:r>
      <w:r>
        <w:rPr>
          <w:rStyle w:val="1"/>
        </w:rPr>
        <w:t xml:space="preserve">. 242 ter artikulua gehitzea.</w:t>
      </w:r>
    </w:p>
    <w:p>
      <w:pPr>
        <w:pStyle w:val="0"/>
        <w:suppressAutoHyphens w:val="false"/>
        <w:rPr>
          <w:rStyle w:val="1"/>
        </w:rPr>
      </w:pPr>
      <w:r>
        <w:rPr>
          <w:rStyle w:val="1"/>
        </w:rPr>
        <w:t xml:space="preserve">“242. ter artikulua.</w:t>
      </w:r>
    </w:p>
    <w:p>
      <w:pPr>
        <w:pStyle w:val="0"/>
        <w:suppressAutoHyphens w:val="false"/>
        <w:rPr>
          <w:rStyle w:val="1"/>
        </w:rPr>
      </w:pPr>
      <w:r>
        <w:rPr>
          <w:rStyle w:val="1"/>
        </w:rPr>
        <w:t xml:space="preserve">1. Ekitaldia ixtean aurrekontu egonkortasunaren helburua, zor publikoarena edo gastu araua betetzen ez bada, ez-betetzearen erantzulea den Administrazioak ekonomia eta finantza plan (EFP) bat prestatuko du, urte horretan eta hurrengoan helburuak edo gastu araua betetzeko bide emanen duena.</w:t>
      </w:r>
    </w:p>
    <w:p>
      <w:pPr>
        <w:pStyle w:val="0"/>
        <w:suppressAutoHyphens w:val="false"/>
        <w:rPr>
          <w:rStyle w:val="1"/>
        </w:rPr>
      </w:pPr>
      <w:r>
        <w:rPr>
          <w:rStyle w:val="1"/>
        </w:rPr>
        <w:t xml:space="preserve">2. Aurrekontu egonkortasunaren helburuaren ez-betetzea gertatzen bada gastuak diruzaintzako gerakinarekin finantzatu direlako, ekonomia eta finantza planaren ordez, kontu-hartzailetzako lanak betetzen dituen organoak komunikazio bat igorriko dio osoko bilkurari horren berri emanez, ez-betetzeari eta toki korporazioaren finantza jasangarritasunari buruzko analisi eta ebaluazioarekin batera. Gauza bera eginen da ez-betetzea gertatzen bada gastu proiektuak exekutatu direlako urteko finantzaketa desbideratze negatiboekin.</w:t>
      </w:r>
    </w:p>
    <w:p>
      <w:pPr>
        <w:pStyle w:val="0"/>
        <w:suppressAutoHyphens w:val="false"/>
        <w:rPr>
          <w:rStyle w:val="1"/>
        </w:rPr>
      </w:pPr>
      <w:r>
        <w:rPr>
          <w:rStyle w:val="1"/>
        </w:rPr>
        <w:t xml:space="preserve">3. Gastu araua betetzen ez duten entitateen kasuan, plana egin ordez, kontu-hartzailetza lanak betetzen dituen organoak komunikazio bat igortzen ahalko dio osoko bilkurari, entitatearen finantza jasangarritasuna aztertu, ebaluatu eta egiaztatzen duena, baldin eta ez-betetzea gertatu den ekitaldiko aurrekontuaren likidazioa egiten bada gastu orokorretarako diruzaintza gerakina eta aurrezki garbi positiboa izanda, eta betetzen badira hurrengo ekitaldirako defizitaren eta zor publikoaren helburuak.</w:t>
      </w:r>
    </w:p>
    <w:p>
      <w:pPr>
        <w:pStyle w:val="0"/>
        <w:suppressAutoHyphens w:val="false"/>
        <w:rPr>
          <w:rStyle w:val="1"/>
        </w:rPr>
      </w:pPr>
      <w:r>
        <w:rPr>
          <w:rStyle w:val="1"/>
        </w:rPr>
        <w:t xml:space="preserve">4. Artikulu honen 2. eta 3. apartatuetan aurreikusitako kasuetan, osoko bilkuraren akta, kontu-hartzailetzako organoaren txostena eta horien euskarri den gainerako dokumentazioa finantza tutoretzako organoari igorriko zaizkio; organo horrek, dokumentazioa jaso eta 30 eguneko epean, beharrezkotzat jotzen duen informazio osagarria eskatzen ahalko du, bai eta neurri osagarriak har daitezela ere, horien artean, besteak beste, ekonomia eta finantza plan bat egitea, toki entitatearen finantza jasangarritasunaren berme gisa. Epe hori iragaten bada finantza tutoretzako organoak berariazko ebazpenik eman gabe, ulertuko da ez dela beharrezkoa neurri osagarriak hartzea”.</w:t>
      </w:r>
    </w:p>
    <w:p>
      <w:pPr>
        <w:pStyle w:val="0"/>
        <w:suppressAutoHyphens w:val="false"/>
        <w:rPr>
          <w:rStyle w:val="1"/>
        </w:rPr>
      </w:pPr>
      <w:r>
        <w:rPr>
          <w:rStyle w:val="1"/>
          <w:u w:val="single"/>
        </w:rPr>
        <w:t xml:space="preserve">Hogeita hamazazpi</w:t>
      </w:r>
      <w:r>
        <w:rPr>
          <w:rStyle w:val="1"/>
        </w:rPr>
        <w:t xml:space="preserve">. 248.2 artikulua.</w:t>
      </w:r>
    </w:p>
    <w:p>
      <w:pPr>
        <w:pStyle w:val="0"/>
        <w:suppressAutoHyphens w:val="false"/>
        <w:rPr>
          <w:rStyle w:val="1"/>
        </w:rPr>
      </w:pPr>
      <w:r>
        <w:rPr>
          <w:rStyle w:val="1"/>
        </w:rPr>
        <w:t xml:space="preserve">“2. Osoko bilkurak, toki entitateko buruak proposatuta eta kontu-hartzailetzako organoak txostena egin ondotik, erabaki dezake aldez aurreko kontu-hartzailetza alderdi hauek egiaztatzera mugatzea:</w:t>
      </w:r>
    </w:p>
    <w:p>
      <w:pPr>
        <w:pStyle w:val="0"/>
        <w:suppressAutoHyphens w:val="false"/>
        <w:rPr>
          <w:rStyle w:val="1"/>
        </w:rPr>
      </w:pPr>
      <w:r>
        <w:rPr>
          <w:rStyle w:val="1"/>
        </w:rPr>
        <w:t xml:space="preserve">a) Aurrekontu kreditu aski baden, proposatzen den kreditua egin edo hartu nahi den gastu edo betebeharrerako egokia den, eta, urte anitzeko gastu konpromisoak hartuz gero, 224. artikuluan eta hurrengoetan agindutakoa betetzen den.</w:t>
      </w:r>
    </w:p>
    <w:p>
      <w:pPr>
        <w:pStyle w:val="0"/>
        <w:suppressAutoHyphens w:val="false"/>
        <w:rPr>
          <w:rStyle w:val="1"/>
        </w:rPr>
      </w:pPr>
      <w:r>
        <w:rPr>
          <w:rStyle w:val="1"/>
        </w:rPr>
        <w:t xml:space="preserve">b) Betebeharrak edo gastuak organo eskudun batek proposatzen dituen.</w:t>
      </w:r>
    </w:p>
    <w:p>
      <w:pPr>
        <w:pStyle w:val="0"/>
        <w:suppressAutoHyphens w:val="false"/>
        <w:rPr>
          <w:rStyle w:val="1"/>
        </w:rPr>
      </w:pPr>
      <w:r>
        <w:rPr>
          <w:rStyle w:val="1"/>
        </w:rPr>
        <w:t xml:space="preserve">c) Kudeaketa prozesuan duten eragina dela-eta, osoko bilkurak zehazten dituen beste alderdi batzuk.</w:t>
      </w:r>
    </w:p>
    <w:p>
      <w:pPr>
        <w:pStyle w:val="0"/>
        <w:suppressAutoHyphens w:val="false"/>
        <w:rPr>
          <w:rStyle w:val="1"/>
        </w:rPr>
      </w:pPr>
      <w:r>
        <w:rPr>
          <w:rStyle w:val="1"/>
        </w:rPr>
        <w:t xml:space="preserve">Kontu-hartzailetzako organoak egoki iruditzen zaizkion ohar osagarriak egiten ahalko ditu, baina horiek ez dute inola ere etenik ekarriko espedienteen tramitazioan”.</w:t>
      </w:r>
    </w:p>
    <w:p>
      <w:pPr>
        <w:pStyle w:val="0"/>
        <w:suppressAutoHyphens w:val="false"/>
        <w:rPr>
          <w:rStyle w:val="1"/>
        </w:rPr>
      </w:pPr>
      <w:r>
        <w:rPr>
          <w:rStyle w:val="1"/>
          <w:u w:val="single"/>
        </w:rPr>
        <w:t xml:space="preserve">Hogeita hemezortzi</w:t>
      </w:r>
      <w:r>
        <w:rPr>
          <w:rStyle w:val="1"/>
        </w:rPr>
        <w:t xml:space="preserve">. 248. artikuluari 5. apartatua gehitzea.</w:t>
      </w:r>
    </w:p>
    <w:p>
      <w:pPr>
        <w:pStyle w:val="0"/>
        <w:suppressAutoHyphens w:val="false"/>
        <w:rPr>
          <w:rStyle w:val="1"/>
        </w:rPr>
      </w:pPr>
      <w:r>
        <w:rPr>
          <w:rStyle w:val="1"/>
        </w:rPr>
        <w:t xml:space="preserve">“5. Nafarroako Gobernuak erregelamenduz ezarriko du zein kasutan erabiltzen ahalko duten toki entitateek barne kontrol erraztuko araubide bat, bai eta zein diren haren ezaugarriak ere”.</w:t>
      </w:r>
    </w:p>
    <w:p>
      <w:pPr>
        <w:pStyle w:val="0"/>
        <w:suppressAutoHyphens w:val="false"/>
        <w:rPr>
          <w:rStyle w:val="1"/>
        </w:rPr>
      </w:pPr>
      <w:r>
        <w:rPr>
          <w:rStyle w:val="1"/>
          <w:b w:val="true"/>
        </w:rPr>
        <w:t xml:space="preserve">Lehen xedapen gehigarria.</w:t>
      </w:r>
      <w:r>
        <w:rPr>
          <w:rStyle w:val="1"/>
        </w:rPr>
        <w:t xml:space="preserve"> Toki entitateentzako konpentsazioak, ekonomia-jardueren gaineko zergaren erreformaren eraginez sarrerak galtzeagatik.</w:t>
      </w:r>
    </w:p>
    <w:p>
      <w:pPr>
        <w:pStyle w:val="0"/>
        <w:suppressAutoHyphens w:val="false"/>
        <w:rPr>
          <w:rStyle w:val="1"/>
        </w:rPr>
      </w:pPr>
      <w:r>
        <w:rPr>
          <w:rStyle w:val="1"/>
        </w:rPr>
        <w:t xml:space="preserve">Toki entitateen finantza nahikotasunaren printzipioa babesteko eta ekonomia-jardueren gaineko zergaren erreformaren ondorioz sarreretan izan dezaketen jaitsiera konpentsatzeko, Nafarroako udalek ekarpen bat jasoko dute toki ogasunek Nafarroako tributuetan duten parte-hartzearen funtsetik.</w:t>
      </w:r>
    </w:p>
    <w:p>
      <w:pPr>
        <w:pStyle w:val="0"/>
        <w:suppressAutoHyphens w:val="false"/>
        <w:rPr>
          <w:rStyle w:val="1"/>
        </w:rPr>
      </w:pPr>
      <w:r>
        <w:rPr>
          <w:rStyle w:val="1"/>
          <w:b w:val="true"/>
        </w:rPr>
        <w:t xml:space="preserve">Bigarren xedapen gehigarria.</w:t>
      </w:r>
      <w:r>
        <w:rPr>
          <w:rStyle w:val="1"/>
        </w:rPr>
        <w:t xml:space="preserve"> Nafarroako Administrazio Auzitegiaren epaien edo ebazpenen ondoriozko zorrak.</w:t>
      </w:r>
    </w:p>
    <w:p>
      <w:pPr>
        <w:pStyle w:val="0"/>
        <w:suppressAutoHyphens w:val="false"/>
        <w:rPr>
          <w:rStyle w:val="1"/>
        </w:rPr>
      </w:pPr>
      <w:r>
        <w:rPr>
          <w:rStyle w:val="1"/>
        </w:rPr>
        <w:t xml:space="preserve">1. 2021eko ekitaldian, Nafarroako toki entitateek, salbuespenez, epe luzerako kreditu-eragiketak hitzartzen ahalko dituzte Nafarroako Administrazio Auzitegiaren epaien edo ebazpenen ondoriozko zorren ordainketa finantzatzeko, epai edo ebazpen horiek eragiten diotenean toki entitateari edo haren menpeko entitateei edo toki entitatearen partaidetza dutenei, entitate horiek Europako Kontuen Sistemaren definizio eta mugaketaren arabera administrazio publikoen sektorean sailkatuta egon nahiz ez.</w:t>
      </w:r>
    </w:p>
    <w:p>
      <w:pPr>
        <w:pStyle w:val="0"/>
        <w:suppressAutoHyphens w:val="false"/>
        <w:rPr>
          <w:rStyle w:val="1"/>
        </w:rPr>
      </w:pPr>
      <w:r>
        <w:rPr>
          <w:rStyle w:val="1"/>
        </w:rPr>
        <w:t xml:space="preserve">2. Xedapen honen babesean hitzartzen diren zorpetze eragiketetarako, finantza tutoretzaren arloan eskumena duen organoak baimena eman beharko du aurretik, eta aurreko 1. apartatuan aipatzen diren zorrak ordaintzeko baizik ez dira erabiliko.</w:t>
      </w:r>
    </w:p>
    <w:p>
      <w:pPr>
        <w:pStyle w:val="0"/>
        <w:suppressAutoHyphens w:val="false"/>
        <w:rPr>
          <w:rStyle w:val="1"/>
        </w:rPr>
      </w:pPr>
      <w:r>
        <w:rPr>
          <w:rStyle w:val="1"/>
        </w:rPr>
        <w:t xml:space="preserve">3. Xedapen honetaz baliatzen den toki entitateak finantza saneamendurako plan bat onetsi eta finantza tutoretzako organoari igorri beharko dio baimen eskaerarekin batera; plan horretan aztertuko da entitatearen gaitasuna egungo eta etorkizuneko ordainketa betebeharrei aurre egiteko, eta haren konpromisoa jasoko da, horretarako beharrezkoak diren finantza arloko jasangarritasun neurriak hartzekoa.</w:t>
      </w:r>
    </w:p>
    <w:p>
      <w:pPr>
        <w:pStyle w:val="0"/>
        <w:suppressAutoHyphens w:val="false"/>
        <w:rPr>
          <w:rStyle w:val="1"/>
        </w:rPr>
      </w:pPr>
      <w:r>
        <w:rPr>
          <w:rStyle w:val="1"/>
        </w:rPr>
        <w:t xml:space="preserve">4. Toki entitateko kontu-hartzailetza organoak saneamendu planaren betetzeari buruzko txosten bat eman beharko du urtero, eta toki korporazioko osoko bilkurari aurkeztu, jakinaren gainean egon dadin, bai eta finantza tutoretzaren arloko eskumena duen organoari igorri ere.</w:t>
      </w:r>
    </w:p>
    <w:p>
      <w:pPr>
        <w:pStyle w:val="0"/>
        <w:suppressAutoHyphens w:val="false"/>
        <w:rPr>
          <w:rStyle w:val="1"/>
        </w:rPr>
      </w:pPr>
      <w:r>
        <w:rPr>
          <w:rStyle w:val="1"/>
        </w:rPr>
        <w:t xml:space="preserve">Planaren ez-betetzeren bat gertatuz gero, toki entitateak ezin izanen du epe luzeko zorpetze-eragiketarik hitzartu edozein inbertsio mota finantzatzeko. Horrez gain, finantza tutoretzaren arloko organo eskudunak aparteko neurriak proposatzen ahalko ditu, ukitutako toki entitateek bete beharrekoak.</w:t>
      </w:r>
    </w:p>
    <w:p>
      <w:pPr>
        <w:pStyle w:val="0"/>
        <w:suppressAutoHyphens w:val="false"/>
        <w:rPr>
          <w:rStyle w:val="1"/>
        </w:rPr>
      </w:pPr>
      <w:r>
        <w:rPr>
          <w:rStyle w:val="1"/>
          <w:b w:val="true"/>
        </w:rPr>
        <w:t xml:space="preserve">Azken xedapenetako lehenbizikoa.</w:t>
      </w:r>
      <w:r>
        <w:rPr>
          <w:rStyle w:val="1"/>
        </w:rPr>
        <w:t xml:space="preserve"> Toki ogasunek transferentzia arrunten eta beste laguntza batzuen kontzeptuetan Nafarroako tributuetan duten parte-hartzearen funtsaren zenbatekoa eta banaketa 2020. urterako ezartzen dituen Foru Legearen aldaketa.</w:t>
      </w:r>
    </w:p>
    <w:p>
      <w:pPr>
        <w:pStyle w:val="0"/>
        <w:suppressAutoHyphens w:val="false"/>
        <w:rPr>
          <w:rStyle w:val="1"/>
        </w:rPr>
      </w:pPr>
      <w:r>
        <w:rPr>
          <w:rStyle w:val="1"/>
        </w:rPr>
        <w:t xml:space="preserve">2021eko urtarrilaren 1etik aurrera ondorioak izateko, 15. artikulua gehitzen zaio Toki ogasunek transferentzia arrunten bidez Nafarroako tributuetan duten parte-hartzearen funtsaren zenbatekoa eta banaketa 2020rako ezartzen dituen otsailaren 27ko 3/2020 Foru Legeari; hau da haren testua:</w:t>
      </w:r>
    </w:p>
    <w:p>
      <w:pPr>
        <w:pStyle w:val="0"/>
        <w:suppressAutoHyphens w:val="false"/>
        <w:rPr>
          <w:rStyle w:val="1"/>
        </w:rPr>
      </w:pPr>
      <w:r>
        <w:rPr>
          <w:rStyle w:val="1"/>
        </w:rPr>
        <w:t xml:space="preserve">“15. artikulua. Nafarroako udalentzako konpentsazioa, ekonomia-jardueren gaineko zergaren erreformaren eraginez sarrerak galtzeagatik.</w:t>
      </w:r>
    </w:p>
    <w:p>
      <w:pPr>
        <w:pStyle w:val="0"/>
        <w:suppressAutoHyphens w:val="false"/>
        <w:rPr>
          <w:rStyle w:val="1"/>
        </w:rPr>
      </w:pPr>
      <w:r>
        <w:rPr>
          <w:rStyle w:val="1"/>
        </w:rPr>
        <w:t xml:space="preserve">Nafarroako udalek toki ogasunek Nafarroako tributuetan duten parte-hartzearen funtsaren ekarpen bat jasoko dute, ekonomia-jardueren gaineko zergaren erreformak diru-bilketan eraginen duen galeraren konpentsazio gisa.</w:t>
      </w:r>
    </w:p>
    <w:p>
      <w:pPr>
        <w:pStyle w:val="0"/>
        <w:suppressAutoHyphens w:val="false"/>
        <w:rPr>
          <w:rStyle w:val="1"/>
        </w:rPr>
      </w:pPr>
      <w:r>
        <w:rPr>
          <w:rStyle w:val="1"/>
        </w:rPr>
        <w:t xml:space="preserve">Ekarpenaren zenbatekoa urtero ezarriko du Ekonomia eta Ogasun Departamentuak, ekonomia-jardueren gaineko zergaren erregistroko datuetan oinarriturik, aurreko zergaldiari dagokionez.</w:t>
      </w:r>
    </w:p>
    <w:p>
      <w:pPr>
        <w:pStyle w:val="0"/>
        <w:suppressAutoHyphens w:val="false"/>
        <w:rPr>
          <w:rStyle w:val="1"/>
        </w:rPr>
      </w:pPr>
      <w:r>
        <w:rPr>
          <w:rStyle w:val="1"/>
        </w:rPr>
        <w:t xml:space="preserve">Ekarpenaren zenbatekoa, 5.000 biztanleko edo gutxiagoko udalerri bakoitzarentzat, hau izanen da: ekonomia-jardueren gaineko zergan, salbuespenik egon ez balitz, zergaldian eta negozio-zifraren zenbateko garbia 1.000.000 euro baino txikiagoa duten zergadunengandik jasoko zituzkeen tributu kuoten ehuneko 100. 5.000 biztanle baino gehiagoko udalerrien kasuan, ekarpena kuota horien ehuneko 95 izanen da.</w:t>
      </w:r>
    </w:p>
    <w:p>
      <w:pPr>
        <w:pStyle w:val="0"/>
        <w:suppressAutoHyphens w:val="false"/>
        <w:rPr>
          <w:rStyle w:val="1"/>
        </w:rPr>
      </w:pPr>
      <w:r>
        <w:rPr>
          <w:rStyle w:val="1"/>
        </w:rPr>
        <w:t xml:space="preserve">Tributu kuota horiek ezartzeko, Nafarroako Toki Ogasunei buruzko martxoaren 10eko 2/1995 Foru Legearen 154. artikuluan aipatzen diren indizeak izanen dira udal bakoitzak 2020ko ekitaldian aplikatu dituenak”.</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