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A14" w:rsidRDefault="00185693" w:rsidP="002F3CD2">
      <w:pPr>
        <w:spacing w:line="360" w:lineRule="auto"/>
        <w:ind w:firstLine="708"/>
        <w:jc w:val="both"/>
        <w:rPr>
          <w:rFonts w:ascii="Arial" w:hAnsi="Arial" w:cs="Arial"/>
          <w:bCs/>
        </w:rPr>
      </w:pPr>
      <w:r>
        <w:rPr>
          <w:rFonts w:ascii="Arial" w:hAnsi="Arial"/>
        </w:rPr>
        <w:t xml:space="preserve">EH Bildu Nafarroa talde parlamentarioari atxikitako foru parlamentari Adolfo Araiz </w:t>
      </w:r>
      <w:proofErr w:type="spellStart"/>
      <w:r>
        <w:rPr>
          <w:rFonts w:ascii="Arial" w:hAnsi="Arial"/>
        </w:rPr>
        <w:t>Flamarique</w:t>
      </w:r>
      <w:proofErr w:type="spellEnd"/>
      <w:r>
        <w:rPr>
          <w:rFonts w:ascii="Arial" w:hAnsi="Arial"/>
        </w:rPr>
        <w:t xml:space="preserve"> jaunak idatziz erantzuteko galdera batzuk egin ditu </w:t>
      </w:r>
      <w:proofErr w:type="spellStart"/>
      <w:r>
        <w:rPr>
          <w:rFonts w:ascii="Arial" w:hAnsi="Arial"/>
        </w:rPr>
        <w:t>—Nafarroako</w:t>
      </w:r>
      <w:proofErr w:type="spellEnd"/>
      <w:r>
        <w:rPr>
          <w:rFonts w:ascii="Arial" w:hAnsi="Arial"/>
        </w:rPr>
        <w:t xml:space="preserve"> Parlamentuko 3626 irteera-zenbakiarekin erregistratu ziren, 2020ko ekainaren 23an (10-20/PES-00120)—, Ekonomia eta Gizarte Kontseiluaren behean aipatutako erabakiari buruz. Hona Nafarroako Gobernuko Ekonomia eta Ogasuneko kontseilariak horri buruz ematen dion informazioa:</w:t>
      </w:r>
    </w:p>
    <w:p w:rsidR="00E127B8" w:rsidRPr="00E127B8" w:rsidRDefault="00E127B8" w:rsidP="00E127B8">
      <w:pPr>
        <w:spacing w:before="100" w:beforeAutospacing="1" w:after="100" w:afterAutospacing="1"/>
        <w:ind w:firstLine="851"/>
        <w:jc w:val="both"/>
        <w:rPr>
          <w:rFonts w:ascii="Calisto MT" w:hAnsi="Calisto MT"/>
          <w:i/>
          <w:color w:val="333333"/>
          <w:shd w:val="clear" w:color="auto" w:fill="FFFFFF"/>
        </w:rPr>
      </w:pPr>
      <w:r>
        <w:rPr>
          <w:rFonts w:ascii="Calisto MT" w:hAnsi="Calisto MT"/>
          <w:i/>
          <w:iCs/>
          <w:color w:val="333333"/>
          <w:shd w:val="clear" w:color="auto" w:fill="FFFFFF"/>
        </w:rPr>
        <w:t>“Familia-bizitza, lan-arloko bizitza eta familia-bizitza [sic] bateragarri egiteko laguntza ekonomikoak.</w:t>
      </w:r>
      <w:r>
        <w:rPr>
          <w:rFonts w:ascii="Calisto MT" w:hAnsi="Calisto MT"/>
          <w:i/>
          <w:color w:val="333333"/>
          <w:shd w:val="clear" w:color="auto" w:fill="FFFFFF"/>
        </w:rPr>
        <w:t xml:space="preserve"> Esparru horretan bi neurri har litezke:</w:t>
      </w:r>
    </w:p>
    <w:p w:rsidR="00000A14" w:rsidRDefault="00E127B8" w:rsidP="00E127B8">
      <w:pPr>
        <w:spacing w:before="100" w:beforeAutospacing="1" w:after="100" w:afterAutospacing="1"/>
        <w:ind w:firstLine="851"/>
        <w:jc w:val="both"/>
        <w:rPr>
          <w:rFonts w:ascii="Calisto MT" w:hAnsi="Calisto MT"/>
          <w:i/>
          <w:color w:val="333333"/>
          <w:shd w:val="clear" w:color="auto" w:fill="FFFFFF"/>
        </w:rPr>
      </w:pPr>
      <w:r>
        <w:rPr>
          <w:rFonts w:ascii="Calisto MT" w:hAnsi="Calisto MT"/>
          <w:i/>
          <w:color w:val="333333"/>
          <w:shd w:val="clear" w:color="auto" w:fill="FFFFFF"/>
        </w:rPr>
        <w:t xml:space="preserve">1.- Ondorengo ahaideak, aurreko ahaideak, beste ahaide batzuk edo pertsona desgaituak zaintzeagatik etxeko langileak Gizarte Segurantzako kotizazioetan ordaindutako % 25eko kenkaria % 100era igotzea, 2020ko urtarrilaren 1etik 2020ko abenduaren 31ra bitarteko eraginez”. </w:t>
      </w:r>
    </w:p>
    <w:p w:rsidR="00000A14" w:rsidRDefault="00E127B8" w:rsidP="00E127B8">
      <w:pPr>
        <w:numPr>
          <w:ilvl w:val="0"/>
          <w:numId w:val="18"/>
        </w:numPr>
        <w:spacing w:line="360" w:lineRule="auto"/>
        <w:contextualSpacing/>
        <w:jc w:val="both"/>
        <w:rPr>
          <w:rFonts w:ascii="Arial" w:hAnsi="Arial" w:cs="Arial"/>
          <w:b/>
          <w:sz w:val="22"/>
          <w:szCs w:val="22"/>
        </w:rPr>
      </w:pPr>
      <w:r>
        <w:rPr>
          <w:rFonts w:ascii="Arial" w:hAnsi="Arial"/>
          <w:b/>
          <w:bCs/>
          <w:sz w:val="22"/>
          <w:szCs w:val="22"/>
        </w:rPr>
        <w:t>Gobernuak daukan informazioaren arabera, PFEZko zenbat subjektu pasibori eraginen lioke neurri horrek, ezarriko balitz?</w:t>
      </w:r>
    </w:p>
    <w:p w:rsidR="00E127B8" w:rsidRPr="00E127B8" w:rsidRDefault="00E127B8" w:rsidP="00E127B8">
      <w:pPr>
        <w:spacing w:line="360" w:lineRule="auto"/>
        <w:ind w:firstLine="426"/>
        <w:jc w:val="both"/>
        <w:rPr>
          <w:rFonts w:ascii="Arial" w:hAnsi="Arial" w:cs="Arial"/>
          <w:sz w:val="22"/>
          <w:szCs w:val="22"/>
        </w:rPr>
      </w:pPr>
      <w:r>
        <w:rPr>
          <w:rFonts w:ascii="Arial" w:hAnsi="Arial"/>
          <w:sz w:val="22"/>
          <w:szCs w:val="22"/>
        </w:rPr>
        <w:t xml:space="preserve">Pertsona fisikoen errentaren gaineko zergaren (PFEZ) 2018ko zergaldiko aitorpenen erregistroan jasota ageri denez, ondoren aipatzen direnak dira “Kenkari pertsonalak eta familiarrak. Gizarte Segurantzako kotizazioak, zaintzaileak” izeneko c1482 laukitxoan zenbateko bat jarri zen aitorpenen zenbatekoa. Laukitxo hori, izan ere, ondorengoak, aurrekoak, beste ahaide batzuk eta </w:t>
      </w:r>
      <w:proofErr w:type="spellStart"/>
      <w:r>
        <w:rPr>
          <w:rFonts w:ascii="Arial" w:hAnsi="Arial"/>
          <w:sz w:val="22"/>
          <w:szCs w:val="22"/>
        </w:rPr>
        <w:t>desgaitasuna</w:t>
      </w:r>
      <w:proofErr w:type="spellEnd"/>
      <w:r>
        <w:rPr>
          <w:rFonts w:ascii="Arial" w:hAnsi="Arial"/>
          <w:sz w:val="22"/>
          <w:szCs w:val="22"/>
        </w:rPr>
        <w:t xml:space="preserve"> duten pertsonak zaintzeagatiko kenkariari dagokio; hain zuzen ere, PFEZari buruzko Foru Legearen Testu </w:t>
      </w:r>
      <w:proofErr w:type="spellStart"/>
      <w:r>
        <w:rPr>
          <w:rFonts w:ascii="Arial" w:hAnsi="Arial"/>
          <w:sz w:val="22"/>
          <w:szCs w:val="22"/>
        </w:rPr>
        <w:t>Bateginaren</w:t>
      </w:r>
      <w:proofErr w:type="spellEnd"/>
      <w:r>
        <w:rPr>
          <w:rFonts w:ascii="Arial" w:hAnsi="Arial"/>
          <w:sz w:val="22"/>
          <w:szCs w:val="22"/>
        </w:rPr>
        <w:t xml:space="preserve"> 62.9.c) artikuluan araututakoari. (Ekainaren 2ko 4/2008 Legegintzako Foru Dekretua). Guztira, 2.840 aitorpen dira.</w:t>
      </w:r>
    </w:p>
    <w:p w:rsidR="00E127B8" w:rsidRPr="00E127B8" w:rsidRDefault="00E127B8" w:rsidP="00E127B8">
      <w:pPr>
        <w:spacing w:line="360" w:lineRule="auto"/>
        <w:ind w:firstLine="426"/>
        <w:jc w:val="both"/>
        <w:rPr>
          <w:rFonts w:ascii="Arial" w:hAnsi="Arial" w:cs="Arial"/>
          <w:sz w:val="22"/>
          <w:szCs w:val="22"/>
          <w:lang w:val="es-ES_tradnl"/>
        </w:rPr>
      </w:pPr>
    </w:p>
    <w:tbl>
      <w:tblPr>
        <w:tblW w:w="8452" w:type="dxa"/>
        <w:tblInd w:w="70" w:type="dxa"/>
        <w:tblCellMar>
          <w:left w:w="70" w:type="dxa"/>
          <w:right w:w="70" w:type="dxa"/>
        </w:tblCellMar>
        <w:tblLook w:val="04A0" w:firstRow="1" w:lastRow="0" w:firstColumn="1" w:lastColumn="0" w:noHBand="0" w:noVBand="1"/>
      </w:tblPr>
      <w:tblGrid>
        <w:gridCol w:w="4940"/>
        <w:gridCol w:w="1623"/>
        <w:gridCol w:w="1889"/>
      </w:tblGrid>
      <w:tr w:rsidR="00E127B8" w:rsidRPr="002441BB" w:rsidTr="00F7204E">
        <w:trPr>
          <w:trHeight w:val="402"/>
        </w:trPr>
        <w:tc>
          <w:tcPr>
            <w:tcW w:w="4940" w:type="dxa"/>
            <w:vMerge w:val="restart"/>
            <w:tcBorders>
              <w:top w:val="nil"/>
              <w:left w:val="nil"/>
              <w:right w:val="nil"/>
            </w:tcBorders>
            <w:shd w:val="clear" w:color="auto" w:fill="auto"/>
            <w:noWrap/>
            <w:vAlign w:val="bottom"/>
            <w:hideMark/>
          </w:tcPr>
          <w:p w:rsidR="00E127B8" w:rsidRPr="002441BB" w:rsidRDefault="00E127B8" w:rsidP="00E127B8">
            <w:pPr>
              <w:rPr>
                <w:rFonts w:asciiTheme="minorHAnsi" w:hAnsiTheme="minorHAnsi" w:cs="Arial"/>
                <w:sz w:val="19"/>
                <w:szCs w:val="19"/>
                <w:lang w:val="es-ES_tradnl"/>
              </w:rPr>
            </w:pPr>
          </w:p>
        </w:tc>
        <w:tc>
          <w:tcPr>
            <w:tcW w:w="351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E127B8" w:rsidRPr="002441BB" w:rsidRDefault="00E127B8" w:rsidP="00E127B8">
            <w:pPr>
              <w:jc w:val="center"/>
              <w:rPr>
                <w:rFonts w:asciiTheme="minorHAnsi" w:hAnsiTheme="minorHAnsi" w:cs="Arial"/>
                <w:b/>
                <w:bCs/>
                <w:sz w:val="19"/>
                <w:szCs w:val="19"/>
              </w:rPr>
            </w:pPr>
            <w:r w:rsidRPr="002441BB">
              <w:rPr>
                <w:rFonts w:asciiTheme="minorHAnsi" w:hAnsiTheme="minorHAnsi"/>
                <w:b/>
                <w:bCs/>
                <w:sz w:val="19"/>
                <w:szCs w:val="19"/>
              </w:rPr>
              <w:t>2018</w:t>
            </w:r>
          </w:p>
        </w:tc>
      </w:tr>
      <w:tr w:rsidR="00E127B8" w:rsidRPr="002441BB" w:rsidTr="00F7204E">
        <w:trPr>
          <w:trHeight w:val="561"/>
        </w:trPr>
        <w:tc>
          <w:tcPr>
            <w:tcW w:w="4940" w:type="dxa"/>
            <w:vMerge/>
            <w:tcBorders>
              <w:left w:val="nil"/>
              <w:bottom w:val="nil"/>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b/>
                <w:bCs/>
                <w:sz w:val="19"/>
                <w:szCs w:val="19"/>
                <w:lang w:val="es-ES_tradnl"/>
              </w:rPr>
            </w:pPr>
          </w:p>
        </w:tc>
        <w:tc>
          <w:tcPr>
            <w:tcW w:w="162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27B8" w:rsidRPr="002441BB" w:rsidRDefault="00E127B8" w:rsidP="00E127B8">
            <w:pPr>
              <w:jc w:val="center"/>
              <w:rPr>
                <w:rFonts w:asciiTheme="minorHAnsi" w:hAnsiTheme="minorHAnsi" w:cs="Arial"/>
                <w:b/>
                <w:bCs/>
                <w:sz w:val="19"/>
                <w:szCs w:val="19"/>
              </w:rPr>
            </w:pPr>
            <w:r w:rsidRPr="002441BB">
              <w:rPr>
                <w:rFonts w:asciiTheme="minorHAnsi" w:hAnsiTheme="minorHAnsi"/>
                <w:b/>
                <w:bCs/>
                <w:sz w:val="19"/>
                <w:szCs w:val="19"/>
              </w:rPr>
              <w:t>AITORPEN</w:t>
            </w:r>
            <w:r w:rsidRPr="002441BB">
              <w:rPr>
                <w:rFonts w:asciiTheme="minorHAnsi" w:hAnsiTheme="minorHAnsi"/>
                <w:b/>
                <w:bCs/>
                <w:sz w:val="19"/>
                <w:szCs w:val="19"/>
              </w:rPr>
              <w:br/>
              <w:t>KOPURUA</w:t>
            </w:r>
          </w:p>
        </w:tc>
        <w:tc>
          <w:tcPr>
            <w:tcW w:w="1889" w:type="dxa"/>
            <w:tcBorders>
              <w:top w:val="single" w:sz="4" w:space="0" w:color="auto"/>
              <w:left w:val="nil"/>
              <w:bottom w:val="single" w:sz="4" w:space="0" w:color="auto"/>
              <w:right w:val="single" w:sz="4" w:space="0" w:color="auto"/>
            </w:tcBorders>
            <w:shd w:val="clear" w:color="000000" w:fill="D9D9D9"/>
            <w:vAlign w:val="center"/>
            <w:hideMark/>
          </w:tcPr>
          <w:p w:rsidR="00E127B8" w:rsidRPr="002441BB" w:rsidRDefault="00E127B8" w:rsidP="00E127B8">
            <w:pPr>
              <w:jc w:val="center"/>
              <w:rPr>
                <w:rFonts w:asciiTheme="minorHAnsi" w:hAnsiTheme="minorHAnsi" w:cs="Arial"/>
                <w:b/>
                <w:bCs/>
                <w:sz w:val="19"/>
                <w:szCs w:val="19"/>
              </w:rPr>
            </w:pPr>
            <w:r w:rsidRPr="002441BB">
              <w:rPr>
                <w:rFonts w:asciiTheme="minorHAnsi" w:hAnsiTheme="minorHAnsi"/>
                <w:b/>
                <w:bCs/>
                <w:sz w:val="19"/>
                <w:szCs w:val="19"/>
              </w:rPr>
              <w:t>Kenkariaren zenbatekoa</w:t>
            </w:r>
            <w:r w:rsidRPr="002441BB">
              <w:rPr>
                <w:rFonts w:asciiTheme="minorHAnsi" w:hAnsiTheme="minorHAnsi"/>
                <w:b/>
                <w:bCs/>
                <w:sz w:val="19"/>
                <w:szCs w:val="19"/>
              </w:rPr>
              <w:br/>
              <w:t>c1482</w:t>
            </w:r>
          </w:p>
        </w:tc>
      </w:tr>
      <w:tr w:rsidR="00E127B8" w:rsidRPr="002441BB" w:rsidTr="00F7204E">
        <w:trPr>
          <w:trHeight w:val="360"/>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1"/>
              <w:rPr>
                <w:rFonts w:asciiTheme="minorHAnsi" w:hAnsiTheme="minorHAnsi" w:cs="Arial"/>
                <w:b/>
                <w:bCs/>
                <w:sz w:val="19"/>
                <w:szCs w:val="19"/>
              </w:rPr>
            </w:pPr>
            <w:r w:rsidRPr="002441BB">
              <w:rPr>
                <w:rFonts w:asciiTheme="minorHAnsi" w:hAnsiTheme="minorHAnsi"/>
                <w:b/>
                <w:bCs/>
                <w:sz w:val="19"/>
                <w:szCs w:val="19"/>
              </w:rPr>
              <w:t>Zaintzaileen Gizarte Segurantzako kotizazioak</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sz w:val="19"/>
                <w:szCs w:val="19"/>
              </w:rPr>
            </w:pPr>
            <w:r w:rsidRPr="002441BB">
              <w:rPr>
                <w:rFonts w:asciiTheme="minorHAnsi" w:hAnsiTheme="minorHAnsi"/>
                <w:sz w:val="19"/>
                <w:szCs w:val="19"/>
              </w:rPr>
              <w:t xml:space="preserve">             2.840   </w:t>
            </w:r>
          </w:p>
        </w:tc>
        <w:tc>
          <w:tcPr>
            <w:tcW w:w="1889"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sz w:val="19"/>
                <w:szCs w:val="19"/>
              </w:rPr>
            </w:pPr>
            <w:r w:rsidRPr="002441BB">
              <w:rPr>
                <w:rFonts w:asciiTheme="minorHAnsi" w:hAnsiTheme="minorHAnsi"/>
                <w:sz w:val="19"/>
                <w:szCs w:val="19"/>
              </w:rPr>
              <w:t xml:space="preserve">         1.491.931,83   </w:t>
            </w:r>
          </w:p>
        </w:tc>
      </w:tr>
    </w:tbl>
    <w:p w:rsidR="00000A14" w:rsidRDefault="00000A14" w:rsidP="00E127B8">
      <w:pPr>
        <w:spacing w:line="360" w:lineRule="auto"/>
        <w:ind w:firstLine="426"/>
        <w:jc w:val="both"/>
        <w:rPr>
          <w:rFonts w:ascii="Arial" w:hAnsi="Arial" w:cs="Arial"/>
          <w:sz w:val="22"/>
          <w:szCs w:val="22"/>
          <w:lang w:val="es-ES_tradnl"/>
        </w:rPr>
      </w:pPr>
    </w:p>
    <w:p w:rsidR="00000A14" w:rsidRDefault="00E127B8" w:rsidP="00E127B8">
      <w:pPr>
        <w:numPr>
          <w:ilvl w:val="0"/>
          <w:numId w:val="18"/>
        </w:numPr>
        <w:spacing w:line="360" w:lineRule="auto"/>
        <w:contextualSpacing/>
        <w:jc w:val="both"/>
        <w:rPr>
          <w:rFonts w:ascii="Arial" w:hAnsi="Arial" w:cs="Arial"/>
          <w:b/>
          <w:sz w:val="22"/>
          <w:szCs w:val="22"/>
        </w:rPr>
      </w:pPr>
      <w:r>
        <w:rPr>
          <w:rFonts w:ascii="Arial" w:hAnsi="Arial"/>
          <w:b/>
          <w:sz w:val="22"/>
          <w:szCs w:val="22"/>
        </w:rPr>
        <w:t>Gobernuak zer xehakapen egin lezake, zerga-oinarriaren tarteen arabera, neurri horren onuradunei dagokienez?</w:t>
      </w:r>
    </w:p>
    <w:p w:rsidR="00E127B8" w:rsidRPr="00E127B8" w:rsidRDefault="00E127B8" w:rsidP="00E127B8">
      <w:pPr>
        <w:spacing w:line="360" w:lineRule="auto"/>
        <w:ind w:firstLine="426"/>
        <w:jc w:val="both"/>
        <w:rPr>
          <w:rFonts w:ascii="Arial" w:hAnsi="Arial" w:cs="Arial"/>
          <w:sz w:val="22"/>
          <w:szCs w:val="22"/>
        </w:rPr>
      </w:pPr>
      <w:r>
        <w:rPr>
          <w:rFonts w:ascii="Arial" w:hAnsi="Arial"/>
          <w:sz w:val="22"/>
          <w:szCs w:val="22"/>
        </w:rPr>
        <w:t>2018ko zergaldiko PFEZaren aitorpenen erregistroetan jasotakoaren arabera, hau da c1482 laukian (likidazio-oinarriaren tarteen, c550, arabera banatuta dago), zenbatekoa adierazi zen aitorpenen kopurua:</w:t>
      </w:r>
    </w:p>
    <w:p w:rsidR="00E127B8" w:rsidRPr="00A51610" w:rsidRDefault="00E127B8" w:rsidP="00E127B8">
      <w:pPr>
        <w:spacing w:line="360" w:lineRule="auto"/>
        <w:jc w:val="both"/>
        <w:rPr>
          <w:rFonts w:ascii="Arial" w:hAnsi="Arial" w:cs="Arial"/>
          <w:sz w:val="22"/>
          <w:szCs w:val="22"/>
        </w:rPr>
      </w:pPr>
    </w:p>
    <w:tbl>
      <w:tblPr>
        <w:tblW w:w="9243" w:type="dxa"/>
        <w:tblInd w:w="65" w:type="dxa"/>
        <w:tblCellMar>
          <w:left w:w="70" w:type="dxa"/>
          <w:right w:w="70" w:type="dxa"/>
        </w:tblCellMar>
        <w:tblLook w:val="04A0" w:firstRow="1" w:lastRow="0" w:firstColumn="1" w:lastColumn="0" w:noHBand="0" w:noVBand="1"/>
      </w:tblPr>
      <w:tblGrid>
        <w:gridCol w:w="5860"/>
        <w:gridCol w:w="1623"/>
        <w:gridCol w:w="1760"/>
      </w:tblGrid>
      <w:tr w:rsidR="00E127B8" w:rsidRPr="002441BB" w:rsidTr="00F7204E">
        <w:trPr>
          <w:trHeight w:val="336"/>
        </w:trPr>
        <w:tc>
          <w:tcPr>
            <w:tcW w:w="5860" w:type="dxa"/>
            <w:vMerge w:val="restart"/>
            <w:tcBorders>
              <w:top w:val="single" w:sz="4" w:space="0" w:color="C0C0C0"/>
              <w:left w:val="single" w:sz="4" w:space="0" w:color="C0C0C0"/>
              <w:bottom w:val="single" w:sz="4" w:space="0" w:color="C0C0C0"/>
              <w:right w:val="single" w:sz="4" w:space="0" w:color="C0C0C0"/>
            </w:tcBorders>
            <w:shd w:val="clear" w:color="000000" w:fill="FFFFFF"/>
            <w:vAlign w:val="center"/>
            <w:hideMark/>
          </w:tcPr>
          <w:p w:rsidR="00E127B8" w:rsidRPr="002441BB" w:rsidRDefault="00E127B8" w:rsidP="00E127B8">
            <w:pPr>
              <w:jc w:val="center"/>
              <w:rPr>
                <w:rFonts w:asciiTheme="minorHAnsi" w:hAnsiTheme="minorHAnsi" w:cs="Calibri"/>
                <w:b/>
                <w:bCs/>
                <w:sz w:val="19"/>
                <w:szCs w:val="19"/>
              </w:rPr>
            </w:pPr>
            <w:bookmarkStart w:id="0" w:name="_GoBack"/>
            <w:r w:rsidRPr="002441BB">
              <w:rPr>
                <w:rFonts w:asciiTheme="minorHAnsi" w:hAnsiTheme="minorHAnsi"/>
                <w:b/>
                <w:bCs/>
                <w:sz w:val="19"/>
                <w:szCs w:val="19"/>
              </w:rPr>
              <w:t> </w:t>
            </w:r>
          </w:p>
        </w:tc>
        <w:tc>
          <w:tcPr>
            <w:tcW w:w="338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127B8" w:rsidRPr="002441BB" w:rsidRDefault="00E127B8" w:rsidP="00E127B8">
            <w:pPr>
              <w:jc w:val="center"/>
              <w:rPr>
                <w:rFonts w:asciiTheme="minorHAnsi" w:hAnsiTheme="minorHAnsi" w:cs="Arial"/>
                <w:b/>
                <w:bCs/>
                <w:sz w:val="19"/>
                <w:szCs w:val="19"/>
              </w:rPr>
            </w:pPr>
            <w:r w:rsidRPr="002441BB">
              <w:rPr>
                <w:rFonts w:asciiTheme="minorHAnsi" w:hAnsiTheme="minorHAnsi"/>
                <w:b/>
                <w:bCs/>
                <w:sz w:val="19"/>
                <w:szCs w:val="19"/>
              </w:rPr>
              <w:t>2018</w:t>
            </w:r>
          </w:p>
        </w:tc>
      </w:tr>
      <w:tr w:rsidR="00E127B8" w:rsidRPr="002441BB" w:rsidTr="00F7204E">
        <w:trPr>
          <w:trHeight w:val="528"/>
        </w:trPr>
        <w:tc>
          <w:tcPr>
            <w:tcW w:w="5860" w:type="dxa"/>
            <w:vMerge/>
            <w:tcBorders>
              <w:top w:val="single" w:sz="4" w:space="0" w:color="C0C0C0"/>
              <w:left w:val="single" w:sz="4" w:space="0" w:color="C0C0C0"/>
              <w:bottom w:val="single" w:sz="4" w:space="0" w:color="C0C0C0"/>
              <w:right w:val="single" w:sz="4" w:space="0" w:color="C0C0C0"/>
            </w:tcBorders>
            <w:vAlign w:val="center"/>
            <w:hideMark/>
          </w:tcPr>
          <w:p w:rsidR="00E127B8" w:rsidRPr="002441BB" w:rsidRDefault="00E127B8" w:rsidP="00E127B8">
            <w:pPr>
              <w:rPr>
                <w:rFonts w:asciiTheme="minorHAnsi" w:hAnsiTheme="minorHAnsi" w:cs="Calibri"/>
                <w:b/>
                <w:bCs/>
                <w:color w:val="000099"/>
                <w:sz w:val="19"/>
                <w:szCs w:val="19"/>
                <w:lang w:val="es-ES_tradnl"/>
              </w:rPr>
            </w:pPr>
          </w:p>
        </w:tc>
        <w:tc>
          <w:tcPr>
            <w:tcW w:w="1623" w:type="dxa"/>
            <w:tcBorders>
              <w:top w:val="nil"/>
              <w:left w:val="single" w:sz="4" w:space="0" w:color="auto"/>
              <w:bottom w:val="single" w:sz="4" w:space="0" w:color="auto"/>
              <w:right w:val="single" w:sz="4" w:space="0" w:color="auto"/>
            </w:tcBorders>
            <w:shd w:val="clear" w:color="000000" w:fill="D9D9D9"/>
            <w:vAlign w:val="center"/>
            <w:hideMark/>
          </w:tcPr>
          <w:p w:rsidR="00E127B8" w:rsidRPr="002441BB" w:rsidRDefault="00E127B8" w:rsidP="00E127B8">
            <w:pPr>
              <w:jc w:val="center"/>
              <w:rPr>
                <w:rFonts w:asciiTheme="minorHAnsi" w:hAnsiTheme="minorHAnsi" w:cs="Arial"/>
                <w:b/>
                <w:bCs/>
                <w:sz w:val="19"/>
                <w:szCs w:val="19"/>
              </w:rPr>
            </w:pPr>
            <w:r w:rsidRPr="002441BB">
              <w:rPr>
                <w:rFonts w:asciiTheme="minorHAnsi" w:hAnsiTheme="minorHAnsi"/>
                <w:b/>
                <w:bCs/>
                <w:sz w:val="19"/>
                <w:szCs w:val="19"/>
              </w:rPr>
              <w:t>AITORPEN</w:t>
            </w:r>
            <w:r w:rsidRPr="002441BB">
              <w:rPr>
                <w:rFonts w:asciiTheme="minorHAnsi" w:hAnsiTheme="minorHAnsi"/>
                <w:b/>
                <w:bCs/>
                <w:sz w:val="19"/>
                <w:szCs w:val="19"/>
              </w:rPr>
              <w:br/>
              <w:t>KOPURUA</w:t>
            </w:r>
          </w:p>
        </w:tc>
        <w:tc>
          <w:tcPr>
            <w:tcW w:w="1760" w:type="dxa"/>
            <w:tcBorders>
              <w:top w:val="nil"/>
              <w:left w:val="nil"/>
              <w:bottom w:val="single" w:sz="4" w:space="0" w:color="auto"/>
              <w:right w:val="single" w:sz="4" w:space="0" w:color="auto"/>
            </w:tcBorders>
            <w:shd w:val="clear" w:color="000000" w:fill="D9D9D9"/>
            <w:vAlign w:val="center"/>
            <w:hideMark/>
          </w:tcPr>
          <w:p w:rsidR="00E127B8" w:rsidRPr="002441BB" w:rsidRDefault="00E127B8" w:rsidP="00E127B8">
            <w:pPr>
              <w:jc w:val="center"/>
              <w:rPr>
                <w:rFonts w:asciiTheme="minorHAnsi" w:hAnsiTheme="minorHAnsi" w:cs="Arial"/>
                <w:b/>
                <w:bCs/>
                <w:sz w:val="19"/>
                <w:szCs w:val="19"/>
              </w:rPr>
            </w:pPr>
            <w:r w:rsidRPr="002441BB">
              <w:rPr>
                <w:rFonts w:asciiTheme="minorHAnsi" w:hAnsiTheme="minorHAnsi"/>
                <w:b/>
                <w:bCs/>
                <w:sz w:val="19"/>
                <w:szCs w:val="19"/>
              </w:rPr>
              <w:t>Kenkariaren zenbatekoa</w:t>
            </w:r>
            <w:r w:rsidRPr="002441BB">
              <w:rPr>
                <w:rFonts w:asciiTheme="minorHAnsi" w:hAnsiTheme="minorHAnsi"/>
                <w:b/>
                <w:bCs/>
                <w:sz w:val="19"/>
                <w:szCs w:val="19"/>
              </w:rPr>
              <w:br/>
              <w:t>c1482</w:t>
            </w:r>
          </w:p>
        </w:tc>
      </w:tr>
      <w:tr w:rsidR="00E127B8" w:rsidRPr="002441BB" w:rsidTr="00F7204E">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LIKIDAZIO-OINARRIA ZERO EDO GUTXIAGO</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 xml:space="preserve">              2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sz w:val="19"/>
                <w:szCs w:val="19"/>
              </w:rPr>
            </w:pPr>
            <w:r w:rsidRPr="002441BB">
              <w:rPr>
                <w:rFonts w:asciiTheme="minorHAnsi" w:hAnsiTheme="minorHAnsi"/>
                <w:sz w:val="19"/>
                <w:szCs w:val="19"/>
              </w:rPr>
              <w:t xml:space="preserve">              863,10   </w:t>
            </w:r>
          </w:p>
        </w:tc>
      </w:tr>
      <w:tr w:rsidR="00E127B8" w:rsidRPr="002441BB"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LIKIDAZIO-OINARRIA 0 BAINO GEHIAGO ETA 3.000 BAINO GUTXIAGO</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 xml:space="preserve">              9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sz w:val="19"/>
                <w:szCs w:val="19"/>
              </w:rPr>
            </w:pPr>
            <w:r w:rsidRPr="002441BB">
              <w:rPr>
                <w:rFonts w:asciiTheme="minorHAnsi" w:hAnsiTheme="minorHAnsi"/>
                <w:sz w:val="19"/>
                <w:szCs w:val="19"/>
              </w:rPr>
              <w:t xml:space="preserve">            4.924,38   </w:t>
            </w:r>
          </w:p>
        </w:tc>
      </w:tr>
      <w:tr w:rsidR="00E127B8" w:rsidRPr="002441BB"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LIKIDAZIO-OINARRIA 3.000,01 ETA 6.000 EURO ARTEKOA</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 xml:space="preserve">              7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sz w:val="19"/>
                <w:szCs w:val="19"/>
              </w:rPr>
            </w:pPr>
            <w:r w:rsidRPr="002441BB">
              <w:rPr>
                <w:rFonts w:asciiTheme="minorHAnsi" w:hAnsiTheme="minorHAnsi"/>
                <w:sz w:val="19"/>
                <w:szCs w:val="19"/>
              </w:rPr>
              <w:t xml:space="preserve">            3.420,48   </w:t>
            </w:r>
          </w:p>
        </w:tc>
      </w:tr>
      <w:tr w:rsidR="00E127B8" w:rsidRPr="002441BB"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LIKIDAZIO-OINARRIA 6.000,01 ETA 12.000 EURO ARTEKOA</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 xml:space="preserve">             66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sz w:val="19"/>
                <w:szCs w:val="19"/>
              </w:rPr>
            </w:pPr>
            <w:r w:rsidRPr="002441BB">
              <w:rPr>
                <w:rFonts w:asciiTheme="minorHAnsi" w:hAnsiTheme="minorHAnsi"/>
                <w:sz w:val="19"/>
                <w:szCs w:val="19"/>
              </w:rPr>
              <w:t xml:space="preserve">          40.276,31   </w:t>
            </w:r>
          </w:p>
        </w:tc>
      </w:tr>
      <w:tr w:rsidR="00E127B8" w:rsidRPr="002441BB"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LIKIDAZIO-OINARRIA 12.000,01 ETA 18.000 EURO ARTEKOA</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 xml:space="preserve">           184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sz w:val="19"/>
                <w:szCs w:val="19"/>
              </w:rPr>
            </w:pPr>
            <w:r w:rsidRPr="002441BB">
              <w:rPr>
                <w:rFonts w:asciiTheme="minorHAnsi" w:hAnsiTheme="minorHAnsi"/>
                <w:sz w:val="19"/>
                <w:szCs w:val="19"/>
              </w:rPr>
              <w:t xml:space="preserve">        115.456,67   </w:t>
            </w:r>
          </w:p>
        </w:tc>
      </w:tr>
      <w:tr w:rsidR="00E127B8" w:rsidRPr="002441BB"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LIKIDAZIO-OINARRIA 18.000,01 ETA 24.000 EURO ARTEKOA</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 xml:space="preserve">           243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sz w:val="19"/>
                <w:szCs w:val="19"/>
              </w:rPr>
            </w:pPr>
            <w:r w:rsidRPr="002441BB">
              <w:rPr>
                <w:rFonts w:asciiTheme="minorHAnsi" w:hAnsiTheme="minorHAnsi"/>
                <w:sz w:val="19"/>
                <w:szCs w:val="19"/>
              </w:rPr>
              <w:t xml:space="preserve">        146.517,30   </w:t>
            </w:r>
          </w:p>
        </w:tc>
      </w:tr>
      <w:tr w:rsidR="00E127B8" w:rsidRPr="002441BB"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LIKIDAZIO-OINARRIA 24.000,01 ETA 30.000 EURO ARTEKOA</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 xml:space="preserve">           195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sz w:val="19"/>
                <w:szCs w:val="19"/>
              </w:rPr>
            </w:pPr>
            <w:r w:rsidRPr="002441BB">
              <w:rPr>
                <w:rFonts w:asciiTheme="minorHAnsi" w:hAnsiTheme="minorHAnsi"/>
                <w:sz w:val="19"/>
                <w:szCs w:val="19"/>
              </w:rPr>
              <w:t xml:space="preserve">        101.340,44   </w:t>
            </w:r>
          </w:p>
        </w:tc>
      </w:tr>
      <w:tr w:rsidR="00E127B8" w:rsidRPr="002441BB"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LIKIDAZIO-OINARRIA 30.000,01 ETA 45.000 EURO ARTEKOA</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 xml:space="preserve">           494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sz w:val="19"/>
                <w:szCs w:val="19"/>
              </w:rPr>
            </w:pPr>
            <w:r w:rsidRPr="002441BB">
              <w:rPr>
                <w:rFonts w:asciiTheme="minorHAnsi" w:hAnsiTheme="minorHAnsi"/>
                <w:sz w:val="19"/>
                <w:szCs w:val="19"/>
              </w:rPr>
              <w:t xml:space="preserve">        266.542,96   </w:t>
            </w:r>
          </w:p>
        </w:tc>
      </w:tr>
      <w:tr w:rsidR="00E127B8" w:rsidRPr="002441BB"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LIKIDAZIO-OINARRIA 45.000,01 ETA 60.000 EURO ARTEKOA</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 xml:space="preserve">           330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sz w:val="19"/>
                <w:szCs w:val="19"/>
              </w:rPr>
            </w:pPr>
            <w:r w:rsidRPr="002441BB">
              <w:rPr>
                <w:rFonts w:asciiTheme="minorHAnsi" w:hAnsiTheme="minorHAnsi"/>
                <w:sz w:val="19"/>
                <w:szCs w:val="19"/>
              </w:rPr>
              <w:t xml:space="preserve">        147.971,32   </w:t>
            </w:r>
          </w:p>
        </w:tc>
      </w:tr>
      <w:tr w:rsidR="00E127B8" w:rsidRPr="002441BB"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LIKIDAZIO-OINARRIA 60.000,01 ETA 90.000 EURO ARTEKOA</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 xml:space="preserve">           540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sz w:val="19"/>
                <w:szCs w:val="19"/>
              </w:rPr>
            </w:pPr>
            <w:r w:rsidRPr="002441BB">
              <w:rPr>
                <w:rFonts w:asciiTheme="minorHAnsi" w:hAnsiTheme="minorHAnsi"/>
                <w:sz w:val="19"/>
                <w:szCs w:val="19"/>
              </w:rPr>
              <w:t xml:space="preserve">        235.209,26   </w:t>
            </w:r>
          </w:p>
        </w:tc>
      </w:tr>
      <w:tr w:rsidR="00E127B8" w:rsidRPr="002441BB"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LIKIDAZIO-OINARRIA 90.000,01 ETA 120.000 EURO ARTEKOA</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 xml:space="preserve">           355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sz w:val="19"/>
                <w:szCs w:val="19"/>
              </w:rPr>
            </w:pPr>
            <w:r w:rsidRPr="002441BB">
              <w:rPr>
                <w:rFonts w:asciiTheme="minorHAnsi" w:hAnsiTheme="minorHAnsi"/>
                <w:sz w:val="19"/>
                <w:szCs w:val="19"/>
              </w:rPr>
              <w:t xml:space="preserve">        163.219,02   </w:t>
            </w:r>
          </w:p>
        </w:tc>
      </w:tr>
      <w:tr w:rsidR="00E127B8" w:rsidRPr="002441BB"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LIKIDAZIO-OINARRIA 120.000,01 ETA 180.000 EURO ARTEKOA</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 xml:space="preserve">           271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sz w:val="19"/>
                <w:szCs w:val="19"/>
              </w:rPr>
            </w:pPr>
            <w:r w:rsidRPr="002441BB">
              <w:rPr>
                <w:rFonts w:asciiTheme="minorHAnsi" w:hAnsiTheme="minorHAnsi"/>
                <w:sz w:val="19"/>
                <w:szCs w:val="19"/>
              </w:rPr>
              <w:t xml:space="preserve">        161.262,13   </w:t>
            </w:r>
          </w:p>
        </w:tc>
      </w:tr>
      <w:tr w:rsidR="00E127B8" w:rsidRPr="002441BB"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LIKIDAZIO-OINARRIA 180.000,01 ETA 300.000 EURO ARTEKOA</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 xml:space="preserve">           103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sz w:val="19"/>
                <w:szCs w:val="19"/>
              </w:rPr>
            </w:pPr>
            <w:r w:rsidRPr="002441BB">
              <w:rPr>
                <w:rFonts w:asciiTheme="minorHAnsi" w:hAnsiTheme="minorHAnsi"/>
                <w:sz w:val="19"/>
                <w:szCs w:val="19"/>
              </w:rPr>
              <w:t xml:space="preserve">          65.898,54   </w:t>
            </w:r>
          </w:p>
        </w:tc>
      </w:tr>
      <w:tr w:rsidR="00E127B8" w:rsidRPr="002441BB"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LIKIDAZIO-OINARRIA 300.000 ETA 600.000 EURO ARTEKOA</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 xml:space="preserve">             29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sz w:val="19"/>
                <w:szCs w:val="19"/>
              </w:rPr>
            </w:pPr>
            <w:r w:rsidRPr="002441BB">
              <w:rPr>
                <w:rFonts w:asciiTheme="minorHAnsi" w:hAnsiTheme="minorHAnsi"/>
                <w:sz w:val="19"/>
                <w:szCs w:val="19"/>
              </w:rPr>
              <w:t xml:space="preserve">          26.693,47   </w:t>
            </w:r>
          </w:p>
        </w:tc>
      </w:tr>
      <w:tr w:rsidR="00E127B8" w:rsidRPr="002441BB"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LIKIDAZIO-OINARRIA 600.000 EURO BAINO HANDIAGOA</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2441BB">
            <w:pPr>
              <w:ind w:firstLineChars="100" w:firstLine="190"/>
              <w:rPr>
                <w:rFonts w:asciiTheme="minorHAnsi" w:hAnsiTheme="minorHAnsi" w:cs="Arial"/>
                <w:sz w:val="19"/>
                <w:szCs w:val="19"/>
              </w:rPr>
            </w:pPr>
            <w:r w:rsidRPr="002441BB">
              <w:rPr>
                <w:rFonts w:asciiTheme="minorHAnsi" w:hAnsiTheme="minorHAnsi"/>
                <w:sz w:val="19"/>
                <w:szCs w:val="19"/>
              </w:rPr>
              <w:t xml:space="preserve">             12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2441BB" w:rsidRDefault="00E127B8" w:rsidP="00E127B8">
            <w:pPr>
              <w:jc w:val="center"/>
              <w:rPr>
                <w:rFonts w:asciiTheme="minorHAnsi" w:hAnsiTheme="minorHAnsi" w:cs="Arial"/>
                <w:sz w:val="19"/>
                <w:szCs w:val="19"/>
              </w:rPr>
            </w:pPr>
            <w:r w:rsidRPr="002441BB">
              <w:rPr>
                <w:rFonts w:asciiTheme="minorHAnsi" w:hAnsiTheme="minorHAnsi"/>
                <w:sz w:val="19"/>
                <w:szCs w:val="19"/>
              </w:rPr>
              <w:t xml:space="preserve">          12.336,45   </w:t>
            </w:r>
          </w:p>
        </w:tc>
      </w:tr>
      <w:tr w:rsidR="00E127B8" w:rsidRPr="002441BB" w:rsidTr="00F7204E">
        <w:trPr>
          <w:trHeight w:val="300"/>
        </w:trPr>
        <w:tc>
          <w:tcPr>
            <w:tcW w:w="5860" w:type="dxa"/>
            <w:tcBorders>
              <w:top w:val="nil"/>
              <w:left w:val="single" w:sz="4" w:space="0" w:color="auto"/>
              <w:bottom w:val="single" w:sz="4" w:space="0" w:color="auto"/>
              <w:right w:val="single" w:sz="4" w:space="0" w:color="auto"/>
            </w:tcBorders>
            <w:shd w:val="clear" w:color="000000" w:fill="F2F2F2"/>
            <w:noWrap/>
            <w:vAlign w:val="center"/>
            <w:hideMark/>
          </w:tcPr>
          <w:p w:rsidR="00E127B8" w:rsidRPr="002441BB" w:rsidRDefault="00E127B8" w:rsidP="002441BB">
            <w:pPr>
              <w:ind w:firstLineChars="100" w:firstLine="191"/>
              <w:rPr>
                <w:rFonts w:asciiTheme="minorHAnsi" w:hAnsiTheme="minorHAnsi" w:cs="Arial"/>
                <w:b/>
                <w:bCs/>
                <w:sz w:val="19"/>
                <w:szCs w:val="19"/>
              </w:rPr>
            </w:pPr>
            <w:r w:rsidRPr="002441BB">
              <w:rPr>
                <w:rFonts w:asciiTheme="minorHAnsi" w:hAnsiTheme="minorHAnsi"/>
                <w:b/>
                <w:bCs/>
                <w:sz w:val="19"/>
                <w:szCs w:val="19"/>
              </w:rPr>
              <w:t>LOB tarteak, c550</w:t>
            </w:r>
          </w:p>
        </w:tc>
        <w:tc>
          <w:tcPr>
            <w:tcW w:w="1623" w:type="dxa"/>
            <w:tcBorders>
              <w:top w:val="nil"/>
              <w:left w:val="nil"/>
              <w:bottom w:val="single" w:sz="4" w:space="0" w:color="auto"/>
              <w:right w:val="single" w:sz="4" w:space="0" w:color="auto"/>
            </w:tcBorders>
            <w:shd w:val="clear" w:color="000000" w:fill="F2F2F2"/>
            <w:noWrap/>
            <w:vAlign w:val="center"/>
            <w:hideMark/>
          </w:tcPr>
          <w:p w:rsidR="00E127B8" w:rsidRPr="002441BB" w:rsidRDefault="00E127B8" w:rsidP="002441BB">
            <w:pPr>
              <w:ind w:firstLineChars="100" w:firstLine="191"/>
              <w:rPr>
                <w:rFonts w:asciiTheme="minorHAnsi" w:hAnsiTheme="minorHAnsi" w:cs="Arial"/>
                <w:b/>
                <w:bCs/>
                <w:sz w:val="19"/>
                <w:szCs w:val="19"/>
              </w:rPr>
            </w:pPr>
            <w:r w:rsidRPr="002441BB">
              <w:rPr>
                <w:rFonts w:asciiTheme="minorHAnsi" w:hAnsiTheme="minorHAnsi"/>
                <w:b/>
                <w:bCs/>
                <w:sz w:val="19"/>
                <w:szCs w:val="19"/>
              </w:rPr>
              <w:t xml:space="preserve">        2.840   </w:t>
            </w:r>
          </w:p>
        </w:tc>
        <w:tc>
          <w:tcPr>
            <w:tcW w:w="1760" w:type="dxa"/>
            <w:tcBorders>
              <w:top w:val="nil"/>
              <w:left w:val="nil"/>
              <w:bottom w:val="single" w:sz="4" w:space="0" w:color="auto"/>
              <w:right w:val="single" w:sz="4" w:space="0" w:color="auto"/>
            </w:tcBorders>
            <w:shd w:val="clear" w:color="000000" w:fill="F2F2F2"/>
            <w:noWrap/>
            <w:vAlign w:val="center"/>
            <w:hideMark/>
          </w:tcPr>
          <w:p w:rsidR="00E127B8" w:rsidRPr="002441BB" w:rsidRDefault="00E127B8" w:rsidP="00E127B8">
            <w:pPr>
              <w:jc w:val="center"/>
              <w:rPr>
                <w:rFonts w:asciiTheme="minorHAnsi" w:hAnsiTheme="minorHAnsi" w:cs="Arial"/>
                <w:b/>
                <w:bCs/>
                <w:sz w:val="19"/>
                <w:szCs w:val="19"/>
              </w:rPr>
            </w:pPr>
            <w:r w:rsidRPr="002441BB">
              <w:rPr>
                <w:rFonts w:asciiTheme="minorHAnsi" w:hAnsiTheme="minorHAnsi"/>
                <w:b/>
                <w:bCs/>
                <w:sz w:val="19"/>
                <w:szCs w:val="19"/>
              </w:rPr>
              <w:t xml:space="preserve">     1.491.931,83   </w:t>
            </w:r>
          </w:p>
        </w:tc>
      </w:tr>
      <w:tr w:rsidR="00E127B8" w:rsidRPr="002441BB" w:rsidTr="00F7204E">
        <w:trPr>
          <w:trHeight w:val="720"/>
        </w:trPr>
        <w:tc>
          <w:tcPr>
            <w:tcW w:w="9243" w:type="dxa"/>
            <w:gridSpan w:val="3"/>
            <w:tcBorders>
              <w:top w:val="nil"/>
              <w:left w:val="nil"/>
              <w:bottom w:val="nil"/>
              <w:right w:val="nil"/>
            </w:tcBorders>
            <w:shd w:val="clear" w:color="auto" w:fill="auto"/>
            <w:vAlign w:val="center"/>
            <w:hideMark/>
          </w:tcPr>
          <w:p w:rsidR="00E127B8" w:rsidRPr="002441BB" w:rsidRDefault="00E127B8" w:rsidP="00E127B8">
            <w:pPr>
              <w:rPr>
                <w:rFonts w:asciiTheme="minorHAnsi" w:hAnsiTheme="minorHAnsi" w:cs="Arial"/>
                <w:sz w:val="16"/>
                <w:szCs w:val="16"/>
              </w:rPr>
            </w:pPr>
            <w:r w:rsidRPr="002441BB">
              <w:rPr>
                <w:rFonts w:asciiTheme="minorHAnsi" w:hAnsiTheme="minorHAnsi"/>
                <w:sz w:val="16"/>
                <w:szCs w:val="16"/>
              </w:rPr>
              <w:t xml:space="preserve">LIKIDAZIO-OINARRIA: Aurrezkiaren likidazio-oinarri orokorra eta likidazio-oinarri berezia barne. Baterako </w:t>
            </w:r>
            <w:proofErr w:type="spellStart"/>
            <w:r w:rsidRPr="002441BB">
              <w:rPr>
                <w:rFonts w:asciiTheme="minorHAnsi" w:hAnsiTheme="minorHAnsi"/>
                <w:sz w:val="16"/>
                <w:szCs w:val="16"/>
              </w:rPr>
              <w:t>tributazioan</w:t>
            </w:r>
            <w:proofErr w:type="spellEnd"/>
            <w:r w:rsidRPr="002441BB">
              <w:rPr>
                <w:rFonts w:asciiTheme="minorHAnsi" w:hAnsiTheme="minorHAnsi"/>
                <w:sz w:val="16"/>
                <w:szCs w:val="16"/>
              </w:rPr>
              <w:t xml:space="preserve"> familia-unitateko kide guztien likidazio-oinarri orokorren eta berezien batura jasotzen da.    </w:t>
            </w:r>
          </w:p>
        </w:tc>
      </w:tr>
      <w:bookmarkEnd w:id="0"/>
    </w:tbl>
    <w:p w:rsidR="00000A14" w:rsidRDefault="00000A14" w:rsidP="00E127B8">
      <w:pPr>
        <w:spacing w:line="360" w:lineRule="auto"/>
        <w:jc w:val="both"/>
        <w:rPr>
          <w:rFonts w:ascii="Arial" w:hAnsi="Arial" w:cs="Arial"/>
          <w:sz w:val="22"/>
          <w:szCs w:val="22"/>
          <w:lang w:val="es-ES_tradnl"/>
        </w:rPr>
      </w:pPr>
    </w:p>
    <w:p w:rsidR="00000A14" w:rsidRDefault="00E127B8" w:rsidP="00E127B8">
      <w:pPr>
        <w:numPr>
          <w:ilvl w:val="0"/>
          <w:numId w:val="18"/>
        </w:numPr>
        <w:spacing w:line="360" w:lineRule="auto"/>
        <w:contextualSpacing/>
        <w:jc w:val="both"/>
        <w:rPr>
          <w:rFonts w:ascii="Arial" w:hAnsi="Arial" w:cs="Arial"/>
          <w:b/>
          <w:sz w:val="22"/>
          <w:szCs w:val="22"/>
        </w:rPr>
      </w:pPr>
      <w:r>
        <w:rPr>
          <w:rFonts w:ascii="Arial" w:hAnsi="Arial"/>
          <w:b/>
          <w:sz w:val="22"/>
          <w:szCs w:val="22"/>
        </w:rPr>
        <w:t>Gobernuak zer kostu kalkulatu du izan lezakeela neurri horrek, onartuko balitz?</w:t>
      </w:r>
    </w:p>
    <w:p w:rsidR="00000A14" w:rsidRDefault="00E127B8" w:rsidP="00E127B8">
      <w:pPr>
        <w:spacing w:line="360" w:lineRule="auto"/>
        <w:ind w:firstLine="426"/>
        <w:jc w:val="both"/>
        <w:rPr>
          <w:rFonts w:ascii="Arial" w:hAnsi="Arial" w:cs="Arial"/>
          <w:sz w:val="22"/>
          <w:szCs w:val="22"/>
        </w:rPr>
      </w:pPr>
      <w:r>
        <w:rPr>
          <w:rFonts w:ascii="Arial" w:hAnsi="Arial"/>
          <w:sz w:val="22"/>
          <w:szCs w:val="22"/>
        </w:rPr>
        <w:t xml:space="preserve">Neurria dela-eta zenbatetsi den kostua 1.639.400,28 eurokoa da. </w:t>
      </w:r>
    </w:p>
    <w:p w:rsidR="00000A14" w:rsidRDefault="00E127B8" w:rsidP="00E127B8">
      <w:pPr>
        <w:numPr>
          <w:ilvl w:val="0"/>
          <w:numId w:val="18"/>
        </w:numPr>
        <w:spacing w:line="360" w:lineRule="auto"/>
        <w:contextualSpacing/>
        <w:jc w:val="both"/>
        <w:rPr>
          <w:rFonts w:ascii="Arial" w:hAnsi="Arial" w:cs="Arial"/>
          <w:b/>
          <w:sz w:val="22"/>
          <w:szCs w:val="22"/>
        </w:rPr>
      </w:pPr>
      <w:r>
        <w:rPr>
          <w:rFonts w:ascii="Arial" w:hAnsi="Arial"/>
          <w:b/>
          <w:sz w:val="22"/>
          <w:szCs w:val="22"/>
        </w:rPr>
        <w:t>Gobernuak zer baliabide dauka neurri hori finantzatzeko, onartuko balitz? Gobernuak nola finantzatu nahi du neurri hori?</w:t>
      </w:r>
    </w:p>
    <w:p w:rsidR="00000A14" w:rsidRDefault="00E127B8" w:rsidP="00E127B8">
      <w:pPr>
        <w:spacing w:line="360" w:lineRule="auto"/>
        <w:ind w:firstLine="426"/>
        <w:jc w:val="both"/>
        <w:rPr>
          <w:rFonts w:ascii="Arial" w:hAnsi="Arial" w:cs="Arial"/>
          <w:sz w:val="22"/>
          <w:szCs w:val="22"/>
        </w:rPr>
      </w:pPr>
      <w:r>
        <w:rPr>
          <w:rFonts w:ascii="Arial" w:hAnsi="Arial"/>
          <w:sz w:val="22"/>
          <w:szCs w:val="22"/>
        </w:rPr>
        <w:t>Neurri horrek 2020ko errenta-aitorpenean diru-sarrera txikiagoak (itzulketa handiagoak) izatea dakar, eta 2021eko udaberrian aitortu beharko da. Beraz, horren kostua kontuan hartu da Nafarroako 2021erako Aurrekontu Orokorren proiektuan sartutako partidaren diru-sarreren zenbatespenak egiterakoan.</w:t>
      </w:r>
    </w:p>
    <w:p w:rsidR="00000A14" w:rsidRDefault="00951063" w:rsidP="00951063">
      <w:pPr>
        <w:spacing w:line="360" w:lineRule="auto"/>
        <w:jc w:val="both"/>
        <w:rPr>
          <w:rFonts w:ascii="Arial" w:hAnsi="Arial" w:cs="Arial"/>
        </w:rPr>
      </w:pPr>
      <w:r>
        <w:rPr>
          <w:rFonts w:ascii="Arial" w:hAnsi="Arial"/>
        </w:rPr>
        <w:t>Hori guztia jakinarazten dizut, Nafarroako Parlamentuko Erregelamenduaren 194. artikulua betez.</w:t>
      </w:r>
    </w:p>
    <w:p w:rsidR="00000A14" w:rsidRDefault="00951063" w:rsidP="00951063">
      <w:pPr>
        <w:spacing w:line="360" w:lineRule="auto"/>
        <w:jc w:val="both"/>
        <w:rPr>
          <w:rFonts w:ascii="Arial" w:hAnsi="Arial" w:cs="Arial"/>
        </w:rPr>
      </w:pPr>
      <w:r>
        <w:rPr>
          <w:rFonts w:ascii="Arial" w:hAnsi="Arial"/>
        </w:rPr>
        <w:t>Iruñean, 2020ko azaroaren 26an</w:t>
      </w:r>
    </w:p>
    <w:p w:rsidR="00000A14" w:rsidRDefault="00951063" w:rsidP="00951063">
      <w:pPr>
        <w:spacing w:line="360" w:lineRule="auto"/>
        <w:jc w:val="center"/>
        <w:rPr>
          <w:rFonts w:ascii="Arial" w:hAnsi="Arial" w:cs="Arial"/>
        </w:rPr>
      </w:pPr>
      <w:r>
        <w:rPr>
          <w:rFonts w:ascii="Arial" w:hAnsi="Arial"/>
        </w:rPr>
        <w:t xml:space="preserve">Ekonomia eta Ogasuneko kontseilaria: </w:t>
      </w:r>
      <w:proofErr w:type="spellStart"/>
      <w:r>
        <w:rPr>
          <w:rFonts w:ascii="Arial" w:hAnsi="Arial"/>
        </w:rPr>
        <w:t>Elma</w:t>
      </w:r>
      <w:proofErr w:type="spellEnd"/>
      <w:r>
        <w:rPr>
          <w:rFonts w:ascii="Arial" w:hAnsi="Arial"/>
        </w:rPr>
        <w:t xml:space="preserve"> Saiz </w:t>
      </w:r>
      <w:proofErr w:type="spellStart"/>
      <w:r>
        <w:rPr>
          <w:rFonts w:ascii="Arial" w:hAnsi="Arial"/>
        </w:rPr>
        <w:t>Delgado</w:t>
      </w:r>
      <w:proofErr w:type="spellEnd"/>
    </w:p>
    <w:sectPr w:rsidR="00000A14" w:rsidSect="002F3CD2">
      <w:pgSz w:w="11906" w:h="16838"/>
      <w:pgMar w:top="2268" w:right="1700" w:bottom="170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386" w:rsidRDefault="006C6386" w:rsidP="002F3CD2">
      <w:r>
        <w:separator/>
      </w:r>
    </w:p>
  </w:endnote>
  <w:endnote w:type="continuationSeparator" w:id="0">
    <w:p w:rsidR="006C6386" w:rsidRDefault="006C6386" w:rsidP="002F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386" w:rsidRDefault="006C6386" w:rsidP="002F3CD2">
      <w:r>
        <w:separator/>
      </w:r>
    </w:p>
  </w:footnote>
  <w:footnote w:type="continuationSeparator" w:id="0">
    <w:p w:rsidR="006C6386" w:rsidRDefault="006C6386" w:rsidP="002F3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E2C"/>
    <w:multiLevelType w:val="hybridMultilevel"/>
    <w:tmpl w:val="AB8CC8AC"/>
    <w:lvl w:ilvl="0" w:tplc="C1AC9A5E">
      <w:numFmt w:val="bullet"/>
      <w:lvlText w:val="-"/>
      <w:lvlJc w:val="left"/>
      <w:pPr>
        <w:tabs>
          <w:tab w:val="num" w:pos="360"/>
        </w:tabs>
        <w:ind w:left="360" w:hanging="360"/>
      </w:pPr>
      <w:rPr>
        <w:rFonts w:ascii="Arial" w:hAnsi="Arial" w:hint="default"/>
        <w:b w:val="0"/>
        <w:i w:val="0"/>
        <w:color w:val="auto"/>
      </w:rPr>
    </w:lvl>
    <w:lvl w:ilvl="1" w:tplc="0C0A000F">
      <w:start w:val="1"/>
      <w:numFmt w:val="decimal"/>
      <w:lvlText w:val="%2."/>
      <w:lvlJc w:val="left"/>
      <w:pPr>
        <w:tabs>
          <w:tab w:val="num" w:pos="1440"/>
        </w:tabs>
        <w:ind w:left="1440" w:hanging="360"/>
      </w:pPr>
      <w:rPr>
        <w:rFonts w:hint="default"/>
        <w:b w:val="0"/>
        <w:i w:val="0"/>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2DD5C2A"/>
    <w:multiLevelType w:val="hybridMultilevel"/>
    <w:tmpl w:val="932806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B385A32"/>
    <w:multiLevelType w:val="hybridMultilevel"/>
    <w:tmpl w:val="F51E3C52"/>
    <w:lvl w:ilvl="0" w:tplc="2E68D8E8">
      <w:start w:val="1"/>
      <w:numFmt w:val="bullet"/>
      <w:lvlText w:val="o"/>
      <w:lvlJc w:val="left"/>
      <w:pPr>
        <w:tabs>
          <w:tab w:val="num" w:pos="720"/>
        </w:tabs>
        <w:ind w:left="720" w:hanging="360"/>
      </w:pPr>
      <w:rPr>
        <w:rFonts w:ascii="Courier New" w:hAnsi="Courier New"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28D80FBA"/>
    <w:multiLevelType w:val="hybridMultilevel"/>
    <w:tmpl w:val="874036A2"/>
    <w:lvl w:ilvl="0" w:tplc="A8E4A554">
      <w:start w:val="278"/>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7266302"/>
    <w:multiLevelType w:val="multilevel"/>
    <w:tmpl w:val="538C73D8"/>
    <w:lvl w:ilvl="0">
      <w:start w:val="1"/>
      <w:numFmt w:val="bullet"/>
      <w:lvlText w:val="o"/>
      <w:lvlJc w:val="left"/>
      <w:pPr>
        <w:tabs>
          <w:tab w:val="num" w:pos="360"/>
        </w:tabs>
        <w:ind w:left="360" w:hanging="360"/>
      </w:pPr>
      <w:rPr>
        <w:rFonts w:ascii="Courier New" w:hAnsi="Courier New"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EE35B9C"/>
    <w:multiLevelType w:val="hybridMultilevel"/>
    <w:tmpl w:val="680AA7AC"/>
    <w:lvl w:ilvl="0" w:tplc="C1AC9A5E">
      <w:numFmt w:val="bullet"/>
      <w:lvlText w:val="-"/>
      <w:lvlJc w:val="left"/>
      <w:pPr>
        <w:tabs>
          <w:tab w:val="num" w:pos="360"/>
        </w:tabs>
        <w:ind w:left="360" w:hanging="360"/>
      </w:pPr>
      <w:rPr>
        <w:rFonts w:ascii="Arial" w:hAnsi="Arial" w:hint="default"/>
        <w:b w:val="0"/>
        <w:i w:val="0"/>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7">
    <w:nsid w:val="3EFE4C20"/>
    <w:multiLevelType w:val="hybridMultilevel"/>
    <w:tmpl w:val="57D29C26"/>
    <w:lvl w:ilvl="0" w:tplc="C1AC9A5E">
      <w:numFmt w:val="bullet"/>
      <w:lvlText w:val="-"/>
      <w:lvlJc w:val="left"/>
      <w:pPr>
        <w:tabs>
          <w:tab w:val="num" w:pos="360"/>
        </w:tabs>
        <w:ind w:left="360" w:hanging="360"/>
      </w:pPr>
      <w:rPr>
        <w:rFonts w:ascii="Arial" w:hAnsi="Arial" w:hint="default"/>
        <w:b w:val="0"/>
        <w:i w:val="0"/>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8">
    <w:nsid w:val="46821ABF"/>
    <w:multiLevelType w:val="hybridMultilevel"/>
    <w:tmpl w:val="146AA898"/>
    <w:lvl w:ilvl="0" w:tplc="A8E4A554">
      <w:start w:val="278"/>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46B14813"/>
    <w:multiLevelType w:val="hybridMultilevel"/>
    <w:tmpl w:val="219A795E"/>
    <w:lvl w:ilvl="0" w:tplc="8904D55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4DCE0F4D"/>
    <w:multiLevelType w:val="hybridMultilevel"/>
    <w:tmpl w:val="C3D420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5A7B76BB"/>
    <w:multiLevelType w:val="hybridMultilevel"/>
    <w:tmpl w:val="3200A6C2"/>
    <w:lvl w:ilvl="0" w:tplc="2E68D8E8">
      <w:start w:val="1"/>
      <w:numFmt w:val="bullet"/>
      <w:lvlText w:val="o"/>
      <w:lvlJc w:val="left"/>
      <w:pPr>
        <w:tabs>
          <w:tab w:val="num" w:pos="372"/>
        </w:tabs>
        <w:ind w:left="372" w:hanging="360"/>
      </w:pPr>
      <w:rPr>
        <w:rFonts w:ascii="Courier New" w:hAnsi="Courier New" w:hint="default"/>
        <w:color w:val="auto"/>
      </w:rPr>
    </w:lvl>
    <w:lvl w:ilvl="1" w:tplc="0C0A0003" w:tentative="1">
      <w:start w:val="1"/>
      <w:numFmt w:val="bullet"/>
      <w:lvlText w:val="o"/>
      <w:lvlJc w:val="left"/>
      <w:pPr>
        <w:tabs>
          <w:tab w:val="num" w:pos="1452"/>
        </w:tabs>
        <w:ind w:left="1452" w:hanging="360"/>
      </w:pPr>
      <w:rPr>
        <w:rFonts w:ascii="Courier New" w:hAnsi="Courier New" w:cs="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cs="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cs="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12">
    <w:nsid w:val="612E7685"/>
    <w:multiLevelType w:val="hybridMultilevel"/>
    <w:tmpl w:val="30EAE136"/>
    <w:lvl w:ilvl="0" w:tplc="535C8A46">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67A97BFA"/>
    <w:multiLevelType w:val="hybridMultilevel"/>
    <w:tmpl w:val="23442D60"/>
    <w:lvl w:ilvl="0" w:tplc="0C0A000F">
      <w:start w:val="1"/>
      <w:numFmt w:val="decimal"/>
      <w:lvlText w:val="%1."/>
      <w:lvlJc w:val="left"/>
      <w:pPr>
        <w:tabs>
          <w:tab w:val="num" w:pos="360"/>
        </w:tabs>
        <w:ind w:left="360" w:hanging="360"/>
      </w:pPr>
    </w:lvl>
    <w:lvl w:ilvl="1" w:tplc="2E68D8E8">
      <w:start w:val="1"/>
      <w:numFmt w:val="bullet"/>
      <w:lvlText w:val="o"/>
      <w:lvlJc w:val="left"/>
      <w:pPr>
        <w:tabs>
          <w:tab w:val="num" w:pos="1080"/>
        </w:tabs>
        <w:ind w:left="1080" w:hanging="360"/>
      </w:pPr>
      <w:rPr>
        <w:rFonts w:ascii="Courier New" w:hAnsi="Courier New" w:hint="default"/>
        <w:color w:val="auto"/>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6B057104"/>
    <w:multiLevelType w:val="hybridMultilevel"/>
    <w:tmpl w:val="296EE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7887A5A"/>
    <w:multiLevelType w:val="hybridMultilevel"/>
    <w:tmpl w:val="85CE97A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7E363C36"/>
    <w:multiLevelType w:val="hybridMultilevel"/>
    <w:tmpl w:val="538C73D8"/>
    <w:lvl w:ilvl="0" w:tplc="2E68D8E8">
      <w:start w:val="1"/>
      <w:numFmt w:val="bullet"/>
      <w:lvlText w:val="o"/>
      <w:lvlJc w:val="left"/>
      <w:pPr>
        <w:tabs>
          <w:tab w:val="num" w:pos="360"/>
        </w:tabs>
        <w:ind w:left="360" w:hanging="360"/>
      </w:pPr>
      <w:rPr>
        <w:rFonts w:ascii="Courier New" w:hAnsi="Courier New"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6"/>
  </w:num>
  <w:num w:numId="4">
    <w:abstractNumId w:val="5"/>
  </w:num>
  <w:num w:numId="5">
    <w:abstractNumId w:val="0"/>
  </w:num>
  <w:num w:numId="6">
    <w:abstractNumId w:val="6"/>
  </w:num>
  <w:num w:numId="7">
    <w:abstractNumId w:val="2"/>
  </w:num>
  <w:num w:numId="8">
    <w:abstractNumId w:val="7"/>
  </w:num>
  <w:num w:numId="9">
    <w:abstractNumId w:val="1"/>
  </w:num>
  <w:num w:numId="10">
    <w:abstractNumId w:val="4"/>
  </w:num>
  <w:num w:numId="11">
    <w:abstractNumId w:val="12"/>
  </w:num>
  <w:num w:numId="12">
    <w:abstractNumId w:val="8"/>
  </w:num>
  <w:num w:numId="13">
    <w:abstractNumId w:val="10"/>
  </w:num>
  <w:num w:numId="14">
    <w:abstractNumId w:val="3"/>
  </w:num>
  <w:num w:numId="15">
    <w:abstractNumId w:val="14"/>
  </w:num>
  <w:num w:numId="16">
    <w:abstractNumId w:val="9"/>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D1"/>
    <w:rsid w:val="00000A14"/>
    <w:rsid w:val="0005692B"/>
    <w:rsid w:val="000742A5"/>
    <w:rsid w:val="000917DC"/>
    <w:rsid w:val="000920F1"/>
    <w:rsid w:val="00096EE0"/>
    <w:rsid w:val="000A01E2"/>
    <w:rsid w:val="000F2386"/>
    <w:rsid w:val="00120464"/>
    <w:rsid w:val="00130028"/>
    <w:rsid w:val="00173BF2"/>
    <w:rsid w:val="001840FB"/>
    <w:rsid w:val="00185693"/>
    <w:rsid w:val="001943A2"/>
    <w:rsid w:val="001A2F17"/>
    <w:rsid w:val="001B1D83"/>
    <w:rsid w:val="001C18E4"/>
    <w:rsid w:val="001D3071"/>
    <w:rsid w:val="001E418B"/>
    <w:rsid w:val="002441BB"/>
    <w:rsid w:val="00252099"/>
    <w:rsid w:val="002633A5"/>
    <w:rsid w:val="00286B31"/>
    <w:rsid w:val="002A5CFE"/>
    <w:rsid w:val="002A5D08"/>
    <w:rsid w:val="002C6295"/>
    <w:rsid w:val="002F3CD2"/>
    <w:rsid w:val="00315247"/>
    <w:rsid w:val="00341962"/>
    <w:rsid w:val="003448D1"/>
    <w:rsid w:val="0038569A"/>
    <w:rsid w:val="003C347A"/>
    <w:rsid w:val="00405298"/>
    <w:rsid w:val="004150B0"/>
    <w:rsid w:val="004205CE"/>
    <w:rsid w:val="00422357"/>
    <w:rsid w:val="004A0BF5"/>
    <w:rsid w:val="004C0E6E"/>
    <w:rsid w:val="004D4DE0"/>
    <w:rsid w:val="004E53EB"/>
    <w:rsid w:val="00504C5C"/>
    <w:rsid w:val="00530B65"/>
    <w:rsid w:val="00563B83"/>
    <w:rsid w:val="005C378E"/>
    <w:rsid w:val="005C7412"/>
    <w:rsid w:val="00600EC7"/>
    <w:rsid w:val="006024A7"/>
    <w:rsid w:val="0060765F"/>
    <w:rsid w:val="006B1D17"/>
    <w:rsid w:val="006B3C4B"/>
    <w:rsid w:val="006C6386"/>
    <w:rsid w:val="006E47B2"/>
    <w:rsid w:val="00712D5F"/>
    <w:rsid w:val="00754E0E"/>
    <w:rsid w:val="007704CB"/>
    <w:rsid w:val="00775883"/>
    <w:rsid w:val="00781CE0"/>
    <w:rsid w:val="007A12EE"/>
    <w:rsid w:val="007B2E08"/>
    <w:rsid w:val="007E4B50"/>
    <w:rsid w:val="007E7782"/>
    <w:rsid w:val="00833DB1"/>
    <w:rsid w:val="008669FD"/>
    <w:rsid w:val="008701A6"/>
    <w:rsid w:val="008F62F2"/>
    <w:rsid w:val="00900183"/>
    <w:rsid w:val="0092619A"/>
    <w:rsid w:val="00951063"/>
    <w:rsid w:val="009822EE"/>
    <w:rsid w:val="00994893"/>
    <w:rsid w:val="0099565E"/>
    <w:rsid w:val="009C09F5"/>
    <w:rsid w:val="009D2C4C"/>
    <w:rsid w:val="009E0F34"/>
    <w:rsid w:val="00A1145D"/>
    <w:rsid w:val="00A17F70"/>
    <w:rsid w:val="00A221CE"/>
    <w:rsid w:val="00A40B04"/>
    <w:rsid w:val="00A51610"/>
    <w:rsid w:val="00A51BCD"/>
    <w:rsid w:val="00A56304"/>
    <w:rsid w:val="00A6376D"/>
    <w:rsid w:val="00A71EE5"/>
    <w:rsid w:val="00A95B6F"/>
    <w:rsid w:val="00AA0077"/>
    <w:rsid w:val="00AC3302"/>
    <w:rsid w:val="00AC6124"/>
    <w:rsid w:val="00AD4E48"/>
    <w:rsid w:val="00AD5DDD"/>
    <w:rsid w:val="00B33B22"/>
    <w:rsid w:val="00BC7C81"/>
    <w:rsid w:val="00C0559D"/>
    <w:rsid w:val="00C06015"/>
    <w:rsid w:val="00C121FD"/>
    <w:rsid w:val="00C345B7"/>
    <w:rsid w:val="00C41862"/>
    <w:rsid w:val="00C74B8A"/>
    <w:rsid w:val="00C76242"/>
    <w:rsid w:val="00C94EFD"/>
    <w:rsid w:val="00C967A3"/>
    <w:rsid w:val="00CB5184"/>
    <w:rsid w:val="00CE0F8E"/>
    <w:rsid w:val="00CF1E7C"/>
    <w:rsid w:val="00D06220"/>
    <w:rsid w:val="00D12F21"/>
    <w:rsid w:val="00D82298"/>
    <w:rsid w:val="00DC578C"/>
    <w:rsid w:val="00DF11ED"/>
    <w:rsid w:val="00DF1612"/>
    <w:rsid w:val="00E127B8"/>
    <w:rsid w:val="00E210D7"/>
    <w:rsid w:val="00E625C1"/>
    <w:rsid w:val="00E63E34"/>
    <w:rsid w:val="00E6487B"/>
    <w:rsid w:val="00E811CE"/>
    <w:rsid w:val="00E96A64"/>
    <w:rsid w:val="00EA4C0B"/>
    <w:rsid w:val="00EB0728"/>
    <w:rsid w:val="00EC4636"/>
    <w:rsid w:val="00ED2C95"/>
    <w:rsid w:val="00ED4724"/>
    <w:rsid w:val="00F04835"/>
    <w:rsid w:val="00F32050"/>
    <w:rsid w:val="00F35040"/>
    <w:rsid w:val="00F64AD1"/>
    <w:rsid w:val="00F7204E"/>
    <w:rsid w:val="00FC7B13"/>
    <w:rsid w:val="00FD56F0"/>
    <w:rsid w:val="00FE17F9"/>
    <w:rsid w:val="00FE4BE3"/>
    <w:rsid w:val="00FF64A7"/>
    <w:rsid w:val="00FF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D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F62F2"/>
    <w:pPr>
      <w:jc w:val="both"/>
    </w:pPr>
    <w:rPr>
      <w:rFonts w:ascii="Arial" w:hAnsi="Arial"/>
      <w:sz w:val="22"/>
      <w:szCs w:val="20"/>
    </w:rPr>
  </w:style>
  <w:style w:type="table" w:styleId="Tablaconcuadrcula">
    <w:name w:val="Table Grid"/>
    <w:basedOn w:val="Tablanormal"/>
    <w:rsid w:val="00FE4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A0BF5"/>
    <w:rPr>
      <w:rFonts w:ascii="Tahoma" w:hAnsi="Tahoma" w:cs="Tahoma"/>
      <w:sz w:val="16"/>
      <w:szCs w:val="16"/>
    </w:rPr>
  </w:style>
  <w:style w:type="paragraph" w:styleId="Sangradetextonormal">
    <w:name w:val="Body Text Indent"/>
    <w:basedOn w:val="Normal"/>
    <w:rsid w:val="003448D1"/>
    <w:pPr>
      <w:spacing w:after="120"/>
      <w:ind w:left="283"/>
    </w:pPr>
  </w:style>
  <w:style w:type="paragraph" w:styleId="Prrafodelista">
    <w:name w:val="List Paragraph"/>
    <w:basedOn w:val="Normal"/>
    <w:uiPriority w:val="34"/>
    <w:qFormat/>
    <w:rsid w:val="00DF11ED"/>
    <w:pPr>
      <w:ind w:left="708"/>
    </w:pPr>
  </w:style>
  <w:style w:type="paragraph" w:styleId="Encabezado">
    <w:name w:val="header"/>
    <w:basedOn w:val="Normal"/>
    <w:link w:val="EncabezadoCar"/>
    <w:rsid w:val="002F3CD2"/>
    <w:pPr>
      <w:tabs>
        <w:tab w:val="center" w:pos="4252"/>
        <w:tab w:val="right" w:pos="8504"/>
      </w:tabs>
    </w:pPr>
  </w:style>
  <w:style w:type="character" w:customStyle="1" w:styleId="EncabezadoCar">
    <w:name w:val="Encabezado Car"/>
    <w:link w:val="Encabezado"/>
    <w:rsid w:val="002F3CD2"/>
    <w:rPr>
      <w:sz w:val="24"/>
      <w:szCs w:val="24"/>
    </w:rPr>
  </w:style>
  <w:style w:type="paragraph" w:styleId="Piedepgina">
    <w:name w:val="footer"/>
    <w:basedOn w:val="Normal"/>
    <w:link w:val="PiedepginaCar"/>
    <w:rsid w:val="002F3CD2"/>
    <w:pPr>
      <w:tabs>
        <w:tab w:val="center" w:pos="4252"/>
        <w:tab w:val="right" w:pos="8504"/>
      </w:tabs>
    </w:pPr>
  </w:style>
  <w:style w:type="character" w:customStyle="1" w:styleId="PiedepginaCar">
    <w:name w:val="Pie de página Car"/>
    <w:link w:val="Piedepgina"/>
    <w:rsid w:val="002F3CD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D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F62F2"/>
    <w:pPr>
      <w:jc w:val="both"/>
    </w:pPr>
    <w:rPr>
      <w:rFonts w:ascii="Arial" w:hAnsi="Arial"/>
      <w:sz w:val="22"/>
      <w:szCs w:val="20"/>
    </w:rPr>
  </w:style>
  <w:style w:type="table" w:styleId="Tablaconcuadrcula">
    <w:name w:val="Table Grid"/>
    <w:basedOn w:val="Tablanormal"/>
    <w:rsid w:val="00FE4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A0BF5"/>
    <w:rPr>
      <w:rFonts w:ascii="Tahoma" w:hAnsi="Tahoma" w:cs="Tahoma"/>
      <w:sz w:val="16"/>
      <w:szCs w:val="16"/>
    </w:rPr>
  </w:style>
  <w:style w:type="paragraph" w:styleId="Sangradetextonormal">
    <w:name w:val="Body Text Indent"/>
    <w:basedOn w:val="Normal"/>
    <w:rsid w:val="003448D1"/>
    <w:pPr>
      <w:spacing w:after="120"/>
      <w:ind w:left="283"/>
    </w:pPr>
  </w:style>
  <w:style w:type="paragraph" w:styleId="Prrafodelista">
    <w:name w:val="List Paragraph"/>
    <w:basedOn w:val="Normal"/>
    <w:uiPriority w:val="34"/>
    <w:qFormat/>
    <w:rsid w:val="00DF11ED"/>
    <w:pPr>
      <w:ind w:left="708"/>
    </w:pPr>
  </w:style>
  <w:style w:type="paragraph" w:styleId="Encabezado">
    <w:name w:val="header"/>
    <w:basedOn w:val="Normal"/>
    <w:link w:val="EncabezadoCar"/>
    <w:rsid w:val="002F3CD2"/>
    <w:pPr>
      <w:tabs>
        <w:tab w:val="center" w:pos="4252"/>
        <w:tab w:val="right" w:pos="8504"/>
      </w:tabs>
    </w:pPr>
  </w:style>
  <w:style w:type="character" w:customStyle="1" w:styleId="EncabezadoCar">
    <w:name w:val="Encabezado Car"/>
    <w:link w:val="Encabezado"/>
    <w:rsid w:val="002F3CD2"/>
    <w:rPr>
      <w:sz w:val="24"/>
      <w:szCs w:val="24"/>
    </w:rPr>
  </w:style>
  <w:style w:type="paragraph" w:styleId="Piedepgina">
    <w:name w:val="footer"/>
    <w:basedOn w:val="Normal"/>
    <w:link w:val="PiedepginaCar"/>
    <w:rsid w:val="002F3CD2"/>
    <w:pPr>
      <w:tabs>
        <w:tab w:val="center" w:pos="4252"/>
        <w:tab w:val="right" w:pos="8504"/>
      </w:tabs>
    </w:pPr>
  </w:style>
  <w:style w:type="character" w:customStyle="1" w:styleId="PiedepginaCar">
    <w:name w:val="Pie de página Car"/>
    <w:link w:val="Piedepgina"/>
    <w:rsid w:val="002F3C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777">
      <w:bodyDiv w:val="1"/>
      <w:marLeft w:val="0"/>
      <w:marRight w:val="0"/>
      <w:marTop w:val="0"/>
      <w:marBottom w:val="0"/>
      <w:divBdr>
        <w:top w:val="none" w:sz="0" w:space="0" w:color="auto"/>
        <w:left w:val="none" w:sz="0" w:space="0" w:color="auto"/>
        <w:bottom w:val="none" w:sz="0" w:space="0" w:color="auto"/>
        <w:right w:val="none" w:sz="0" w:space="0" w:color="auto"/>
      </w:divBdr>
    </w:div>
    <w:div w:id="18049084">
      <w:bodyDiv w:val="1"/>
      <w:marLeft w:val="0"/>
      <w:marRight w:val="0"/>
      <w:marTop w:val="0"/>
      <w:marBottom w:val="0"/>
      <w:divBdr>
        <w:top w:val="none" w:sz="0" w:space="0" w:color="auto"/>
        <w:left w:val="none" w:sz="0" w:space="0" w:color="auto"/>
        <w:bottom w:val="none" w:sz="0" w:space="0" w:color="auto"/>
        <w:right w:val="none" w:sz="0" w:space="0" w:color="auto"/>
      </w:divBdr>
    </w:div>
    <w:div w:id="33846422">
      <w:bodyDiv w:val="1"/>
      <w:marLeft w:val="0"/>
      <w:marRight w:val="0"/>
      <w:marTop w:val="0"/>
      <w:marBottom w:val="0"/>
      <w:divBdr>
        <w:top w:val="none" w:sz="0" w:space="0" w:color="auto"/>
        <w:left w:val="none" w:sz="0" w:space="0" w:color="auto"/>
        <w:bottom w:val="none" w:sz="0" w:space="0" w:color="auto"/>
        <w:right w:val="none" w:sz="0" w:space="0" w:color="auto"/>
      </w:divBdr>
    </w:div>
    <w:div w:id="42945998">
      <w:bodyDiv w:val="1"/>
      <w:marLeft w:val="0"/>
      <w:marRight w:val="0"/>
      <w:marTop w:val="0"/>
      <w:marBottom w:val="0"/>
      <w:divBdr>
        <w:top w:val="none" w:sz="0" w:space="0" w:color="auto"/>
        <w:left w:val="none" w:sz="0" w:space="0" w:color="auto"/>
        <w:bottom w:val="none" w:sz="0" w:space="0" w:color="auto"/>
        <w:right w:val="none" w:sz="0" w:space="0" w:color="auto"/>
      </w:divBdr>
    </w:div>
    <w:div w:id="75130798">
      <w:bodyDiv w:val="1"/>
      <w:marLeft w:val="0"/>
      <w:marRight w:val="0"/>
      <w:marTop w:val="0"/>
      <w:marBottom w:val="0"/>
      <w:divBdr>
        <w:top w:val="none" w:sz="0" w:space="0" w:color="auto"/>
        <w:left w:val="none" w:sz="0" w:space="0" w:color="auto"/>
        <w:bottom w:val="none" w:sz="0" w:space="0" w:color="auto"/>
        <w:right w:val="none" w:sz="0" w:space="0" w:color="auto"/>
      </w:divBdr>
    </w:div>
    <w:div w:id="227231956">
      <w:bodyDiv w:val="1"/>
      <w:marLeft w:val="0"/>
      <w:marRight w:val="0"/>
      <w:marTop w:val="0"/>
      <w:marBottom w:val="0"/>
      <w:divBdr>
        <w:top w:val="none" w:sz="0" w:space="0" w:color="auto"/>
        <w:left w:val="none" w:sz="0" w:space="0" w:color="auto"/>
        <w:bottom w:val="none" w:sz="0" w:space="0" w:color="auto"/>
        <w:right w:val="none" w:sz="0" w:space="0" w:color="auto"/>
      </w:divBdr>
    </w:div>
    <w:div w:id="240528605">
      <w:bodyDiv w:val="1"/>
      <w:marLeft w:val="0"/>
      <w:marRight w:val="0"/>
      <w:marTop w:val="0"/>
      <w:marBottom w:val="0"/>
      <w:divBdr>
        <w:top w:val="none" w:sz="0" w:space="0" w:color="auto"/>
        <w:left w:val="none" w:sz="0" w:space="0" w:color="auto"/>
        <w:bottom w:val="none" w:sz="0" w:space="0" w:color="auto"/>
        <w:right w:val="none" w:sz="0" w:space="0" w:color="auto"/>
      </w:divBdr>
    </w:div>
    <w:div w:id="268707555">
      <w:bodyDiv w:val="1"/>
      <w:marLeft w:val="0"/>
      <w:marRight w:val="0"/>
      <w:marTop w:val="0"/>
      <w:marBottom w:val="0"/>
      <w:divBdr>
        <w:top w:val="none" w:sz="0" w:space="0" w:color="auto"/>
        <w:left w:val="none" w:sz="0" w:space="0" w:color="auto"/>
        <w:bottom w:val="none" w:sz="0" w:space="0" w:color="auto"/>
        <w:right w:val="none" w:sz="0" w:space="0" w:color="auto"/>
      </w:divBdr>
    </w:div>
    <w:div w:id="290063678">
      <w:bodyDiv w:val="1"/>
      <w:marLeft w:val="0"/>
      <w:marRight w:val="0"/>
      <w:marTop w:val="0"/>
      <w:marBottom w:val="0"/>
      <w:divBdr>
        <w:top w:val="none" w:sz="0" w:space="0" w:color="auto"/>
        <w:left w:val="none" w:sz="0" w:space="0" w:color="auto"/>
        <w:bottom w:val="none" w:sz="0" w:space="0" w:color="auto"/>
        <w:right w:val="none" w:sz="0" w:space="0" w:color="auto"/>
      </w:divBdr>
    </w:div>
    <w:div w:id="302470577">
      <w:bodyDiv w:val="1"/>
      <w:marLeft w:val="0"/>
      <w:marRight w:val="0"/>
      <w:marTop w:val="0"/>
      <w:marBottom w:val="0"/>
      <w:divBdr>
        <w:top w:val="none" w:sz="0" w:space="0" w:color="auto"/>
        <w:left w:val="none" w:sz="0" w:space="0" w:color="auto"/>
        <w:bottom w:val="none" w:sz="0" w:space="0" w:color="auto"/>
        <w:right w:val="none" w:sz="0" w:space="0" w:color="auto"/>
      </w:divBdr>
    </w:div>
    <w:div w:id="306982863">
      <w:bodyDiv w:val="1"/>
      <w:marLeft w:val="0"/>
      <w:marRight w:val="0"/>
      <w:marTop w:val="0"/>
      <w:marBottom w:val="0"/>
      <w:divBdr>
        <w:top w:val="none" w:sz="0" w:space="0" w:color="auto"/>
        <w:left w:val="none" w:sz="0" w:space="0" w:color="auto"/>
        <w:bottom w:val="none" w:sz="0" w:space="0" w:color="auto"/>
        <w:right w:val="none" w:sz="0" w:space="0" w:color="auto"/>
      </w:divBdr>
    </w:div>
    <w:div w:id="315426943">
      <w:bodyDiv w:val="1"/>
      <w:marLeft w:val="0"/>
      <w:marRight w:val="0"/>
      <w:marTop w:val="0"/>
      <w:marBottom w:val="0"/>
      <w:divBdr>
        <w:top w:val="none" w:sz="0" w:space="0" w:color="auto"/>
        <w:left w:val="none" w:sz="0" w:space="0" w:color="auto"/>
        <w:bottom w:val="none" w:sz="0" w:space="0" w:color="auto"/>
        <w:right w:val="none" w:sz="0" w:space="0" w:color="auto"/>
      </w:divBdr>
    </w:div>
    <w:div w:id="323168042">
      <w:bodyDiv w:val="1"/>
      <w:marLeft w:val="0"/>
      <w:marRight w:val="0"/>
      <w:marTop w:val="0"/>
      <w:marBottom w:val="0"/>
      <w:divBdr>
        <w:top w:val="none" w:sz="0" w:space="0" w:color="auto"/>
        <w:left w:val="none" w:sz="0" w:space="0" w:color="auto"/>
        <w:bottom w:val="none" w:sz="0" w:space="0" w:color="auto"/>
        <w:right w:val="none" w:sz="0" w:space="0" w:color="auto"/>
      </w:divBdr>
    </w:div>
    <w:div w:id="438449185">
      <w:bodyDiv w:val="1"/>
      <w:marLeft w:val="0"/>
      <w:marRight w:val="0"/>
      <w:marTop w:val="0"/>
      <w:marBottom w:val="0"/>
      <w:divBdr>
        <w:top w:val="none" w:sz="0" w:space="0" w:color="auto"/>
        <w:left w:val="none" w:sz="0" w:space="0" w:color="auto"/>
        <w:bottom w:val="none" w:sz="0" w:space="0" w:color="auto"/>
        <w:right w:val="none" w:sz="0" w:space="0" w:color="auto"/>
      </w:divBdr>
    </w:div>
    <w:div w:id="447051003">
      <w:bodyDiv w:val="1"/>
      <w:marLeft w:val="0"/>
      <w:marRight w:val="0"/>
      <w:marTop w:val="0"/>
      <w:marBottom w:val="0"/>
      <w:divBdr>
        <w:top w:val="none" w:sz="0" w:space="0" w:color="auto"/>
        <w:left w:val="none" w:sz="0" w:space="0" w:color="auto"/>
        <w:bottom w:val="none" w:sz="0" w:space="0" w:color="auto"/>
        <w:right w:val="none" w:sz="0" w:space="0" w:color="auto"/>
      </w:divBdr>
    </w:div>
    <w:div w:id="599335614">
      <w:bodyDiv w:val="1"/>
      <w:marLeft w:val="0"/>
      <w:marRight w:val="0"/>
      <w:marTop w:val="0"/>
      <w:marBottom w:val="0"/>
      <w:divBdr>
        <w:top w:val="none" w:sz="0" w:space="0" w:color="auto"/>
        <w:left w:val="none" w:sz="0" w:space="0" w:color="auto"/>
        <w:bottom w:val="none" w:sz="0" w:space="0" w:color="auto"/>
        <w:right w:val="none" w:sz="0" w:space="0" w:color="auto"/>
      </w:divBdr>
    </w:div>
    <w:div w:id="750665931">
      <w:bodyDiv w:val="1"/>
      <w:marLeft w:val="0"/>
      <w:marRight w:val="0"/>
      <w:marTop w:val="0"/>
      <w:marBottom w:val="0"/>
      <w:divBdr>
        <w:top w:val="none" w:sz="0" w:space="0" w:color="auto"/>
        <w:left w:val="none" w:sz="0" w:space="0" w:color="auto"/>
        <w:bottom w:val="none" w:sz="0" w:space="0" w:color="auto"/>
        <w:right w:val="none" w:sz="0" w:space="0" w:color="auto"/>
      </w:divBdr>
    </w:div>
    <w:div w:id="759522510">
      <w:bodyDiv w:val="1"/>
      <w:marLeft w:val="0"/>
      <w:marRight w:val="0"/>
      <w:marTop w:val="0"/>
      <w:marBottom w:val="0"/>
      <w:divBdr>
        <w:top w:val="none" w:sz="0" w:space="0" w:color="auto"/>
        <w:left w:val="none" w:sz="0" w:space="0" w:color="auto"/>
        <w:bottom w:val="none" w:sz="0" w:space="0" w:color="auto"/>
        <w:right w:val="none" w:sz="0" w:space="0" w:color="auto"/>
      </w:divBdr>
    </w:div>
    <w:div w:id="767776799">
      <w:bodyDiv w:val="1"/>
      <w:marLeft w:val="0"/>
      <w:marRight w:val="0"/>
      <w:marTop w:val="0"/>
      <w:marBottom w:val="0"/>
      <w:divBdr>
        <w:top w:val="none" w:sz="0" w:space="0" w:color="auto"/>
        <w:left w:val="none" w:sz="0" w:space="0" w:color="auto"/>
        <w:bottom w:val="none" w:sz="0" w:space="0" w:color="auto"/>
        <w:right w:val="none" w:sz="0" w:space="0" w:color="auto"/>
      </w:divBdr>
    </w:div>
    <w:div w:id="890530842">
      <w:bodyDiv w:val="1"/>
      <w:marLeft w:val="0"/>
      <w:marRight w:val="0"/>
      <w:marTop w:val="0"/>
      <w:marBottom w:val="0"/>
      <w:divBdr>
        <w:top w:val="none" w:sz="0" w:space="0" w:color="auto"/>
        <w:left w:val="none" w:sz="0" w:space="0" w:color="auto"/>
        <w:bottom w:val="none" w:sz="0" w:space="0" w:color="auto"/>
        <w:right w:val="none" w:sz="0" w:space="0" w:color="auto"/>
      </w:divBdr>
    </w:div>
    <w:div w:id="897398995">
      <w:bodyDiv w:val="1"/>
      <w:marLeft w:val="0"/>
      <w:marRight w:val="0"/>
      <w:marTop w:val="0"/>
      <w:marBottom w:val="0"/>
      <w:divBdr>
        <w:top w:val="none" w:sz="0" w:space="0" w:color="auto"/>
        <w:left w:val="none" w:sz="0" w:space="0" w:color="auto"/>
        <w:bottom w:val="none" w:sz="0" w:space="0" w:color="auto"/>
        <w:right w:val="none" w:sz="0" w:space="0" w:color="auto"/>
      </w:divBdr>
    </w:div>
    <w:div w:id="1021778345">
      <w:bodyDiv w:val="1"/>
      <w:marLeft w:val="0"/>
      <w:marRight w:val="0"/>
      <w:marTop w:val="0"/>
      <w:marBottom w:val="0"/>
      <w:divBdr>
        <w:top w:val="none" w:sz="0" w:space="0" w:color="auto"/>
        <w:left w:val="none" w:sz="0" w:space="0" w:color="auto"/>
        <w:bottom w:val="none" w:sz="0" w:space="0" w:color="auto"/>
        <w:right w:val="none" w:sz="0" w:space="0" w:color="auto"/>
      </w:divBdr>
    </w:div>
    <w:div w:id="1155995211">
      <w:bodyDiv w:val="1"/>
      <w:marLeft w:val="0"/>
      <w:marRight w:val="0"/>
      <w:marTop w:val="0"/>
      <w:marBottom w:val="0"/>
      <w:divBdr>
        <w:top w:val="none" w:sz="0" w:space="0" w:color="auto"/>
        <w:left w:val="none" w:sz="0" w:space="0" w:color="auto"/>
        <w:bottom w:val="none" w:sz="0" w:space="0" w:color="auto"/>
        <w:right w:val="none" w:sz="0" w:space="0" w:color="auto"/>
      </w:divBdr>
    </w:div>
    <w:div w:id="1194535229">
      <w:bodyDiv w:val="1"/>
      <w:marLeft w:val="0"/>
      <w:marRight w:val="0"/>
      <w:marTop w:val="0"/>
      <w:marBottom w:val="0"/>
      <w:divBdr>
        <w:top w:val="none" w:sz="0" w:space="0" w:color="auto"/>
        <w:left w:val="none" w:sz="0" w:space="0" w:color="auto"/>
        <w:bottom w:val="none" w:sz="0" w:space="0" w:color="auto"/>
        <w:right w:val="none" w:sz="0" w:space="0" w:color="auto"/>
      </w:divBdr>
    </w:div>
    <w:div w:id="1238054841">
      <w:bodyDiv w:val="1"/>
      <w:marLeft w:val="0"/>
      <w:marRight w:val="0"/>
      <w:marTop w:val="0"/>
      <w:marBottom w:val="0"/>
      <w:divBdr>
        <w:top w:val="none" w:sz="0" w:space="0" w:color="auto"/>
        <w:left w:val="none" w:sz="0" w:space="0" w:color="auto"/>
        <w:bottom w:val="none" w:sz="0" w:space="0" w:color="auto"/>
        <w:right w:val="none" w:sz="0" w:space="0" w:color="auto"/>
      </w:divBdr>
    </w:div>
    <w:div w:id="1239248611">
      <w:bodyDiv w:val="1"/>
      <w:marLeft w:val="0"/>
      <w:marRight w:val="0"/>
      <w:marTop w:val="0"/>
      <w:marBottom w:val="0"/>
      <w:divBdr>
        <w:top w:val="none" w:sz="0" w:space="0" w:color="auto"/>
        <w:left w:val="none" w:sz="0" w:space="0" w:color="auto"/>
        <w:bottom w:val="none" w:sz="0" w:space="0" w:color="auto"/>
        <w:right w:val="none" w:sz="0" w:space="0" w:color="auto"/>
      </w:divBdr>
    </w:div>
    <w:div w:id="1257204615">
      <w:bodyDiv w:val="1"/>
      <w:marLeft w:val="0"/>
      <w:marRight w:val="0"/>
      <w:marTop w:val="0"/>
      <w:marBottom w:val="0"/>
      <w:divBdr>
        <w:top w:val="none" w:sz="0" w:space="0" w:color="auto"/>
        <w:left w:val="none" w:sz="0" w:space="0" w:color="auto"/>
        <w:bottom w:val="none" w:sz="0" w:space="0" w:color="auto"/>
        <w:right w:val="none" w:sz="0" w:space="0" w:color="auto"/>
      </w:divBdr>
    </w:div>
    <w:div w:id="1257636025">
      <w:bodyDiv w:val="1"/>
      <w:marLeft w:val="0"/>
      <w:marRight w:val="0"/>
      <w:marTop w:val="0"/>
      <w:marBottom w:val="0"/>
      <w:divBdr>
        <w:top w:val="none" w:sz="0" w:space="0" w:color="auto"/>
        <w:left w:val="none" w:sz="0" w:space="0" w:color="auto"/>
        <w:bottom w:val="none" w:sz="0" w:space="0" w:color="auto"/>
        <w:right w:val="none" w:sz="0" w:space="0" w:color="auto"/>
      </w:divBdr>
    </w:div>
    <w:div w:id="1313944516">
      <w:bodyDiv w:val="1"/>
      <w:marLeft w:val="0"/>
      <w:marRight w:val="0"/>
      <w:marTop w:val="0"/>
      <w:marBottom w:val="0"/>
      <w:divBdr>
        <w:top w:val="none" w:sz="0" w:space="0" w:color="auto"/>
        <w:left w:val="none" w:sz="0" w:space="0" w:color="auto"/>
        <w:bottom w:val="none" w:sz="0" w:space="0" w:color="auto"/>
        <w:right w:val="none" w:sz="0" w:space="0" w:color="auto"/>
      </w:divBdr>
    </w:div>
    <w:div w:id="1355036585">
      <w:bodyDiv w:val="1"/>
      <w:marLeft w:val="0"/>
      <w:marRight w:val="0"/>
      <w:marTop w:val="0"/>
      <w:marBottom w:val="0"/>
      <w:divBdr>
        <w:top w:val="none" w:sz="0" w:space="0" w:color="auto"/>
        <w:left w:val="none" w:sz="0" w:space="0" w:color="auto"/>
        <w:bottom w:val="none" w:sz="0" w:space="0" w:color="auto"/>
        <w:right w:val="none" w:sz="0" w:space="0" w:color="auto"/>
      </w:divBdr>
    </w:div>
    <w:div w:id="1414275986">
      <w:bodyDiv w:val="1"/>
      <w:marLeft w:val="0"/>
      <w:marRight w:val="0"/>
      <w:marTop w:val="0"/>
      <w:marBottom w:val="0"/>
      <w:divBdr>
        <w:top w:val="none" w:sz="0" w:space="0" w:color="auto"/>
        <w:left w:val="none" w:sz="0" w:space="0" w:color="auto"/>
        <w:bottom w:val="none" w:sz="0" w:space="0" w:color="auto"/>
        <w:right w:val="none" w:sz="0" w:space="0" w:color="auto"/>
      </w:divBdr>
    </w:div>
    <w:div w:id="1491822145">
      <w:bodyDiv w:val="1"/>
      <w:marLeft w:val="0"/>
      <w:marRight w:val="0"/>
      <w:marTop w:val="0"/>
      <w:marBottom w:val="0"/>
      <w:divBdr>
        <w:top w:val="none" w:sz="0" w:space="0" w:color="auto"/>
        <w:left w:val="none" w:sz="0" w:space="0" w:color="auto"/>
        <w:bottom w:val="none" w:sz="0" w:space="0" w:color="auto"/>
        <w:right w:val="none" w:sz="0" w:space="0" w:color="auto"/>
      </w:divBdr>
    </w:div>
    <w:div w:id="1533374149">
      <w:bodyDiv w:val="1"/>
      <w:marLeft w:val="0"/>
      <w:marRight w:val="0"/>
      <w:marTop w:val="0"/>
      <w:marBottom w:val="0"/>
      <w:divBdr>
        <w:top w:val="none" w:sz="0" w:space="0" w:color="auto"/>
        <w:left w:val="none" w:sz="0" w:space="0" w:color="auto"/>
        <w:bottom w:val="none" w:sz="0" w:space="0" w:color="auto"/>
        <w:right w:val="none" w:sz="0" w:space="0" w:color="auto"/>
      </w:divBdr>
    </w:div>
    <w:div w:id="1564440906">
      <w:bodyDiv w:val="1"/>
      <w:marLeft w:val="0"/>
      <w:marRight w:val="0"/>
      <w:marTop w:val="0"/>
      <w:marBottom w:val="0"/>
      <w:divBdr>
        <w:top w:val="none" w:sz="0" w:space="0" w:color="auto"/>
        <w:left w:val="none" w:sz="0" w:space="0" w:color="auto"/>
        <w:bottom w:val="none" w:sz="0" w:space="0" w:color="auto"/>
        <w:right w:val="none" w:sz="0" w:space="0" w:color="auto"/>
      </w:divBdr>
    </w:div>
    <w:div w:id="1634826153">
      <w:bodyDiv w:val="1"/>
      <w:marLeft w:val="0"/>
      <w:marRight w:val="0"/>
      <w:marTop w:val="0"/>
      <w:marBottom w:val="0"/>
      <w:divBdr>
        <w:top w:val="none" w:sz="0" w:space="0" w:color="auto"/>
        <w:left w:val="none" w:sz="0" w:space="0" w:color="auto"/>
        <w:bottom w:val="none" w:sz="0" w:space="0" w:color="auto"/>
        <w:right w:val="none" w:sz="0" w:space="0" w:color="auto"/>
      </w:divBdr>
    </w:div>
    <w:div w:id="1725594983">
      <w:bodyDiv w:val="1"/>
      <w:marLeft w:val="0"/>
      <w:marRight w:val="0"/>
      <w:marTop w:val="0"/>
      <w:marBottom w:val="0"/>
      <w:divBdr>
        <w:top w:val="none" w:sz="0" w:space="0" w:color="auto"/>
        <w:left w:val="none" w:sz="0" w:space="0" w:color="auto"/>
        <w:bottom w:val="none" w:sz="0" w:space="0" w:color="auto"/>
        <w:right w:val="none" w:sz="0" w:space="0" w:color="auto"/>
      </w:divBdr>
    </w:div>
    <w:div w:id="1810130607">
      <w:bodyDiv w:val="1"/>
      <w:marLeft w:val="0"/>
      <w:marRight w:val="0"/>
      <w:marTop w:val="0"/>
      <w:marBottom w:val="0"/>
      <w:divBdr>
        <w:top w:val="none" w:sz="0" w:space="0" w:color="auto"/>
        <w:left w:val="none" w:sz="0" w:space="0" w:color="auto"/>
        <w:bottom w:val="none" w:sz="0" w:space="0" w:color="auto"/>
        <w:right w:val="none" w:sz="0" w:space="0" w:color="auto"/>
      </w:divBdr>
    </w:div>
    <w:div w:id="1842356860">
      <w:bodyDiv w:val="1"/>
      <w:marLeft w:val="0"/>
      <w:marRight w:val="0"/>
      <w:marTop w:val="0"/>
      <w:marBottom w:val="0"/>
      <w:divBdr>
        <w:top w:val="none" w:sz="0" w:space="0" w:color="auto"/>
        <w:left w:val="none" w:sz="0" w:space="0" w:color="auto"/>
        <w:bottom w:val="none" w:sz="0" w:space="0" w:color="auto"/>
        <w:right w:val="none" w:sz="0" w:space="0" w:color="auto"/>
      </w:divBdr>
    </w:div>
    <w:div w:id="1842697225">
      <w:bodyDiv w:val="1"/>
      <w:marLeft w:val="0"/>
      <w:marRight w:val="0"/>
      <w:marTop w:val="0"/>
      <w:marBottom w:val="0"/>
      <w:divBdr>
        <w:top w:val="none" w:sz="0" w:space="0" w:color="auto"/>
        <w:left w:val="none" w:sz="0" w:space="0" w:color="auto"/>
        <w:bottom w:val="none" w:sz="0" w:space="0" w:color="auto"/>
        <w:right w:val="none" w:sz="0" w:space="0" w:color="auto"/>
      </w:divBdr>
    </w:div>
    <w:div w:id="1909604986">
      <w:bodyDiv w:val="1"/>
      <w:marLeft w:val="0"/>
      <w:marRight w:val="0"/>
      <w:marTop w:val="0"/>
      <w:marBottom w:val="0"/>
      <w:divBdr>
        <w:top w:val="none" w:sz="0" w:space="0" w:color="auto"/>
        <w:left w:val="none" w:sz="0" w:space="0" w:color="auto"/>
        <w:bottom w:val="none" w:sz="0" w:space="0" w:color="auto"/>
        <w:right w:val="none" w:sz="0" w:space="0" w:color="auto"/>
      </w:divBdr>
    </w:div>
    <w:div w:id="1926840822">
      <w:bodyDiv w:val="1"/>
      <w:marLeft w:val="0"/>
      <w:marRight w:val="0"/>
      <w:marTop w:val="0"/>
      <w:marBottom w:val="0"/>
      <w:divBdr>
        <w:top w:val="none" w:sz="0" w:space="0" w:color="auto"/>
        <w:left w:val="none" w:sz="0" w:space="0" w:color="auto"/>
        <w:bottom w:val="none" w:sz="0" w:space="0" w:color="auto"/>
        <w:right w:val="none" w:sz="0" w:space="0" w:color="auto"/>
      </w:divBdr>
    </w:div>
    <w:div w:id="1932228455">
      <w:bodyDiv w:val="1"/>
      <w:marLeft w:val="0"/>
      <w:marRight w:val="0"/>
      <w:marTop w:val="0"/>
      <w:marBottom w:val="0"/>
      <w:divBdr>
        <w:top w:val="none" w:sz="0" w:space="0" w:color="auto"/>
        <w:left w:val="none" w:sz="0" w:space="0" w:color="auto"/>
        <w:bottom w:val="none" w:sz="0" w:space="0" w:color="auto"/>
        <w:right w:val="none" w:sz="0" w:space="0" w:color="auto"/>
      </w:divBdr>
    </w:div>
    <w:div w:id="1942834340">
      <w:bodyDiv w:val="1"/>
      <w:marLeft w:val="0"/>
      <w:marRight w:val="0"/>
      <w:marTop w:val="0"/>
      <w:marBottom w:val="0"/>
      <w:divBdr>
        <w:top w:val="none" w:sz="0" w:space="0" w:color="auto"/>
        <w:left w:val="none" w:sz="0" w:space="0" w:color="auto"/>
        <w:bottom w:val="none" w:sz="0" w:space="0" w:color="auto"/>
        <w:right w:val="none" w:sz="0" w:space="0" w:color="auto"/>
      </w:divBdr>
    </w:div>
    <w:div w:id="1967007466">
      <w:bodyDiv w:val="1"/>
      <w:marLeft w:val="0"/>
      <w:marRight w:val="0"/>
      <w:marTop w:val="0"/>
      <w:marBottom w:val="0"/>
      <w:divBdr>
        <w:top w:val="none" w:sz="0" w:space="0" w:color="auto"/>
        <w:left w:val="none" w:sz="0" w:space="0" w:color="auto"/>
        <w:bottom w:val="none" w:sz="0" w:space="0" w:color="auto"/>
        <w:right w:val="none" w:sz="0" w:space="0" w:color="auto"/>
      </w:divBdr>
    </w:div>
    <w:div w:id="1984038748">
      <w:bodyDiv w:val="1"/>
      <w:marLeft w:val="0"/>
      <w:marRight w:val="0"/>
      <w:marTop w:val="0"/>
      <w:marBottom w:val="0"/>
      <w:divBdr>
        <w:top w:val="none" w:sz="0" w:space="0" w:color="auto"/>
        <w:left w:val="none" w:sz="0" w:space="0" w:color="auto"/>
        <w:bottom w:val="none" w:sz="0" w:space="0" w:color="auto"/>
        <w:right w:val="none" w:sz="0" w:space="0" w:color="auto"/>
      </w:divBdr>
    </w:div>
    <w:div w:id="2008433690">
      <w:bodyDiv w:val="1"/>
      <w:marLeft w:val="0"/>
      <w:marRight w:val="0"/>
      <w:marTop w:val="0"/>
      <w:marBottom w:val="0"/>
      <w:divBdr>
        <w:top w:val="none" w:sz="0" w:space="0" w:color="auto"/>
        <w:left w:val="none" w:sz="0" w:space="0" w:color="auto"/>
        <w:bottom w:val="none" w:sz="0" w:space="0" w:color="auto"/>
        <w:right w:val="none" w:sz="0" w:space="0" w:color="auto"/>
      </w:divBdr>
    </w:div>
    <w:div w:id="2124183222">
      <w:bodyDiv w:val="1"/>
      <w:marLeft w:val="0"/>
      <w:marRight w:val="0"/>
      <w:marTop w:val="0"/>
      <w:marBottom w:val="0"/>
      <w:divBdr>
        <w:top w:val="none" w:sz="0" w:space="0" w:color="auto"/>
        <w:left w:val="none" w:sz="0" w:space="0" w:color="auto"/>
        <w:bottom w:val="none" w:sz="0" w:space="0" w:color="auto"/>
        <w:right w:val="none" w:sz="0" w:space="0" w:color="auto"/>
      </w:divBdr>
    </w:div>
    <w:div w:id="21266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AC696-EC64-4FD0-B01A-A009746D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4067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En respuesta a la PETICIÓN DE INFORMACIÓN formulada por el Parlamentario Foral D</vt:lpstr>
    </vt:vector>
  </TitlesOfParts>
  <Company>Gobierno de Navarra</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respuesta a la PETICIÓN DE INFORMACIÓN formulada por el Parlamentario Foral D</dc:title>
  <dc:creator>N069286</dc:creator>
  <cp:lastModifiedBy>Iñaki De Santiago</cp:lastModifiedBy>
  <cp:revision>3</cp:revision>
  <cp:lastPrinted>2019-10-08T08:06:00Z</cp:lastPrinted>
  <dcterms:created xsi:type="dcterms:W3CDTF">2021-02-02T13:16:00Z</dcterms:created>
  <dcterms:modified xsi:type="dcterms:W3CDTF">2021-02-02T13:22:00Z</dcterms:modified>
</cp:coreProperties>
</file>