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de colaboración entre el INAI y las entidades locales, formulada por la Ilma. Sra. D.ª Isabel Olave Ballarena.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en materia de evaluación de las políticas de colaboración entre el INAI y las entidades locales.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La Parlamentaria Foral: Isabel Olave Ballarena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