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febrero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, formulada por el contrato de servicio de atención residencial de 15 plazas para menores en situación de dificultad o conflicto social.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febrero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el contrato de servicio de atención residencial de 15 plazas para menores en situación de dificultad o conflicto social,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 . ¿Cuál es la razón por la que este contrato se encuentra en situación de enriquecimiento injusto?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¿Desde cuándo se encuentra en dicha situación?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¿Para cuándo se prevé que se adjudique el nuevo contrato?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enero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