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Club Atlético Osasunari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Kultura eta Kiroleko kontseilariak otsailaren 11ko Osoko Bilkuran ahoz erantzun dezan:</w:t>
      </w:r>
    </w:p>
    <w:p>
      <w:pPr>
        <w:pStyle w:val="0"/>
        <w:suppressAutoHyphens w:val="false"/>
        <w:rPr>
          <w:rStyle w:val="1"/>
        </w:rPr>
      </w:pPr>
      <w:r>
        <w:rPr>
          <w:rStyle w:val="1"/>
        </w:rPr>
        <w:t xml:space="preserve">Club Atlético Osasunak egoera konplexua du bazkide konpromisarioen batzarrerako hauteskundeen judizializazioari dagokionez edo kategoriaz aldatzeko arriskuari dagokionez. Hori dela eta,</w:t>
      </w:r>
    </w:p>
    <w:p>
      <w:pPr>
        <w:pStyle w:val="0"/>
        <w:suppressAutoHyphens w:val="false"/>
        <w:rPr>
          <w:rStyle w:val="1"/>
        </w:rPr>
      </w:pPr>
      <w:r>
        <w:rPr>
          <w:rStyle w:val="1"/>
        </w:rPr>
        <w:t xml:space="preserve">Zein da Club Atlético Osasunaren betetze-maila Nafarroako Gobernuarekin abala lortzeko hartu zituen konpromisoekin lotutako betebeharrei dagokienez, eta nola alda daitezke betebehar horiek agertoki desberdinen arabera?</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