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2019an onetsitako Nafarroako Kultur Eskubideei buruzko Foru Legearen erregelamenduzko garapenari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Raquel Garbayo Berdonces andreak, Legebiltzarreko Erregelamenduan xedatuaren babesean, honako galdera hau aurkezten du, Nafarroako Gobernuko Kultura eta Kiroleko kontseilariak Kultura eta Kiroleko Batzordean ahoz erantzun dezan:</w:t>
      </w:r>
    </w:p>
    <w:p>
      <w:pPr>
        <w:pStyle w:val="0"/>
        <w:suppressAutoHyphens w:val="false"/>
        <w:rPr>
          <w:rStyle w:val="1"/>
        </w:rPr>
      </w:pPr>
      <w:r>
        <w:rPr>
          <w:rStyle w:val="1"/>
        </w:rPr>
        <w:t xml:space="preserve">2019an onetsitako Nafarroako Kultur Eskubideei buruzko Legearen erregelamenduzko garapena noizko dago aurreikusita?</w:t>
      </w:r>
    </w:p>
    <w:p>
      <w:pPr>
        <w:pStyle w:val="0"/>
        <w:suppressAutoHyphens w:val="false"/>
        <w:rPr>
          <w:rStyle w:val="1"/>
        </w:rPr>
      </w:pPr>
      <w:r>
        <w:rPr>
          <w:rStyle w:val="1"/>
        </w:rPr>
        <w:t xml:space="preserve">Iruñean, 2021eko otsailaren 9an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