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gaurkotasun handiko galdera, Eutanasiaren Legea onesteari eta Estatuko Aldizkari Ofizialean argitaratzeari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babesean,gaurkotasun handiko honako galdera hau aurkezten du, Osasuneko kontseilariak martxoaren 25eko Osoko Bilkuran ahoz erantzun dezan:</w:t>
      </w:r>
    </w:p>
    <w:p>
      <w:pPr>
        <w:pStyle w:val="0"/>
        <w:suppressAutoHyphens w:val="false"/>
        <w:rPr>
          <w:rStyle w:val="1"/>
        </w:rPr>
      </w:pPr>
      <w:r>
        <w:rPr>
          <w:rStyle w:val="1"/>
        </w:rPr>
        <w:t xml:space="preserve">Nafar herritarrei zer ekarriko die Eutanasiaren Legea onesteak eta Estatuko Aldizkari Ofizialean argitaratzeak?</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